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Gastroenterology</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74724</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MINIREVIEWS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Regulatory T cells and their associated factors in hepatocellular carcinoma development and therapy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rPr>
        <w:t xml:space="preserve">Zhang CY </w:t>
      </w:r>
      <w:r>
        <w:rPr>
          <w:rFonts w:ascii="Book Antiqua" w:hAnsi="Book Antiqua" w:eastAsia="Book Antiqua" w:cs="Book Antiqua"/>
          <w:i/>
          <w:iCs/>
        </w:rPr>
        <w:t>et al</w:t>
      </w:r>
      <w:r>
        <w:rPr>
          <w:rFonts w:ascii="Book Antiqua" w:hAnsi="Book Antiqua" w:eastAsia="Book Antiqua" w:cs="Book Antiqua"/>
        </w:rPr>
        <w:t>. Role of Tregs in HCC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rPr>
        <w:t>Chun-Ye Zhang, Shuai Liu, Ming Yang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Chun-Ye Zhang, </w:t>
      </w:r>
      <w:r>
        <w:rPr>
          <w:rFonts w:ascii="Book Antiqua" w:hAnsi="Book Antiqua" w:eastAsia="Book Antiqua" w:cs="Book Antiqua"/>
        </w:rPr>
        <w:t>Department of Veterinary Pathobiology, University of Missouri, Columbia, M</w:t>
      </w:r>
      <w:r>
        <w:rPr>
          <w:rFonts w:ascii="Book Antiqua" w:hAnsi="Book Antiqua" w:cs="Book Antiqua"/>
          <w:lang w:eastAsia="zh-CN"/>
        </w:rPr>
        <w:t>O</w:t>
      </w:r>
      <w:r>
        <w:rPr>
          <w:rFonts w:ascii="Book Antiqua" w:hAnsi="Book Antiqua" w:eastAsia="Book Antiqua" w:cs="Book Antiqua"/>
        </w:rPr>
        <w:t xml:space="preserve"> 65211,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Shuai Liu, </w:t>
      </w:r>
      <w:r>
        <w:rPr>
          <w:rFonts w:ascii="Book Antiqua" w:hAnsi="Book Antiqua" w:eastAsia="Book Antiqua" w:cs="Book Antiqua"/>
        </w:rPr>
        <w:t>The First Affiliated Hospital, Zhejiang University, Hangzhou 310006, Zhejiang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Ming Yang, </w:t>
      </w:r>
      <w:r>
        <w:rPr>
          <w:rFonts w:ascii="Book Antiqua" w:hAnsi="Book Antiqua" w:eastAsia="Book Antiqua" w:cs="Book Antiqua"/>
        </w:rPr>
        <w:t>Department of Surgery, University of Missouri, Columbia, M</w:t>
      </w:r>
      <w:r>
        <w:rPr>
          <w:rFonts w:ascii="Book Antiqua" w:hAnsi="Book Antiqua" w:cs="Book Antiqua"/>
          <w:lang w:eastAsia="zh-CN"/>
        </w:rPr>
        <w:t>O</w:t>
      </w:r>
      <w:r>
        <w:rPr>
          <w:rFonts w:ascii="Book Antiqua" w:hAnsi="Book Antiqua" w:eastAsia="Book Antiqua" w:cs="Book Antiqua"/>
        </w:rPr>
        <w:t xml:space="preserve"> 65211,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Author contributions: </w:t>
      </w:r>
      <w:r>
        <w:rPr>
          <w:rFonts w:ascii="Book Antiqua" w:hAnsi="Book Antiqua" w:eastAsia="Book Antiqua" w:cs="Book Antiqua"/>
        </w:rPr>
        <w:t>Zhang CY, Liu S, and Yang M designed</w:t>
      </w:r>
      <w:r>
        <w:rPr>
          <w:rFonts w:ascii="Book Antiqua" w:hAnsi="Book Antiqua" w:cs="Book Antiqua"/>
          <w:lang w:eastAsia="zh-CN"/>
        </w:rPr>
        <w:t xml:space="preserve"> and</w:t>
      </w:r>
      <w:r>
        <w:rPr>
          <w:rFonts w:ascii="Book Antiqua" w:hAnsi="Book Antiqua" w:eastAsia="Book Antiqua" w:cs="Book Antiqua"/>
        </w:rPr>
        <w:t xml:space="preserve"> collected data, wrote, revised, and finalized the manuscript; all authors contributed equally, and shared the first authorship.</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Corresponding author: Ming Yang, DVM, PhD, Postdoctoral Fellow, </w:t>
      </w:r>
      <w:r>
        <w:rPr>
          <w:rFonts w:ascii="Book Antiqua" w:hAnsi="Book Antiqua" w:eastAsia="Book Antiqua" w:cs="Book Antiqua"/>
        </w:rPr>
        <w:t>Department of Surgery, University of Missouri, Room 2203, NexGen Precision Building, 1030 Hitt Street, Columbia, M</w:t>
      </w:r>
      <w:r>
        <w:rPr>
          <w:rFonts w:ascii="Book Antiqua" w:hAnsi="Book Antiqua" w:cs="Book Antiqua"/>
          <w:lang w:eastAsia="zh-CN"/>
        </w:rPr>
        <w:t>O</w:t>
      </w:r>
      <w:r>
        <w:rPr>
          <w:rFonts w:ascii="Book Antiqua" w:hAnsi="Book Antiqua" w:eastAsia="Book Antiqua" w:cs="Book Antiqua"/>
        </w:rPr>
        <w:t xml:space="preserve"> 65211, United States. yangmin@health.missouri.edu</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January 3, 2022</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eastAsia="Book Antiqua" w:cs="Book Antiqua"/>
        </w:rPr>
        <w:t>January 27, 2022</w:t>
      </w:r>
    </w:p>
    <w:p>
      <w:pPr>
        <w:spacing w:line="360" w:lineRule="auto"/>
        <w:jc w:val="both"/>
        <w:rPr>
          <w:rFonts w:ascii="Book Antiqua" w:hAnsi="Book Antiqua"/>
          <w:lang w:eastAsia="zh-CN"/>
        </w:rPr>
      </w:pPr>
      <w:r>
        <w:rPr>
          <w:rFonts w:ascii="Book Antiqua" w:hAnsi="Book Antiqua" w:eastAsia="Book Antiqua" w:cs="Book Antiqua"/>
          <w:b/>
          <w:bCs/>
        </w:rPr>
        <w:t>Accepted:</w:t>
      </w:r>
      <w:r>
        <w:rPr>
          <w:b w:val="0"/>
          <w:bCs w:val="0"/>
        </w:rPr>
        <w:t xml:space="preserve"> </w:t>
      </w:r>
      <w:r>
        <w:rPr>
          <w:rFonts w:ascii="Book Antiqua" w:hAnsi="Book Antiqua" w:eastAsia="Book Antiqua" w:cs="Book Antiqua"/>
          <w:b w:val="0"/>
          <w:bCs w:val="0"/>
        </w:rPr>
        <w:t>June 23, 2022</w:t>
      </w:r>
    </w:p>
    <w:p>
      <w:pPr>
        <w:spacing w:line="360" w:lineRule="auto"/>
        <w:jc w:val="both"/>
        <w:rPr>
          <w:rFonts w:ascii="Book Antiqua" w:hAnsi="Book Antiqua"/>
          <w:lang w:eastAsia="zh-CN"/>
        </w:rPr>
      </w:pPr>
      <w:r>
        <w:rPr>
          <w:rFonts w:ascii="Book Antiqua" w:hAnsi="Book Antiqua" w:eastAsia="Book Antiqua" w:cs="Book Antiqua"/>
          <w:b/>
          <w:bCs/>
        </w:rPr>
        <w:t xml:space="preserve">Published online: </w:t>
      </w:r>
      <w:r>
        <w:rPr>
          <w:rFonts w:hint="eastAsia" w:ascii="Book Antiqua" w:hAnsi="Book Antiqua" w:eastAsia="Book Antiqua" w:cs="Book Antiqua"/>
          <w:b w:val="0"/>
          <w:bCs w:val="0"/>
          <w:color w:val="000000"/>
        </w:rPr>
        <w:t>July 21, 2022</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rPr>
        <w:t>Abstract</w:t>
      </w:r>
    </w:p>
    <w:p>
      <w:pPr>
        <w:spacing w:line="360" w:lineRule="auto"/>
        <w:jc w:val="both"/>
        <w:rPr>
          <w:rFonts w:ascii="Book Antiqua" w:hAnsi="Book Antiqua"/>
          <w:lang w:eastAsia="zh-CN"/>
        </w:rPr>
      </w:pPr>
      <w:r>
        <w:rPr>
          <w:rFonts w:ascii="Book Antiqua" w:hAnsi="Book Antiqua" w:eastAsia="Book Antiqua" w:cs="Book Antiqua"/>
        </w:rPr>
        <w:t>Liver cancer is the third leading cause of cancer-related death worldwide with primary type hepatocellular carcinoma (HCC). Factors, including carcinogens, infection of hepatitis viruses, alcohol abuse, and non-alcoholic fatty liver disease (NAFLD), can induce HCC initiation and promote HCC progression. The prevalence of NAFLD accompanying the increased incidence of obesity and type 2 diabetes becomes the most increasing factor causing HCC worldwide. However, the benefit of current therapeutic options is still limited. Intrahepatic immunity plays critically important roles in HCC initiation, development, and progression. Regulatory T cells (Tregs) and their associated factors such as metabolites and secreting cytokines mediate the immune tolerance of the tumor microenvironment in HCC. Therefore, targeting Tregs and blocking their mediated factors may prevent HCC progression. This review summarizes the functions of Tregs in HCC-inducing factors including alcoholic and NAFLD, liver fibrosis, cirrhosis, and viral infections. Overall, a better understanding of the role of Tregs in the development and progression of HCC provides treatment strategies for liver cancer treatment.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rPr>
        <w:t>Hepatocellular carcinoma; Regulatory T cells; Alcoholic fatty liver disease; Non-alcoholic fatty liver disease; Treatment; Clinical trials</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eastAsia="Book Antiqua" w:cs="Book Antiqua"/>
          <w:color w:val="000000"/>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rPr>
        <w:t>Zhang CY, Liu S, Yang M. Regulatory T cells and their associated factors in hepatocellular carcinoma development and therapy</w:t>
      </w:r>
      <w:r>
        <w:rPr>
          <w:rFonts w:ascii="Book Antiqua" w:hAnsi="Book Antiqua" w:cs="Book Antiqua"/>
          <w:lang w:eastAsia="zh-CN"/>
        </w:rPr>
        <w:t>.</w:t>
      </w:r>
      <w:r>
        <w:rPr>
          <w:rFonts w:ascii="Book Antiqua" w:hAnsi="Book Antiqua" w:eastAsia="Book Antiqua" w:cs="Book Antiqua"/>
        </w:rPr>
        <w:t xml:space="preserve"> </w:t>
      </w:r>
      <w:r>
        <w:rPr>
          <w:rFonts w:ascii="Book Antiqua" w:hAnsi="Book Antiqua" w:eastAsia="Book Antiqua" w:cs="Book Antiqua"/>
          <w:i/>
          <w:iCs/>
        </w:rPr>
        <w:t>World J Gastroenterol</w:t>
      </w:r>
      <w:r>
        <w:rPr>
          <w:rFonts w:ascii="Book Antiqua" w:hAnsi="Book Antiqua" w:eastAsia="Book Antiqua" w:cs="Book Antiqua"/>
        </w:rPr>
        <w:t xml:space="preserve"> 2022; </w:t>
      </w:r>
      <w:bookmarkStart w:id="0" w:name="OLE_LINK3"/>
      <w:r>
        <w:rPr>
          <w:rFonts w:hint="eastAsia" w:ascii="Book Antiqua" w:hAnsi="Book Antiqua" w:eastAsia="Book Antiqua" w:cs="Book Antiqua"/>
          <w:color w:val="000000"/>
        </w:rPr>
        <w:t>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(2</w:t>
      </w:r>
      <w:r>
        <w:rPr>
          <w:rFonts w:hint="eastAsia" w:ascii="Book Antiqua" w:hAnsi="Book Antiqua" w:eastAsia="宋体" w:cs="Book Antiqua"/>
          <w:color w:val="000000"/>
          <w:lang w:val="en-US" w:eastAsia="zh-CN"/>
        </w:rPr>
        <w:t>7</w:t>
      </w:r>
      <w:r>
        <w:rPr>
          <w:rFonts w:hint="eastAsia" w:ascii="Book Antiqua" w:hAnsi="Book Antiqua" w:eastAsia="Book Antiqua" w:cs="Book Antiqua"/>
          <w:color w:val="000000"/>
        </w:rPr>
        <w:t xml:space="preserve">): </w:t>
      </w:r>
      <w:r>
        <w:rPr>
          <w:rFonts w:hint="default" w:ascii="Book Antiqua" w:hAnsi="Book Antiqua" w:eastAsia="Book Antiqua" w:cs="Book Antiqua"/>
          <w:color w:val="000000"/>
          <w:kern w:val="0"/>
          <w:sz w:val="24"/>
          <w:szCs w:val="24"/>
          <w:lang w:val="en-US" w:eastAsia="zh-CN"/>
        </w:rPr>
        <w:t>3346-3358</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https://www.wjgnet.com/1007-9327/full/v2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/i2</w:t>
      </w:r>
      <w:r>
        <w:rPr>
          <w:rFonts w:hint="eastAsia" w:ascii="Book Antiqua" w:hAnsi="Book Antiqua" w:eastAsia="宋体" w:cs="Book Antiqua"/>
          <w:color w:val="000000"/>
          <w:lang w:val="en-US" w:eastAsia="zh-CN"/>
        </w:rPr>
        <w:t>7</w:t>
      </w:r>
      <w:r>
        <w:rPr>
          <w:rFonts w:hint="eastAsia" w:ascii="Book Antiqua" w:hAnsi="Book Antiqua" w:eastAsia="Book Antiqua" w:cs="Book Antiqua"/>
          <w:color w:val="000000"/>
        </w:rPr>
        <w:t>/</w:t>
      </w:r>
      <w:r>
        <w:rPr>
          <w:rFonts w:hint="default" w:ascii="Book Antiqua" w:hAnsi="Book Antiqua" w:eastAsia="Book Antiqua" w:cs="Book Antiqua"/>
          <w:color w:val="000000"/>
          <w:kern w:val="0"/>
          <w:sz w:val="24"/>
          <w:szCs w:val="24"/>
          <w:lang w:val="en-US" w:eastAsia="zh-CN"/>
        </w:rPr>
        <w:t>3346</w:t>
      </w:r>
      <w:r>
        <w:rPr>
          <w:rFonts w:hint="eastAsia" w:ascii="Book Antiqua" w:hAnsi="Book Antiqua" w:eastAsia="Book Antiqua" w:cs="Book Antiqua"/>
          <w:color w:val="000000"/>
        </w:rPr>
        <w:t xml:space="preserve">.htm  </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https://dx.doi.org/10.3748/wjg.v2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.i2</w:t>
      </w:r>
      <w:r>
        <w:rPr>
          <w:rFonts w:hint="eastAsia" w:ascii="Book Antiqua" w:hAnsi="Book Antiqua" w:eastAsia="宋体" w:cs="Book Antiqua"/>
          <w:color w:val="000000"/>
          <w:lang w:val="en-US" w:eastAsia="zh-CN"/>
        </w:rPr>
        <w:t>7</w:t>
      </w:r>
      <w:r>
        <w:rPr>
          <w:rFonts w:hint="eastAsia" w:ascii="Book Antiqua" w:hAnsi="Book Antiqua" w:eastAsia="Book Antiqua" w:cs="Book Antiqua"/>
          <w:color w:val="000000"/>
        </w:rPr>
        <w:t>.</w:t>
      </w:r>
      <w:bookmarkEnd w:id="0"/>
      <w:r>
        <w:rPr>
          <w:rFonts w:hint="default" w:ascii="Book Antiqua" w:hAnsi="Book Antiqua" w:eastAsia="Book Antiqua" w:cs="Book Antiqua"/>
          <w:color w:val="000000"/>
          <w:kern w:val="0"/>
          <w:sz w:val="24"/>
          <w:szCs w:val="24"/>
          <w:lang w:val="en-US" w:eastAsia="zh-CN"/>
        </w:rPr>
        <w:t>3346</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rPr>
        <w:t>Liver cancer is the third leading cause of cancer-related death worldwide. Hepatocellular carcinoma (HCC) is the primary type of liver cancer. Factors, including carcinogenic infection of hepatitis viruses, alcohol abuse, and non-alcoholic fatty liver disease (NAFLD), can induce HCC initiation and promote HCC progression. The prevalence of NAFLD accompanying the increased incidence of obesity and type 2 diabetes becomes the most increasing factor causing HCC worldwide. However, the benefit of current therapeutic options is still limited. Intrahepatic immunity plays critically important roles in HCC initiation, development, and progression. Regulatory T cells (Tregs) and their associated factors such as metabolites and secreting cytokines mediate the immune tolerance of the tumor microenvironment in HCC. Therefore, targeting Tregs and blocking their mediated factors may prevent HCC progression. A better understanding of the role of Tregs in intrahepatic immunity is helpful to develop novel HCC treatment options.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u w:val="single"/>
        </w:rPr>
        <w:t>INTRODUCTION</w:t>
      </w:r>
    </w:p>
    <w:p>
      <w:pPr>
        <w:spacing w:line="360" w:lineRule="auto"/>
        <w:jc w:val="both"/>
        <w:rPr>
          <w:rFonts w:ascii="Book Antiqua" w:hAnsi="Book Antiqua" w:cs="Book Antiqua"/>
          <w:lang w:eastAsia="zh-CN"/>
        </w:rPr>
      </w:pPr>
      <w:r>
        <w:rPr>
          <w:rFonts w:ascii="Book Antiqua" w:hAnsi="Book Antiqua" w:eastAsia="Book Antiqua" w:cs="Book Antiqua"/>
        </w:rPr>
        <w:t>Liver cancer is the third leading cause of cancer-related death worldwide with 8.3% of death ratio, following lung and colorectal cancers</w:t>
      </w:r>
      <w:r>
        <w:rPr>
          <w:rFonts w:ascii="Book Antiqua" w:hAnsi="Book Antiqua" w:eastAsia="Book Antiqua" w:cs="Book Antiqua"/>
          <w:vertAlign w:val="superscript"/>
        </w:rPr>
        <w:t>[1]</w:t>
      </w:r>
      <w:r>
        <w:rPr>
          <w:rFonts w:ascii="Book Antiqua" w:hAnsi="Book Antiqua" w:eastAsia="Book Antiqua" w:cs="Book Antiqua"/>
        </w:rPr>
        <w:t>. The most common type of primary liver cancer is hepatocellular carcinoma (HCC) and the second type is cholangiocarcinoma</w:t>
      </w:r>
      <w:r>
        <w:rPr>
          <w:rFonts w:ascii="Book Antiqua" w:hAnsi="Book Antiqua" w:eastAsia="Book Antiqua" w:cs="Book Antiqua"/>
          <w:vertAlign w:val="superscript"/>
        </w:rPr>
        <w:t>[2]</w:t>
      </w:r>
      <w:r>
        <w:rPr>
          <w:rFonts w:ascii="Book Antiqua" w:hAnsi="Book Antiqua" w:eastAsia="Book Antiqua" w:cs="Book Antiqua"/>
        </w:rPr>
        <w:t>. Factors, including carcinogens (</w:t>
      </w:r>
      <w:r>
        <w:rPr>
          <w:rFonts w:ascii="Book Antiqua" w:hAnsi="Book Antiqua" w:eastAsia="Book Antiqua" w:cs="Book Antiqua"/>
          <w:i/>
          <w:iCs/>
        </w:rPr>
        <w:t>e.g.</w:t>
      </w:r>
      <w:r>
        <w:rPr>
          <w:rFonts w:ascii="Book Antiqua" w:hAnsi="Book Antiqua" w:eastAsia="Book Antiqua" w:cs="Book Antiqua"/>
        </w:rPr>
        <w:t>, aflatoxin B1), infection of hepatitis viruses, alcohol abuse, and non-alcoholic fatty liver disease (NAFLD), can induce HCC and promote HCC progression</w:t>
      </w:r>
      <w:r>
        <w:rPr>
          <w:rFonts w:ascii="Book Antiqua" w:hAnsi="Book Antiqua" w:eastAsia="Book Antiqua" w:cs="Book Antiqua"/>
          <w:vertAlign w:val="superscript"/>
        </w:rPr>
        <w:t>[3-5]</w:t>
      </w:r>
      <w:r>
        <w:rPr>
          <w:rFonts w:ascii="Book Antiqua" w:hAnsi="Book Antiqua" w:eastAsia="Book Antiqua" w:cs="Book Antiqua"/>
        </w:rPr>
        <w:t>. In addition, accompanying the increasing incidence of obesity and type 2 diabetes (T2D), NAFLD becomes an increasing factor that causes HCC worldwide</w:t>
      </w:r>
      <w:r>
        <w:rPr>
          <w:rFonts w:ascii="Book Antiqua" w:hAnsi="Book Antiqua" w:eastAsia="Book Antiqua" w:cs="Book Antiqua"/>
          <w:vertAlign w:val="superscript"/>
        </w:rPr>
        <w:t>[6,7]</w:t>
      </w:r>
      <w:r>
        <w:rPr>
          <w:rFonts w:ascii="Book Antiqua" w:hAnsi="Book Antiqua" w:eastAsia="Book Antiqua" w:cs="Book Antiqua"/>
        </w:rPr>
        <w:t>.</w:t>
      </w:r>
    </w:p>
    <w:p>
      <w:pPr>
        <w:spacing w:line="360" w:lineRule="auto"/>
        <w:ind w:firstLine="240" w:firstLineChars="100"/>
        <w:jc w:val="both"/>
        <w:rPr>
          <w:rFonts w:ascii="Book Antiqua" w:hAnsi="Book Antiqua"/>
          <w:lang w:eastAsia="zh-CN"/>
        </w:rPr>
      </w:pPr>
      <w:r>
        <w:rPr>
          <w:rFonts w:ascii="Book Antiqua" w:hAnsi="Book Antiqua" w:eastAsia="Book Antiqua" w:cs="Book Antiqua"/>
        </w:rPr>
        <w:t>Surgical resection is a curative treatment option for the early stage of HCC. However, most cases in HCC were found in the late stage. In addition, other minimally invasive local therapies, such as radiofrequency ablation and microwave ablation, and systemic therapy, such as tyrosine kinase inhibitors, are treatment options for patients who are not suitable for surgery</w:t>
      </w:r>
      <w:r>
        <w:rPr>
          <w:rFonts w:ascii="Book Antiqua" w:hAnsi="Book Antiqua" w:eastAsia="Book Antiqua" w:cs="Book Antiqua"/>
          <w:vertAlign w:val="superscript"/>
        </w:rPr>
        <w:t>[8]</w:t>
      </w:r>
      <w:r>
        <w:rPr>
          <w:rFonts w:ascii="Book Antiqua" w:hAnsi="Book Antiqua" w:eastAsia="Book Antiqua" w:cs="Book Antiqua"/>
        </w:rPr>
        <w:t xml:space="preserve">. Furthermore, immunotherapy by targeting checkpoint inhibitors </w:t>
      </w:r>
      <w:r>
        <w:rPr>
          <w:rFonts w:ascii="Book Antiqua" w:hAnsi="Book Antiqua" w:cs="Book Antiqua"/>
          <w:lang w:eastAsia="zh-CN"/>
        </w:rPr>
        <w:t>[</w:t>
      </w:r>
      <w:r>
        <w:rPr>
          <w:rFonts w:ascii="Book Antiqua" w:hAnsi="Book Antiqua" w:eastAsia="Book Antiqua" w:cs="Book Antiqua"/>
          <w:i/>
          <w:iCs/>
        </w:rPr>
        <w:t>e.g.</w:t>
      </w:r>
      <w:r>
        <w:rPr>
          <w:rFonts w:ascii="Book Antiqua" w:hAnsi="Book Antiqua" w:eastAsia="Book Antiqua" w:cs="Book Antiqua"/>
        </w:rPr>
        <w:t>, anti-programmed cell death protein 1 (PD-1)/programmed death-ligand 1 (PD-L1) antibodies</w:t>
      </w:r>
      <w:r>
        <w:rPr>
          <w:rFonts w:ascii="Book Antiqua" w:hAnsi="Book Antiqua" w:cs="Book Antiqua"/>
          <w:lang w:eastAsia="zh-CN"/>
        </w:rPr>
        <w:t>]</w:t>
      </w:r>
      <w:r>
        <w:rPr>
          <w:rFonts w:ascii="Book Antiqua" w:hAnsi="Book Antiqua" w:eastAsia="Book Antiqua" w:cs="Book Antiqua"/>
        </w:rPr>
        <w:t xml:space="preserve"> shows benefits against advanced HCC in the clinic. A combination treatment by blocking both PD-L1 (</w:t>
      </w:r>
      <w:r>
        <w:rPr>
          <w:rFonts w:ascii="Book Antiqua" w:hAnsi="Book Antiqua" w:eastAsia="Book Antiqua" w:cs="Book Antiqua"/>
          <w:i/>
          <w:iCs/>
        </w:rPr>
        <w:t>e.g.</w:t>
      </w:r>
      <w:r>
        <w:rPr>
          <w:rFonts w:ascii="Book Antiqua" w:hAnsi="Book Antiqua" w:eastAsia="Book Antiqua" w:cs="Book Antiqua"/>
        </w:rPr>
        <w:t>, atezolizumab) and vascular endothelial growth factor (VEGF) (</w:t>
      </w:r>
      <w:r>
        <w:rPr>
          <w:rFonts w:ascii="Book Antiqua" w:hAnsi="Book Antiqua" w:eastAsia="Book Antiqua" w:cs="Book Antiqua"/>
          <w:i/>
          <w:iCs/>
        </w:rPr>
        <w:t>e.g.</w:t>
      </w:r>
      <w:r>
        <w:rPr>
          <w:rFonts w:ascii="Book Antiqua" w:hAnsi="Book Antiqua" w:eastAsia="Book Antiqua" w:cs="Book Antiqua"/>
        </w:rPr>
        <w:t>, bevacizumab) is one of the best first-line treatments for advanced HCC</w:t>
      </w:r>
      <w:r>
        <w:rPr>
          <w:rFonts w:ascii="Book Antiqua" w:hAnsi="Book Antiqua" w:eastAsia="Book Antiqua" w:cs="Book Antiqua"/>
          <w:vertAlign w:val="superscript"/>
        </w:rPr>
        <w:t>[9]</w:t>
      </w:r>
      <w:r>
        <w:rPr>
          <w:rFonts w:ascii="Book Antiqua" w:hAnsi="Book Antiqua" w:eastAsia="Book Antiqua" w:cs="Book Antiqua"/>
        </w:rPr>
        <w:t>. Other potential immunotherapy options including T cell-mediated therapy such as chimeric antigen receptor-engineered T cells</w:t>
      </w:r>
      <w:r>
        <w:rPr>
          <w:rFonts w:ascii="Book Antiqua" w:hAnsi="Book Antiqua" w:eastAsia="Book Antiqua" w:cs="Book Antiqua"/>
          <w:vertAlign w:val="superscript"/>
        </w:rPr>
        <w:t>[10-12]</w:t>
      </w:r>
      <w:r>
        <w:rPr>
          <w:rFonts w:ascii="Book Antiqua" w:hAnsi="Book Antiqua" w:eastAsia="Book Antiqua" w:cs="Book Antiqua"/>
        </w:rPr>
        <w:t>, peptide-based vaccines</w:t>
      </w:r>
      <w:r>
        <w:rPr>
          <w:rFonts w:ascii="Book Antiqua" w:hAnsi="Book Antiqua" w:eastAsia="Book Antiqua" w:cs="Book Antiqua"/>
          <w:vertAlign w:val="superscript"/>
        </w:rPr>
        <w:t>[13-15]</w:t>
      </w:r>
      <w:r>
        <w:rPr>
          <w:rFonts w:ascii="Book Antiqua" w:hAnsi="Book Antiqua" w:eastAsia="Book Antiqua" w:cs="Book Antiqua"/>
        </w:rPr>
        <w:t>, and micro</w:t>
      </w:r>
      <w:r>
        <w:rPr>
          <w:rFonts w:ascii="Book Antiqua" w:hAnsi="Book Antiqua" w:cs="Garamond"/>
        </w:rPr>
        <w:t xml:space="preserve"> ribonucleic acid</w:t>
      </w:r>
      <w:r>
        <w:rPr>
          <w:rFonts w:ascii="Book Antiqua" w:hAnsi="Book Antiqua" w:eastAsia="Book Antiqua" w:cs="Book Antiqua"/>
        </w:rPr>
        <w:t>s (miRNAs)-mediated therapies</w:t>
      </w:r>
      <w:r>
        <w:rPr>
          <w:rFonts w:ascii="Book Antiqua" w:hAnsi="Book Antiqua" w:eastAsia="Book Antiqua" w:cs="Book Antiqua"/>
          <w:vertAlign w:val="superscript"/>
        </w:rPr>
        <w:t>[16]</w:t>
      </w:r>
      <w:r>
        <w:rPr>
          <w:rFonts w:ascii="Book Antiqua" w:hAnsi="Book Antiqua" w:eastAsia="Book Antiqua" w:cs="Book Antiqua"/>
        </w:rPr>
        <w:t>, are undergoing investigations for HCC treatment.</w:t>
      </w:r>
    </w:p>
    <w:p>
      <w:pPr>
        <w:spacing w:line="360" w:lineRule="auto"/>
        <w:ind w:firstLine="240" w:firstLineChars="100"/>
        <w:jc w:val="both"/>
        <w:rPr>
          <w:rFonts w:ascii="Book Antiqua" w:hAnsi="Book Antiqua"/>
          <w:lang w:eastAsia="zh-CN"/>
        </w:rPr>
      </w:pPr>
      <w:r>
        <w:rPr>
          <w:rFonts w:ascii="Book Antiqua" w:hAnsi="Book Antiqua" w:eastAsia="Book Antiqua" w:cs="Book Antiqua"/>
        </w:rPr>
        <w:t>Intrahepatic immunity including both innate and adaptive immune responses plays pivotal roles in the development and progression of HCC, especially for T cells</w:t>
      </w:r>
      <w:r>
        <w:rPr>
          <w:rFonts w:ascii="Book Antiqua" w:hAnsi="Book Antiqua" w:eastAsia="Book Antiqua" w:cs="Book Antiqua"/>
          <w:vertAlign w:val="superscript"/>
        </w:rPr>
        <w:t>[17]</w:t>
      </w:r>
      <w:r>
        <w:rPr>
          <w:rFonts w:ascii="Book Antiqua" w:hAnsi="Book Antiqua" w:eastAsia="Book Antiqua" w:cs="Book Antiqua"/>
        </w:rPr>
        <w:t>. Among them, the imbalance between effector CD4 and/or CD8 T cells and regulatory T cells (Tregs) induces immunotolerance and promotes HCC progression</w:t>
      </w:r>
      <w:r>
        <w:rPr>
          <w:rFonts w:ascii="Book Antiqua" w:hAnsi="Book Antiqua" w:eastAsia="Book Antiqua" w:cs="Book Antiqua"/>
          <w:vertAlign w:val="superscript"/>
        </w:rPr>
        <w:t>[18,19]</w:t>
      </w:r>
      <w:r>
        <w:rPr>
          <w:rFonts w:ascii="Book Antiqua" w:hAnsi="Book Antiqua" w:eastAsia="Book Antiqua" w:cs="Book Antiqua"/>
        </w:rPr>
        <w:t>. Factors impacting the balance of effector T cells and Tregs include gut microbiota, transforming growth factor-beta (TGF-β), and treatments such as trans-arterial chemoembolization</w:t>
      </w:r>
      <w:r>
        <w:rPr>
          <w:rFonts w:ascii="Book Antiqua" w:hAnsi="Book Antiqua" w:eastAsia="Book Antiqua" w:cs="Book Antiqua"/>
          <w:vertAlign w:val="superscript"/>
        </w:rPr>
        <w:t>[18-20]</w:t>
      </w:r>
      <w:r>
        <w:rPr>
          <w:rFonts w:ascii="Book Antiqua" w:hAnsi="Book Antiqua" w:eastAsia="Book Antiqua" w:cs="Book Antiqua"/>
        </w:rPr>
        <w:t xml:space="preserve">, </w:t>
      </w:r>
      <w:r>
        <w:rPr>
          <w:rFonts w:ascii="Book Antiqua" w:hAnsi="Book Antiqua" w:eastAsia="Book Antiqua" w:cs="Book Antiqua"/>
          <w:i/>
          <w:iCs/>
        </w:rPr>
        <w:t>etc</w:t>
      </w:r>
      <w:r>
        <w:rPr>
          <w:rFonts w:ascii="Book Antiqua" w:hAnsi="Book Antiqua" w:eastAsia="Book Antiqua" w:cs="Book Antiqua"/>
        </w:rPr>
        <w:t>. The expression of cytokines such as interleukin (IL)-2, IL-5, interferon (IFN)-γ was increased with an increased ratio of cytotoxic T lymphocytes (CTLs)/Tregs with the treatment of Lenvatinib, a multiple kinase inhibitor, while the expression of T-cell immunoglobulin mucin-3 (Tim-3) and CTL-associated antigen-4 (CTLA-4) was decreased on Treg cells</w:t>
      </w:r>
      <w:r>
        <w:rPr>
          <w:rFonts w:ascii="Book Antiqua" w:hAnsi="Book Antiqua" w:eastAsia="Book Antiqua" w:cs="Book Antiqua"/>
          <w:vertAlign w:val="superscript"/>
        </w:rPr>
        <w:t>[21]</w:t>
      </w:r>
      <w:r>
        <w:rPr>
          <w:rFonts w:ascii="Book Antiqua" w:hAnsi="Book Antiqua" w:eastAsia="Book Antiqua" w:cs="Book Antiqua"/>
        </w:rPr>
        <w:t>. Therefore, modulating the Treg frequency and the expression of related cytokines are critically important for anti-tumor immunotherapy.</w:t>
      </w:r>
    </w:p>
    <w:p>
      <w:pPr>
        <w:spacing w:line="360" w:lineRule="auto"/>
        <w:ind w:firstLine="240" w:firstLineChars="100"/>
        <w:jc w:val="both"/>
        <w:rPr>
          <w:rFonts w:ascii="Book Antiqua" w:hAnsi="Book Antiqua"/>
        </w:rPr>
      </w:pPr>
      <w:r>
        <w:rPr>
          <w:rFonts w:ascii="Book Antiqua" w:hAnsi="Book Antiqua" w:eastAsia="Book Antiqua" w:cs="Book Antiqua"/>
        </w:rPr>
        <w:t xml:space="preserve">In this review, functions of Tregs on HCC causing factors such as alcoholic liver disease (ALD), NAFLD, liver fibrosis, and cirrhosis are discussed. In addition, molecules mediated Treg functions and therapeutic options by targeting Tregs are summarized. Moreover, clinical trials by targeting Tregs to modulate immune response were analyzed.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u w:val="single"/>
        </w:rPr>
        <w:t>TREGS IN CHRONIC LIVER DISEASE</w:t>
      </w:r>
    </w:p>
    <w:p>
      <w:pPr>
        <w:spacing w:line="360" w:lineRule="auto"/>
        <w:jc w:val="both"/>
        <w:rPr>
          <w:rFonts w:ascii="Book Antiqua" w:hAnsi="Book Antiqua"/>
        </w:rPr>
      </w:pPr>
      <w:r>
        <w:rPr>
          <w:rFonts w:ascii="Book Antiqua" w:hAnsi="Book Antiqua" w:eastAsia="Book Antiqua" w:cs="Book Antiqua"/>
          <w:b/>
          <w:bCs/>
          <w:i/>
          <w:iCs/>
        </w:rPr>
        <w:t>Tregs in ALD</w:t>
      </w:r>
    </w:p>
    <w:p>
      <w:pPr>
        <w:spacing w:line="360" w:lineRule="auto"/>
        <w:jc w:val="both"/>
        <w:rPr>
          <w:rFonts w:ascii="Book Antiqua" w:hAnsi="Book Antiqua" w:cs="Book Antiqua"/>
          <w:lang w:eastAsia="zh-CN"/>
        </w:rPr>
      </w:pPr>
      <w:r>
        <w:rPr>
          <w:rFonts w:ascii="Book Antiqua" w:hAnsi="Book Antiqua" w:eastAsia="Book Antiqua" w:cs="Book Antiqua"/>
        </w:rPr>
        <w:t>As immunosuppressive cells, Tregs play a pivotal role in chronic liver diseases, including ALD. For example, chronic-binge alcohol exposure in C57BL/6 mice induced the reduction of Treg cells, but increased T helper 17 cells (Th17) cells and the production of IL-17</w:t>
      </w:r>
      <w:r>
        <w:rPr>
          <w:rFonts w:ascii="Book Antiqua" w:hAnsi="Book Antiqua" w:eastAsia="Book Antiqua" w:cs="Book Antiqua"/>
          <w:vertAlign w:val="superscript"/>
        </w:rPr>
        <w:t>[22]</w:t>
      </w:r>
      <w:r>
        <w:rPr>
          <w:rFonts w:ascii="Book Antiqua" w:hAnsi="Book Antiqua" w:eastAsia="Book Antiqua" w:cs="Book Antiqua"/>
        </w:rPr>
        <w:t>. Treatment with ginsenoside F2 can ameliorate ALD by increasing the frequency of Foxp3</w:t>
      </w:r>
      <w:r>
        <w:rPr>
          <w:rFonts w:ascii="Book Antiqua" w:hAnsi="Book Antiqua" w:eastAsia="Book Antiqua" w:cs="Book Antiqua"/>
          <w:vertAlign w:val="superscript"/>
        </w:rPr>
        <w:t>+</w:t>
      </w:r>
      <w:r>
        <w:rPr>
          <w:rFonts w:ascii="Book Antiqua" w:hAnsi="Book Antiqua" w:cs="Book Antiqua"/>
          <w:lang w:eastAsia="zh-CN"/>
        </w:rPr>
        <w:t xml:space="preserve"> </w:t>
      </w:r>
      <w:r>
        <w:rPr>
          <w:rFonts w:ascii="Book Antiqua" w:hAnsi="Book Antiqua" w:eastAsia="Book Antiqua" w:cs="Book Antiqua"/>
        </w:rPr>
        <w:t>Tregs and decreasing IL-17-producing Th17 cells compared to control groups</w:t>
      </w:r>
      <w:r>
        <w:rPr>
          <w:rFonts w:ascii="Book Antiqua" w:hAnsi="Book Antiqua" w:eastAsia="Book Antiqua" w:cs="Book Antiqua"/>
          <w:vertAlign w:val="superscript"/>
        </w:rPr>
        <w:t>[23]</w:t>
      </w:r>
      <w:r>
        <w:rPr>
          <w:rFonts w:ascii="Book Antiqua" w:hAnsi="Book Antiqua" w:eastAsia="Book Antiqua" w:cs="Book Antiqua"/>
        </w:rPr>
        <w:t>. However, the molecular mechanism of how Tregs impact the progression of ALD except for modulation of liver inflammation remains unclear.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rPr>
        <w:t xml:space="preserve">Tregs in NAFLD and </w:t>
      </w:r>
      <w:r>
        <w:rPr>
          <w:rFonts w:ascii="Book Antiqua" w:hAnsi="Book Antiqua" w:cs="Book Antiqua"/>
          <w:b/>
          <w:bCs/>
          <w:i/>
          <w:iCs/>
          <w:lang w:eastAsia="zh-CN"/>
        </w:rPr>
        <w:t>n</w:t>
      </w:r>
      <w:r>
        <w:rPr>
          <w:rFonts w:ascii="Book Antiqua" w:hAnsi="Book Antiqua" w:eastAsia="Book Antiqua" w:cs="Book Antiqua"/>
          <w:b/>
          <w:bCs/>
          <w:i/>
          <w:iCs/>
        </w:rPr>
        <w:t>onalcoholic steatohepatitis</w:t>
      </w:r>
    </w:p>
    <w:p>
      <w:pPr>
        <w:spacing w:line="360" w:lineRule="auto"/>
        <w:jc w:val="both"/>
        <w:rPr>
          <w:rFonts w:ascii="Book Antiqua" w:hAnsi="Book Antiqua"/>
          <w:lang w:eastAsia="zh-CN"/>
        </w:rPr>
      </w:pPr>
      <w:r>
        <w:rPr>
          <w:rFonts w:ascii="Book Antiqua" w:hAnsi="Book Antiqua" w:eastAsia="Book Antiqua" w:cs="Book Antiqua"/>
        </w:rPr>
        <w:t>The balance Th17 cells/Tregs plays an essential role in metabolic diseases by regulating immune response and glucose and lipid metabolism</w:t>
      </w:r>
      <w:r>
        <w:rPr>
          <w:rFonts w:ascii="Book Antiqua" w:hAnsi="Book Antiqua" w:eastAsia="Book Antiqua" w:cs="Book Antiqua"/>
          <w:vertAlign w:val="superscript"/>
        </w:rPr>
        <w:t>[8]</w:t>
      </w:r>
      <w:r>
        <w:rPr>
          <w:rFonts w:ascii="Book Antiqua" w:hAnsi="Book Antiqua" w:eastAsia="Book Antiqua" w:cs="Book Antiqua"/>
        </w:rPr>
        <w:t>. The lower Treg (forkhead box P3</w:t>
      </w:r>
      <w:r>
        <w:rPr>
          <w:rFonts w:ascii="Book Antiqua" w:hAnsi="Book Antiqua" w:eastAsia="Book Antiqua" w:cs="Book Antiqua"/>
          <w:vertAlign w:val="superscript"/>
        </w:rPr>
        <w:t>+</w:t>
      </w:r>
      <w:r>
        <w:rPr>
          <w:rFonts w:ascii="Book Antiqua" w:hAnsi="Book Antiqua" w:eastAsia="Book Antiqua" w:cs="Book Antiqua"/>
        </w:rPr>
        <w:t>/FOXP3</w:t>
      </w:r>
      <w:r>
        <w:rPr>
          <w:rFonts w:ascii="Book Antiqua" w:hAnsi="Book Antiqua" w:eastAsia="Book Antiqua" w:cs="Book Antiqua"/>
          <w:vertAlign w:val="superscript"/>
        </w:rPr>
        <w:t>+</w:t>
      </w:r>
      <w:r>
        <w:rPr>
          <w:rFonts w:ascii="Book Antiqua" w:hAnsi="Book Antiqua" w:eastAsia="Book Antiqua" w:cs="Book Antiqua"/>
        </w:rPr>
        <w:t>) and higher Th17 cell (IL-17-producing cells) numbers were found in portal or periportal tract in livers of adult NAFLD patients, whereas more Tregs were shown in pediatric NAFLD patients</w:t>
      </w:r>
      <w:r>
        <w:rPr>
          <w:rFonts w:ascii="Book Antiqua" w:hAnsi="Book Antiqua" w:eastAsia="Book Antiqua" w:cs="Book Antiqua"/>
          <w:vertAlign w:val="superscript"/>
        </w:rPr>
        <w:t>[24]</w:t>
      </w:r>
      <w:r>
        <w:rPr>
          <w:rFonts w:ascii="Book Antiqua" w:hAnsi="Book Antiqua" w:eastAsia="Book Antiqua" w:cs="Book Antiqua"/>
        </w:rPr>
        <w:t>. In addition, severe liver inflammation was positively associated with intralobular expression of FOXP3 in pediatric patients but was positively associated with higher expression of IL-17 and lower expression of FOXP3 in adult patients, indicating the role of Tregs in NAFLD is age-dependent. Intrahepatic imbalance of Th17/Treg cells promotes the progression of NAFLD, accompanying higher expression of inflammatory cytokines such as IL-6, IL-17, and IL-23 in both serum and liver</w:t>
      </w:r>
      <w:r>
        <w:rPr>
          <w:rFonts w:ascii="Book Antiqua" w:hAnsi="Book Antiqua" w:eastAsia="Book Antiqua" w:cs="Book Antiqua"/>
          <w:vertAlign w:val="superscript"/>
        </w:rPr>
        <w:t>[25]</w:t>
      </w:r>
      <w:r>
        <w:rPr>
          <w:rFonts w:ascii="Book Antiqua" w:hAnsi="Book Antiqua" w:eastAsia="Book Antiqua" w:cs="Book Antiqua"/>
        </w:rPr>
        <w:t>. Feeding a high-fat diet (HFD) can impact the balance of Th17/Treg cells and Th1/Th2 cells of CD4 T cells in mesenteric lymph nodes (MLN). In addition, those CD4 T cells can potentially migrate into the liver to promote liver inflammation to result in NAFLD progression</w:t>
      </w:r>
      <w:r>
        <w:rPr>
          <w:rFonts w:ascii="Book Antiqua" w:hAnsi="Book Antiqua" w:eastAsia="Book Antiqua" w:cs="Book Antiqua"/>
          <w:vertAlign w:val="superscript"/>
        </w:rPr>
        <w:t>[26]</w:t>
      </w:r>
      <w:r>
        <w:rPr>
          <w:rFonts w:ascii="Book Antiqua" w:hAnsi="Book Antiqua" w:eastAsia="Book Antiqua" w:cs="Book Antiqua"/>
        </w:rPr>
        <w:t>. The effects of CD4 T cells in MLN on liver inflammation and fat accumulation can be ameliorated by administration of antibiotics and probiotics, indicating an important role of gut microbiota in NAFLD pathogenesis</w:t>
      </w:r>
      <w:r>
        <w:rPr>
          <w:rFonts w:ascii="Book Antiqua" w:hAnsi="Book Antiqua" w:eastAsia="Book Antiqua" w:cs="Book Antiqua"/>
          <w:vertAlign w:val="superscript"/>
        </w:rPr>
        <w:t>[26]</w:t>
      </w:r>
      <w:r>
        <w:rPr>
          <w:rFonts w:ascii="Book Antiqua" w:hAnsi="Book Antiqua" w:eastAsia="Book Antiqua" w:cs="Book Antiqua"/>
        </w:rPr>
        <w:t>.</w:t>
      </w:r>
    </w:p>
    <w:p>
      <w:pPr>
        <w:spacing w:line="360" w:lineRule="auto"/>
        <w:ind w:firstLine="240" w:firstLineChars="100"/>
        <w:jc w:val="both"/>
        <w:rPr>
          <w:rFonts w:ascii="Book Antiqua" w:hAnsi="Book Antiqua"/>
          <w:lang w:eastAsia="zh-CN"/>
        </w:rPr>
      </w:pPr>
      <w:r>
        <w:rPr>
          <w:rFonts w:ascii="Book Antiqua" w:hAnsi="Book Antiqua" w:eastAsia="Book Antiqua" w:cs="Book Antiqua"/>
        </w:rPr>
        <w:t xml:space="preserve">Dywicki </w:t>
      </w:r>
      <w:r>
        <w:rPr>
          <w:rFonts w:ascii="Book Antiqua" w:hAnsi="Book Antiqua" w:eastAsia="Book Antiqua" w:cs="Book Antiqua"/>
          <w:i/>
          <w:iCs/>
        </w:rPr>
        <w:t>et al</w:t>
      </w:r>
      <w:r>
        <w:rPr>
          <w:rFonts w:ascii="Book Antiqua" w:hAnsi="Book Antiqua" w:eastAsia="Book Antiqua" w:cs="Book Antiqua"/>
          <w:vertAlign w:val="superscript"/>
        </w:rPr>
        <w:t>[27]</w:t>
      </w:r>
      <w:r>
        <w:rPr>
          <w:rFonts w:ascii="Book Antiqua" w:hAnsi="Book Antiqua" w:eastAsia="Book Antiqua" w:cs="Book Antiqua"/>
        </w:rPr>
        <w:t xml:space="preserve"> showed intrahepatic Tregs were increased in high-fat high-carbohydrate (HF-HC) diet-induced </w:t>
      </w:r>
      <w:r>
        <w:rPr>
          <w:rFonts w:ascii="Book Antiqua" w:hAnsi="Book Antiqua" w:cs="Book Antiqua"/>
          <w:lang w:eastAsia="zh-CN"/>
        </w:rPr>
        <w:t>n</w:t>
      </w:r>
      <w:r>
        <w:rPr>
          <w:rFonts w:ascii="Book Antiqua" w:hAnsi="Book Antiqua" w:eastAsia="Book Antiqua" w:cs="Book Antiqua"/>
        </w:rPr>
        <w:t xml:space="preserve">onalcoholic steatohepatitis </w:t>
      </w:r>
      <w:r>
        <w:rPr>
          <w:rFonts w:ascii="Book Antiqua" w:hAnsi="Book Antiqua" w:cs="Book Antiqua"/>
          <w:lang w:eastAsia="zh-CN"/>
        </w:rPr>
        <w:t>(</w:t>
      </w:r>
      <w:r>
        <w:rPr>
          <w:rFonts w:ascii="Book Antiqua" w:hAnsi="Book Antiqua" w:eastAsia="Book Antiqua" w:cs="Book Antiqua"/>
        </w:rPr>
        <w:t>NASH</w:t>
      </w:r>
      <w:r>
        <w:rPr>
          <w:rFonts w:ascii="Book Antiqua" w:hAnsi="Book Antiqua" w:cs="Book Antiqua"/>
          <w:lang w:eastAsia="zh-CN"/>
        </w:rPr>
        <w:t>)</w:t>
      </w:r>
      <w:r>
        <w:rPr>
          <w:rFonts w:ascii="Book Antiqua" w:hAnsi="Book Antiqua" w:eastAsia="Book Antiqua" w:cs="Book Antiqua"/>
        </w:rPr>
        <w:t xml:space="preserve"> in BALB/c mice. In addition, depletion of adaptive immunity aggregated HF-HC diet-induced NASH in recombination activating 1-knockout BALB/c mice. Although Tregs showed an anti-inflammation effect in ALD</w:t>
      </w:r>
      <w:r>
        <w:rPr>
          <w:rFonts w:ascii="Book Antiqua" w:hAnsi="Book Antiqua" w:eastAsia="Book Antiqua" w:cs="Book Antiqua"/>
          <w:vertAlign w:val="superscript"/>
        </w:rPr>
        <w:t>[23]</w:t>
      </w:r>
      <w:r>
        <w:rPr>
          <w:rFonts w:ascii="Book Antiqua" w:hAnsi="Book Antiqua" w:eastAsia="Book Antiqua" w:cs="Book Antiqua"/>
        </w:rPr>
        <w:t>, adoptive transfer of Tregs increased steatosis and serum level of alanine aminotransferase (ALT), indicating that Tregs enhance the progression of NAFLD</w:t>
      </w:r>
      <w:r>
        <w:rPr>
          <w:rFonts w:ascii="Book Antiqua" w:hAnsi="Book Antiqua" w:eastAsia="Book Antiqua" w:cs="Book Antiqua"/>
          <w:vertAlign w:val="superscript"/>
        </w:rPr>
        <w:t>[27]</w:t>
      </w:r>
      <w:r>
        <w:rPr>
          <w:rFonts w:ascii="Book Antiqua" w:hAnsi="Book Antiqua" w:eastAsia="Book Antiqua" w:cs="Book Antiqua"/>
        </w:rPr>
        <w:t>. Another study also showed that increasing Tregs in subcutaneous adipose tissue induced by adoptive transfer of Tregs from healthy C57BL/6J mice to high-fat HFD (HFHFD)-fed mice increased hepatic steatosis during NAFLD development</w:t>
      </w:r>
      <w:r>
        <w:rPr>
          <w:rFonts w:ascii="Book Antiqua" w:hAnsi="Book Antiqua" w:eastAsia="Book Antiqua" w:cs="Book Antiqua"/>
          <w:vertAlign w:val="superscript"/>
        </w:rPr>
        <w:t>[28]</w:t>
      </w:r>
      <w:r>
        <w:rPr>
          <w:rFonts w:ascii="Book Antiqua" w:hAnsi="Book Antiqua" w:eastAsia="Book Antiqua" w:cs="Book Antiqua"/>
        </w:rPr>
        <w:t>.</w:t>
      </w:r>
    </w:p>
    <w:p>
      <w:pPr>
        <w:spacing w:line="360" w:lineRule="auto"/>
        <w:ind w:firstLine="240" w:firstLineChars="100"/>
        <w:jc w:val="both"/>
        <w:rPr>
          <w:rFonts w:ascii="Book Antiqua" w:hAnsi="Book Antiqua" w:eastAsia="Book Antiqua" w:cs="Book Antiqua"/>
        </w:rPr>
      </w:pPr>
      <w:r>
        <w:rPr>
          <w:rFonts w:ascii="Book Antiqua" w:hAnsi="Book Antiqua" w:eastAsia="Book Antiqua" w:cs="Book Antiqua"/>
        </w:rPr>
        <w:t>Mechanistically, the formation of neutrophil extracellular traps during NASH progression can induce Treg differentiation from naïve CD4 T cells, which is dependent on Toll-like receptor 4 (TLR-4) and involved in NASH-HCC progression</w:t>
      </w:r>
      <w:r>
        <w:rPr>
          <w:rFonts w:ascii="Book Antiqua" w:hAnsi="Book Antiqua" w:eastAsia="Book Antiqua" w:cs="Book Antiqua"/>
          <w:vertAlign w:val="superscript"/>
        </w:rPr>
        <w:t>[29]</w:t>
      </w:r>
      <w:r>
        <w:rPr>
          <w:rFonts w:ascii="Book Antiqua" w:hAnsi="Book Antiqua" w:eastAsia="Book Antiqua" w:cs="Book Antiqua"/>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rPr>
        <w:t>Tregs in liver fibrosis and cirrhosis</w:t>
      </w:r>
    </w:p>
    <w:p>
      <w:pPr>
        <w:spacing w:line="360" w:lineRule="auto"/>
        <w:jc w:val="both"/>
        <w:rPr>
          <w:rFonts w:ascii="Book Antiqua" w:hAnsi="Book Antiqua"/>
          <w:lang w:eastAsia="zh-CN"/>
        </w:rPr>
      </w:pPr>
      <w:r>
        <w:rPr>
          <w:rFonts w:ascii="Book Antiqua" w:hAnsi="Book Antiqua" w:eastAsia="Book Antiqua" w:cs="Book Antiqua"/>
        </w:rPr>
        <w:t xml:space="preserve">Progression of chronic liver disease, including ALD and NAFLD, can promote the development of liver fibrosis and its advanced stage liver cirrhosis. However, there are no currently available therapies that can treat or reverse liver cirrhosis. Deng </w:t>
      </w:r>
      <w:r>
        <w:rPr>
          <w:rFonts w:ascii="Book Antiqua" w:hAnsi="Book Antiqua" w:eastAsia="Book Antiqua" w:cs="Book Antiqua"/>
          <w:i/>
          <w:iCs/>
        </w:rPr>
        <w:t>et al</w:t>
      </w:r>
      <w:r>
        <w:rPr>
          <w:rFonts w:ascii="Book Antiqua" w:hAnsi="Book Antiqua" w:eastAsia="Book Antiqua" w:cs="Book Antiqua"/>
          <w:vertAlign w:val="superscript"/>
        </w:rPr>
        <w:t>[30]</w:t>
      </w:r>
      <w:r>
        <w:rPr>
          <w:rFonts w:ascii="Book Antiqua" w:hAnsi="Book Antiqua" w:eastAsia="Book Antiqua" w:cs="Book Antiqua"/>
        </w:rPr>
        <w:t xml:space="preserve"> reported that co-infusion with human amniotic mesenchymal stromal cells (hAMSCs) and Tregs can prevent mild liver fibrosis. Tregs play a critical role in the secretion of hepatocyte growth factor (HGF) and cell differentiation of hAMSCs.</w:t>
      </w:r>
    </w:p>
    <w:p>
      <w:pPr>
        <w:spacing w:line="360" w:lineRule="auto"/>
        <w:ind w:firstLine="240" w:firstLineChars="100"/>
        <w:jc w:val="both"/>
        <w:rPr>
          <w:rFonts w:ascii="Book Antiqua" w:hAnsi="Book Antiqua" w:cs="Book Antiqua"/>
          <w:lang w:eastAsia="zh-CN"/>
        </w:rPr>
      </w:pPr>
      <w:r>
        <w:rPr>
          <w:rFonts w:ascii="Book Antiqua" w:hAnsi="Book Antiqua" w:eastAsia="Book Antiqua" w:cs="Book Antiqua"/>
        </w:rPr>
        <w:t>Furthermore, an imbalance of Th17 cells/Tregs was also shown in cirrhotic patients with hepatitis B virus (HBV) infection. The frequency of Tregs was reduced in peripheral blood, while the frequency of Th17 cells was increased, resulting in a decreased Treg/Th17 ratio as a potential diagnostic marker for decompensated liver cirrhosis</w:t>
      </w:r>
      <w:r>
        <w:rPr>
          <w:rFonts w:ascii="Book Antiqua" w:hAnsi="Book Antiqua" w:eastAsia="Book Antiqua" w:cs="Book Antiqua"/>
          <w:vertAlign w:val="superscript"/>
        </w:rPr>
        <w:t>[31]</w:t>
      </w:r>
      <w:r>
        <w:rPr>
          <w:rFonts w:ascii="Book Antiqua" w:hAnsi="Book Antiqua" w:eastAsia="Book Antiqua" w:cs="Book Antiqua"/>
        </w:rPr>
        <w:t>. Another study also showed that the frequencies of both Tregs and Th17 cells were increased in the blood of patients with HBV infection and cirrhotic livers but with a higher extent in Th17 cells, resulting in an increased ratio of Th17/Treg, compared to the control group</w:t>
      </w:r>
      <w:r>
        <w:rPr>
          <w:rFonts w:ascii="Book Antiqua" w:hAnsi="Book Antiqua" w:eastAsia="Book Antiqua" w:cs="Book Antiqua"/>
          <w:vertAlign w:val="superscript"/>
        </w:rPr>
        <w:t>[32]</w:t>
      </w:r>
      <w:r>
        <w:rPr>
          <w:rFonts w:ascii="Book Antiqua" w:hAnsi="Book Antiqua" w:eastAsia="Book Antiqua" w:cs="Book Antiqua"/>
        </w:rPr>
        <w:t>. In addition, the mRNA levels of proinflammatory cytokines IL-1β, IL-6, and tumor necrosis factor (TNF)-α, as well as the protein expression of nuclear factor κB in the liver were significantly increased in HBV-infected liver and cirrhotic liver compared to healthy controls. Another study also showed that HBV infection can induce IL-8/C-X-C motif chemokine receptor 1/TGF-β signaling to provoke Treg polarization, resulting in suppression of anti-tumor immunity and enhance of HCC metastasis</w:t>
      </w:r>
      <w:r>
        <w:rPr>
          <w:rFonts w:ascii="Book Antiqua" w:hAnsi="Book Antiqua" w:eastAsia="Book Antiqua" w:cs="Book Antiqua"/>
          <w:vertAlign w:val="superscript"/>
        </w:rPr>
        <w:t>[33]</w:t>
      </w:r>
      <w:r>
        <w:rPr>
          <w:rFonts w:ascii="Book Antiqua" w:hAnsi="Book Antiqua" w:eastAsia="Book Antiqua" w:cs="Book Antiqua"/>
        </w:rPr>
        <w:t>. Moreover, the frequency of Tregs in blood and plasma levels of IL-35 were increased and positively related to viral load in HCV infected patients with cirrhosis and HCC</w:t>
      </w:r>
      <w:r>
        <w:rPr>
          <w:rFonts w:ascii="Book Antiqua" w:hAnsi="Book Antiqua" w:eastAsia="Book Antiqua" w:cs="Book Antiqua"/>
          <w:vertAlign w:val="superscript"/>
        </w:rPr>
        <w:t>[34]</w:t>
      </w:r>
      <w:r>
        <w:rPr>
          <w:rFonts w:ascii="Book Antiqua" w:hAnsi="Book Antiqua" w:eastAsia="Book Antiqua" w:cs="Book Antiqua"/>
        </w:rPr>
        <w:t>.</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i/>
          <w:iCs/>
        </w:rPr>
        <w:t>Tregs in HCC</w:t>
      </w:r>
    </w:p>
    <w:p>
      <w:pPr>
        <w:spacing w:line="360" w:lineRule="auto"/>
        <w:jc w:val="both"/>
        <w:rPr>
          <w:rFonts w:ascii="Book Antiqua" w:hAnsi="Book Antiqua"/>
          <w:lang w:eastAsia="zh-CN"/>
        </w:rPr>
      </w:pPr>
      <w:r>
        <w:rPr>
          <w:rFonts w:ascii="Book Antiqua" w:hAnsi="Book Antiqua" w:eastAsia="Book Antiqua" w:cs="Book Antiqua"/>
        </w:rPr>
        <w:t>A meta-analysis showed that a higher infiltration of CD3 T cells, CD8 T cells, and natural killer cells was associated with better overall survival (OS), disease-free survival (DFS), and recurrence-free survival (RFS). In contrast, a higher infiltration of Tregs and neutrophils indicated lower OS and DFS</w:t>
      </w:r>
      <w:r>
        <w:rPr>
          <w:rFonts w:ascii="Book Antiqua" w:hAnsi="Book Antiqua" w:eastAsia="Book Antiqua" w:cs="Book Antiqua"/>
          <w:vertAlign w:val="superscript"/>
        </w:rPr>
        <w:t>[35]</w:t>
      </w:r>
      <w:r>
        <w:rPr>
          <w:rFonts w:ascii="Book Antiqua" w:hAnsi="Book Antiqua" w:eastAsia="Book Antiqua" w:cs="Book Antiqua"/>
        </w:rPr>
        <w:t>. Another report also showed that an increase of Tregs or a decrease of M1 macrophages (proinflammatory phenotype) were associated with a poor prognosis of HCC patients</w:t>
      </w:r>
      <w:r>
        <w:rPr>
          <w:rFonts w:ascii="Book Antiqua" w:hAnsi="Book Antiqua" w:eastAsia="Book Antiqua" w:cs="Book Antiqua"/>
          <w:vertAlign w:val="superscript"/>
        </w:rPr>
        <w:t>[36]</w:t>
      </w:r>
      <w:r>
        <w:rPr>
          <w:rFonts w:ascii="Book Antiqua" w:hAnsi="Book Antiqua" w:eastAsia="Book Antiqua" w:cs="Book Antiqua"/>
        </w:rPr>
        <w:t>. C-C chemokine receptor type 4 (CCR4)</w:t>
      </w:r>
      <w:r>
        <w:rPr>
          <w:rFonts w:ascii="Book Antiqua" w:hAnsi="Book Antiqua" w:eastAsia="Book Antiqua" w:cs="Book Antiqua"/>
          <w:vertAlign w:val="superscript"/>
        </w:rPr>
        <w:t>+</w:t>
      </w:r>
      <w:r>
        <w:rPr>
          <w:rFonts w:ascii="Book Antiqua" w:hAnsi="Book Antiqua" w:eastAsia="Book Antiqua" w:cs="Book Antiqua"/>
        </w:rPr>
        <w:t>Tregs are predominant Tregs that are recruited in tumor tissue of HCC associated infection of hepatitis viruses, which is associated with HCC resistance to sorafenib treatment</w:t>
      </w:r>
      <w:r>
        <w:rPr>
          <w:rFonts w:ascii="Book Antiqua" w:hAnsi="Book Antiqua" w:eastAsia="Book Antiqua" w:cs="Book Antiqua"/>
          <w:vertAlign w:val="superscript"/>
        </w:rPr>
        <w:t>[37]</w:t>
      </w:r>
      <w:r>
        <w:rPr>
          <w:rFonts w:ascii="Book Antiqua" w:hAnsi="Book Antiqua" w:eastAsia="Book Antiqua" w:cs="Book Antiqua"/>
        </w:rPr>
        <w:t>. The frequency of CD127</w:t>
      </w:r>
      <w:r>
        <w:rPr>
          <w:rFonts w:ascii="Book Antiqua" w:hAnsi="Book Antiqua" w:eastAsia="Book Antiqua" w:cs="Book Antiqua"/>
          <w:vertAlign w:val="superscript"/>
        </w:rPr>
        <w:t>low</w:t>
      </w:r>
      <w:r>
        <w:rPr>
          <w:rFonts w:ascii="Book Antiqua" w:hAnsi="Book Antiqua" w:eastAsia="Book Antiqua" w:cs="Book Antiqua"/>
        </w:rPr>
        <w:t>,</w:t>
      </w:r>
      <w:r>
        <w:rPr>
          <w:rFonts w:ascii="Book Antiqua" w:hAnsi="Book Antiqua" w:eastAsia="Book Antiqua" w:cs="Book Antiqua"/>
          <w:vertAlign w:val="superscript"/>
        </w:rPr>
        <w:t xml:space="preserve"> </w:t>
      </w:r>
      <w:r>
        <w:rPr>
          <w:rFonts w:ascii="Book Antiqua" w:hAnsi="Book Antiqua" w:eastAsia="Book Antiqua" w:cs="Book Antiqua"/>
        </w:rPr>
        <w:t>CD25</w:t>
      </w:r>
      <w:r>
        <w:rPr>
          <w:rFonts w:ascii="Book Antiqua" w:hAnsi="Book Antiqua" w:eastAsia="Book Antiqua" w:cs="Book Antiqua"/>
          <w:vertAlign w:val="superscript"/>
        </w:rPr>
        <w:t>+</w:t>
      </w:r>
      <w:r>
        <w:rPr>
          <w:rFonts w:ascii="Book Antiqua" w:hAnsi="Book Antiqua" w:eastAsia="Book Antiqua" w:cs="Book Antiqua"/>
        </w:rPr>
        <w:t>, CD4</w:t>
      </w:r>
      <w:r>
        <w:rPr>
          <w:rFonts w:ascii="Book Antiqua" w:hAnsi="Book Antiqua" w:eastAsia="Book Antiqua" w:cs="Book Antiqua"/>
          <w:vertAlign w:val="superscript"/>
        </w:rPr>
        <w:t>+</w:t>
      </w:r>
      <w:r>
        <w:rPr>
          <w:rFonts w:ascii="Book Antiqua" w:hAnsi="Book Antiqua" w:eastAsia="Book Antiqua" w:cs="Book Antiqua"/>
        </w:rPr>
        <w:t>, Tregs was increased significantly in the peripheral venous blood of HCC patients compared to healthy controls</w:t>
      </w:r>
      <w:r>
        <w:rPr>
          <w:rFonts w:ascii="Book Antiqua" w:hAnsi="Book Antiqua" w:eastAsia="Book Antiqua" w:cs="Book Antiqua"/>
          <w:vertAlign w:val="superscript"/>
        </w:rPr>
        <w:t>[38]</w:t>
      </w:r>
      <w:r>
        <w:rPr>
          <w:rFonts w:ascii="Book Antiqua" w:hAnsi="Book Antiqua" w:eastAsia="Book Antiqua" w:cs="Book Antiqua"/>
        </w:rPr>
        <w:t>. In addition, the serum levels of TGF-β1 and IL-10 in HCC patients were positively associated with the Treg population in the blood, which were decreased post-operation and chemotherapy treatments. C-C motif chemokine ligand (CCL)</w:t>
      </w:r>
      <w:r>
        <w:rPr>
          <w:rFonts w:ascii="Book Antiqua" w:hAnsi="Book Antiqua" w:cs="Book Antiqua"/>
          <w:lang w:eastAsia="zh-CN"/>
        </w:rPr>
        <w:t xml:space="preserve"> </w:t>
      </w:r>
      <w:r>
        <w:rPr>
          <w:rFonts w:ascii="Book Antiqua" w:hAnsi="Book Antiqua" w:eastAsia="Book Antiqua" w:cs="Book Antiqua"/>
        </w:rPr>
        <w:t>5 expression on circulating tumor cells in HCC patients can attract Tregs to induce an immunosuppressive environment, one of the mechanisms for CTC escaping immune surveillance</w:t>
      </w:r>
      <w:r>
        <w:rPr>
          <w:rFonts w:ascii="Book Antiqua" w:hAnsi="Book Antiqua" w:eastAsia="Book Antiqua" w:cs="Book Antiqua"/>
          <w:vertAlign w:val="superscript"/>
        </w:rPr>
        <w:t>[39]</w:t>
      </w:r>
      <w:r>
        <w:rPr>
          <w:rFonts w:ascii="Book Antiqua" w:hAnsi="Book Antiqua" w:eastAsia="Book Antiqua" w:cs="Book Antiqua"/>
        </w:rPr>
        <w:t>.</w:t>
      </w:r>
    </w:p>
    <w:p>
      <w:pPr>
        <w:spacing w:line="360" w:lineRule="auto"/>
        <w:ind w:firstLine="240" w:firstLineChars="100"/>
        <w:jc w:val="both"/>
        <w:rPr>
          <w:rFonts w:ascii="Book Antiqua" w:hAnsi="Book Antiqua"/>
        </w:rPr>
      </w:pPr>
      <w:r>
        <w:rPr>
          <w:rFonts w:ascii="Book Antiqua" w:hAnsi="Book Antiqua" w:eastAsia="Book Antiqua" w:cs="Book Antiqua"/>
        </w:rPr>
        <w:t>The expression of immune checkpoint proteins in the HCC microenvironment impacts Tregs and antitumor immunity. PD-L1</w:t>
      </w:r>
      <w:r>
        <w:rPr>
          <w:rFonts w:ascii="Book Antiqua" w:hAnsi="Book Antiqua" w:eastAsia="Book Antiqua" w:cs="Book Antiqua"/>
          <w:vertAlign w:val="superscript"/>
        </w:rPr>
        <w:t>+</w:t>
      </w:r>
      <w:r>
        <w:rPr>
          <w:rFonts w:ascii="Book Antiqua" w:hAnsi="Book Antiqua" w:eastAsia="Book Antiqua" w:cs="Book Antiqua"/>
        </w:rPr>
        <w:t>neutrophils, Tregs, and neutrophil to lymphocyte ratio were significantly increased in peripheral blood of patients with poorly differentiated HCC with a worse prognosis compared to that in patients with highly-moderately differentiated HCC</w:t>
      </w:r>
      <w:r>
        <w:rPr>
          <w:rFonts w:ascii="Book Antiqua" w:hAnsi="Book Antiqua" w:eastAsia="Book Antiqua" w:cs="Book Antiqua"/>
          <w:vertAlign w:val="superscript"/>
        </w:rPr>
        <w:t>[40]</w:t>
      </w:r>
      <w:r>
        <w:rPr>
          <w:rFonts w:ascii="Book Antiqua" w:hAnsi="Book Antiqua" w:eastAsia="Book Antiqua" w:cs="Book Antiqua"/>
        </w:rPr>
        <w:t xml:space="preserve">. Zhou </w:t>
      </w:r>
      <w:r>
        <w:rPr>
          <w:rFonts w:ascii="Book Antiqua" w:hAnsi="Book Antiqua" w:eastAsia="Book Antiqua" w:cs="Book Antiqua"/>
          <w:i/>
          <w:iCs/>
        </w:rPr>
        <w:t>et al</w:t>
      </w:r>
      <w:r>
        <w:rPr>
          <w:rFonts w:ascii="Book Antiqua" w:hAnsi="Book Antiqua" w:eastAsia="Book Antiqua" w:cs="Book Antiqua"/>
          <w:vertAlign w:val="superscript"/>
        </w:rPr>
        <w:t>[41]</w:t>
      </w:r>
      <w:r>
        <w:rPr>
          <w:rFonts w:ascii="Book Antiqua" w:hAnsi="Book Antiqua" w:eastAsia="Book Antiqua" w:cs="Book Antiqua"/>
        </w:rPr>
        <w:t xml:space="preserve"> reported that tumor-associated neutrophils can induce the infiltration of the macrophages and Tregs from HCC mice or patients </w:t>
      </w:r>
      <w:r>
        <w:rPr>
          <w:rFonts w:ascii="Book Antiqua" w:hAnsi="Book Antiqua" w:eastAsia="Book Antiqua" w:cs="Book Antiqua"/>
          <w:i/>
          <w:iCs/>
        </w:rPr>
        <w:t>via</w:t>
      </w:r>
      <w:r>
        <w:rPr>
          <w:rFonts w:ascii="Book Antiqua" w:hAnsi="Book Antiqua" w:eastAsia="Book Antiqua" w:cs="Book Antiqua"/>
        </w:rPr>
        <w:t xml:space="preserve"> producing CCL2 and CCL17, resulting in HCC progression and resistance to sorafenib. CTLA-4 on Tregs in HCC impacts dendritic cell function by downregulating CD80/CD86 on dendritic cells (DCs)</w:t>
      </w:r>
      <w:r>
        <w:rPr>
          <w:rFonts w:ascii="Book Antiqua" w:hAnsi="Book Antiqua" w:eastAsia="Book Antiqua" w:cs="Book Antiqua"/>
          <w:vertAlign w:val="superscript"/>
        </w:rPr>
        <w:t>[42]</w:t>
      </w:r>
      <w:r>
        <w:rPr>
          <w:rFonts w:ascii="Book Antiqua" w:hAnsi="Book Antiqua" w:eastAsia="Book Antiqua" w:cs="Book Antiqua"/>
        </w:rPr>
        <w:t>. Therefore, blockade of CTLA-4 in HCC can improve DC-mediated anti-tumor immunity.</w:t>
      </w:r>
    </w:p>
    <w:p>
      <w:pPr>
        <w:spacing w:line="360" w:lineRule="auto"/>
        <w:ind w:firstLine="240" w:firstLineChars="100"/>
        <w:jc w:val="both"/>
        <w:rPr>
          <w:rFonts w:ascii="Book Antiqua" w:hAnsi="Book Antiqua"/>
          <w:lang w:eastAsia="zh-CN"/>
        </w:rPr>
      </w:pPr>
      <w:r>
        <w:rPr>
          <w:rFonts w:ascii="Book Antiqua" w:hAnsi="Book Antiqua" w:eastAsia="Book Antiqua" w:cs="Book Antiqua"/>
        </w:rPr>
        <w:t>Treatment with tivozanib, a tyrosine kinase inhibitor, can suppress Tregs by inhibiting receptor tyrosine kinase c-Kit (CD117)/stem cell factor (SCF) axis and increased CD4</w:t>
      </w:r>
      <w:r>
        <w:rPr>
          <w:rFonts w:ascii="Book Antiqua" w:hAnsi="Book Antiqua" w:eastAsia="Book Antiqua" w:cs="Book Antiqua"/>
          <w:vertAlign w:val="superscript"/>
        </w:rPr>
        <w:t>+</w:t>
      </w:r>
      <w:r>
        <w:rPr>
          <w:rFonts w:ascii="Book Antiqua" w:hAnsi="Book Antiqua" w:eastAsia="Book Antiqua" w:cs="Book Antiqua"/>
        </w:rPr>
        <w:t>PD-1</w:t>
      </w:r>
      <w:r>
        <w:rPr>
          <w:rFonts w:ascii="Book Antiqua" w:hAnsi="Book Antiqua" w:eastAsia="Book Antiqua" w:cs="Book Antiqua"/>
          <w:vertAlign w:val="superscript"/>
        </w:rPr>
        <w:t>+</w:t>
      </w:r>
      <w:r>
        <w:rPr>
          <w:rFonts w:ascii="Book Antiqua" w:hAnsi="Book Antiqua" w:eastAsia="Book Antiqua" w:cs="Book Antiqua"/>
        </w:rPr>
        <w:t>T cells, resulting in a significant improvement in OS of HCC patients</w:t>
      </w:r>
      <w:r>
        <w:rPr>
          <w:rFonts w:ascii="Book Antiqua" w:hAnsi="Book Antiqua" w:eastAsia="Book Antiqua" w:cs="Book Antiqua"/>
          <w:vertAlign w:val="superscript"/>
        </w:rPr>
        <w:t>[43]</w:t>
      </w:r>
      <w:r>
        <w:rPr>
          <w:rFonts w:ascii="Book Antiqua" w:hAnsi="Book Antiqua" w:eastAsia="Book Antiqua" w:cs="Book Antiqua"/>
        </w:rPr>
        <w:t>. Treatment with Lenvatinib also can inhibit IL-2 mediated Treg differentiation except for decreasing PD-L1 expression in HCC cells</w:t>
      </w:r>
      <w:r>
        <w:rPr>
          <w:rFonts w:ascii="Book Antiqua" w:hAnsi="Book Antiqua" w:eastAsia="Book Antiqua" w:cs="Book Antiqua"/>
          <w:vertAlign w:val="superscript"/>
        </w:rPr>
        <w:t>[44]</w:t>
      </w:r>
      <w:r>
        <w:rPr>
          <w:rFonts w:ascii="Book Antiqua" w:hAnsi="Book Antiqua" w:eastAsia="Book Antiqua" w:cs="Book Antiqua"/>
        </w:rPr>
        <w:t>. Overall, the balance between Tregs with other T cells plays a vital in liver diseases, including the initiation and progression of HCC (Figure 1).</w:t>
      </w:r>
    </w:p>
    <w:p>
      <w:pPr>
        <w:spacing w:line="360" w:lineRule="auto"/>
        <w:ind w:firstLine="240" w:firstLineChars="100"/>
        <w:jc w:val="both"/>
        <w:rPr>
          <w:rFonts w:ascii="Book Antiqua" w:hAnsi="Book Antiqua"/>
          <w:lang w:eastAsia="zh-CN"/>
        </w:rPr>
      </w:pPr>
      <w:r>
        <w:rPr>
          <w:rFonts w:ascii="Book Antiqua" w:hAnsi="Book Antiqua" w:eastAsia="Book Antiqua" w:cs="Book Antiqua"/>
        </w:rPr>
        <w:t>Furthermore, alteration of intrahepatic immunity is associated with HCC prognosis and treatment (Figure 2). An increase of Tregs, Th2, and Th17 T cells, as well as M2 macrophages, is usually and positively associated with HCC progression in patients, whereas an abundance of CD8 T cells, Th1 T cells, and M1 macrophages is associated with HCC therapy and good prognosis for HCC patients</w:t>
      </w:r>
      <w:r>
        <w:rPr>
          <w:rFonts w:ascii="Book Antiqua" w:hAnsi="Book Antiqua" w:eastAsia="Book Antiqua" w:cs="Book Antiqua"/>
          <w:vertAlign w:val="superscript"/>
        </w:rPr>
        <w:t>[45]</w:t>
      </w:r>
      <w:r>
        <w:rPr>
          <w:rFonts w:ascii="Book Antiqua" w:hAnsi="Book Antiqua" w:eastAsia="Book Antiqua" w:cs="Book Antiqua"/>
        </w:rPr>
        <w:t>. Single-cell RNA sequencing technologies have been applied to investigate the immune landscape of HCC samples to illustrate the subtypes of immune cells in HCC and their gene expressing profiles, as well as immune cell interactions, such as DCs with Tregs or CD8 T cells</w:t>
      </w:r>
      <w:r>
        <w:rPr>
          <w:rFonts w:ascii="Book Antiqua" w:hAnsi="Book Antiqua" w:eastAsia="Book Antiqua" w:cs="Book Antiqua"/>
          <w:vertAlign w:val="superscript"/>
        </w:rPr>
        <w:t>[46]</w:t>
      </w:r>
      <w:r>
        <w:rPr>
          <w:rFonts w:ascii="Book Antiqua" w:hAnsi="Book Antiqua" w:eastAsia="Book Antiqua" w:cs="Book Antiqua"/>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u w:val="single"/>
          <w:lang w:val="en" w:eastAsia="en"/>
        </w:rPr>
        <w:t>IMPORTANT MOLECULES MEDIATED TREG FUNCTION AND METABOLISM</w:t>
      </w:r>
    </w:p>
    <w:p>
      <w:pPr>
        <w:spacing w:line="360" w:lineRule="auto"/>
        <w:jc w:val="both"/>
        <w:rPr>
          <w:rFonts w:ascii="Book Antiqua" w:hAnsi="Book Antiqua"/>
        </w:rPr>
      </w:pPr>
      <w:r>
        <w:rPr>
          <w:rFonts w:ascii="Book Antiqua" w:hAnsi="Book Antiqua" w:eastAsia="Book Antiqua" w:cs="Book Antiqua"/>
          <w:b/>
          <w:bCs/>
          <w:i/>
          <w:iCs/>
        </w:rPr>
        <w:t>HIF-1α</w:t>
      </w:r>
    </w:p>
    <w:p>
      <w:pPr>
        <w:spacing w:line="360" w:lineRule="auto"/>
        <w:jc w:val="both"/>
        <w:rPr>
          <w:rFonts w:ascii="Book Antiqua" w:hAnsi="Book Antiqua" w:eastAsia="Book Antiqua" w:cs="Book Antiqua"/>
        </w:rPr>
      </w:pPr>
      <w:r>
        <w:rPr>
          <w:rFonts w:ascii="Book Antiqua" w:hAnsi="Book Antiqua" w:eastAsia="Book Antiqua" w:cs="Book Antiqua"/>
        </w:rPr>
        <w:t>Hypoxia-inducible transcription factors (HIFs) regulate cell metabolism, proliferation, and migration in low oxygen or hypoxic environment, as well as angiogenesis</w:t>
      </w:r>
      <w:r>
        <w:rPr>
          <w:rFonts w:ascii="Book Antiqua" w:hAnsi="Book Antiqua" w:eastAsia="Book Antiqua" w:cs="Book Antiqua"/>
          <w:vertAlign w:val="superscript"/>
        </w:rPr>
        <w:t>[47]</w:t>
      </w:r>
      <w:r>
        <w:rPr>
          <w:rFonts w:ascii="Book Antiqua" w:hAnsi="Book Antiqua" w:eastAsia="Book Antiqua" w:cs="Book Antiqua"/>
        </w:rPr>
        <w:t xml:space="preserve">. It has been reported that the expression of </w:t>
      </w:r>
      <w:bookmarkStart w:id="1" w:name="_Hlk101274012"/>
      <w:r>
        <w:rPr>
          <w:rFonts w:ascii="Book Antiqua" w:hAnsi="Book Antiqua" w:eastAsia="Book Antiqua" w:cs="Book Antiqua"/>
        </w:rPr>
        <w:t>HIF-1 alpha</w:t>
      </w:r>
      <w:bookmarkEnd w:id="1"/>
      <w:r>
        <w:rPr>
          <w:rFonts w:ascii="Book Antiqua" w:hAnsi="Book Antiqua" w:eastAsia="Book Antiqua" w:cs="Book Antiqua"/>
        </w:rPr>
        <w:t xml:space="preserve"> (</w:t>
      </w:r>
      <w:bookmarkStart w:id="2" w:name="_Hlk101273989"/>
      <w:r>
        <w:rPr>
          <w:rFonts w:ascii="Book Antiqua" w:hAnsi="Book Antiqua" w:eastAsia="Book Antiqua" w:cs="Book Antiqua"/>
        </w:rPr>
        <w:t>HIF-1α</w:t>
      </w:r>
      <w:bookmarkEnd w:id="2"/>
      <w:r>
        <w:rPr>
          <w:rFonts w:ascii="Book Antiqua" w:hAnsi="Book Antiqua" w:eastAsia="Book Antiqua" w:cs="Book Antiqua"/>
        </w:rPr>
        <w:t>) was higher in HCC tissues compared to that in corresponding adjacent tissues. In addition, overexpression of HIF-1α was associated with poor outcomes of HCC in human patients</w:t>
      </w:r>
      <w:r>
        <w:rPr>
          <w:rFonts w:ascii="Book Antiqua" w:hAnsi="Book Antiqua" w:eastAsia="Book Antiqua" w:cs="Book Antiqua"/>
          <w:vertAlign w:val="superscript"/>
        </w:rPr>
        <w:t>[48]</w:t>
      </w:r>
      <w:r>
        <w:rPr>
          <w:rFonts w:ascii="Book Antiqua" w:hAnsi="Book Antiqua" w:eastAsia="Book Antiqua" w:cs="Book Antiqua"/>
        </w:rPr>
        <w:t xml:space="preserve">. Chronic intermittent hypoxia can promote NASH progression </w:t>
      </w:r>
      <w:r>
        <w:rPr>
          <w:rFonts w:ascii="Book Antiqua" w:hAnsi="Book Antiqua" w:eastAsia="Book Antiqua" w:cs="Book Antiqua"/>
          <w:i/>
          <w:iCs/>
        </w:rPr>
        <w:t>via</w:t>
      </w:r>
      <w:r>
        <w:rPr>
          <w:rFonts w:ascii="Book Antiqua" w:hAnsi="Book Antiqua" w:eastAsia="Book Antiqua" w:cs="Book Antiqua"/>
        </w:rPr>
        <w:t xml:space="preserve"> regulating the balance of Th17/Treg by inducing the expression of HIF-1α</w:t>
      </w:r>
      <w:r>
        <w:rPr>
          <w:rFonts w:ascii="Book Antiqua" w:hAnsi="Book Antiqua" w:eastAsia="Book Antiqua" w:cs="Book Antiqua"/>
          <w:vertAlign w:val="superscript"/>
        </w:rPr>
        <w:t>[49]</w:t>
      </w:r>
      <w:r>
        <w:rPr>
          <w:rFonts w:ascii="Book Antiqua" w:hAnsi="Book Antiqua" w:eastAsia="Book Antiqua" w:cs="Book Antiqua"/>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rPr>
        <w:t>Gal-9</w:t>
      </w:r>
    </w:p>
    <w:p>
      <w:pPr>
        <w:spacing w:line="360" w:lineRule="auto"/>
        <w:jc w:val="both"/>
        <w:rPr>
          <w:rFonts w:ascii="Book Antiqua" w:hAnsi="Book Antiqua" w:eastAsia="Book Antiqua" w:cs="Book Antiqua"/>
        </w:rPr>
      </w:pPr>
      <w:r>
        <w:rPr>
          <w:rFonts w:ascii="Book Antiqua" w:hAnsi="Book Antiqua" w:eastAsia="Book Antiqua" w:cs="Book Antiqua"/>
        </w:rPr>
        <w:t>Tregs can be subclassified into inflamed-tissue related memory Tregs (mTregs) and non-related resting Treg (rTregs). During HBV infection, mTregs were increased accompanying liver inflammation and liver injury evidenced by an increase of serum ALT level, but not rTregs</w:t>
      </w:r>
      <w:r>
        <w:rPr>
          <w:rFonts w:ascii="Book Antiqua" w:hAnsi="Book Antiqua" w:eastAsia="Book Antiqua" w:cs="Book Antiqua"/>
          <w:vertAlign w:val="superscript"/>
        </w:rPr>
        <w:t>[50]</w:t>
      </w:r>
      <w:r>
        <w:rPr>
          <w:rFonts w:ascii="Book Antiqua" w:hAnsi="Book Antiqua" w:eastAsia="Book Antiqua" w:cs="Book Antiqua"/>
        </w:rPr>
        <w:t>. The S-type lectin galectin-9 (Gal-9) was increased in the HBV-infected liver, contributing to T cell depletion and exhaustion by binding Tim-3</w:t>
      </w:r>
      <w:r>
        <w:rPr>
          <w:rFonts w:ascii="Book Antiqua" w:hAnsi="Book Antiqua" w:eastAsia="Book Antiqua" w:cs="Book Antiqua"/>
          <w:vertAlign w:val="superscript"/>
        </w:rPr>
        <w:t>[51]</w:t>
      </w:r>
      <w:r>
        <w:rPr>
          <w:rFonts w:ascii="Book Antiqua" w:hAnsi="Book Antiqua" w:eastAsia="Book Antiqua" w:cs="Book Antiqua"/>
        </w:rPr>
        <w:t>. For example, activation of Gal-9/Tim-3 signaling in concanavalin A-induced mouse hepatitis suppressed the induction of effector T (Teff) cells and the production of IFN-γ</w:t>
      </w:r>
      <w:r>
        <w:rPr>
          <w:rFonts w:ascii="Book Antiqua" w:hAnsi="Book Antiqua" w:eastAsia="Book Antiqua" w:cs="Book Antiqua"/>
          <w:vertAlign w:val="superscript"/>
        </w:rPr>
        <w:t>[52]</w:t>
      </w:r>
      <w:r>
        <w:rPr>
          <w:rFonts w:ascii="Book Antiqua" w:hAnsi="Book Antiqua" w:eastAsia="Book Antiqua" w:cs="Book Antiqua"/>
        </w:rPr>
        <w:t>. In addition, the Gal-9/Tim-3 signaling pathway plays an important role in the expansion of mTregs</w:t>
      </w:r>
      <w:r>
        <w:rPr>
          <w:rFonts w:ascii="Book Antiqua" w:hAnsi="Book Antiqua" w:eastAsia="Book Antiqua" w:cs="Book Antiqua"/>
          <w:vertAlign w:val="superscript"/>
        </w:rPr>
        <w:t>[50]</w:t>
      </w:r>
      <w:r>
        <w:rPr>
          <w:rFonts w:ascii="Book Antiqua" w:hAnsi="Book Antiqua" w:eastAsia="Book Antiqua" w:cs="Book Antiqua"/>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rPr>
        <w:t>GDF15</w:t>
      </w:r>
    </w:p>
    <w:p>
      <w:pPr>
        <w:spacing w:line="360" w:lineRule="auto"/>
        <w:jc w:val="both"/>
        <w:rPr>
          <w:rFonts w:ascii="Book Antiqua" w:hAnsi="Book Antiqua" w:eastAsia="Book Antiqua" w:cs="Book Antiqua"/>
        </w:rPr>
      </w:pPr>
      <w:r>
        <w:rPr>
          <w:rFonts w:ascii="Book Antiqua" w:hAnsi="Book Antiqua" w:eastAsia="Book Antiqua" w:cs="Book Antiqua"/>
        </w:rPr>
        <w:t xml:space="preserve">The expression of growth differentiation factor 15 (GDF15) was positively related to the frequency of Tregs in HCC. GDF15 can promote the suppressive effect of natural Tregs </w:t>
      </w:r>
      <w:r>
        <w:rPr>
          <w:rFonts w:ascii="Book Antiqua" w:hAnsi="Book Antiqua" w:eastAsia="Book Antiqua" w:cs="Book Antiqua"/>
          <w:i/>
          <w:iCs/>
        </w:rPr>
        <w:t>via</w:t>
      </w:r>
      <w:r>
        <w:rPr>
          <w:rFonts w:ascii="Book Antiqua" w:hAnsi="Book Antiqua" w:eastAsia="Book Antiqua" w:cs="Book Antiqua"/>
        </w:rPr>
        <w:t xml:space="preserve"> binding with its unrecognized receptor CD48 on T cells to inhibit the function of homology and U-box containing protein 1, which can degrade FOXP3</w:t>
      </w:r>
      <w:r>
        <w:rPr>
          <w:rFonts w:ascii="Book Antiqua" w:hAnsi="Book Antiqua" w:eastAsia="Book Antiqua" w:cs="Book Antiqua"/>
          <w:vertAlign w:val="superscript"/>
        </w:rPr>
        <w:t>[53]</w:t>
      </w:r>
      <w:r>
        <w:rPr>
          <w:rFonts w:ascii="Book Antiqua" w:hAnsi="Book Antiqua" w:eastAsia="Book Antiqua" w:cs="Book Antiqua"/>
        </w:rPr>
        <w:t>. Thus, neutralizing GDF15 by an antibody can eradicate HCC and enhance anti-tumor immunity.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rPr>
        <w:t>microRNAs</w:t>
      </w:r>
    </w:p>
    <w:p>
      <w:pPr>
        <w:spacing w:line="360" w:lineRule="auto"/>
        <w:jc w:val="both"/>
        <w:rPr>
          <w:rFonts w:ascii="Book Antiqua" w:hAnsi="Book Antiqua" w:eastAsia="Book Antiqua" w:cs="Book Antiqua"/>
        </w:rPr>
      </w:pPr>
      <w:r>
        <w:rPr>
          <w:rFonts w:ascii="Book Antiqua" w:hAnsi="Book Antiqua" w:eastAsia="Book Antiqua" w:cs="Book Antiqua"/>
        </w:rPr>
        <w:t>Hepatic expression of microRNA-195 (miR-195) was reduced in NAFLD development, accompanying an increased ratio of Th17/Treg ratio in the blood, as well as the expression IL-17, CD40, and TNF-α in rat liver</w:t>
      </w:r>
      <w:r>
        <w:rPr>
          <w:rFonts w:ascii="Book Antiqua" w:hAnsi="Book Antiqua" w:eastAsia="Book Antiqua" w:cs="Book Antiqua"/>
          <w:vertAlign w:val="superscript"/>
        </w:rPr>
        <w:t>[54]</w:t>
      </w:r>
      <w:r>
        <w:rPr>
          <w:rFonts w:ascii="Book Antiqua" w:hAnsi="Book Antiqua" w:eastAsia="Book Antiqua" w:cs="Book Antiqua"/>
        </w:rPr>
        <w:t xml:space="preserve">. Overexpression of miR-195 can maintain the balance of Th17/Treg to ameliorate NAFLD and liver inflammation. Many miRNAs can regulate Th17/Treg cell balance in NAFLD such as miR-29c </w:t>
      </w:r>
      <w:r>
        <w:rPr>
          <w:rFonts w:ascii="Book Antiqua" w:hAnsi="Book Antiqua" w:eastAsia="Book Antiqua" w:cs="Book Antiqua"/>
          <w:i/>
          <w:iCs/>
        </w:rPr>
        <w:t>via</w:t>
      </w:r>
      <w:r>
        <w:rPr>
          <w:rFonts w:ascii="Book Antiqua" w:hAnsi="Book Antiqua" w:eastAsia="Book Antiqua" w:cs="Book Antiqua"/>
        </w:rPr>
        <w:t xml:space="preserve"> interacting with insulin-like growth factor binding protein 1/IGFBP1)</w:t>
      </w:r>
      <w:r>
        <w:rPr>
          <w:rFonts w:ascii="Book Antiqua" w:hAnsi="Book Antiqua" w:eastAsia="Book Antiqua" w:cs="Book Antiqua"/>
          <w:vertAlign w:val="superscript"/>
        </w:rPr>
        <w:t>[55]</w:t>
      </w:r>
      <w:r>
        <w:rPr>
          <w:rFonts w:ascii="Book Antiqua" w:hAnsi="Book Antiqua" w:eastAsia="Book Antiqua" w:cs="Book Antiqua"/>
        </w:rPr>
        <w:t>. In addition, other microRNAs such as miR-155</w:t>
      </w:r>
      <w:r>
        <w:rPr>
          <w:rFonts w:ascii="Book Antiqua" w:hAnsi="Book Antiqua" w:eastAsia="Book Antiqua" w:cs="Book Antiqua"/>
          <w:vertAlign w:val="superscript"/>
        </w:rPr>
        <w:t>[56,57]</w:t>
      </w:r>
      <w:r>
        <w:rPr>
          <w:rFonts w:ascii="Book Antiqua" w:hAnsi="Book Antiqua" w:eastAsia="Book Antiqua" w:cs="Book Antiqua"/>
        </w:rPr>
        <w:t>, miR-423-5p</w:t>
      </w:r>
      <w:r>
        <w:rPr>
          <w:rFonts w:ascii="Book Antiqua" w:hAnsi="Book Antiqua" w:eastAsia="Book Antiqua" w:cs="Book Antiqua"/>
          <w:vertAlign w:val="superscript"/>
        </w:rPr>
        <w:t>[58]</w:t>
      </w:r>
      <w:r>
        <w:rPr>
          <w:rFonts w:ascii="Book Antiqua" w:hAnsi="Book Antiqua" w:eastAsia="Book Antiqua" w:cs="Book Antiqua"/>
        </w:rPr>
        <w:t>, and miR-1246</w:t>
      </w:r>
      <w:r>
        <w:rPr>
          <w:rFonts w:ascii="Book Antiqua" w:hAnsi="Book Antiqua" w:eastAsia="Book Antiqua" w:cs="Book Antiqua"/>
          <w:vertAlign w:val="superscript"/>
        </w:rPr>
        <w:t>[59]</w:t>
      </w:r>
      <w:r>
        <w:rPr>
          <w:rFonts w:ascii="Book Antiqua" w:hAnsi="Book Antiqua" w:eastAsia="Book Antiqua" w:cs="Book Antiqua"/>
        </w:rPr>
        <w:t xml:space="preserve"> play important roles in modulating the balance of Tregs with Th17 cells and their functions in liver disease.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rPr>
        <w:t>TLRs</w:t>
      </w:r>
    </w:p>
    <w:p>
      <w:pPr>
        <w:spacing w:line="360" w:lineRule="auto"/>
        <w:jc w:val="both"/>
        <w:rPr>
          <w:rFonts w:ascii="Book Antiqua" w:hAnsi="Book Antiqua" w:cs="Book Antiqua"/>
          <w:lang w:eastAsia="zh-CN"/>
        </w:rPr>
      </w:pPr>
      <w:r>
        <w:rPr>
          <w:rFonts w:ascii="Book Antiqua" w:hAnsi="Book Antiqua" w:eastAsia="Book Antiqua" w:cs="Book Antiqua"/>
        </w:rPr>
        <w:t>Activation of TLR signaling pathway can suppress the effect of Tregs on adaptive immune response, which is in part dependent on microbial production-induced expression of IL-6</w:t>
      </w:r>
      <w:r>
        <w:rPr>
          <w:rFonts w:ascii="Book Antiqua" w:hAnsi="Book Antiqua" w:eastAsia="Book Antiqua" w:cs="Book Antiqua"/>
          <w:vertAlign w:val="superscript"/>
        </w:rPr>
        <w:t>[60]</w:t>
      </w:r>
      <w:r>
        <w:rPr>
          <w:rFonts w:ascii="Book Antiqua" w:hAnsi="Book Antiqua" w:eastAsia="Book Antiqua" w:cs="Book Antiqua"/>
        </w:rPr>
        <w:t>. TLR9-deficiency increased the frequency of Treg cells in the intestine, resulting in a decrease of IL-17 and IFN-γ producing Teff cells</w:t>
      </w:r>
      <w:r>
        <w:rPr>
          <w:rFonts w:ascii="Book Antiqua" w:hAnsi="Book Antiqua" w:eastAsia="Book Antiqua" w:cs="Book Antiqua"/>
          <w:vertAlign w:val="superscript"/>
        </w:rPr>
        <w:t>[61]</w:t>
      </w:r>
      <w:r>
        <w:rPr>
          <w:rFonts w:ascii="Book Antiqua" w:hAnsi="Book Antiqua" w:eastAsia="Book Antiqua" w:cs="Book Antiqua"/>
        </w:rPr>
        <w:t xml:space="preserve">. The imbalance of Treg/Teff cells compromised immune response to oral infection, which can be reversed by reconstitution of gut flora </w:t>
      </w:r>
      <w:r>
        <w:rPr>
          <w:rFonts w:ascii="Book Antiqua" w:hAnsi="Book Antiqua" w:cs="Garamond"/>
        </w:rPr>
        <w:t>deoxyribonucleic acid</w:t>
      </w:r>
      <w:r>
        <w:rPr>
          <w:rFonts w:ascii="Book Antiqua" w:hAnsi="Book Antiqua" w:eastAsia="Book Antiqua" w:cs="Book Antiqua"/>
        </w:rPr>
        <w:t xml:space="preserve"> (DNA)</w:t>
      </w:r>
      <w:r>
        <w:rPr>
          <w:rFonts w:ascii="Book Antiqua" w:hAnsi="Book Antiqua" w:eastAsia="Book Antiqua" w:cs="Book Antiqua"/>
          <w:vertAlign w:val="superscript"/>
        </w:rPr>
        <w:t>[61]</w:t>
      </w:r>
      <w:r>
        <w:rPr>
          <w:rFonts w:ascii="Book Antiqua" w:hAnsi="Book Antiqua" w:eastAsia="Book Antiqua" w:cs="Book Antiqua"/>
        </w:rPr>
        <w:t>. In addition, the antibiotic treatment caused gut microbiota dysbiosis and recapitulated TLR9 deficiency-induced impaired immune response.</w:t>
      </w:r>
    </w:p>
    <w:p>
      <w:pPr>
        <w:spacing w:line="360" w:lineRule="auto"/>
        <w:jc w:val="both"/>
        <w:rPr>
          <w:rFonts w:ascii="Book Antiqua" w:hAnsi="Book Antiqua" w:cs="Book Antiqua"/>
          <w:lang w:eastAsia="zh-CN"/>
        </w:rPr>
      </w:pPr>
    </w:p>
    <w:p>
      <w:pPr>
        <w:spacing w:line="360" w:lineRule="auto"/>
        <w:jc w:val="both"/>
        <w:rPr>
          <w:rFonts w:ascii="Book Antiqua" w:hAnsi="Book Antiqua"/>
          <w:b/>
          <w:bCs/>
          <w:i/>
          <w:iCs/>
        </w:rPr>
      </w:pPr>
      <w:r>
        <w:rPr>
          <w:rFonts w:ascii="Book Antiqua" w:hAnsi="Book Antiqua" w:eastAsia="Book Antiqua" w:cs="Book Antiqua"/>
          <w:b/>
          <w:bCs/>
          <w:i/>
          <w:iCs/>
        </w:rPr>
        <w:t>Yes-associated protein (YAP)</w:t>
      </w:r>
    </w:p>
    <w:p>
      <w:pPr>
        <w:spacing w:line="360" w:lineRule="auto"/>
        <w:jc w:val="both"/>
        <w:rPr>
          <w:rFonts w:ascii="Book Antiqua" w:hAnsi="Book Antiqua"/>
          <w:lang w:eastAsia="zh-CN"/>
        </w:rPr>
      </w:pPr>
      <w:r>
        <w:rPr>
          <w:rFonts w:ascii="Book Antiqua" w:hAnsi="Book Antiqua" w:eastAsia="Book Antiqua" w:cs="Book Antiqua"/>
        </w:rPr>
        <w:t xml:space="preserve">Yes-associated protein (YAP), a coactivator and a corepressor of the Hippo signaling pathway, plays a vital role in Tregs </w:t>
      </w:r>
      <w:bookmarkStart w:id="3" w:name="_Hlk101274224"/>
      <w:r>
        <w:rPr>
          <w:rFonts w:ascii="Book Antiqua" w:hAnsi="Book Antiqua" w:eastAsia="Book Antiqua" w:cs="Book Antiqua"/>
          <w:i/>
          <w:iCs/>
        </w:rPr>
        <w:t>in vivo</w:t>
      </w:r>
      <w:r>
        <w:rPr>
          <w:rFonts w:ascii="Book Antiqua" w:hAnsi="Book Antiqua" w:eastAsia="Book Antiqua" w:cs="Book Antiqua"/>
        </w:rPr>
        <w:t xml:space="preserve"> and </w:t>
      </w:r>
      <w:r>
        <w:rPr>
          <w:rFonts w:ascii="Book Antiqua" w:hAnsi="Book Antiqua" w:eastAsia="Book Antiqua" w:cs="Book Antiqua"/>
          <w:i/>
          <w:iCs/>
        </w:rPr>
        <w:t>in vitro</w:t>
      </w:r>
      <w:bookmarkEnd w:id="3"/>
      <w:r>
        <w:rPr>
          <w:rFonts w:ascii="Book Antiqua" w:hAnsi="Book Antiqua" w:eastAsia="Book Antiqua" w:cs="Book Antiqua"/>
          <w:vertAlign w:val="superscript"/>
        </w:rPr>
        <w:t>[62]</w:t>
      </w:r>
      <w:r>
        <w:rPr>
          <w:rFonts w:ascii="Book Antiqua" w:hAnsi="Book Antiqua" w:eastAsia="Book Antiqua" w:cs="Book Antiqua"/>
        </w:rPr>
        <w:t xml:space="preserve">. Blocking YAP-mediated activation of activin can improve anti-tumor immunity </w:t>
      </w:r>
      <w:r>
        <w:rPr>
          <w:rFonts w:ascii="Book Antiqua" w:hAnsi="Book Antiqua" w:eastAsia="Book Antiqua" w:cs="Book Antiqua"/>
          <w:i/>
          <w:iCs/>
        </w:rPr>
        <w:t>via</w:t>
      </w:r>
      <w:r>
        <w:rPr>
          <w:rFonts w:ascii="Book Antiqua" w:hAnsi="Book Antiqua" w:eastAsia="Book Antiqua" w:cs="Book Antiqua"/>
        </w:rPr>
        <w:t xml:space="preserve"> regulating TGF-β/mothers against decapentaplegic homolog (SMAD)</w:t>
      </w:r>
      <w:r>
        <w:rPr>
          <w:rFonts w:ascii="Book Antiqua" w:hAnsi="Book Antiqua" w:eastAsia="Book Antiqua" w:cs="Book Antiqua"/>
          <w:vertAlign w:val="superscript"/>
        </w:rPr>
        <w:t>[62]</w:t>
      </w:r>
      <w:r>
        <w:rPr>
          <w:rFonts w:ascii="Book Antiqua" w:hAnsi="Book Antiqua" w:eastAsia="Book Antiqua" w:cs="Book Antiqua"/>
        </w:rPr>
        <w:t>. Similarly, blockage of TGF-β signaling can compromise Treg function to improve anti-tumor immune response</w:t>
      </w:r>
      <w:r>
        <w:rPr>
          <w:rFonts w:ascii="Book Antiqua" w:hAnsi="Book Antiqua" w:eastAsia="Book Antiqua" w:cs="Book Antiqua"/>
          <w:vertAlign w:val="superscript"/>
        </w:rPr>
        <w:t>[63]</w:t>
      </w:r>
      <w:r>
        <w:rPr>
          <w:rFonts w:ascii="Book Antiqua" w:hAnsi="Book Antiqua" w:eastAsia="Book Antiqua" w:cs="Book Antiqua"/>
        </w:rPr>
        <w:t xml:space="preserve">, which may expand the population of quiescent Tregs, </w:t>
      </w:r>
      <w:r>
        <w:rPr>
          <w:rFonts w:ascii="Book Antiqua" w:hAnsi="Book Antiqua" w:eastAsia="Book Antiqua" w:cs="Book Antiqua"/>
          <w:shd w:val="clear" w:color="auto" w:fill="FFFFFF"/>
        </w:rPr>
        <w:t>CD4</w:t>
      </w:r>
      <w:r>
        <w:rPr>
          <w:rFonts w:ascii="Book Antiqua" w:hAnsi="Book Antiqua" w:eastAsia="Book Antiqua" w:cs="Book Antiqua"/>
          <w:shd w:val="clear" w:color="auto" w:fill="FFFFFF"/>
          <w:vertAlign w:val="superscript"/>
        </w:rPr>
        <w:t>+</w:t>
      </w:r>
      <w:r>
        <w:rPr>
          <w:rFonts w:ascii="Book Antiqua" w:hAnsi="Book Antiqua" w:eastAsia="Book Antiqua" w:cs="Book Antiqua"/>
          <w:shd w:val="clear" w:color="auto" w:fill="FFFFFF"/>
        </w:rPr>
        <w:t>CD25</w:t>
      </w:r>
      <w:r>
        <w:rPr>
          <w:rFonts w:ascii="Book Antiqua" w:hAnsi="Book Antiqua" w:eastAsia="Book Antiqua" w:cs="Book Antiqua"/>
          <w:shd w:val="clear" w:color="auto" w:fill="FFFFFF"/>
          <w:vertAlign w:val="superscript"/>
        </w:rPr>
        <w:t>-</w:t>
      </w:r>
      <w:r>
        <w:rPr>
          <w:rFonts w:ascii="Book Antiqua" w:hAnsi="Book Antiqua" w:eastAsia="Book Antiqua" w:cs="Book Antiqua"/>
          <w:shd w:val="clear" w:color="auto" w:fill="FFFFFF"/>
        </w:rPr>
        <w:t>Foxp3</w:t>
      </w:r>
      <w:r>
        <w:rPr>
          <w:rFonts w:ascii="Book Antiqua" w:hAnsi="Book Antiqua" w:eastAsia="Book Antiqua" w:cs="Book Antiqua"/>
          <w:shd w:val="clear" w:color="auto" w:fill="FFFFFF"/>
          <w:vertAlign w:val="superscript"/>
        </w:rPr>
        <w:t>+</w:t>
      </w:r>
      <w:r>
        <w:rPr>
          <w:rFonts w:ascii="Book Antiqua" w:hAnsi="Book Antiqua" w:eastAsia="Book Antiqua" w:cs="Book Antiqua"/>
        </w:rPr>
        <w:t>.</w:t>
      </w:r>
    </w:p>
    <w:p>
      <w:pPr>
        <w:spacing w:line="360" w:lineRule="auto"/>
        <w:ind w:firstLine="240" w:firstLineChars="100"/>
        <w:jc w:val="both"/>
        <w:rPr>
          <w:rFonts w:ascii="Book Antiqua" w:hAnsi="Book Antiqua"/>
          <w:lang w:eastAsia="zh-CN"/>
        </w:rPr>
      </w:pPr>
      <w:r>
        <w:rPr>
          <w:rFonts w:ascii="Book Antiqua" w:hAnsi="Book Antiqua" w:eastAsia="Book Antiqua" w:cs="Book Antiqua"/>
        </w:rPr>
        <w:t>The above-mentioned molecules can modulate Treg metabolism and function as potential molecular targets for HCC treatment. In addition, modulation of these molecules can potentially recover the balance of Tregs with other tumor-infiltrating immune cells to activate anti-tumor immunity (Figure 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u w:val="single"/>
        </w:rPr>
        <w:t>TREATMENT OPTIONS</w:t>
      </w:r>
    </w:p>
    <w:p>
      <w:pPr>
        <w:spacing w:line="360" w:lineRule="auto"/>
        <w:jc w:val="both"/>
        <w:rPr>
          <w:rFonts w:ascii="Book Antiqua" w:hAnsi="Book Antiqua"/>
        </w:rPr>
      </w:pPr>
      <w:r>
        <w:rPr>
          <w:rFonts w:ascii="Book Antiqua" w:hAnsi="Book Antiqua" w:eastAsia="Book Antiqua" w:cs="Book Antiqua"/>
          <w:b/>
          <w:bCs/>
          <w:i/>
          <w:iCs/>
        </w:rPr>
        <w:t>Modulation of microRNAs</w:t>
      </w:r>
    </w:p>
    <w:p>
      <w:pPr>
        <w:spacing w:line="360" w:lineRule="auto"/>
        <w:jc w:val="both"/>
        <w:rPr>
          <w:rFonts w:ascii="Book Antiqua" w:hAnsi="Book Antiqua" w:eastAsia="Book Antiqua" w:cs="Book Antiqua"/>
        </w:rPr>
      </w:pPr>
      <w:r>
        <w:rPr>
          <w:rFonts w:ascii="Book Antiqua" w:hAnsi="Book Antiqua" w:eastAsia="Book Antiqua" w:cs="Book Antiqua"/>
        </w:rPr>
        <w:t>Administration of miR-26a can reduce the frequency of Tregs and the concentrations of alpha-fetoprotein, des-gamma carboxyprothrombin, and VEGF in Balb/c mice with diethylnitrosamine-induced HCC</w:t>
      </w:r>
      <w:r>
        <w:rPr>
          <w:rFonts w:ascii="Book Antiqua" w:hAnsi="Book Antiqua" w:eastAsia="Book Antiqua" w:cs="Book Antiqua"/>
          <w:vertAlign w:val="superscript"/>
        </w:rPr>
        <w:t>[64]</w:t>
      </w:r>
      <w:r>
        <w:rPr>
          <w:rFonts w:ascii="Book Antiqua" w:hAnsi="Book Antiqua" w:eastAsia="Book Antiqua" w:cs="Book Antiqua"/>
        </w:rPr>
        <w:t>. The suppressive effects of miR-26a on HCC growth and angiogenesis are mediated by targeting IL-6/signal transducer and activator of transcription 3 (Stat3) signaling</w:t>
      </w:r>
      <w:r>
        <w:rPr>
          <w:rFonts w:ascii="Book Antiqua" w:hAnsi="Book Antiqua" w:eastAsia="Book Antiqua" w:cs="Book Antiqua"/>
          <w:vertAlign w:val="superscript"/>
        </w:rPr>
        <w:t>[65]</w:t>
      </w:r>
      <w:r>
        <w:rPr>
          <w:rFonts w:ascii="Book Antiqua" w:hAnsi="Book Antiqua" w:eastAsia="Book Antiqua" w:cs="Book Antiqua"/>
        </w:rPr>
        <w:t xml:space="preserve"> and HGF/HGF receptor (HGFR/c-Met) signaling</w:t>
      </w:r>
      <w:r>
        <w:rPr>
          <w:rFonts w:ascii="Book Antiqua" w:hAnsi="Book Antiqua" w:eastAsia="Book Antiqua" w:cs="Book Antiqua"/>
          <w:vertAlign w:val="superscript"/>
        </w:rPr>
        <w:t>[66]</w:t>
      </w:r>
      <w:r>
        <w:rPr>
          <w:rFonts w:ascii="Book Antiqua" w:hAnsi="Book Antiqua" w:eastAsia="Book Antiqua" w:cs="Book Antiqua"/>
        </w:rPr>
        <w:t>, respectively. In addition, miR-26a inversely regulated the expression of F-box protein 11 (FBXO11), which was upregulated and played an oncogenic role in HCC</w:t>
      </w:r>
      <w:r>
        <w:rPr>
          <w:rFonts w:ascii="Book Antiqua" w:hAnsi="Book Antiqua" w:eastAsia="Book Antiqua" w:cs="Book Antiqua"/>
          <w:vertAlign w:val="superscript"/>
        </w:rPr>
        <w:t>[67]</w:t>
      </w:r>
      <w:r>
        <w:rPr>
          <w:rFonts w:ascii="Book Antiqua" w:hAnsi="Book Antiqua" w:eastAsia="Book Antiqua" w:cs="Book Antiqua"/>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rPr>
        <w:t>Adoptive transfer of cells</w:t>
      </w:r>
    </w:p>
    <w:p>
      <w:pPr>
        <w:spacing w:line="360" w:lineRule="auto"/>
        <w:jc w:val="both"/>
        <w:rPr>
          <w:rFonts w:ascii="Book Antiqua" w:hAnsi="Book Antiqua" w:cs="Book Antiqua"/>
          <w:lang w:eastAsia="zh-CN"/>
        </w:rPr>
      </w:pPr>
      <w:r>
        <w:rPr>
          <w:rFonts w:ascii="Book Antiqua" w:hAnsi="Book Antiqua" w:eastAsia="Book Antiqua" w:cs="Book Antiqua"/>
        </w:rPr>
        <w:t>Adoptive transfer of Tregs attenuated triptolide-induced liver injury, while depletion of Tregs showed the opposite effect, indicating that Tregs contribute to the progression of liver injury</w:t>
      </w:r>
      <w:r>
        <w:rPr>
          <w:rFonts w:ascii="Book Antiqua" w:hAnsi="Book Antiqua" w:eastAsia="Book Antiqua" w:cs="Book Antiqua"/>
          <w:vertAlign w:val="superscript"/>
        </w:rPr>
        <w:t>[68]</w:t>
      </w:r>
      <w:r>
        <w:rPr>
          <w:rFonts w:ascii="Book Antiqua" w:hAnsi="Book Antiqua" w:eastAsia="Book Antiqua" w:cs="Book Antiqua"/>
        </w:rPr>
        <w:t>. Another study showed that adoptive transfer of hepatic stellate cell (HSC)-stimulated Tregs can significantly decrease liver injury in mice with autoimmune hepatitis by inducing the balance of Treg/Th17 ratio</w:t>
      </w:r>
      <w:r>
        <w:rPr>
          <w:rFonts w:ascii="Book Antiqua" w:hAnsi="Book Antiqua" w:eastAsia="Book Antiqua" w:cs="Book Antiqua"/>
          <w:vertAlign w:val="superscript"/>
        </w:rPr>
        <w:t>[69]</w:t>
      </w:r>
      <w:r>
        <w:rPr>
          <w:rFonts w:ascii="Book Antiqua" w:hAnsi="Book Antiqua" w:eastAsia="Book Antiqua" w:cs="Book Antiqua"/>
        </w:rPr>
        <w:t>. In addition, the adoptive transfer of HSCs promoted the differentiation of Tregs and decreased Th17 cells, resulting in amelioration of liver injury</w:t>
      </w:r>
      <w:r>
        <w:rPr>
          <w:rFonts w:ascii="Book Antiqua" w:hAnsi="Book Antiqua" w:eastAsia="Book Antiqua" w:cs="Book Antiqua"/>
          <w:vertAlign w:val="superscript"/>
        </w:rPr>
        <w:t>[70]</w:t>
      </w:r>
      <w:r>
        <w:rPr>
          <w:rFonts w:ascii="Book Antiqua" w:hAnsi="Book Antiqua" w:eastAsia="Book Antiqua" w:cs="Book Antiqua"/>
        </w:rPr>
        <w:t xml:space="preserve">. Deng </w:t>
      </w:r>
      <w:r>
        <w:rPr>
          <w:rFonts w:ascii="Book Antiqua" w:hAnsi="Book Antiqua" w:eastAsia="Book Antiqua" w:cs="Book Antiqua"/>
          <w:i/>
          <w:iCs/>
        </w:rPr>
        <w:t>et al</w:t>
      </w:r>
      <w:r>
        <w:rPr>
          <w:rFonts w:ascii="Book Antiqua" w:hAnsi="Book Antiqua" w:eastAsia="Book Antiqua" w:cs="Book Antiqua"/>
          <w:vertAlign w:val="superscript"/>
        </w:rPr>
        <w:t>[30]</w:t>
      </w:r>
      <w:r>
        <w:rPr>
          <w:rFonts w:ascii="Book Antiqua" w:hAnsi="Book Antiqua" w:eastAsia="Book Antiqua" w:cs="Book Antiqua"/>
        </w:rPr>
        <w:t xml:space="preserve"> reported that co-infusion with hAMSCs and Tregs can prevent mild liver fibrosis. Tregs play a critical role in the secretion of HGF and cell differentiation of hAMSCs.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rPr>
        <w:t>Modulation of gut microbiota</w:t>
      </w:r>
    </w:p>
    <w:p>
      <w:pPr>
        <w:spacing w:line="360" w:lineRule="auto"/>
        <w:jc w:val="both"/>
        <w:rPr>
          <w:rFonts w:ascii="Book Antiqua" w:hAnsi="Book Antiqua" w:eastAsia="Book Antiqua" w:cs="Book Antiqua"/>
        </w:rPr>
      </w:pPr>
      <w:r>
        <w:rPr>
          <w:rFonts w:ascii="Book Antiqua" w:hAnsi="Book Antiqua" w:eastAsia="Book Antiqua" w:cs="Book Antiqua"/>
        </w:rPr>
        <w:t xml:space="preserve">Depletion of Tregs in the intestine caused an increase in the abundance of </w:t>
      </w:r>
      <w:r>
        <w:rPr>
          <w:rFonts w:ascii="Book Antiqua" w:hAnsi="Book Antiqua" w:eastAsia="Book Antiqua" w:cs="Book Antiqua"/>
          <w:i/>
          <w:iCs/>
        </w:rPr>
        <w:t>Firmicutes</w:t>
      </w:r>
      <w:r>
        <w:rPr>
          <w:rFonts w:ascii="Book Antiqua" w:hAnsi="Book Antiqua" w:eastAsia="Book Antiqua" w:cs="Book Antiqua"/>
        </w:rPr>
        <w:t xml:space="preserve"> and intestinal inflammation</w:t>
      </w:r>
      <w:r>
        <w:rPr>
          <w:rFonts w:ascii="Book Antiqua" w:hAnsi="Book Antiqua" w:eastAsia="Book Antiqua" w:cs="Book Antiqua"/>
          <w:vertAlign w:val="superscript"/>
        </w:rPr>
        <w:t>[71]</w:t>
      </w:r>
      <w:r>
        <w:rPr>
          <w:rFonts w:ascii="Book Antiqua" w:hAnsi="Book Antiqua" w:eastAsia="Book Antiqua" w:cs="Book Antiqua"/>
        </w:rPr>
        <w:t xml:space="preserve">. Supplementation of </w:t>
      </w:r>
      <w:r>
        <w:rPr>
          <w:rFonts w:ascii="Book Antiqua" w:hAnsi="Book Antiqua" w:eastAsia="Book Antiqua" w:cs="Book Antiqua"/>
          <w:i/>
          <w:iCs/>
        </w:rPr>
        <w:t>Lactobacillus rhamnosus</w:t>
      </w:r>
      <w:r>
        <w:rPr>
          <w:rFonts w:ascii="Book Antiqua" w:hAnsi="Book Antiqua" w:eastAsia="Book Antiqua" w:cs="Book Antiqua"/>
        </w:rPr>
        <w:t xml:space="preserve"> GG or its culture supernatant can ameliorate chronic alcohol-induced liver injury by reducing TNF-α expression </w:t>
      </w:r>
      <w:r>
        <w:rPr>
          <w:rFonts w:ascii="Book Antiqua" w:hAnsi="Book Antiqua" w:eastAsia="Book Antiqua" w:cs="Book Antiqua"/>
          <w:i/>
          <w:iCs/>
        </w:rPr>
        <w:t>via</w:t>
      </w:r>
      <w:r>
        <w:rPr>
          <w:rFonts w:ascii="Book Antiqua" w:hAnsi="Book Antiqua" w:eastAsia="Book Antiqua" w:cs="Book Antiqua"/>
        </w:rPr>
        <w:t xml:space="preserve"> inhibition of TLR4- and TLR5-mediated hepatic inflammation</w:t>
      </w:r>
      <w:r>
        <w:rPr>
          <w:rFonts w:ascii="Book Antiqua" w:hAnsi="Book Antiqua" w:eastAsia="Book Antiqua" w:cs="Book Antiqua"/>
          <w:vertAlign w:val="superscript"/>
        </w:rPr>
        <w:t>[72]</w:t>
      </w:r>
      <w:r>
        <w:rPr>
          <w:rFonts w:ascii="Book Antiqua" w:hAnsi="Book Antiqua" w:eastAsia="Book Antiqua" w:cs="Book Antiqua"/>
        </w:rPr>
        <w:t>, as well as amelioration of intestinal barrier integrity and suppression of alcohol-induced endotoxemia</w:t>
      </w:r>
      <w:r>
        <w:rPr>
          <w:rFonts w:ascii="Book Antiqua" w:hAnsi="Book Antiqua" w:eastAsia="Book Antiqua" w:cs="Book Antiqua"/>
          <w:vertAlign w:val="superscript"/>
        </w:rPr>
        <w:t>[73]</w:t>
      </w:r>
      <w:r>
        <w:rPr>
          <w:rFonts w:ascii="Book Antiqua" w:hAnsi="Book Antiqua" w:eastAsia="Book Antiqua" w:cs="Book Antiqua"/>
        </w:rPr>
        <w:t>. In addition, the culture supernatant can balance the ratio of Treg and Th17 cells to reduce alcoholic-induced liver injury</w:t>
      </w:r>
      <w:r>
        <w:rPr>
          <w:rFonts w:ascii="Book Antiqua" w:hAnsi="Book Antiqua" w:eastAsia="Book Antiqua" w:cs="Book Antiqua"/>
          <w:vertAlign w:val="superscript"/>
        </w:rPr>
        <w:t>[22]</w:t>
      </w:r>
      <w:r>
        <w:rPr>
          <w:rFonts w:ascii="Book Antiqua" w:hAnsi="Book Antiqua" w:eastAsia="Book Antiqua" w:cs="Book Antiqua"/>
        </w:rPr>
        <w:t>.</w:t>
      </w:r>
    </w:p>
    <w:p>
      <w:pPr>
        <w:spacing w:line="360" w:lineRule="auto"/>
        <w:ind w:firstLine="240" w:firstLineChars="100"/>
        <w:jc w:val="both"/>
        <w:rPr>
          <w:rFonts w:ascii="Book Antiqua" w:hAnsi="Book Antiqua" w:eastAsia="Book Antiqua" w:cs="Book Antiqua"/>
        </w:rPr>
      </w:pPr>
      <w:r>
        <w:rPr>
          <w:rFonts w:ascii="Book Antiqua" w:hAnsi="Book Antiqua" w:eastAsia="Book Antiqua" w:cs="Book Antiqua"/>
        </w:rPr>
        <w:t xml:space="preserve">Treatment with Prohep, a novel probiotic mixture, significantly inhibited the HCC growth compared to the control group, resulting in an abundance of beneficial bacteria, such as </w:t>
      </w:r>
      <w:r>
        <w:rPr>
          <w:rFonts w:ascii="Book Antiqua" w:hAnsi="Book Antiqua" w:eastAsia="Book Antiqua" w:cs="Book Antiqua"/>
          <w:i/>
          <w:iCs/>
        </w:rPr>
        <w:t xml:space="preserve">Prevotella </w:t>
      </w:r>
      <w:r>
        <w:rPr>
          <w:rFonts w:ascii="Book Antiqua" w:hAnsi="Book Antiqua" w:eastAsia="Book Antiqua" w:cs="Book Antiqua"/>
        </w:rPr>
        <w:t xml:space="preserve">and </w:t>
      </w:r>
      <w:r>
        <w:rPr>
          <w:rFonts w:ascii="Book Antiqua" w:hAnsi="Book Antiqua" w:eastAsia="Book Antiqua" w:cs="Book Antiqua"/>
          <w:i/>
          <w:iCs/>
        </w:rPr>
        <w:t>Oscillibacter</w:t>
      </w:r>
      <w:r>
        <w:rPr>
          <w:rFonts w:ascii="Book Antiqua" w:hAnsi="Book Antiqua" w:eastAsia="Book Antiqua" w:cs="Book Antiqua"/>
          <w:vertAlign w:val="superscript"/>
        </w:rPr>
        <w:t>[74]</w:t>
      </w:r>
      <w:r>
        <w:rPr>
          <w:rFonts w:ascii="Book Antiqua" w:hAnsi="Book Antiqua" w:eastAsia="Book Antiqua" w:cs="Book Antiqua"/>
        </w:rPr>
        <w:t>. This study also showed that probiotic treatment regulated T-cell differentiation in the gut by reducing Th17 polarization and increasing the differentiation of anti-inflammatory Treg cells.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rPr>
        <w:t>Blockade of immune checkpoints</w:t>
      </w:r>
    </w:p>
    <w:p>
      <w:pPr>
        <w:spacing w:line="360" w:lineRule="auto"/>
        <w:jc w:val="both"/>
        <w:rPr>
          <w:rFonts w:ascii="Book Antiqua" w:hAnsi="Book Antiqua"/>
        </w:rPr>
      </w:pPr>
      <w:r>
        <w:rPr>
          <w:rFonts w:ascii="Book Antiqua" w:hAnsi="Book Antiqua" w:eastAsia="Book Antiqua" w:cs="Book Antiqua"/>
        </w:rPr>
        <w:t>Dual anti-PD-1/VEGF receptor-2 therapy increased CD8 T cell infiltration and activation, reduced Tregs and infiltration of CCR2</w:t>
      </w:r>
      <w:r>
        <w:rPr>
          <w:rFonts w:ascii="Book Antiqua" w:hAnsi="Book Antiqua" w:eastAsia="Book Antiqua" w:cs="Book Antiqua"/>
          <w:vertAlign w:val="superscript"/>
        </w:rPr>
        <w:t>+</w:t>
      </w:r>
      <w:r>
        <w:rPr>
          <w:rFonts w:ascii="Book Antiqua" w:hAnsi="Book Antiqua" w:eastAsia="Book Antiqua" w:cs="Book Antiqua"/>
        </w:rPr>
        <w:t>monocytes, as well as the phenotype of tumor-associated macrophages (the M1/M2 ratio) in HCC tissue</w:t>
      </w:r>
      <w:r>
        <w:rPr>
          <w:rFonts w:ascii="Book Antiqua" w:hAnsi="Book Antiqua" w:eastAsia="Book Antiqua" w:cs="Book Antiqua"/>
          <w:vertAlign w:val="superscript"/>
        </w:rPr>
        <w:t>[75]</w:t>
      </w:r>
      <w:r>
        <w:rPr>
          <w:rFonts w:ascii="Book Antiqua" w:hAnsi="Book Antiqua" w:eastAsia="Book Antiqua" w:cs="Book Antiqua"/>
        </w:rPr>
        <w:t>. Another study also showed that Treg-mediated inhibition of IFN-γ production and cytotoxicity of CD8 T cells can be partially reduced by anti-PD-1 and anti-PD-L1 antibodies in HCC</w:t>
      </w:r>
      <w:r>
        <w:rPr>
          <w:rFonts w:ascii="Book Antiqua" w:hAnsi="Book Antiqua" w:eastAsia="Book Antiqua" w:cs="Book Antiqua"/>
          <w:vertAlign w:val="superscript"/>
        </w:rPr>
        <w:t>[76]</w:t>
      </w:r>
      <w:r>
        <w:rPr>
          <w:rFonts w:ascii="Book Antiqua" w:hAnsi="Book Antiqua" w:eastAsia="Book Antiqua" w:cs="Book Antiqua"/>
        </w:rPr>
        <w:t>.</w:t>
      </w:r>
    </w:p>
    <w:p>
      <w:pPr>
        <w:spacing w:line="360" w:lineRule="auto"/>
        <w:ind w:firstLine="240" w:firstLineChars="100"/>
        <w:jc w:val="both"/>
        <w:rPr>
          <w:rFonts w:ascii="Book Antiqua" w:hAnsi="Book Antiqua" w:eastAsia="Book Antiqua" w:cs="Book Antiqua"/>
        </w:rPr>
      </w:pPr>
      <w:r>
        <w:rPr>
          <w:rFonts w:ascii="Book Antiqua" w:hAnsi="Book Antiqua" w:eastAsia="Book Antiqua" w:cs="Book Antiqua"/>
        </w:rPr>
        <w:t>Treg depletion-mediated by anti-CTLA-4 monoclonal antibody (clone 9H10) restored the function of tumor antigen-specific CD8 T cells, with a synergetic effect with anti-PD-1 treatment</w:t>
      </w:r>
      <w:r>
        <w:rPr>
          <w:rFonts w:ascii="Book Antiqua" w:hAnsi="Book Antiqua" w:eastAsia="Book Antiqua" w:cs="Book Antiqua"/>
          <w:vertAlign w:val="superscript"/>
        </w:rPr>
        <w:t>[77]</w:t>
      </w:r>
      <w:r>
        <w:rPr>
          <w:rFonts w:ascii="Book Antiqua" w:hAnsi="Book Antiqua" w:eastAsia="Book Antiqua" w:cs="Book Antiqua"/>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rPr>
        <w:t>Other treatments</w:t>
      </w:r>
    </w:p>
    <w:p>
      <w:pPr>
        <w:spacing w:line="360" w:lineRule="auto"/>
        <w:jc w:val="both"/>
        <w:rPr>
          <w:rFonts w:ascii="Book Antiqua" w:hAnsi="Book Antiqua"/>
          <w:lang w:eastAsia="zh-CN"/>
        </w:rPr>
      </w:pPr>
      <w:r>
        <w:rPr>
          <w:rFonts w:ascii="Book Antiqua" w:hAnsi="Book Antiqua" w:eastAsia="Book Antiqua" w:cs="Book Antiqua"/>
        </w:rPr>
        <w:t>CCR4 expression in Tregs accompanied with an increased expression IL-10 and IL-35, resulting in suppression of CD8 T cells and HCC progression. Administration of a CCR4 antagonist or N-CCR4-Fc, a neutralizing pseudo-receptor that can block Tregs accumulation in HCC, can enhance therapeutic efficacy to PD-1 blockade and sorafenib</w:t>
      </w:r>
      <w:r>
        <w:rPr>
          <w:rFonts w:ascii="Book Antiqua" w:hAnsi="Book Antiqua" w:eastAsia="Book Antiqua" w:cs="Book Antiqua"/>
          <w:vertAlign w:val="superscript"/>
        </w:rPr>
        <w:t>[37]</w:t>
      </w:r>
      <w:r>
        <w:rPr>
          <w:rFonts w:ascii="Book Antiqua" w:hAnsi="Book Antiqua" w:eastAsia="Book Antiqua" w:cs="Book Antiqua"/>
        </w:rPr>
        <w:t>. Treg depletion induced by anti-CCR4 antibody (mogamulizumab), in combination with anti-PD-1 antibody (nivolumab) showed antitumor activity and increased CD8+ T cell infiltration</w:t>
      </w:r>
      <w:r>
        <w:rPr>
          <w:rFonts w:ascii="Book Antiqua" w:hAnsi="Book Antiqua" w:eastAsia="Book Antiqua" w:cs="Book Antiqua"/>
          <w:vertAlign w:val="superscript"/>
        </w:rPr>
        <w:t>[78]</w:t>
      </w:r>
      <w:r>
        <w:rPr>
          <w:rFonts w:ascii="Book Antiqua" w:hAnsi="Book Antiqua" w:eastAsia="Book Antiqua" w:cs="Book Antiqua"/>
        </w:rPr>
        <w:t>.</w:t>
      </w:r>
    </w:p>
    <w:p>
      <w:pPr>
        <w:spacing w:line="360" w:lineRule="auto"/>
        <w:ind w:firstLine="240" w:firstLineChars="100"/>
        <w:jc w:val="both"/>
        <w:rPr>
          <w:rFonts w:ascii="Book Antiqua" w:hAnsi="Book Antiqua"/>
          <w:lang w:eastAsia="zh-CN"/>
        </w:rPr>
      </w:pPr>
      <w:r>
        <w:rPr>
          <w:rFonts w:ascii="Book Antiqua" w:hAnsi="Book Antiqua" w:eastAsia="Book Antiqua" w:cs="Book Antiqua"/>
        </w:rPr>
        <w:t xml:space="preserve">Treatment with resveratrol, a natural phenol, can inhibit H22 (a mouse HCC cell line)-induced orthotopic HCC tumor growth </w:t>
      </w:r>
      <w:r>
        <w:rPr>
          <w:rFonts w:ascii="Book Antiqua" w:hAnsi="Book Antiqua" w:eastAsia="Book Antiqua" w:cs="Book Antiqua"/>
          <w:i/>
          <w:iCs/>
        </w:rPr>
        <w:t>via</w:t>
      </w:r>
      <w:r>
        <w:rPr>
          <w:rFonts w:ascii="Book Antiqua" w:hAnsi="Book Antiqua" w:eastAsia="Book Antiqua" w:cs="Book Antiqua"/>
        </w:rPr>
        <w:t xml:space="preserve"> decreasing the frequency of CD8</w:t>
      </w:r>
      <w:r>
        <w:rPr>
          <w:rFonts w:ascii="Book Antiqua" w:hAnsi="Book Antiqua" w:eastAsia="Book Antiqua" w:cs="Book Antiqua"/>
          <w:vertAlign w:val="superscript"/>
        </w:rPr>
        <w:t>+</w:t>
      </w:r>
      <w:r>
        <w:rPr>
          <w:rFonts w:ascii="Book Antiqua" w:hAnsi="Book Antiqua" w:eastAsia="Book Antiqua" w:cs="Book Antiqua"/>
        </w:rPr>
        <w:t>CD122</w:t>
      </w:r>
      <w:r>
        <w:rPr>
          <w:rFonts w:ascii="Book Antiqua" w:hAnsi="Book Antiqua" w:eastAsia="Book Antiqua" w:cs="Book Antiqua"/>
          <w:vertAlign w:val="superscript"/>
        </w:rPr>
        <w:t>+</w:t>
      </w:r>
      <w:r>
        <w:rPr>
          <w:rFonts w:ascii="Book Antiqua" w:hAnsi="Book Antiqua" w:eastAsia="Book Antiqua" w:cs="Book Antiqua"/>
        </w:rPr>
        <w:t>Tregs and M2-like macrophages in mice</w:t>
      </w:r>
      <w:r>
        <w:rPr>
          <w:rFonts w:ascii="Book Antiqua" w:hAnsi="Book Antiqua" w:eastAsia="Book Antiqua" w:cs="Book Antiqua"/>
          <w:vertAlign w:val="superscript"/>
        </w:rPr>
        <w:t>[79]</w:t>
      </w:r>
      <w:r>
        <w:rPr>
          <w:rFonts w:ascii="Book Antiqua" w:hAnsi="Book Antiqua" w:eastAsia="Book Antiqua" w:cs="Book Antiqua"/>
        </w:rPr>
        <w:t>.</w:t>
      </w:r>
    </w:p>
    <w:p>
      <w:pPr>
        <w:spacing w:line="360" w:lineRule="auto"/>
        <w:ind w:firstLine="240" w:firstLineChars="100"/>
        <w:jc w:val="both"/>
        <w:rPr>
          <w:rFonts w:ascii="Book Antiqua" w:hAnsi="Book Antiqua"/>
        </w:rPr>
      </w:pPr>
      <w:r>
        <w:rPr>
          <w:rFonts w:ascii="Book Antiqua" w:hAnsi="Book Antiqua" w:eastAsia="Book Antiqua" w:cs="Book Antiqua"/>
        </w:rPr>
        <w:t xml:space="preserve">Ren </w:t>
      </w:r>
      <w:r>
        <w:rPr>
          <w:rFonts w:ascii="Book Antiqua" w:hAnsi="Book Antiqua" w:eastAsia="Book Antiqua" w:cs="Book Antiqua"/>
          <w:i/>
          <w:iCs/>
        </w:rPr>
        <w:t>et al</w:t>
      </w:r>
      <w:r>
        <w:rPr>
          <w:rFonts w:ascii="Book Antiqua" w:hAnsi="Book Antiqua" w:eastAsia="Book Antiqua" w:cs="Book Antiqua"/>
          <w:vertAlign w:val="superscript"/>
        </w:rPr>
        <w:t>[80]</w:t>
      </w:r>
      <w:r>
        <w:rPr>
          <w:rFonts w:ascii="Book Antiqua" w:hAnsi="Book Antiqua" w:eastAsia="Book Antiqua" w:cs="Book Antiqua"/>
        </w:rPr>
        <w:t xml:space="preserve"> reported that Tregs were further increased in HCC patients compared to healthy and cirrhosis controls, as well as in HCC patients with Barcelona clinic liver cancer (BCLC) stage C compared to that in HCC patients with BCLC stage B. The authors also showed that treatment with microparticles-transarterial chemoembolization dramatically decreased Treg cell proportion at 1-2 wk post-treatment. Overall, the treatment options for HCC associated with Treg regulation were summarized in Table 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u w:val="single"/>
        </w:rPr>
        <w:t>CLINICAL TRIALS</w:t>
      </w:r>
    </w:p>
    <w:p>
      <w:pPr>
        <w:spacing w:line="360" w:lineRule="auto"/>
        <w:jc w:val="both"/>
        <w:rPr>
          <w:rFonts w:ascii="Book Antiqua" w:hAnsi="Book Antiqua"/>
        </w:rPr>
      </w:pPr>
      <w:r>
        <w:rPr>
          <w:rFonts w:ascii="Book Antiqua" w:hAnsi="Book Antiqua" w:eastAsia="Book Antiqua" w:cs="Book Antiqua"/>
        </w:rPr>
        <w:t>Tregs display multiple roles in the development and progression of HCC. The ratio of Treg/Th17 cells in peripheral blood can be applied to monitor immune tolerance as immune markers in liver transplantation</w:t>
      </w:r>
      <w:r>
        <w:rPr>
          <w:rFonts w:ascii="Book Antiqua" w:hAnsi="Book Antiqua" w:eastAsia="Book Antiqua" w:cs="Book Antiqua"/>
          <w:vertAlign w:val="superscript"/>
        </w:rPr>
        <w:t>[81]</w:t>
      </w:r>
      <w:r>
        <w:rPr>
          <w:rFonts w:ascii="Book Antiqua" w:hAnsi="Book Antiqua" w:eastAsia="Book Antiqua" w:cs="Book Antiqua"/>
        </w:rPr>
        <w:t>. The balance of Treg/Th17 cells or other effector T cells is essential for suppressing autoimmune diseases and cancers</w:t>
      </w:r>
      <w:r>
        <w:rPr>
          <w:rFonts w:ascii="Book Antiqua" w:hAnsi="Book Antiqua" w:eastAsia="Book Antiqua" w:cs="Book Antiqua"/>
          <w:vertAlign w:val="superscript"/>
        </w:rPr>
        <w:t>[82]</w:t>
      </w:r>
      <w:r>
        <w:rPr>
          <w:rFonts w:ascii="Book Antiqua" w:hAnsi="Book Antiqua" w:eastAsia="Book Antiqua" w:cs="Book Antiqua"/>
        </w:rPr>
        <w:t>. Therefore, treatments including diverse immunomodulatory therapies can regulate Tregs to enhance the antitumor immune response. In Table 2, potential therapies in clinical trials were summarized. Treatments including infusion of Tregs</w:t>
      </w:r>
      <w:r>
        <w:rPr>
          <w:rFonts w:ascii="Book Antiqua" w:hAnsi="Book Antiqua" w:eastAsia="Book Antiqua" w:cs="Book Antiqua"/>
          <w:vertAlign w:val="superscript"/>
        </w:rPr>
        <w:t>[83-85]</w:t>
      </w:r>
      <w:r>
        <w:rPr>
          <w:rFonts w:ascii="Book Antiqua" w:hAnsi="Book Antiqua" w:eastAsia="Book Antiqua" w:cs="Book Antiqua"/>
        </w:rPr>
        <w:t xml:space="preserve"> and mesenchymal stromal cells (MSCs)</w:t>
      </w:r>
      <w:r>
        <w:rPr>
          <w:rFonts w:ascii="Book Antiqua" w:hAnsi="Book Antiqua" w:eastAsia="Book Antiqua" w:cs="Book Antiqua"/>
          <w:vertAlign w:val="superscript"/>
        </w:rPr>
        <w:t>[86]</w:t>
      </w:r>
      <w:r>
        <w:rPr>
          <w:rFonts w:ascii="Book Antiqua" w:hAnsi="Book Antiqua" w:eastAsia="Book Antiqua" w:cs="Book Antiqua"/>
        </w:rPr>
        <w:t>, vaccines</w:t>
      </w:r>
      <w:r>
        <w:rPr>
          <w:rFonts w:ascii="Book Antiqua" w:hAnsi="Book Antiqua" w:eastAsia="Book Antiqua" w:cs="Book Antiqua"/>
          <w:vertAlign w:val="superscript"/>
        </w:rPr>
        <w:t>[87-89]</w:t>
      </w:r>
      <w:r>
        <w:rPr>
          <w:rFonts w:ascii="Book Antiqua" w:hAnsi="Book Antiqua" w:eastAsia="Book Antiqua" w:cs="Book Antiqua"/>
        </w:rPr>
        <w:t>, and kinase inhibitors</w:t>
      </w:r>
      <w:r>
        <w:rPr>
          <w:rFonts w:ascii="Book Antiqua" w:hAnsi="Book Antiqua" w:eastAsia="Book Antiqua" w:cs="Book Antiqua"/>
          <w:vertAlign w:val="superscript"/>
        </w:rPr>
        <w:t>[90]</w:t>
      </w:r>
      <w:r>
        <w:rPr>
          <w:rFonts w:ascii="Book Antiqua" w:hAnsi="Book Antiqua" w:eastAsia="Book Antiqua" w:cs="Book Antiqua"/>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u w:val="single"/>
        </w:rPr>
        <w:t>CONCLUSION</w:t>
      </w:r>
    </w:p>
    <w:p>
      <w:pPr>
        <w:spacing w:line="360" w:lineRule="auto"/>
        <w:jc w:val="both"/>
        <w:rPr>
          <w:rFonts w:ascii="Book Antiqua" w:hAnsi="Book Antiqua"/>
          <w:lang w:eastAsia="zh-CN"/>
        </w:rPr>
      </w:pPr>
      <w:r>
        <w:rPr>
          <w:rFonts w:ascii="Book Antiqua" w:hAnsi="Book Antiqua" w:eastAsia="Book Antiqua" w:cs="Book Antiqua"/>
        </w:rPr>
        <w:t>Tregs modulate the intestinal and intrahepatic immune response, contributing critically important roles in the gut-liver axis. Functional changes of Tregs are involved in the pathogenesis of chronic liver diseases, such as ALD and NAFLD, causing factors for HCC. Several important molecules investigated in recent studies are summarized and targeting them may potentially treat HCC by modulating Treg function and/or frequency. Clinical trials are undergoing to further explore the new treatments for HCC, which modulate the function of the frequency of Tregs. In the future, multi-omic analysis including metabolic and proteomic data for Treg metabolism and function during the progression of HCC is critical to illustrate the underlying mechanisms of Tregs in HCC pathogenesis and find out new therapeutic targets.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Sung H</w:t>
      </w:r>
      <w:r>
        <w:rPr>
          <w:rFonts w:ascii="Book Antiqua" w:hAnsi="Book Antiqua"/>
        </w:rPr>
        <w:t xml:space="preserve">, Ferlay J, Siegel RL, Laversanne M, Soerjomataram I, Jemal A, Bray F. Global Cancer Statistics 2020: GLOBOCAN Estimates of Incidence and Mortality Worldwide for 36 Cancers in 185 Countries. </w:t>
      </w:r>
      <w:r>
        <w:rPr>
          <w:rFonts w:ascii="Book Antiqua" w:hAnsi="Book Antiqua"/>
          <w:i/>
          <w:iCs/>
        </w:rPr>
        <w:t>CA Cancer J Clin</w:t>
      </w:r>
      <w:r>
        <w:rPr>
          <w:rFonts w:ascii="Book Antiqua" w:hAnsi="Book Antiqua"/>
        </w:rPr>
        <w:t xml:space="preserve"> 2021; </w:t>
      </w:r>
      <w:r>
        <w:rPr>
          <w:rFonts w:ascii="Book Antiqua" w:hAnsi="Book Antiqua"/>
          <w:b/>
          <w:bCs/>
        </w:rPr>
        <w:t>71</w:t>
      </w:r>
      <w:r>
        <w:rPr>
          <w:rFonts w:ascii="Book Antiqua" w:hAnsi="Book Antiqua"/>
        </w:rPr>
        <w:t>: 209-249 [PMID: 33538338 DOI: 10.3322/caac.21660]</w:t>
      </w:r>
    </w:p>
    <w:p>
      <w:pPr>
        <w:spacing w:line="360" w:lineRule="auto"/>
        <w:jc w:val="both"/>
        <w:rPr>
          <w:rFonts w:ascii="Book Antiqua" w:hAnsi="Book Antiqua"/>
        </w:rPr>
      </w:pPr>
      <w:r>
        <w:rPr>
          <w:rFonts w:ascii="Book Antiqua" w:hAnsi="Book Antiqua"/>
        </w:rPr>
        <w:t xml:space="preserve">2 </w:t>
      </w:r>
      <w:r>
        <w:rPr>
          <w:rFonts w:ascii="Book Antiqua" w:hAnsi="Book Antiqua"/>
          <w:b/>
          <w:bCs/>
        </w:rPr>
        <w:t>Zhang C</w:t>
      </w:r>
      <w:r>
        <w:rPr>
          <w:rFonts w:ascii="Book Antiqua" w:hAnsi="Book Antiqua"/>
        </w:rPr>
        <w:t xml:space="preserve">, Yang M. The Emerging Factors and Treatment Options for NAFLD-Related Hepatocellular Carcinoma. </w:t>
      </w:r>
      <w:r>
        <w:rPr>
          <w:rFonts w:ascii="Book Antiqua" w:hAnsi="Book Antiqua"/>
          <w:i/>
          <w:iCs/>
        </w:rPr>
        <w:t>Cancers (Basel)</w:t>
      </w:r>
      <w:r>
        <w:rPr>
          <w:rFonts w:ascii="Book Antiqua" w:hAnsi="Book Antiqua"/>
        </w:rPr>
        <w:t xml:space="preserve"> 2021; </w:t>
      </w:r>
      <w:r>
        <w:rPr>
          <w:rFonts w:ascii="Book Antiqua" w:hAnsi="Book Antiqua"/>
          <w:b/>
          <w:bCs/>
        </w:rPr>
        <w:t>13</w:t>
      </w:r>
      <w:r>
        <w:rPr>
          <w:rFonts w:ascii="Book Antiqua" w:hAnsi="Book Antiqua"/>
        </w:rPr>
        <w:t xml:space="preserve"> [PMID: 34359642 DOI: 10.3390/cancers13153740]</w:t>
      </w:r>
    </w:p>
    <w:p>
      <w:pPr>
        <w:spacing w:line="360" w:lineRule="auto"/>
        <w:jc w:val="both"/>
        <w:rPr>
          <w:rFonts w:ascii="Book Antiqua" w:hAnsi="Book Antiqua"/>
        </w:rPr>
      </w:pPr>
      <w:r>
        <w:rPr>
          <w:rFonts w:ascii="Book Antiqua" w:hAnsi="Book Antiqua"/>
        </w:rPr>
        <w:t xml:space="preserve">3 </w:t>
      </w:r>
      <w:r>
        <w:rPr>
          <w:rFonts w:ascii="Book Antiqua" w:hAnsi="Book Antiqua"/>
          <w:b/>
          <w:bCs/>
        </w:rPr>
        <w:t>Qi X</w:t>
      </w:r>
      <w:r>
        <w:rPr>
          <w:rFonts w:ascii="Book Antiqua" w:hAnsi="Book Antiqua"/>
        </w:rPr>
        <w:t xml:space="preserve">, Yang M, Stenberg J, Dey R, Fogwe L, Alam MS, Kimchi ET, Staveley-O'Carroll KF, Li G. Gut microbiota mediated molecular events and therapy in liver diseases. </w:t>
      </w:r>
      <w:r>
        <w:rPr>
          <w:rFonts w:ascii="Book Antiqua" w:hAnsi="Book Antiqua"/>
          <w:i/>
          <w:iCs/>
        </w:rPr>
        <w:t>World J Gastroenterol</w:t>
      </w:r>
      <w:r>
        <w:rPr>
          <w:rFonts w:ascii="Book Antiqua" w:hAnsi="Book Antiqua"/>
        </w:rPr>
        <w:t xml:space="preserve"> 2020; </w:t>
      </w:r>
      <w:r>
        <w:rPr>
          <w:rFonts w:ascii="Book Antiqua" w:hAnsi="Book Antiqua"/>
          <w:b/>
          <w:bCs/>
        </w:rPr>
        <w:t>26</w:t>
      </w:r>
      <w:r>
        <w:rPr>
          <w:rFonts w:ascii="Book Antiqua" w:hAnsi="Book Antiqua"/>
        </w:rPr>
        <w:t>: 7603-7618 [PMID: 33505139 DOI: 10.3748/wjg.v26.i48.7603]</w:t>
      </w:r>
    </w:p>
    <w:p>
      <w:pPr>
        <w:spacing w:line="360" w:lineRule="auto"/>
        <w:jc w:val="both"/>
        <w:rPr>
          <w:rFonts w:ascii="Book Antiqua" w:hAnsi="Book Antiqua"/>
        </w:rPr>
      </w:pPr>
      <w:r>
        <w:rPr>
          <w:rFonts w:ascii="Book Antiqua" w:hAnsi="Book Antiqua"/>
        </w:rPr>
        <w:t xml:space="preserve">4 </w:t>
      </w:r>
      <w:r>
        <w:rPr>
          <w:rFonts w:ascii="Book Antiqua" w:hAnsi="Book Antiqua"/>
          <w:b/>
          <w:bCs/>
        </w:rPr>
        <w:t>De Battista D</w:t>
      </w:r>
      <w:r>
        <w:rPr>
          <w:rFonts w:ascii="Book Antiqua" w:hAnsi="Book Antiqua"/>
        </w:rPr>
        <w:t xml:space="preserve">, Zamboni F, Gerstein H, Sato S, Markowitz TE, Lack J, Engle RE, Farci P. Molecular Signature and Immune Landscape of HCV-Associated Hepatocellular Carcinoma (HCC): Differences and Similarities with HBV-HCC. </w:t>
      </w:r>
      <w:r>
        <w:rPr>
          <w:rFonts w:ascii="Book Antiqua" w:hAnsi="Book Antiqua"/>
          <w:i/>
          <w:iCs/>
        </w:rPr>
        <w:t>J Hepatocell Carcinoma</w:t>
      </w:r>
      <w:r>
        <w:rPr>
          <w:rFonts w:ascii="Book Antiqua" w:hAnsi="Book Antiqua"/>
        </w:rPr>
        <w:t xml:space="preserve"> 2021; </w:t>
      </w:r>
      <w:r>
        <w:rPr>
          <w:rFonts w:ascii="Book Antiqua" w:hAnsi="Book Antiqua"/>
          <w:b/>
          <w:bCs/>
        </w:rPr>
        <w:t>8</w:t>
      </w:r>
      <w:r>
        <w:rPr>
          <w:rFonts w:ascii="Book Antiqua" w:hAnsi="Book Antiqua"/>
        </w:rPr>
        <w:t>: 1399-1413 [PMID: 34849372 DOI: 10.2147/JHC.S325959]</w:t>
      </w:r>
    </w:p>
    <w:p>
      <w:pPr>
        <w:spacing w:line="360" w:lineRule="auto"/>
        <w:jc w:val="both"/>
        <w:rPr>
          <w:rFonts w:ascii="Book Antiqua" w:hAnsi="Book Antiqua"/>
        </w:rPr>
      </w:pPr>
      <w:r>
        <w:rPr>
          <w:rFonts w:ascii="Book Antiqua" w:hAnsi="Book Antiqua"/>
        </w:rPr>
        <w:t xml:space="preserve">5 </w:t>
      </w:r>
      <w:r>
        <w:rPr>
          <w:rFonts w:ascii="Book Antiqua" w:hAnsi="Book Antiqua"/>
          <w:b/>
          <w:bCs/>
        </w:rPr>
        <w:t>Zhu Q</w:t>
      </w:r>
      <w:r>
        <w:rPr>
          <w:rFonts w:ascii="Book Antiqua" w:hAnsi="Book Antiqua"/>
        </w:rPr>
        <w:t xml:space="preserve">, Ma Y, Liang J, Wei Z, Li M, Zhang Y, Liu M, He H, Qu C, Cai J, Wang X, Zeng Y, Jiao Y. AHR mediates the aflatoxin B1 toxicity associated with hepatocellular carcinoma. </w:t>
      </w:r>
      <w:r>
        <w:rPr>
          <w:rFonts w:ascii="Book Antiqua" w:hAnsi="Book Antiqua"/>
          <w:i/>
          <w:iCs/>
        </w:rPr>
        <w:t>Signal Transduct Target Ther</w:t>
      </w:r>
      <w:r>
        <w:rPr>
          <w:rFonts w:ascii="Book Antiqua" w:hAnsi="Book Antiqua"/>
        </w:rPr>
        <w:t xml:space="preserve"> 2021; </w:t>
      </w:r>
      <w:r>
        <w:rPr>
          <w:rFonts w:ascii="Book Antiqua" w:hAnsi="Book Antiqua"/>
          <w:b/>
          <w:bCs/>
        </w:rPr>
        <w:t>6</w:t>
      </w:r>
      <w:r>
        <w:rPr>
          <w:rFonts w:ascii="Book Antiqua" w:hAnsi="Book Antiqua"/>
        </w:rPr>
        <w:t>: 299 [PMID: 34373448 DOI: 10.1038/s41392-021-00713-1]</w:t>
      </w:r>
    </w:p>
    <w:p>
      <w:pPr>
        <w:spacing w:line="360" w:lineRule="auto"/>
        <w:jc w:val="both"/>
        <w:rPr>
          <w:rFonts w:ascii="Book Antiqua" w:hAnsi="Book Antiqua"/>
        </w:rPr>
      </w:pPr>
      <w:r>
        <w:rPr>
          <w:rFonts w:ascii="Book Antiqua" w:hAnsi="Book Antiqua"/>
        </w:rPr>
        <w:t xml:space="preserve">6 </w:t>
      </w:r>
      <w:r>
        <w:rPr>
          <w:rFonts w:ascii="Book Antiqua" w:hAnsi="Book Antiqua"/>
          <w:b/>
          <w:bCs/>
        </w:rPr>
        <w:t>Bertot LC</w:t>
      </w:r>
      <w:r>
        <w:rPr>
          <w:rFonts w:ascii="Book Antiqua" w:hAnsi="Book Antiqua"/>
        </w:rPr>
        <w:t xml:space="preserve">, Adams LA. Trends in hepatocellular carcinoma due to non-alcoholic fatty liver disease. </w:t>
      </w:r>
      <w:r>
        <w:rPr>
          <w:rFonts w:ascii="Book Antiqua" w:hAnsi="Book Antiqua"/>
          <w:i/>
          <w:iCs/>
        </w:rPr>
        <w:t>Expert Rev Gastroenterol Hepatol</w:t>
      </w:r>
      <w:r>
        <w:rPr>
          <w:rFonts w:ascii="Book Antiqua" w:hAnsi="Book Antiqua"/>
        </w:rPr>
        <w:t xml:space="preserve"> 2019; </w:t>
      </w:r>
      <w:r>
        <w:rPr>
          <w:rFonts w:ascii="Book Antiqua" w:hAnsi="Book Antiqua"/>
          <w:b/>
          <w:bCs/>
        </w:rPr>
        <w:t>13</w:t>
      </w:r>
      <w:r>
        <w:rPr>
          <w:rFonts w:ascii="Book Antiqua" w:hAnsi="Book Antiqua"/>
        </w:rPr>
        <w:t>: 179-187 [PMID: 30791782 DOI: 10.1080/17474124.2019.1549989]</w:t>
      </w:r>
    </w:p>
    <w:p>
      <w:pPr>
        <w:spacing w:line="360" w:lineRule="auto"/>
        <w:jc w:val="both"/>
        <w:rPr>
          <w:rFonts w:ascii="Book Antiqua" w:hAnsi="Book Antiqua"/>
        </w:rPr>
      </w:pPr>
      <w:r>
        <w:rPr>
          <w:rFonts w:ascii="Book Antiqua" w:hAnsi="Book Antiqua"/>
        </w:rPr>
        <w:t xml:space="preserve">7 </w:t>
      </w:r>
      <w:r>
        <w:rPr>
          <w:rFonts w:ascii="Book Antiqua" w:hAnsi="Book Antiqua"/>
          <w:b/>
          <w:bCs/>
        </w:rPr>
        <w:t>Zhang C</w:t>
      </w:r>
      <w:r>
        <w:rPr>
          <w:rFonts w:ascii="Book Antiqua" w:hAnsi="Book Antiqua"/>
        </w:rPr>
        <w:t xml:space="preserve">, Liu S, Yang M. Hepatocellular Carcinoma and Obesity, Type 2 Diabetes Mellitus, Cardiovascular Disease: Causing Factors, Molecular Links, and Treatment Options. </w:t>
      </w:r>
      <w:r>
        <w:rPr>
          <w:rFonts w:ascii="Book Antiqua" w:hAnsi="Book Antiqua"/>
          <w:i/>
          <w:iCs/>
        </w:rPr>
        <w:t>Front Endocrinol (Lausanne)</w:t>
      </w:r>
      <w:r>
        <w:rPr>
          <w:rFonts w:ascii="Book Antiqua" w:hAnsi="Book Antiqua"/>
        </w:rPr>
        <w:t xml:space="preserve"> 2021; </w:t>
      </w:r>
      <w:r>
        <w:rPr>
          <w:rFonts w:ascii="Book Antiqua" w:hAnsi="Book Antiqua"/>
          <w:b/>
          <w:bCs/>
        </w:rPr>
        <w:t>12</w:t>
      </w:r>
      <w:r>
        <w:rPr>
          <w:rFonts w:ascii="Book Antiqua" w:hAnsi="Book Antiqua"/>
        </w:rPr>
        <w:t>: 808526 [PMID: 35002979 DOI: 10.3389/fendo.2021.808526]</w:t>
      </w:r>
    </w:p>
    <w:p>
      <w:pPr>
        <w:spacing w:line="360" w:lineRule="auto"/>
        <w:jc w:val="both"/>
        <w:rPr>
          <w:rFonts w:ascii="Book Antiqua" w:hAnsi="Book Antiqua"/>
        </w:rPr>
      </w:pPr>
      <w:r>
        <w:rPr>
          <w:rFonts w:ascii="Book Antiqua" w:hAnsi="Book Antiqua"/>
        </w:rPr>
        <w:t xml:space="preserve">8 </w:t>
      </w:r>
      <w:r>
        <w:rPr>
          <w:rFonts w:ascii="Book Antiqua" w:hAnsi="Book Antiqua"/>
          <w:b/>
          <w:bCs/>
        </w:rPr>
        <w:t>Zhang C</w:t>
      </w:r>
      <w:r>
        <w:rPr>
          <w:rFonts w:ascii="Book Antiqua" w:hAnsi="Book Antiqua"/>
        </w:rPr>
        <w:t xml:space="preserve">, Yang M, Ericsson AC. The Potential Gut Microbiota-Mediated Treatment Options for Liver Cancer. </w:t>
      </w:r>
      <w:r>
        <w:rPr>
          <w:rFonts w:ascii="Book Antiqua" w:hAnsi="Book Antiqua"/>
          <w:i/>
          <w:iCs/>
        </w:rPr>
        <w:t>Front Oncol</w:t>
      </w:r>
      <w:r>
        <w:rPr>
          <w:rFonts w:ascii="Book Antiqua" w:hAnsi="Book Antiqua"/>
        </w:rPr>
        <w:t xml:space="preserve"> 2020; </w:t>
      </w:r>
      <w:r>
        <w:rPr>
          <w:rFonts w:ascii="Book Antiqua" w:hAnsi="Book Antiqua"/>
          <w:b/>
          <w:bCs/>
        </w:rPr>
        <w:t>10</w:t>
      </w:r>
      <w:r>
        <w:rPr>
          <w:rFonts w:ascii="Book Antiqua" w:hAnsi="Book Antiqua"/>
        </w:rPr>
        <w:t>: 524205 [PMID: 33163393 DOI: 10.3389/fonc.2020.524205]</w:t>
      </w:r>
    </w:p>
    <w:p>
      <w:pPr>
        <w:spacing w:line="360" w:lineRule="auto"/>
        <w:jc w:val="both"/>
        <w:rPr>
          <w:rFonts w:ascii="Book Antiqua" w:hAnsi="Book Antiqua"/>
        </w:rPr>
      </w:pPr>
      <w:r>
        <w:rPr>
          <w:rFonts w:ascii="Book Antiqua" w:hAnsi="Book Antiqua"/>
        </w:rPr>
        <w:t xml:space="preserve">9 </w:t>
      </w:r>
      <w:r>
        <w:rPr>
          <w:rFonts w:ascii="Book Antiqua" w:hAnsi="Book Antiqua"/>
          <w:b/>
          <w:bCs/>
        </w:rPr>
        <w:t>Sangro B</w:t>
      </w:r>
      <w:r>
        <w:rPr>
          <w:rFonts w:ascii="Book Antiqua" w:hAnsi="Book Antiqua"/>
        </w:rPr>
        <w:t xml:space="preserve">, Sarobe P, Hervás-Stubbs S, Melero I. Advances in immunotherapy for hepatocellular carcinoma. </w:t>
      </w:r>
      <w:r>
        <w:rPr>
          <w:rFonts w:ascii="Book Antiqua" w:hAnsi="Book Antiqua"/>
          <w:i/>
          <w:iCs/>
        </w:rPr>
        <w:t>Nat Rev Gastroenterol Hepatol</w:t>
      </w:r>
      <w:r>
        <w:rPr>
          <w:rFonts w:ascii="Book Antiqua" w:hAnsi="Book Antiqua"/>
        </w:rPr>
        <w:t xml:space="preserve"> 2021; </w:t>
      </w:r>
      <w:r>
        <w:rPr>
          <w:rFonts w:ascii="Book Antiqua" w:hAnsi="Book Antiqua"/>
          <w:b/>
          <w:bCs/>
        </w:rPr>
        <w:t>18</w:t>
      </w:r>
      <w:r>
        <w:rPr>
          <w:rFonts w:ascii="Book Antiqua" w:hAnsi="Book Antiqua"/>
        </w:rPr>
        <w:t>: 525-543 [PMID: 33850328 DOI: 10.1038/s41575-021-00438-0]</w:t>
      </w:r>
    </w:p>
    <w:p>
      <w:pPr>
        <w:spacing w:line="360" w:lineRule="auto"/>
        <w:jc w:val="both"/>
        <w:rPr>
          <w:rFonts w:ascii="Book Antiqua" w:hAnsi="Book Antiqua"/>
        </w:rPr>
      </w:pPr>
      <w:r>
        <w:rPr>
          <w:rFonts w:ascii="Book Antiqua" w:hAnsi="Book Antiqua"/>
        </w:rPr>
        <w:t xml:space="preserve">10 </w:t>
      </w:r>
      <w:r>
        <w:rPr>
          <w:rFonts w:ascii="Book Antiqua" w:hAnsi="Book Antiqua"/>
          <w:b/>
          <w:bCs/>
        </w:rPr>
        <w:t>Pang N</w:t>
      </w:r>
      <w:r>
        <w:rPr>
          <w:rFonts w:ascii="Book Antiqua" w:hAnsi="Book Antiqua"/>
        </w:rPr>
        <w:t xml:space="preserve">, Shi J, Qin L, Chen A, Tang Y, Yang H, Huang Y, Wu Q, Li X, He B, Li T, Liang B, Zhang J, Cao B, Liu M, Feng Y, Ye X, Chen X, Wang L, Tian Y, Li H, Li J, Hu H, He J, Hu Y, Zhi C, Tang Z, Gong Y, Xu F, Xu L, Fan W, Zhao M, Chen D, Lian H, Yang L, Li P, Zhang Z. IL-7 and CCL19-secreting CAR-T cell therapy for tumors with positive glypican-3 or mesothelin. </w:t>
      </w:r>
      <w:r>
        <w:rPr>
          <w:rFonts w:ascii="Book Antiqua" w:hAnsi="Book Antiqua"/>
          <w:i/>
          <w:iCs/>
        </w:rPr>
        <w:t>J Hematol Oncol</w:t>
      </w:r>
      <w:r>
        <w:rPr>
          <w:rFonts w:ascii="Book Antiqua" w:hAnsi="Book Antiqua"/>
        </w:rPr>
        <w:t xml:space="preserve"> 2021; </w:t>
      </w:r>
      <w:r>
        <w:rPr>
          <w:rFonts w:ascii="Book Antiqua" w:hAnsi="Book Antiqua"/>
          <w:b/>
          <w:bCs/>
        </w:rPr>
        <w:t>14</w:t>
      </w:r>
      <w:r>
        <w:rPr>
          <w:rFonts w:ascii="Book Antiqua" w:hAnsi="Book Antiqua"/>
        </w:rPr>
        <w:t>: 118 [PMID: 34325726 DOI: 10.1186/s13045-021-01128-9]</w:t>
      </w:r>
    </w:p>
    <w:p>
      <w:pPr>
        <w:spacing w:line="360" w:lineRule="auto"/>
        <w:jc w:val="both"/>
        <w:rPr>
          <w:rFonts w:ascii="Book Antiqua" w:hAnsi="Book Antiqua"/>
        </w:rPr>
      </w:pPr>
      <w:r>
        <w:rPr>
          <w:rFonts w:ascii="Book Antiqua" w:hAnsi="Book Antiqua"/>
        </w:rPr>
        <w:t xml:space="preserve">11 </w:t>
      </w:r>
      <w:r>
        <w:rPr>
          <w:rFonts w:ascii="Book Antiqua" w:hAnsi="Book Antiqua"/>
          <w:b/>
          <w:bCs/>
        </w:rPr>
        <w:t>Li D</w:t>
      </w:r>
      <w:r>
        <w:rPr>
          <w:rFonts w:ascii="Book Antiqua" w:hAnsi="Book Antiqua"/>
        </w:rPr>
        <w:t xml:space="preserve">, Li N, Zhang YF, Fu H, Feng M, Schneider D, Su L, Wu X, Zhou J, Mackay S, Kramer J, Duan Z, Yang H, Kolluri A, Hummer AM, Torres MB, Zhu H, Hall MD, Luo X, Chen J, Wang Q, Abate-Daga D, Dropulic B, Hewitt SM, Orentas RJ, Greten TF, Ho M. Persistent Polyfunctional Chimeric Antigen Receptor T Cells That Target Glypican 3 Eliminate Orthotopic Hepatocellular Carcinomas in Mice. </w:t>
      </w:r>
      <w:r>
        <w:rPr>
          <w:rFonts w:ascii="Book Antiqua" w:hAnsi="Book Antiqua"/>
          <w:i/>
          <w:iCs/>
        </w:rPr>
        <w:t>Gastroenterology</w:t>
      </w:r>
      <w:r>
        <w:rPr>
          <w:rFonts w:ascii="Book Antiqua" w:hAnsi="Book Antiqua"/>
        </w:rPr>
        <w:t xml:space="preserve"> 2020; </w:t>
      </w:r>
      <w:r>
        <w:rPr>
          <w:rFonts w:ascii="Book Antiqua" w:hAnsi="Book Antiqua"/>
          <w:b/>
          <w:bCs/>
        </w:rPr>
        <w:t>158</w:t>
      </w:r>
      <w:r>
        <w:rPr>
          <w:rFonts w:ascii="Book Antiqua" w:hAnsi="Book Antiqua"/>
        </w:rPr>
        <w:t>: 2250-2265.e20 [PMID: 32060001 DOI: 10.1053/j.gastro.2020.02.011]</w:t>
      </w:r>
    </w:p>
    <w:p>
      <w:pPr>
        <w:spacing w:line="360" w:lineRule="auto"/>
        <w:jc w:val="both"/>
        <w:rPr>
          <w:rFonts w:ascii="Book Antiqua" w:hAnsi="Book Antiqua"/>
        </w:rPr>
      </w:pPr>
      <w:r>
        <w:rPr>
          <w:rFonts w:ascii="Book Antiqua" w:hAnsi="Book Antiqua"/>
        </w:rPr>
        <w:t xml:space="preserve">12 </w:t>
      </w:r>
      <w:r>
        <w:rPr>
          <w:rFonts w:ascii="Book Antiqua" w:hAnsi="Book Antiqua"/>
          <w:b/>
          <w:bCs/>
        </w:rPr>
        <w:t>Batra SA</w:t>
      </w:r>
      <w:r>
        <w:rPr>
          <w:rFonts w:ascii="Book Antiqua" w:hAnsi="Book Antiqua"/>
        </w:rPr>
        <w:t xml:space="preserve">, Rathi P, Guo L, Courtney AN, Fleurence J, Balzeau J, Shaik RS, Nguyen TP, Wu MF, Bulsara S, Mamonkin M, Metelitsa LS, Heczey A. Glypican-3-Specific CAR T Cells Coexpressing IL15 and IL21 Have Superior Expansion and Antitumor Activity against Hepatocellular Carcinoma. </w:t>
      </w:r>
      <w:r>
        <w:rPr>
          <w:rFonts w:ascii="Book Antiqua" w:hAnsi="Book Antiqua"/>
          <w:i/>
          <w:iCs/>
        </w:rPr>
        <w:t>Cancer Immunol Res</w:t>
      </w:r>
      <w:r>
        <w:rPr>
          <w:rFonts w:ascii="Book Antiqua" w:hAnsi="Book Antiqua"/>
        </w:rPr>
        <w:t xml:space="preserve"> 2020; </w:t>
      </w:r>
      <w:r>
        <w:rPr>
          <w:rFonts w:ascii="Book Antiqua" w:hAnsi="Book Antiqua"/>
          <w:b/>
          <w:bCs/>
        </w:rPr>
        <w:t>8</w:t>
      </w:r>
      <w:r>
        <w:rPr>
          <w:rFonts w:ascii="Book Antiqua" w:hAnsi="Book Antiqua"/>
        </w:rPr>
        <w:t>: 309-320 [PMID: 31953246 DOI: 10.1158/2326-6066.CIR-19-0293]</w:t>
      </w:r>
    </w:p>
    <w:p>
      <w:pPr>
        <w:spacing w:line="360" w:lineRule="auto"/>
        <w:jc w:val="both"/>
        <w:rPr>
          <w:rFonts w:ascii="Book Antiqua" w:hAnsi="Book Antiqua"/>
        </w:rPr>
      </w:pPr>
      <w:r>
        <w:rPr>
          <w:rFonts w:ascii="Book Antiqua" w:hAnsi="Book Antiqua"/>
        </w:rPr>
        <w:t xml:space="preserve">13 </w:t>
      </w:r>
      <w:r>
        <w:rPr>
          <w:rFonts w:ascii="Book Antiqua" w:hAnsi="Book Antiqua"/>
          <w:b/>
          <w:bCs/>
        </w:rPr>
        <w:t>Tsuchiya N</w:t>
      </w:r>
      <w:r>
        <w:rPr>
          <w:rFonts w:ascii="Book Antiqua" w:hAnsi="Book Antiqua"/>
        </w:rPr>
        <w:t xml:space="preserve">, Yoshikawa T, Fujinami N, Saito K, Mizuno S, Sawada Y, Endo I, Nakatsura T. Immunological efficacy of glypican-3 peptide vaccine in patients with advanced hepatocellular carcinoma. </w:t>
      </w:r>
      <w:r>
        <w:rPr>
          <w:rFonts w:ascii="Book Antiqua" w:hAnsi="Book Antiqua"/>
          <w:i/>
          <w:iCs/>
        </w:rPr>
        <w:t>Oncoimmunology</w:t>
      </w:r>
      <w:r>
        <w:rPr>
          <w:rFonts w:ascii="Book Antiqua" w:hAnsi="Book Antiqua"/>
        </w:rPr>
        <w:t xml:space="preserve"> 2017; </w:t>
      </w:r>
      <w:r>
        <w:rPr>
          <w:rFonts w:ascii="Book Antiqua" w:hAnsi="Book Antiqua"/>
          <w:b/>
          <w:bCs/>
        </w:rPr>
        <w:t>6</w:t>
      </w:r>
      <w:r>
        <w:rPr>
          <w:rFonts w:ascii="Book Antiqua" w:hAnsi="Book Antiqua"/>
        </w:rPr>
        <w:t>: e1346764 [PMID: 29123959 DOI: 10.1080/2162402X.2017.1346764]</w:t>
      </w:r>
    </w:p>
    <w:p>
      <w:pPr>
        <w:spacing w:line="360" w:lineRule="auto"/>
        <w:jc w:val="both"/>
        <w:rPr>
          <w:rFonts w:ascii="Book Antiqua" w:hAnsi="Book Antiqua"/>
        </w:rPr>
      </w:pPr>
      <w:r>
        <w:rPr>
          <w:rFonts w:ascii="Book Antiqua" w:hAnsi="Book Antiqua"/>
        </w:rPr>
        <w:t xml:space="preserve">14 </w:t>
      </w:r>
      <w:r>
        <w:rPr>
          <w:rFonts w:ascii="Book Antiqua" w:hAnsi="Book Antiqua"/>
          <w:b/>
          <w:bCs/>
        </w:rPr>
        <w:t>Charneau J</w:t>
      </w:r>
      <w:r>
        <w:rPr>
          <w:rFonts w:ascii="Book Antiqua" w:hAnsi="Book Antiqua"/>
        </w:rPr>
        <w:t xml:space="preserve">, Suzuki T, Shimomura M, Fujinami N, Nakatsura T. Peptide-Based Vaccines for Hepatocellular Carcinoma: A Review of Recent Advances. </w:t>
      </w:r>
      <w:r>
        <w:rPr>
          <w:rFonts w:ascii="Book Antiqua" w:hAnsi="Book Antiqua"/>
          <w:i/>
          <w:iCs/>
        </w:rPr>
        <w:t>J Hepatocell Carcinoma</w:t>
      </w:r>
      <w:r>
        <w:rPr>
          <w:rFonts w:ascii="Book Antiqua" w:hAnsi="Book Antiqua"/>
        </w:rPr>
        <w:t xml:space="preserve"> 2021; </w:t>
      </w:r>
      <w:r>
        <w:rPr>
          <w:rFonts w:ascii="Book Antiqua" w:hAnsi="Book Antiqua"/>
          <w:b/>
          <w:bCs/>
        </w:rPr>
        <w:t>8</w:t>
      </w:r>
      <w:r>
        <w:rPr>
          <w:rFonts w:ascii="Book Antiqua" w:hAnsi="Book Antiqua"/>
        </w:rPr>
        <w:t>: 1035-1054 [PMID: 34513746 DOI: 10.2147/JHC.S291558]</w:t>
      </w:r>
    </w:p>
    <w:p>
      <w:pPr>
        <w:spacing w:line="360" w:lineRule="auto"/>
        <w:jc w:val="both"/>
        <w:rPr>
          <w:rFonts w:ascii="Book Antiqua" w:hAnsi="Book Antiqua"/>
        </w:rPr>
      </w:pPr>
      <w:r>
        <w:rPr>
          <w:rFonts w:ascii="Book Antiqua" w:hAnsi="Book Antiqua"/>
        </w:rPr>
        <w:t xml:space="preserve">15 </w:t>
      </w:r>
      <w:r>
        <w:rPr>
          <w:rFonts w:ascii="Book Antiqua" w:hAnsi="Book Antiqua"/>
          <w:b/>
          <w:bCs/>
        </w:rPr>
        <w:t>Zhang C</w:t>
      </w:r>
      <w:r>
        <w:rPr>
          <w:rFonts w:ascii="Book Antiqua" w:hAnsi="Book Antiqua"/>
        </w:rPr>
        <w:t xml:space="preserve">, Yang M, Ericsson AC. Antimicrobial Peptides: Potential Application in Liver Cancer. </w:t>
      </w:r>
      <w:r>
        <w:rPr>
          <w:rFonts w:ascii="Book Antiqua" w:hAnsi="Book Antiqua"/>
          <w:i/>
          <w:iCs/>
        </w:rPr>
        <w:t>Front Microbiol</w:t>
      </w:r>
      <w:r>
        <w:rPr>
          <w:rFonts w:ascii="Book Antiqua" w:hAnsi="Book Antiqua"/>
        </w:rPr>
        <w:t xml:space="preserve"> 2019; </w:t>
      </w:r>
      <w:r>
        <w:rPr>
          <w:rFonts w:ascii="Book Antiqua" w:hAnsi="Book Antiqua"/>
          <w:b/>
          <w:bCs/>
        </w:rPr>
        <w:t>10</w:t>
      </w:r>
      <w:r>
        <w:rPr>
          <w:rFonts w:ascii="Book Antiqua" w:hAnsi="Book Antiqua"/>
        </w:rPr>
        <w:t>: 1257 [PMID: 31231341 DOI: 10.3389/fmicb.2019.01257]</w:t>
      </w:r>
    </w:p>
    <w:p>
      <w:pPr>
        <w:spacing w:line="360" w:lineRule="auto"/>
        <w:jc w:val="both"/>
        <w:rPr>
          <w:rFonts w:ascii="Book Antiqua" w:hAnsi="Book Antiqua"/>
        </w:rPr>
      </w:pPr>
      <w:r>
        <w:rPr>
          <w:rFonts w:ascii="Book Antiqua" w:hAnsi="Book Antiqua"/>
        </w:rPr>
        <w:t xml:space="preserve">16 </w:t>
      </w:r>
      <w:r>
        <w:rPr>
          <w:rFonts w:ascii="Book Antiqua" w:hAnsi="Book Antiqua"/>
          <w:b/>
          <w:bCs/>
        </w:rPr>
        <w:t>Roy B</w:t>
      </w:r>
      <w:r>
        <w:rPr>
          <w:rFonts w:ascii="Book Antiqua" w:hAnsi="Book Antiqua"/>
        </w:rPr>
        <w:t xml:space="preserve">, Ghose S, Biswas S. Therapeutic strategies for miRNA delivery to reduce hepatocellular carcinoma. </w:t>
      </w:r>
      <w:r>
        <w:rPr>
          <w:rFonts w:ascii="Book Antiqua" w:hAnsi="Book Antiqua"/>
          <w:i/>
          <w:iCs/>
        </w:rPr>
        <w:t>Semin Cell Dev Biol</w:t>
      </w:r>
      <w:r>
        <w:rPr>
          <w:rFonts w:ascii="Book Antiqua" w:hAnsi="Book Antiqua"/>
        </w:rPr>
        <w:t xml:space="preserve"> 2022; </w:t>
      </w:r>
      <w:r>
        <w:rPr>
          <w:rFonts w:ascii="Book Antiqua" w:hAnsi="Book Antiqua"/>
          <w:b/>
          <w:bCs/>
        </w:rPr>
        <w:t>124</w:t>
      </w:r>
      <w:r>
        <w:rPr>
          <w:rFonts w:ascii="Book Antiqua" w:hAnsi="Book Antiqua"/>
        </w:rPr>
        <w:t>: 134-144 [PMID: 33926792 DOI: 10.1016/j.semcdb.2021.04.006]</w:t>
      </w:r>
    </w:p>
    <w:p>
      <w:pPr>
        <w:spacing w:line="360" w:lineRule="auto"/>
        <w:jc w:val="both"/>
        <w:rPr>
          <w:rFonts w:ascii="Book Antiqua" w:hAnsi="Book Antiqua"/>
        </w:rPr>
      </w:pPr>
      <w:r>
        <w:rPr>
          <w:rFonts w:ascii="Book Antiqua" w:hAnsi="Book Antiqua"/>
        </w:rPr>
        <w:t xml:space="preserve">17 </w:t>
      </w:r>
      <w:r>
        <w:rPr>
          <w:rFonts w:ascii="Book Antiqua" w:hAnsi="Book Antiqua"/>
          <w:b/>
          <w:bCs/>
        </w:rPr>
        <w:t>Zhang C</w:t>
      </w:r>
      <w:r>
        <w:rPr>
          <w:rFonts w:ascii="Book Antiqua" w:hAnsi="Book Antiqua"/>
        </w:rPr>
        <w:t xml:space="preserve">, Yang M. Targeting T Cell Subtypes for NAFLD and NAFLD-Related HCC Treatment: An Opinion. </w:t>
      </w:r>
      <w:r>
        <w:rPr>
          <w:rFonts w:ascii="Book Antiqua" w:hAnsi="Book Antiqua"/>
          <w:i/>
          <w:iCs/>
        </w:rPr>
        <w:t>Front Med (Lausanne)</w:t>
      </w:r>
      <w:r>
        <w:rPr>
          <w:rFonts w:ascii="Book Antiqua" w:hAnsi="Book Antiqua"/>
        </w:rPr>
        <w:t xml:space="preserve"> 2021; </w:t>
      </w:r>
      <w:r>
        <w:rPr>
          <w:rFonts w:ascii="Book Antiqua" w:hAnsi="Book Antiqua"/>
          <w:b/>
          <w:bCs/>
        </w:rPr>
        <w:t>8</w:t>
      </w:r>
      <w:r>
        <w:rPr>
          <w:rFonts w:ascii="Book Antiqua" w:hAnsi="Book Antiqua"/>
        </w:rPr>
        <w:t>: 789859 [PMID: 34869507 DOI: 10.3389/fmed.2021.789859]</w:t>
      </w:r>
    </w:p>
    <w:p>
      <w:pPr>
        <w:spacing w:line="360" w:lineRule="auto"/>
        <w:jc w:val="both"/>
        <w:rPr>
          <w:rFonts w:ascii="Book Antiqua" w:hAnsi="Book Antiqua"/>
        </w:rPr>
      </w:pPr>
      <w:r>
        <w:rPr>
          <w:rFonts w:ascii="Book Antiqua" w:hAnsi="Book Antiqua"/>
        </w:rPr>
        <w:t xml:space="preserve">18 </w:t>
      </w:r>
      <w:r>
        <w:rPr>
          <w:rFonts w:ascii="Book Antiqua" w:hAnsi="Book Antiqua"/>
          <w:b/>
          <w:bCs/>
        </w:rPr>
        <w:t>Behary J</w:t>
      </w:r>
      <w:r>
        <w:rPr>
          <w:rFonts w:ascii="Book Antiqua" w:hAnsi="Book Antiqua"/>
        </w:rPr>
        <w:t xml:space="preserve">, Amorim N, Jiang XT, Raposo A, Gong L, McGovern E, Ibrahim R, Chu F, Stephens C, Jebeili H, Fragomeli V, Koay YC, Jackson M, O'Sullivan J, Weltman M, McCaughan G, El-Omar E, Zekry A. Gut microbiota impact on the peripheral immune response in non-alcoholic fatty liver disease related hepatocellular carcinoma. </w:t>
      </w:r>
      <w:r>
        <w:rPr>
          <w:rFonts w:ascii="Book Antiqua" w:hAnsi="Book Antiqua"/>
          <w:i/>
          <w:iCs/>
        </w:rPr>
        <w:t>Nat Commun</w:t>
      </w:r>
      <w:r>
        <w:rPr>
          <w:rFonts w:ascii="Book Antiqua" w:hAnsi="Book Antiqua"/>
        </w:rPr>
        <w:t xml:space="preserve"> 2021; </w:t>
      </w:r>
      <w:r>
        <w:rPr>
          <w:rFonts w:ascii="Book Antiqua" w:hAnsi="Book Antiqua"/>
          <w:b/>
          <w:bCs/>
        </w:rPr>
        <w:t>12</w:t>
      </w:r>
      <w:r>
        <w:rPr>
          <w:rFonts w:ascii="Book Antiqua" w:hAnsi="Book Antiqua"/>
        </w:rPr>
        <w:t>: 187 [PMID: 33420074 DOI: 10.1038/s41467-020-20422-7]</w:t>
      </w:r>
    </w:p>
    <w:p>
      <w:pPr>
        <w:spacing w:line="360" w:lineRule="auto"/>
        <w:jc w:val="both"/>
        <w:rPr>
          <w:rFonts w:ascii="Book Antiqua" w:hAnsi="Book Antiqua"/>
        </w:rPr>
      </w:pPr>
      <w:r>
        <w:rPr>
          <w:rFonts w:ascii="Book Antiqua" w:hAnsi="Book Antiqua"/>
        </w:rPr>
        <w:t xml:space="preserve">19 </w:t>
      </w:r>
      <w:r>
        <w:rPr>
          <w:rFonts w:ascii="Book Antiqua" w:hAnsi="Book Antiqua"/>
          <w:b/>
          <w:bCs/>
        </w:rPr>
        <w:t>Dituri F</w:t>
      </w:r>
      <w:r>
        <w:rPr>
          <w:rFonts w:ascii="Book Antiqua" w:hAnsi="Book Antiqua"/>
        </w:rPr>
        <w:t xml:space="preserve">, Mancarella S, Serino G, Chaoul N, Lupo LG, Villa E, Fabregat I, Giannelli G. Direct and Indirect Effect of TGFβ on Treg Transendothelial Recruitment in HCC Tissue Microenvironment. </w:t>
      </w:r>
      <w:r>
        <w:rPr>
          <w:rFonts w:ascii="Book Antiqua" w:hAnsi="Book Antiqua"/>
          <w:i/>
          <w:iCs/>
        </w:rPr>
        <w:t>Int J Mol Sci</w:t>
      </w:r>
      <w:r>
        <w:rPr>
          <w:rFonts w:ascii="Book Antiqua" w:hAnsi="Book Antiqua"/>
        </w:rPr>
        <w:t xml:space="preserve"> 2021; </w:t>
      </w:r>
      <w:r>
        <w:rPr>
          <w:rFonts w:ascii="Book Antiqua" w:hAnsi="Book Antiqua"/>
          <w:b/>
          <w:bCs/>
        </w:rPr>
        <w:t>22</w:t>
      </w:r>
      <w:r>
        <w:rPr>
          <w:rFonts w:ascii="Book Antiqua" w:hAnsi="Book Antiqua"/>
        </w:rPr>
        <w:t xml:space="preserve"> [PMID: 34769191 DOI: 10.3390/ijms222111765]</w:t>
      </w:r>
    </w:p>
    <w:p>
      <w:pPr>
        <w:spacing w:line="360" w:lineRule="auto"/>
        <w:jc w:val="both"/>
        <w:rPr>
          <w:rFonts w:ascii="Book Antiqua" w:hAnsi="Book Antiqua"/>
        </w:rPr>
      </w:pPr>
      <w:r>
        <w:rPr>
          <w:rFonts w:ascii="Book Antiqua" w:hAnsi="Book Antiqua"/>
        </w:rPr>
        <w:t xml:space="preserve">20 </w:t>
      </w:r>
      <w:r>
        <w:rPr>
          <w:rFonts w:ascii="Book Antiqua" w:hAnsi="Book Antiqua"/>
          <w:b/>
          <w:bCs/>
        </w:rPr>
        <w:t>Pinato DJ</w:t>
      </w:r>
      <w:r>
        <w:rPr>
          <w:rFonts w:ascii="Book Antiqua" w:hAnsi="Book Antiqua"/>
        </w:rPr>
        <w:t xml:space="preserve">, Murray SM, Forner A, Kaneko T, Fessas P, Toniutto P, Mínguez B, Cacciato V, Avellini C, Diaz A, Boyton RJ, Altmann DM, Goldin RD, Akarca AU, Marafioti T, Mauri FA, Casagrande E, Grillo F, Giannini E, Bhoori S, Mazzaferro V. Trans-arterial chemoembolization as a loco-regional inducer of immunogenic cell death in hepatocellular carcinoma: implications for immunotherapy. </w:t>
      </w:r>
      <w:r>
        <w:rPr>
          <w:rFonts w:ascii="Book Antiqua" w:hAnsi="Book Antiqua"/>
          <w:i/>
          <w:iCs/>
        </w:rPr>
        <w:t>J Immunother Cancer</w:t>
      </w:r>
      <w:r>
        <w:rPr>
          <w:rFonts w:ascii="Book Antiqua" w:hAnsi="Book Antiqua"/>
        </w:rPr>
        <w:t xml:space="preserve"> 2021; </w:t>
      </w:r>
      <w:r>
        <w:rPr>
          <w:rFonts w:ascii="Book Antiqua" w:hAnsi="Book Antiqua"/>
          <w:b/>
          <w:bCs/>
        </w:rPr>
        <w:t>9</w:t>
      </w:r>
      <w:r>
        <w:rPr>
          <w:rFonts w:ascii="Book Antiqua" w:hAnsi="Book Antiqua"/>
        </w:rPr>
        <w:t xml:space="preserve"> [PMID: 34593621 DOI: 10.1136/jitc-2021-003311]</w:t>
      </w:r>
    </w:p>
    <w:p>
      <w:pPr>
        <w:spacing w:line="360" w:lineRule="auto"/>
        <w:jc w:val="both"/>
        <w:rPr>
          <w:rFonts w:ascii="Book Antiqua" w:hAnsi="Book Antiqua"/>
        </w:rPr>
      </w:pPr>
      <w:r>
        <w:rPr>
          <w:rFonts w:ascii="Book Antiqua" w:hAnsi="Book Antiqua"/>
        </w:rPr>
        <w:t xml:space="preserve">21 </w:t>
      </w:r>
      <w:r>
        <w:rPr>
          <w:rFonts w:ascii="Book Antiqua" w:hAnsi="Book Antiqua"/>
          <w:b/>
          <w:bCs/>
        </w:rPr>
        <w:t>Zhu J</w:t>
      </w:r>
      <w:r>
        <w:rPr>
          <w:rFonts w:ascii="Book Antiqua" w:hAnsi="Book Antiqua"/>
        </w:rPr>
        <w:t xml:space="preserve">, Fang P, Wang C, Gu M, Pan B, Guo W, Yang X, Wang B. The immunomodulatory activity of lenvatinib prompts the survival of patients with advanced hepatocellular carcinoma. </w:t>
      </w:r>
      <w:r>
        <w:rPr>
          <w:rFonts w:ascii="Book Antiqua" w:hAnsi="Book Antiqua"/>
          <w:i/>
          <w:iCs/>
        </w:rPr>
        <w:t>Cancer Med</w:t>
      </w:r>
      <w:r>
        <w:rPr>
          <w:rFonts w:ascii="Book Antiqua" w:hAnsi="Book Antiqua"/>
        </w:rPr>
        <w:t xml:space="preserve"> 2021; </w:t>
      </w:r>
      <w:r>
        <w:rPr>
          <w:rFonts w:ascii="Book Antiqua" w:hAnsi="Book Antiqua"/>
          <w:b/>
          <w:bCs/>
        </w:rPr>
        <w:t>10</w:t>
      </w:r>
      <w:r>
        <w:rPr>
          <w:rFonts w:ascii="Book Antiqua" w:hAnsi="Book Antiqua"/>
        </w:rPr>
        <w:t>: 7977-7987 [PMID: 34605616 DOI: 10.1002/cam4.4312]</w:t>
      </w:r>
    </w:p>
    <w:p>
      <w:pPr>
        <w:spacing w:line="360" w:lineRule="auto"/>
        <w:jc w:val="both"/>
        <w:rPr>
          <w:rFonts w:ascii="Book Antiqua" w:hAnsi="Book Antiqua"/>
        </w:rPr>
      </w:pPr>
      <w:r>
        <w:rPr>
          <w:rFonts w:ascii="Book Antiqua" w:hAnsi="Book Antiqua"/>
        </w:rPr>
        <w:t xml:space="preserve">22 </w:t>
      </w:r>
      <w:r>
        <w:rPr>
          <w:rFonts w:ascii="Book Antiqua" w:hAnsi="Book Antiqua"/>
          <w:b/>
          <w:bCs/>
        </w:rPr>
        <w:t>Chen RC</w:t>
      </w:r>
      <w:r>
        <w:rPr>
          <w:rFonts w:ascii="Book Antiqua" w:hAnsi="Book Antiqua"/>
        </w:rPr>
        <w:t xml:space="preserve">, Xu LM, Du SJ, Huang SS, Wu H, Dong JJ, Huang JR, Wang XD, Feng WK, Chen YP. Lactobacillus rhamnosus GG supernatant promotes intestinal barrier function, balances Treg and TH17 cells and ameliorates hepatic injury in a mouse model of chronic-binge alcohol feeding. </w:t>
      </w:r>
      <w:r>
        <w:rPr>
          <w:rFonts w:ascii="Book Antiqua" w:hAnsi="Book Antiqua"/>
          <w:i/>
          <w:iCs/>
        </w:rPr>
        <w:t>Toxicol Lett</w:t>
      </w:r>
      <w:r>
        <w:rPr>
          <w:rFonts w:ascii="Book Antiqua" w:hAnsi="Book Antiqua"/>
        </w:rPr>
        <w:t xml:space="preserve"> 2016; </w:t>
      </w:r>
      <w:r>
        <w:rPr>
          <w:rFonts w:ascii="Book Antiqua" w:hAnsi="Book Antiqua"/>
          <w:b/>
          <w:bCs/>
        </w:rPr>
        <w:t>241</w:t>
      </w:r>
      <w:r>
        <w:rPr>
          <w:rFonts w:ascii="Book Antiqua" w:hAnsi="Book Antiqua"/>
        </w:rPr>
        <w:t>: 103-110 [PMID: 26617183 DOI: 10.1016/j.toxlet.2015.11.019]</w:t>
      </w:r>
    </w:p>
    <w:p>
      <w:pPr>
        <w:spacing w:line="360" w:lineRule="auto"/>
        <w:jc w:val="both"/>
        <w:rPr>
          <w:rFonts w:ascii="Book Antiqua" w:hAnsi="Book Antiqua"/>
        </w:rPr>
      </w:pPr>
      <w:r>
        <w:rPr>
          <w:rFonts w:ascii="Book Antiqua" w:hAnsi="Book Antiqua"/>
        </w:rPr>
        <w:t xml:space="preserve">23 </w:t>
      </w:r>
      <w:r>
        <w:rPr>
          <w:rFonts w:ascii="Book Antiqua" w:hAnsi="Book Antiqua"/>
          <w:b/>
          <w:bCs/>
        </w:rPr>
        <w:t>Kim MH</w:t>
      </w:r>
      <w:r>
        <w:rPr>
          <w:rFonts w:ascii="Book Antiqua" w:hAnsi="Book Antiqua"/>
        </w:rPr>
        <w:t xml:space="preserve">, Kim HH, Jeong JM, Shim YR, Lee JH, Kim YE, Ryu T, Yang K, Kim KR, Jeon BM, Kim SC, Jung JK, Choi JK, Lee YS, Byun JS, Jeong WI. Ginsenoside F2 attenuates chronic-binge ethanol-induced liver injury by increasing regulatory T cells and decreasing Th17 cells. </w:t>
      </w:r>
      <w:r>
        <w:rPr>
          <w:rFonts w:ascii="Book Antiqua" w:hAnsi="Book Antiqua"/>
          <w:i/>
          <w:iCs/>
        </w:rPr>
        <w:t>J Ginseng Res</w:t>
      </w:r>
      <w:r>
        <w:rPr>
          <w:rFonts w:ascii="Book Antiqua" w:hAnsi="Book Antiqua"/>
        </w:rPr>
        <w:t xml:space="preserve"> 2020; </w:t>
      </w:r>
      <w:r>
        <w:rPr>
          <w:rFonts w:ascii="Book Antiqua" w:hAnsi="Book Antiqua"/>
          <w:b/>
          <w:bCs/>
        </w:rPr>
        <w:t>44</w:t>
      </w:r>
      <w:r>
        <w:rPr>
          <w:rFonts w:ascii="Book Antiqua" w:hAnsi="Book Antiqua"/>
        </w:rPr>
        <w:t>: 815-822 [PMID: 33192125 DOI: 10.1016/j.jgr.2020.03.002]</w:t>
      </w:r>
    </w:p>
    <w:p>
      <w:pPr>
        <w:spacing w:line="360" w:lineRule="auto"/>
        <w:jc w:val="both"/>
        <w:rPr>
          <w:rFonts w:ascii="Book Antiqua" w:hAnsi="Book Antiqua"/>
        </w:rPr>
      </w:pPr>
      <w:r>
        <w:rPr>
          <w:rFonts w:ascii="Book Antiqua" w:hAnsi="Book Antiqua"/>
        </w:rPr>
        <w:t xml:space="preserve">24 </w:t>
      </w:r>
      <w:r>
        <w:rPr>
          <w:rFonts w:ascii="Book Antiqua" w:hAnsi="Book Antiqua"/>
          <w:b/>
          <w:bCs/>
        </w:rPr>
        <w:t>Cairoli V</w:t>
      </w:r>
      <w:r>
        <w:rPr>
          <w:rFonts w:ascii="Book Antiqua" w:hAnsi="Book Antiqua"/>
        </w:rPr>
        <w:t xml:space="preserve">, De Matteo E, Rios D, Lezama C, Galoppo M, Casciato P, Mullen E, Giadans C, Bertot G, Preciado MV, Valva P. Hepatic lymphocytes involved in the pathogenesis of pediatric and adult non-alcoholic fatty liver disease. </w:t>
      </w:r>
      <w:r>
        <w:rPr>
          <w:rFonts w:ascii="Book Antiqua" w:hAnsi="Book Antiqua"/>
          <w:i/>
          <w:iCs/>
        </w:rPr>
        <w:t>Sci Rep</w:t>
      </w:r>
      <w:r>
        <w:rPr>
          <w:rFonts w:ascii="Book Antiqua" w:hAnsi="Book Antiqua"/>
        </w:rPr>
        <w:t xml:space="preserve"> 2021; </w:t>
      </w:r>
      <w:r>
        <w:rPr>
          <w:rFonts w:ascii="Book Antiqua" w:hAnsi="Book Antiqua"/>
          <w:b/>
          <w:bCs/>
        </w:rPr>
        <w:t>11</w:t>
      </w:r>
      <w:r>
        <w:rPr>
          <w:rFonts w:ascii="Book Antiqua" w:hAnsi="Book Antiqua"/>
        </w:rPr>
        <w:t>: 5129 [PMID: 33664397 DOI: 10.1038/s41598-021-84674-z]</w:t>
      </w:r>
    </w:p>
    <w:p>
      <w:pPr>
        <w:spacing w:line="360" w:lineRule="auto"/>
        <w:jc w:val="both"/>
        <w:rPr>
          <w:rFonts w:ascii="Book Antiqua" w:hAnsi="Book Antiqua"/>
        </w:rPr>
      </w:pPr>
      <w:r>
        <w:rPr>
          <w:rFonts w:ascii="Book Antiqua" w:hAnsi="Book Antiqua"/>
        </w:rPr>
        <w:t xml:space="preserve">25 </w:t>
      </w:r>
      <w:r>
        <w:rPr>
          <w:rFonts w:ascii="Book Antiqua" w:hAnsi="Book Antiqua"/>
          <w:b/>
          <w:bCs/>
        </w:rPr>
        <w:t>He B</w:t>
      </w:r>
      <w:r>
        <w:rPr>
          <w:rFonts w:ascii="Book Antiqua" w:hAnsi="Book Antiqua"/>
        </w:rPr>
        <w:t xml:space="preserve">, Wu L, Xie W, Shao Y, Jiang J, Zhao Z, Yan M, Chen Z, Cui D. The imbalance of Th17/Treg cells is involved in the progression of nonalcoholic fatty liver disease in mice. </w:t>
      </w:r>
      <w:r>
        <w:rPr>
          <w:rFonts w:ascii="Book Antiqua" w:hAnsi="Book Antiqua"/>
          <w:i/>
          <w:iCs/>
        </w:rPr>
        <w:t>BMC Immunol</w:t>
      </w:r>
      <w:r>
        <w:rPr>
          <w:rFonts w:ascii="Book Antiqua" w:hAnsi="Book Antiqua"/>
        </w:rPr>
        <w:t xml:space="preserve"> 2017; </w:t>
      </w:r>
      <w:r>
        <w:rPr>
          <w:rFonts w:ascii="Book Antiqua" w:hAnsi="Book Antiqua"/>
          <w:b/>
          <w:bCs/>
        </w:rPr>
        <w:t>18</w:t>
      </w:r>
      <w:r>
        <w:rPr>
          <w:rFonts w:ascii="Book Antiqua" w:hAnsi="Book Antiqua"/>
        </w:rPr>
        <w:t>: 33 [PMID: 28646856 DOI: 10.1186/s12865-017-0215-y]</w:t>
      </w:r>
    </w:p>
    <w:p>
      <w:pPr>
        <w:spacing w:line="360" w:lineRule="auto"/>
        <w:jc w:val="both"/>
        <w:rPr>
          <w:rFonts w:ascii="Book Antiqua" w:hAnsi="Book Antiqua"/>
        </w:rPr>
      </w:pPr>
      <w:r>
        <w:rPr>
          <w:rFonts w:ascii="Book Antiqua" w:hAnsi="Book Antiqua"/>
        </w:rPr>
        <w:t xml:space="preserve">26 </w:t>
      </w:r>
      <w:r>
        <w:rPr>
          <w:rFonts w:ascii="Book Antiqua" w:hAnsi="Book Antiqua"/>
          <w:b/>
          <w:bCs/>
        </w:rPr>
        <w:t>Su L</w:t>
      </w:r>
      <w:r>
        <w:rPr>
          <w:rFonts w:ascii="Book Antiqua" w:hAnsi="Book Antiqua"/>
        </w:rPr>
        <w:t>, Wu Z, Chi Y, Song Y, Xu J, Tan J, Cong X, Liu Y. Mesenteric lymph node CD4</w:t>
      </w:r>
      <w:r>
        <w:rPr>
          <w:rFonts w:ascii="Book Antiqua" w:hAnsi="Book Antiqua"/>
          <w:vertAlign w:val="superscript"/>
        </w:rPr>
        <w:t>+</w:t>
      </w:r>
      <w:r>
        <w:rPr>
          <w:rFonts w:ascii="Book Antiqua" w:hAnsi="Book Antiqua"/>
        </w:rPr>
        <w:t xml:space="preserve"> T lymphocytes migrate to liver and contribute to non-alcoholic fatty liver disease. </w:t>
      </w:r>
      <w:r>
        <w:rPr>
          <w:rFonts w:ascii="Book Antiqua" w:hAnsi="Book Antiqua"/>
          <w:i/>
          <w:iCs/>
        </w:rPr>
        <w:t>Cell Immunol</w:t>
      </w:r>
      <w:r>
        <w:rPr>
          <w:rFonts w:ascii="Book Antiqua" w:hAnsi="Book Antiqua"/>
        </w:rPr>
        <w:t xml:space="preserve"> 2019; </w:t>
      </w:r>
      <w:r>
        <w:rPr>
          <w:rFonts w:ascii="Book Antiqua" w:hAnsi="Book Antiqua"/>
          <w:b/>
          <w:bCs/>
        </w:rPr>
        <w:t>337</w:t>
      </w:r>
      <w:r>
        <w:rPr>
          <w:rFonts w:ascii="Book Antiqua" w:hAnsi="Book Antiqua"/>
        </w:rPr>
        <w:t>: 33-41 [PMID: 30770094 DOI: 10.1016/j.cellimm.2019.01.005]</w:t>
      </w:r>
    </w:p>
    <w:p>
      <w:pPr>
        <w:spacing w:line="360" w:lineRule="auto"/>
        <w:jc w:val="both"/>
        <w:rPr>
          <w:rFonts w:ascii="Book Antiqua" w:hAnsi="Book Antiqua"/>
        </w:rPr>
      </w:pPr>
      <w:r>
        <w:rPr>
          <w:rFonts w:ascii="Book Antiqua" w:hAnsi="Book Antiqua"/>
        </w:rPr>
        <w:t xml:space="preserve">27 </w:t>
      </w:r>
      <w:r>
        <w:rPr>
          <w:rFonts w:ascii="Book Antiqua" w:hAnsi="Book Antiqua"/>
          <w:b/>
          <w:bCs/>
        </w:rPr>
        <w:t>Dywicki J</w:t>
      </w:r>
      <w:r>
        <w:rPr>
          <w:rFonts w:ascii="Book Antiqua" w:hAnsi="Book Antiqua"/>
        </w:rPr>
        <w:t xml:space="preserve">, Buitrago-Molina LE, Noyan F, Davalos-Misslitz AC, Hupa-Breier KL, Lieber M, Hapke M, Schlue J, Falk CS, Raha S, Prinz I, Koenecke C, Manns MP, Wedemeyer H, Hardtke-Wolenski M, Jaeckel E. The Detrimental Role of Regulatory T Cells in Nonalcoholic Steatohepatitis. </w:t>
      </w:r>
      <w:r>
        <w:rPr>
          <w:rFonts w:ascii="Book Antiqua" w:hAnsi="Book Antiqua"/>
          <w:i/>
          <w:iCs/>
        </w:rPr>
        <w:t>Hepatol Commun</w:t>
      </w:r>
      <w:r>
        <w:rPr>
          <w:rFonts w:ascii="Book Antiqua" w:hAnsi="Book Antiqua"/>
        </w:rPr>
        <w:t xml:space="preserve"> 2022; </w:t>
      </w:r>
      <w:r>
        <w:rPr>
          <w:rFonts w:ascii="Book Antiqua" w:hAnsi="Book Antiqua"/>
          <w:b/>
          <w:bCs/>
        </w:rPr>
        <w:t>6</w:t>
      </w:r>
      <w:r>
        <w:rPr>
          <w:rFonts w:ascii="Book Antiqua" w:hAnsi="Book Antiqua"/>
        </w:rPr>
        <w:t>: 320-333 [PMID: 34532981 DOI: 10.1002/hep4.1807]</w:t>
      </w:r>
    </w:p>
    <w:p>
      <w:pPr>
        <w:spacing w:line="360" w:lineRule="auto"/>
        <w:jc w:val="both"/>
        <w:rPr>
          <w:rFonts w:ascii="Book Antiqua" w:hAnsi="Book Antiqua"/>
        </w:rPr>
      </w:pPr>
      <w:r>
        <w:rPr>
          <w:rFonts w:ascii="Book Antiqua" w:hAnsi="Book Antiqua"/>
        </w:rPr>
        <w:t xml:space="preserve">28 </w:t>
      </w:r>
      <w:r>
        <w:rPr>
          <w:rFonts w:ascii="Book Antiqua" w:hAnsi="Book Antiqua"/>
          <w:b/>
          <w:bCs/>
        </w:rPr>
        <w:t>Van Herck MA</w:t>
      </w:r>
      <w:r>
        <w:rPr>
          <w:rFonts w:ascii="Book Antiqua" w:hAnsi="Book Antiqua"/>
        </w:rPr>
        <w:t xml:space="preserve">, Vonghia L, Kwanten WJ, Vanwolleghem T, Ebo DG, Michielsen PP, De Man JG, Gama L, De Winter BY, Francque SM. Adoptive Cell Transfer of Regulatory T Cells Exacerbates Hepatic Steatosis in High-Fat High-Fructose Diet-Fed Mice. </w:t>
      </w:r>
      <w:r>
        <w:rPr>
          <w:rFonts w:ascii="Book Antiqua" w:hAnsi="Book Antiqua"/>
          <w:i/>
          <w:iCs/>
        </w:rPr>
        <w:t>Front Immunol</w:t>
      </w:r>
      <w:r>
        <w:rPr>
          <w:rFonts w:ascii="Book Antiqua" w:hAnsi="Book Antiqua"/>
        </w:rPr>
        <w:t xml:space="preserve"> 2020; </w:t>
      </w:r>
      <w:r>
        <w:rPr>
          <w:rFonts w:ascii="Book Antiqua" w:hAnsi="Book Antiqua"/>
          <w:b/>
          <w:bCs/>
        </w:rPr>
        <w:t>11</w:t>
      </w:r>
      <w:r>
        <w:rPr>
          <w:rFonts w:ascii="Book Antiqua" w:hAnsi="Book Antiqua"/>
        </w:rPr>
        <w:t>: 1711 [PMID: 32849604 DOI: 10.3389/fimmu.2020.01711]</w:t>
      </w:r>
    </w:p>
    <w:p>
      <w:pPr>
        <w:spacing w:line="360" w:lineRule="auto"/>
        <w:jc w:val="both"/>
        <w:rPr>
          <w:rFonts w:ascii="Book Antiqua" w:hAnsi="Book Antiqua"/>
        </w:rPr>
      </w:pPr>
      <w:r>
        <w:rPr>
          <w:rFonts w:ascii="Book Antiqua" w:hAnsi="Book Antiqua"/>
        </w:rPr>
        <w:t xml:space="preserve">29 </w:t>
      </w:r>
      <w:r>
        <w:rPr>
          <w:rFonts w:ascii="Book Antiqua" w:hAnsi="Book Antiqua"/>
          <w:b/>
          <w:bCs/>
        </w:rPr>
        <w:t>Wang H</w:t>
      </w:r>
      <w:r>
        <w:rPr>
          <w:rFonts w:ascii="Book Antiqua" w:hAnsi="Book Antiqua"/>
        </w:rPr>
        <w:t xml:space="preserve">, Zhang H, Wang Y, Brown ZJ, Xia Y, Huang Z, Shen C, Hu Z, Beane J, Ansa-Addo EA, Huang H, Tian D, Tsung A. Regulatory T-cell and neutrophil extracellular trap interaction contributes to carcinogenesis in non-alcoholic steatohepatitis. </w:t>
      </w:r>
      <w:r>
        <w:rPr>
          <w:rFonts w:ascii="Book Antiqua" w:hAnsi="Book Antiqua"/>
          <w:i/>
          <w:iCs/>
        </w:rPr>
        <w:t>J Hepatol</w:t>
      </w:r>
      <w:r>
        <w:rPr>
          <w:rFonts w:ascii="Book Antiqua" w:hAnsi="Book Antiqua"/>
        </w:rPr>
        <w:t xml:space="preserve"> 2021; </w:t>
      </w:r>
      <w:r>
        <w:rPr>
          <w:rFonts w:ascii="Book Antiqua" w:hAnsi="Book Antiqua"/>
          <w:b/>
          <w:bCs/>
        </w:rPr>
        <w:t>75</w:t>
      </w:r>
      <w:r>
        <w:rPr>
          <w:rFonts w:ascii="Book Antiqua" w:hAnsi="Book Antiqua"/>
        </w:rPr>
        <w:t>: 1271-1283 [PMID: 34363921 DOI: 10.1016/j.jhep.2021.07.032]</w:t>
      </w:r>
    </w:p>
    <w:p>
      <w:pPr>
        <w:spacing w:line="360" w:lineRule="auto"/>
        <w:jc w:val="both"/>
        <w:rPr>
          <w:rFonts w:ascii="Book Antiqua" w:hAnsi="Book Antiqua"/>
        </w:rPr>
      </w:pPr>
      <w:r>
        <w:rPr>
          <w:rFonts w:ascii="Book Antiqua" w:hAnsi="Book Antiqua"/>
        </w:rPr>
        <w:t xml:space="preserve">30 </w:t>
      </w:r>
      <w:r>
        <w:rPr>
          <w:rFonts w:ascii="Book Antiqua" w:hAnsi="Book Antiqua"/>
          <w:b/>
          <w:bCs/>
        </w:rPr>
        <w:t>Deng Z</w:t>
      </w:r>
      <w:r>
        <w:rPr>
          <w:rFonts w:ascii="Book Antiqua" w:hAnsi="Book Antiqua"/>
        </w:rPr>
        <w:t xml:space="preserve">, Zhou J, Mu X, Gu J, Li X, Shao Q, Li J, Yang C, Han G, Zhao J, Xia Y. Regulatory T Cells Improved the Anti-cirrhosis Activity of Human Amniotic Mesenchymal Stem Cell in the Liver by Regulating the TGF-β-Indoleamine 2,3-Dioxygenase Signaling. </w:t>
      </w:r>
      <w:r>
        <w:rPr>
          <w:rFonts w:ascii="Book Antiqua" w:hAnsi="Book Antiqua"/>
          <w:i/>
          <w:iCs/>
        </w:rPr>
        <w:t>Front Cell Dev Biol</w:t>
      </w:r>
      <w:r>
        <w:rPr>
          <w:rFonts w:ascii="Book Antiqua" w:hAnsi="Book Antiqua"/>
        </w:rPr>
        <w:t xml:space="preserve"> 2021; </w:t>
      </w:r>
      <w:r>
        <w:rPr>
          <w:rFonts w:ascii="Book Antiqua" w:hAnsi="Book Antiqua"/>
          <w:b/>
          <w:bCs/>
        </w:rPr>
        <w:t>9</w:t>
      </w:r>
      <w:r>
        <w:rPr>
          <w:rFonts w:ascii="Book Antiqua" w:hAnsi="Book Antiqua"/>
        </w:rPr>
        <w:t>: 737825 [PMID: 34712665 DOI: 10.3389/fcell.2021.737825]</w:t>
      </w:r>
    </w:p>
    <w:p>
      <w:pPr>
        <w:spacing w:line="360" w:lineRule="auto"/>
        <w:jc w:val="both"/>
        <w:rPr>
          <w:rFonts w:ascii="Book Antiqua" w:hAnsi="Book Antiqua"/>
        </w:rPr>
      </w:pPr>
      <w:r>
        <w:rPr>
          <w:rFonts w:ascii="Book Antiqua" w:hAnsi="Book Antiqua"/>
        </w:rPr>
        <w:t xml:space="preserve">31 </w:t>
      </w:r>
      <w:r>
        <w:rPr>
          <w:rFonts w:ascii="Book Antiqua" w:hAnsi="Book Antiqua"/>
          <w:b/>
          <w:bCs/>
        </w:rPr>
        <w:t>Lan YT</w:t>
      </w:r>
      <w:r>
        <w:rPr>
          <w:rFonts w:ascii="Book Antiqua" w:hAnsi="Book Antiqua"/>
        </w:rPr>
        <w:t xml:space="preserve">, Wang ZL, Tian P, Gong XN, Fan YC, Wang K. Treg/Th17 imbalance and its clinical significance in patients with hepatitis B-associated liver cirrhosis. </w:t>
      </w:r>
      <w:r>
        <w:rPr>
          <w:rFonts w:ascii="Book Antiqua" w:hAnsi="Book Antiqua"/>
          <w:i/>
          <w:iCs/>
        </w:rPr>
        <w:t>Diagn Pathol</w:t>
      </w:r>
      <w:r>
        <w:rPr>
          <w:rFonts w:ascii="Book Antiqua" w:hAnsi="Book Antiqua"/>
        </w:rPr>
        <w:t xml:space="preserve"> 2019; </w:t>
      </w:r>
      <w:r>
        <w:rPr>
          <w:rFonts w:ascii="Book Antiqua" w:hAnsi="Book Antiqua"/>
          <w:b/>
          <w:bCs/>
        </w:rPr>
        <w:t>14</w:t>
      </w:r>
      <w:r>
        <w:rPr>
          <w:rFonts w:ascii="Book Antiqua" w:hAnsi="Book Antiqua"/>
        </w:rPr>
        <w:t>: 114 [PMID: 31639000 DOI: 10.1186/s13000-019-0891-4]</w:t>
      </w:r>
    </w:p>
    <w:p>
      <w:pPr>
        <w:spacing w:line="360" w:lineRule="auto"/>
        <w:jc w:val="both"/>
        <w:rPr>
          <w:rFonts w:ascii="Book Antiqua" w:hAnsi="Book Antiqua"/>
        </w:rPr>
      </w:pPr>
      <w:r>
        <w:rPr>
          <w:rFonts w:ascii="Book Antiqua" w:hAnsi="Book Antiqua"/>
        </w:rPr>
        <w:t xml:space="preserve">32 </w:t>
      </w:r>
      <w:r>
        <w:rPr>
          <w:rFonts w:ascii="Book Antiqua" w:hAnsi="Book Antiqua"/>
          <w:b/>
          <w:bCs/>
        </w:rPr>
        <w:t>Mou H</w:t>
      </w:r>
      <w:r>
        <w:rPr>
          <w:rFonts w:ascii="Book Antiqua" w:hAnsi="Book Antiqua"/>
        </w:rPr>
        <w:t xml:space="preserve">, Wu S, Zhao G, Wang J. Changes of Th17/Treg ratio in the transition of chronic hepatitis B to liver cirrhosis and correlations with liver function and inflammation. </w:t>
      </w:r>
      <w:r>
        <w:rPr>
          <w:rFonts w:ascii="Book Antiqua" w:hAnsi="Book Antiqua"/>
          <w:i/>
          <w:iCs/>
        </w:rPr>
        <w:t>Exp Ther Med</w:t>
      </w:r>
      <w:r>
        <w:rPr>
          <w:rFonts w:ascii="Book Antiqua" w:hAnsi="Book Antiqua"/>
        </w:rPr>
        <w:t xml:space="preserve"> 2019; </w:t>
      </w:r>
      <w:r>
        <w:rPr>
          <w:rFonts w:ascii="Book Antiqua" w:hAnsi="Book Antiqua"/>
          <w:b/>
          <w:bCs/>
        </w:rPr>
        <w:t>17</w:t>
      </w:r>
      <w:r>
        <w:rPr>
          <w:rFonts w:ascii="Book Antiqua" w:hAnsi="Book Antiqua"/>
        </w:rPr>
        <w:t>: 2963-2968 [PMID: 30936966 DOI: 10.3892/etm.2019.7299]</w:t>
      </w:r>
    </w:p>
    <w:p>
      <w:pPr>
        <w:spacing w:line="360" w:lineRule="auto"/>
        <w:jc w:val="both"/>
        <w:rPr>
          <w:rFonts w:ascii="Book Antiqua" w:hAnsi="Book Antiqua"/>
        </w:rPr>
      </w:pPr>
      <w:r>
        <w:rPr>
          <w:rFonts w:ascii="Book Antiqua" w:hAnsi="Book Antiqua"/>
        </w:rPr>
        <w:t xml:space="preserve">33 </w:t>
      </w:r>
      <w:r>
        <w:rPr>
          <w:rFonts w:ascii="Book Antiqua" w:hAnsi="Book Antiqua"/>
          <w:b/>
          <w:bCs/>
        </w:rPr>
        <w:t>Zhang C</w:t>
      </w:r>
      <w:r>
        <w:rPr>
          <w:rFonts w:ascii="Book Antiqua" w:hAnsi="Book Antiqua"/>
        </w:rPr>
        <w:t xml:space="preserve">, Gao Y, Du C, Markowitz GJ, Fu J, Zhang Z, Liu C, Qin W, Wang H, Wang F, Yang P. Hepatitis B-Induced IL8 Promotes Hepatocellular Carcinoma Venous Metastasis and Intrahepatic Treg Accumulation. </w:t>
      </w:r>
      <w:r>
        <w:rPr>
          <w:rFonts w:ascii="Book Antiqua" w:hAnsi="Book Antiqua"/>
          <w:i/>
          <w:iCs/>
        </w:rPr>
        <w:t>Cancer Res</w:t>
      </w:r>
      <w:r>
        <w:rPr>
          <w:rFonts w:ascii="Book Antiqua" w:hAnsi="Book Antiqua"/>
        </w:rPr>
        <w:t xml:space="preserve"> 2021; </w:t>
      </w:r>
      <w:r>
        <w:rPr>
          <w:rFonts w:ascii="Book Antiqua" w:hAnsi="Book Antiqua"/>
          <w:b/>
          <w:bCs/>
        </w:rPr>
        <w:t>81</w:t>
      </w:r>
      <w:r>
        <w:rPr>
          <w:rFonts w:ascii="Book Antiqua" w:hAnsi="Book Antiqua"/>
        </w:rPr>
        <w:t>: 2386-2398 [PMID: 33653774 DOI: 10.1158/0008-5472.CAN-20-3453]</w:t>
      </w:r>
    </w:p>
    <w:p>
      <w:pPr>
        <w:spacing w:line="360" w:lineRule="auto"/>
        <w:jc w:val="both"/>
        <w:rPr>
          <w:rFonts w:ascii="Book Antiqua" w:hAnsi="Book Antiqua"/>
        </w:rPr>
      </w:pPr>
      <w:r>
        <w:rPr>
          <w:rFonts w:ascii="Book Antiqua" w:hAnsi="Book Antiqua"/>
        </w:rPr>
        <w:t xml:space="preserve">34 </w:t>
      </w:r>
      <w:r>
        <w:rPr>
          <w:rFonts w:ascii="Book Antiqua" w:hAnsi="Book Antiqua"/>
          <w:b/>
          <w:bCs/>
        </w:rPr>
        <w:t>Abd El-Ghani EH</w:t>
      </w:r>
      <w:r>
        <w:rPr>
          <w:rFonts w:ascii="Book Antiqua" w:hAnsi="Book Antiqua"/>
        </w:rPr>
        <w:t xml:space="preserve">, Afifi NA, Ibrahim MA, Zahran AM, El-Mokhtar MA, Mekky MA, Hetta HF. Regulatory T Cells and IL35 in Chronic Hepatitis C Related Cirrhosis and Hepatocellular Carcinoma. </w:t>
      </w:r>
      <w:r>
        <w:rPr>
          <w:rFonts w:ascii="Book Antiqua" w:hAnsi="Book Antiqua"/>
          <w:i/>
          <w:iCs/>
        </w:rPr>
        <w:t>Egypt J Immunol</w:t>
      </w:r>
      <w:r>
        <w:rPr>
          <w:rFonts w:ascii="Book Antiqua" w:hAnsi="Book Antiqua"/>
        </w:rPr>
        <w:t xml:space="preserve"> 2021; </w:t>
      </w:r>
      <w:r>
        <w:rPr>
          <w:rFonts w:ascii="Book Antiqua" w:hAnsi="Book Antiqua"/>
          <w:b/>
          <w:bCs/>
        </w:rPr>
        <w:t>28</w:t>
      </w:r>
      <w:r>
        <w:rPr>
          <w:rFonts w:ascii="Book Antiqua" w:hAnsi="Book Antiqua"/>
        </w:rPr>
        <w:t>: 46-52 [PMID: 34147053]</w:t>
      </w:r>
    </w:p>
    <w:p>
      <w:pPr>
        <w:spacing w:line="360" w:lineRule="auto"/>
        <w:jc w:val="both"/>
        <w:rPr>
          <w:rFonts w:ascii="Book Antiqua" w:hAnsi="Book Antiqua"/>
        </w:rPr>
      </w:pPr>
      <w:r>
        <w:rPr>
          <w:rFonts w:ascii="Book Antiqua" w:hAnsi="Book Antiqua"/>
        </w:rPr>
        <w:t xml:space="preserve">35 </w:t>
      </w:r>
      <w:r>
        <w:rPr>
          <w:rFonts w:ascii="Book Antiqua" w:hAnsi="Book Antiqua"/>
          <w:b/>
          <w:bCs/>
        </w:rPr>
        <w:t>Schoenberg MB</w:t>
      </w:r>
      <w:r>
        <w:rPr>
          <w:rFonts w:ascii="Book Antiqua" w:hAnsi="Book Antiqua"/>
        </w:rPr>
        <w:t xml:space="preserve">, Li X, Li X, Han Y, Hao J, Miksch RC, Koch D, Börner N, Beger NT, Bucher JN, Schiergens TS, Guba MO, Werner J, Bazhin AV. The predictive value of tumor infiltrating leukocytes in Hepatocellular Carcinoma: A systematic review and meta-analysis. </w:t>
      </w:r>
      <w:r>
        <w:rPr>
          <w:rFonts w:ascii="Book Antiqua" w:hAnsi="Book Antiqua"/>
          <w:i/>
          <w:iCs/>
        </w:rPr>
        <w:t>Eur J Surg Oncol</w:t>
      </w:r>
      <w:r>
        <w:rPr>
          <w:rFonts w:ascii="Book Antiqua" w:hAnsi="Book Antiqua"/>
        </w:rPr>
        <w:t xml:space="preserve"> 2021; </w:t>
      </w:r>
      <w:r>
        <w:rPr>
          <w:rFonts w:ascii="Book Antiqua" w:hAnsi="Book Antiqua"/>
          <w:b/>
          <w:bCs/>
        </w:rPr>
        <w:t>47</w:t>
      </w:r>
      <w:r>
        <w:rPr>
          <w:rFonts w:ascii="Book Antiqua" w:hAnsi="Book Antiqua"/>
        </w:rPr>
        <w:t>: 2561-2570 [PMID: 33966947 DOI: 10.1016/j.ejso.2021.04.042]</w:t>
      </w:r>
    </w:p>
    <w:p>
      <w:pPr>
        <w:spacing w:line="360" w:lineRule="auto"/>
        <w:jc w:val="both"/>
        <w:rPr>
          <w:rFonts w:ascii="Book Antiqua" w:hAnsi="Book Antiqua"/>
        </w:rPr>
      </w:pPr>
      <w:r>
        <w:rPr>
          <w:rFonts w:ascii="Book Antiqua" w:hAnsi="Book Antiqua"/>
        </w:rPr>
        <w:t xml:space="preserve">36 </w:t>
      </w:r>
      <w:r>
        <w:rPr>
          <w:rFonts w:ascii="Book Antiqua" w:hAnsi="Book Antiqua"/>
          <w:b/>
          <w:bCs/>
        </w:rPr>
        <w:t>Yu S</w:t>
      </w:r>
      <w:r>
        <w:rPr>
          <w:rFonts w:ascii="Book Antiqua" w:hAnsi="Book Antiqua"/>
        </w:rPr>
        <w:t xml:space="preserve">, Wang Y, Hou J, Li W, Wang X, Xiang L, Tan D, Wang W, Jiang L, Claret FX, Jiao M, Guo H. Tumor-infiltrating immune cells in hepatocellular carcinoma: Tregs is correlated with poor overall survival. </w:t>
      </w:r>
      <w:r>
        <w:rPr>
          <w:rFonts w:ascii="Book Antiqua" w:hAnsi="Book Antiqua"/>
          <w:i/>
          <w:iCs/>
        </w:rPr>
        <w:t>PLoS One</w:t>
      </w:r>
      <w:r>
        <w:rPr>
          <w:rFonts w:ascii="Book Antiqua" w:hAnsi="Book Antiqua"/>
        </w:rPr>
        <w:t xml:space="preserve"> 2020; </w:t>
      </w:r>
      <w:r>
        <w:rPr>
          <w:rFonts w:ascii="Book Antiqua" w:hAnsi="Book Antiqua"/>
          <w:b/>
          <w:bCs/>
        </w:rPr>
        <w:t>15</w:t>
      </w:r>
      <w:r>
        <w:rPr>
          <w:rFonts w:ascii="Book Antiqua" w:hAnsi="Book Antiqua"/>
        </w:rPr>
        <w:t>: e0231003 [PMID: 32240238 DOI: 10.1371/journal.pone.0231003]</w:t>
      </w:r>
    </w:p>
    <w:p>
      <w:pPr>
        <w:spacing w:line="360" w:lineRule="auto"/>
        <w:jc w:val="both"/>
        <w:rPr>
          <w:rFonts w:ascii="Book Antiqua" w:hAnsi="Book Antiqua"/>
        </w:rPr>
      </w:pPr>
      <w:r>
        <w:rPr>
          <w:rFonts w:ascii="Book Antiqua" w:hAnsi="Book Antiqua"/>
        </w:rPr>
        <w:t xml:space="preserve">37 </w:t>
      </w:r>
      <w:r>
        <w:rPr>
          <w:rFonts w:ascii="Book Antiqua" w:hAnsi="Book Antiqua"/>
          <w:b/>
          <w:bCs/>
        </w:rPr>
        <w:t>Gao Y</w:t>
      </w:r>
      <w:r>
        <w:rPr>
          <w:rFonts w:ascii="Book Antiqua" w:hAnsi="Book Antiqua"/>
        </w:rPr>
        <w:t xml:space="preserve">, You M, Fu J, Tian M, Zhong X, Du C, Hong Z, Zhu Z, Liu J, Markowitz GJ, Wang FS, Yang P. Intratumoral stem-like CCR4+ regulatory T cells orchestrate the immunosuppressive microenvironment in HCC associated with hepatitis B. </w:t>
      </w:r>
      <w:r>
        <w:rPr>
          <w:rFonts w:ascii="Book Antiqua" w:hAnsi="Book Antiqua"/>
          <w:i/>
          <w:iCs/>
        </w:rPr>
        <w:t>J Hepatol</w:t>
      </w:r>
      <w:r>
        <w:rPr>
          <w:rFonts w:ascii="Book Antiqua" w:hAnsi="Book Antiqua"/>
        </w:rPr>
        <w:t xml:space="preserve"> 2022; </w:t>
      </w:r>
      <w:r>
        <w:rPr>
          <w:rFonts w:ascii="Book Antiqua" w:hAnsi="Book Antiqua"/>
          <w:b/>
          <w:bCs/>
        </w:rPr>
        <w:t>76</w:t>
      </w:r>
      <w:r>
        <w:rPr>
          <w:rFonts w:ascii="Book Antiqua" w:hAnsi="Book Antiqua"/>
        </w:rPr>
        <w:t>: 148-159 [PMID: 34689996 DOI: 10.1016/j.jhep.2021.08.029]</w:t>
      </w:r>
    </w:p>
    <w:p>
      <w:pPr>
        <w:spacing w:line="360" w:lineRule="auto"/>
        <w:jc w:val="both"/>
        <w:rPr>
          <w:rFonts w:ascii="Book Antiqua" w:hAnsi="Book Antiqua"/>
        </w:rPr>
      </w:pPr>
      <w:r>
        <w:rPr>
          <w:rFonts w:ascii="Book Antiqua" w:hAnsi="Book Antiqua"/>
        </w:rPr>
        <w:t xml:space="preserve">38 </w:t>
      </w:r>
      <w:r>
        <w:rPr>
          <w:rFonts w:ascii="Book Antiqua" w:hAnsi="Book Antiqua"/>
          <w:b/>
          <w:bCs/>
        </w:rPr>
        <w:t>Zhou W</w:t>
      </w:r>
      <w:r>
        <w:rPr>
          <w:rFonts w:ascii="Book Antiqua" w:hAnsi="Book Antiqua"/>
        </w:rPr>
        <w:t>, Deng J, Chen Q, Li R, Xu X, Guan Y, Li W, Xiong X, Li H, Li J, Cai X. Expression of CD4+CD25+CD127</w:t>
      </w:r>
      <w:r>
        <w:rPr>
          <w:rFonts w:ascii="Book Antiqua" w:hAnsi="Book Antiqua"/>
          <w:vertAlign w:val="superscript"/>
        </w:rPr>
        <w:t>Low</w:t>
      </w:r>
      <w:r>
        <w:rPr>
          <w:rFonts w:ascii="Book Antiqua" w:hAnsi="Book Antiqua"/>
        </w:rPr>
        <w:t xml:space="preserve"> regulatory T cells and cytokines in peripheral blood of patients with primary liver carcinoma. </w:t>
      </w:r>
      <w:r>
        <w:rPr>
          <w:rFonts w:ascii="Book Antiqua" w:hAnsi="Book Antiqua"/>
          <w:i/>
          <w:iCs/>
        </w:rPr>
        <w:t>Int J Med Sci</w:t>
      </w:r>
      <w:r>
        <w:rPr>
          <w:rFonts w:ascii="Book Antiqua" w:hAnsi="Book Antiqua"/>
        </w:rPr>
        <w:t xml:space="preserve"> 2020; </w:t>
      </w:r>
      <w:r>
        <w:rPr>
          <w:rFonts w:ascii="Book Antiqua" w:hAnsi="Book Antiqua"/>
          <w:b/>
          <w:bCs/>
        </w:rPr>
        <w:t>17</w:t>
      </w:r>
      <w:r>
        <w:rPr>
          <w:rFonts w:ascii="Book Antiqua" w:hAnsi="Book Antiqua"/>
        </w:rPr>
        <w:t>: 712-719 [PMID: 32218692 DOI: 10.7150/ijms.44088]</w:t>
      </w:r>
    </w:p>
    <w:p>
      <w:pPr>
        <w:spacing w:line="360" w:lineRule="auto"/>
        <w:jc w:val="both"/>
        <w:rPr>
          <w:rFonts w:ascii="Book Antiqua" w:hAnsi="Book Antiqua"/>
        </w:rPr>
      </w:pPr>
      <w:r>
        <w:rPr>
          <w:rFonts w:ascii="Book Antiqua" w:hAnsi="Book Antiqua"/>
        </w:rPr>
        <w:t xml:space="preserve">39 </w:t>
      </w:r>
      <w:r>
        <w:rPr>
          <w:rFonts w:ascii="Book Antiqua" w:hAnsi="Book Antiqua"/>
          <w:b/>
          <w:bCs/>
        </w:rPr>
        <w:t>Sun YF</w:t>
      </w:r>
      <w:r>
        <w:rPr>
          <w:rFonts w:ascii="Book Antiqua" w:hAnsi="Book Antiqua"/>
        </w:rPr>
        <w:t xml:space="preserve">, Wu L, Liu SP, Jiang MM, Hu B, Zhou KQ, Guo W, Xu Y, Zhong Y, Zhou XR, Zhang ZF, Liu G, Liu S, Shi YH, Ji Y, Du M, Li NN, Li GB, Zhao ZK, Huang XY, Xu LQ, Yu QC, Peng DH, Qiu SJ, Sun HC, Dean M, Wang XD, Chung WY, Dennison AR, Zhou J, Hou Y, Fan J, Yang XR. Dissecting spatial heterogeneity and the immune-evasion mechanism of CTCs by single-cell RNA-seq in hepatocellular carcinoma. </w:t>
      </w:r>
      <w:r>
        <w:rPr>
          <w:rFonts w:ascii="Book Antiqua" w:hAnsi="Book Antiqua"/>
          <w:i/>
          <w:iCs/>
        </w:rPr>
        <w:t>Nat Commun</w:t>
      </w:r>
      <w:r>
        <w:rPr>
          <w:rFonts w:ascii="Book Antiqua" w:hAnsi="Book Antiqua"/>
        </w:rPr>
        <w:t xml:space="preserve"> 2021; </w:t>
      </w:r>
      <w:r>
        <w:rPr>
          <w:rFonts w:ascii="Book Antiqua" w:hAnsi="Book Antiqua"/>
          <w:b/>
          <w:bCs/>
        </w:rPr>
        <w:t>12</w:t>
      </w:r>
      <w:r>
        <w:rPr>
          <w:rFonts w:ascii="Book Antiqua" w:hAnsi="Book Antiqua"/>
        </w:rPr>
        <w:t>: 4091 [PMID: 34215748 DOI: 10.1038/s41467-021-24386-0]</w:t>
      </w:r>
    </w:p>
    <w:p>
      <w:pPr>
        <w:spacing w:line="360" w:lineRule="auto"/>
        <w:jc w:val="both"/>
        <w:rPr>
          <w:rFonts w:ascii="Book Antiqua" w:hAnsi="Book Antiqua"/>
        </w:rPr>
      </w:pPr>
      <w:r>
        <w:rPr>
          <w:rFonts w:ascii="Book Antiqua" w:hAnsi="Book Antiqua"/>
        </w:rPr>
        <w:t xml:space="preserve">40 </w:t>
      </w:r>
      <w:r>
        <w:rPr>
          <w:rFonts w:ascii="Book Antiqua" w:hAnsi="Book Antiqua"/>
          <w:b/>
          <w:bCs/>
        </w:rPr>
        <w:t>Zhou L</w:t>
      </w:r>
      <w:r>
        <w:rPr>
          <w:rFonts w:ascii="Book Antiqua" w:hAnsi="Book Antiqua"/>
        </w:rPr>
        <w:t>, Wang J, Lyu SC, Pan LC, Shi XJ, Du GS, He Q. PD-L1</w:t>
      </w:r>
      <w:r>
        <w:rPr>
          <w:rFonts w:ascii="Book Antiqua" w:hAnsi="Book Antiqua"/>
          <w:vertAlign w:val="superscript"/>
        </w:rPr>
        <w:t>+</w:t>
      </w:r>
      <w:r>
        <w:rPr>
          <w:rFonts w:ascii="Book Antiqua" w:hAnsi="Book Antiqua"/>
        </w:rPr>
        <w:t>NEUT, Foxp3</w:t>
      </w:r>
      <w:r>
        <w:rPr>
          <w:rFonts w:ascii="Book Antiqua" w:hAnsi="Book Antiqua"/>
          <w:vertAlign w:val="superscript"/>
        </w:rPr>
        <w:t>+</w:t>
      </w:r>
      <w:r>
        <w:rPr>
          <w:rFonts w:ascii="Book Antiqua" w:hAnsi="Book Antiqua"/>
        </w:rPr>
        <w:t xml:space="preserve">Treg, and NLR as New Prognostic Marker with Low Survival Benefits Value in Hepatocellular Carcinoma. </w:t>
      </w:r>
      <w:r>
        <w:rPr>
          <w:rFonts w:ascii="Book Antiqua" w:hAnsi="Book Antiqua"/>
          <w:i/>
          <w:iCs/>
        </w:rPr>
        <w:t>Technol Cancer Res Treat</w:t>
      </w:r>
      <w:r>
        <w:rPr>
          <w:rFonts w:ascii="Book Antiqua" w:hAnsi="Book Antiqua"/>
        </w:rPr>
        <w:t xml:space="preserve"> 2021; </w:t>
      </w:r>
      <w:r>
        <w:rPr>
          <w:rFonts w:ascii="Book Antiqua" w:hAnsi="Book Antiqua"/>
          <w:b/>
          <w:bCs/>
        </w:rPr>
        <w:t>20</w:t>
      </w:r>
      <w:r>
        <w:rPr>
          <w:rFonts w:ascii="Book Antiqua" w:hAnsi="Book Antiqua"/>
        </w:rPr>
        <w:t>: 15330338211045820 [PMID: 34605709 DOI: 10.1177/15330338211045820]</w:t>
      </w:r>
    </w:p>
    <w:p>
      <w:pPr>
        <w:spacing w:line="360" w:lineRule="auto"/>
        <w:jc w:val="both"/>
        <w:rPr>
          <w:rFonts w:ascii="Book Antiqua" w:hAnsi="Book Antiqua"/>
        </w:rPr>
      </w:pPr>
      <w:r>
        <w:rPr>
          <w:rFonts w:ascii="Book Antiqua" w:hAnsi="Book Antiqua"/>
        </w:rPr>
        <w:t xml:space="preserve">41 </w:t>
      </w:r>
      <w:r>
        <w:rPr>
          <w:rFonts w:ascii="Book Antiqua" w:hAnsi="Book Antiqua"/>
          <w:b/>
          <w:bCs/>
        </w:rPr>
        <w:t>Zhou SL</w:t>
      </w:r>
      <w:r>
        <w:rPr>
          <w:rFonts w:ascii="Book Antiqua" w:hAnsi="Book Antiqua"/>
        </w:rPr>
        <w:t xml:space="preserve">, Zhou ZJ, Hu ZQ, Huang XW, Wang Z, Chen EB, Fan J, Cao Y, Dai Z, Zhou J. Tumor-Associated Neutrophils Recruit Macrophages and T-Regulatory Cells to Promote Progression of Hepatocellular Carcinoma and Resistance to Sorafenib. </w:t>
      </w:r>
      <w:r>
        <w:rPr>
          <w:rFonts w:ascii="Book Antiqua" w:hAnsi="Book Antiqua"/>
          <w:i/>
          <w:iCs/>
        </w:rPr>
        <w:t>Gastroenterology</w:t>
      </w:r>
      <w:r>
        <w:rPr>
          <w:rFonts w:ascii="Book Antiqua" w:hAnsi="Book Antiqua"/>
        </w:rPr>
        <w:t xml:space="preserve"> 2016; </w:t>
      </w:r>
      <w:r>
        <w:rPr>
          <w:rFonts w:ascii="Book Antiqua" w:hAnsi="Book Antiqua"/>
          <w:b/>
          <w:bCs/>
        </w:rPr>
        <w:t>150</w:t>
      </w:r>
      <w:r>
        <w:rPr>
          <w:rFonts w:ascii="Book Antiqua" w:hAnsi="Book Antiqua"/>
        </w:rPr>
        <w:t>: 1646-1658.e17 [PMID: 26924089 DOI: 10.1053/j.gastro.2016.02.040]</w:t>
      </w:r>
    </w:p>
    <w:p>
      <w:pPr>
        <w:spacing w:line="360" w:lineRule="auto"/>
        <w:jc w:val="both"/>
        <w:rPr>
          <w:rFonts w:ascii="Book Antiqua" w:hAnsi="Book Antiqua"/>
        </w:rPr>
      </w:pPr>
      <w:r>
        <w:rPr>
          <w:rFonts w:ascii="Book Antiqua" w:hAnsi="Book Antiqua"/>
        </w:rPr>
        <w:t xml:space="preserve">42 </w:t>
      </w:r>
      <w:r>
        <w:rPr>
          <w:rFonts w:ascii="Book Antiqua" w:hAnsi="Book Antiqua"/>
          <w:b/>
          <w:bCs/>
        </w:rPr>
        <w:t>Chen X</w:t>
      </w:r>
      <w:r>
        <w:rPr>
          <w:rFonts w:ascii="Book Antiqua" w:hAnsi="Book Antiqua"/>
        </w:rPr>
        <w:t xml:space="preserve">, Du Y, Hu Q, Huang Z. Tumor-derived CD4+CD25+regulatory T cells inhibit dendritic cells function by CTLA-4. </w:t>
      </w:r>
      <w:r>
        <w:rPr>
          <w:rFonts w:ascii="Book Antiqua" w:hAnsi="Book Antiqua"/>
          <w:i/>
          <w:iCs/>
        </w:rPr>
        <w:t>Pathol Res Pract</w:t>
      </w:r>
      <w:r>
        <w:rPr>
          <w:rFonts w:ascii="Book Antiqua" w:hAnsi="Book Antiqua"/>
        </w:rPr>
        <w:t xml:space="preserve"> 2017; </w:t>
      </w:r>
      <w:r>
        <w:rPr>
          <w:rFonts w:ascii="Book Antiqua" w:hAnsi="Book Antiqua"/>
          <w:b/>
          <w:bCs/>
        </w:rPr>
        <w:t>213</w:t>
      </w:r>
      <w:r>
        <w:rPr>
          <w:rFonts w:ascii="Book Antiqua" w:hAnsi="Book Antiqua"/>
        </w:rPr>
        <w:t>: 245-249 [PMID: 28214198 DOI: 10.1016/j.prp.2016.12.008]</w:t>
      </w:r>
    </w:p>
    <w:p>
      <w:pPr>
        <w:spacing w:line="360" w:lineRule="auto"/>
        <w:jc w:val="both"/>
        <w:rPr>
          <w:rFonts w:ascii="Book Antiqua" w:hAnsi="Book Antiqua"/>
        </w:rPr>
      </w:pPr>
      <w:r>
        <w:rPr>
          <w:rFonts w:ascii="Book Antiqua" w:hAnsi="Book Antiqua"/>
        </w:rPr>
        <w:t xml:space="preserve">43 </w:t>
      </w:r>
      <w:r>
        <w:rPr>
          <w:rFonts w:ascii="Book Antiqua" w:hAnsi="Book Antiqua"/>
          <w:b/>
          <w:bCs/>
        </w:rPr>
        <w:t>Kalathil SG</w:t>
      </w:r>
      <w:r>
        <w:rPr>
          <w:rFonts w:ascii="Book Antiqua" w:hAnsi="Book Antiqua"/>
        </w:rPr>
        <w:t xml:space="preserve">, Wang K, Hutson A, Iyer R, Thanavala Y. Tivozanib mediated inhibition of c-Kit/SCF signaling on Tregs and MDSCs and reversal of tumor induced immune suppression correlates with survival of HCC patients. </w:t>
      </w:r>
      <w:r>
        <w:rPr>
          <w:rFonts w:ascii="Book Antiqua" w:hAnsi="Book Antiqua"/>
          <w:i/>
          <w:iCs/>
        </w:rPr>
        <w:t>Oncoimmunology</w:t>
      </w:r>
      <w:r>
        <w:rPr>
          <w:rFonts w:ascii="Book Antiqua" w:hAnsi="Book Antiqua"/>
        </w:rPr>
        <w:t xml:space="preserve"> 2020; </w:t>
      </w:r>
      <w:r>
        <w:rPr>
          <w:rFonts w:ascii="Book Antiqua" w:hAnsi="Book Antiqua"/>
          <w:b/>
          <w:bCs/>
        </w:rPr>
        <w:t>9</w:t>
      </w:r>
      <w:r>
        <w:rPr>
          <w:rFonts w:ascii="Book Antiqua" w:hAnsi="Book Antiqua"/>
        </w:rPr>
        <w:t>: 1824863 [PMID: 33101775 DOI: 10.1080/2162402X.2020.1824863]</w:t>
      </w:r>
    </w:p>
    <w:p>
      <w:pPr>
        <w:spacing w:line="360" w:lineRule="auto"/>
        <w:jc w:val="both"/>
        <w:rPr>
          <w:rFonts w:ascii="Book Antiqua" w:hAnsi="Book Antiqua"/>
        </w:rPr>
      </w:pPr>
      <w:r>
        <w:rPr>
          <w:rFonts w:ascii="Book Antiqua" w:hAnsi="Book Antiqua"/>
        </w:rPr>
        <w:t xml:space="preserve">44 </w:t>
      </w:r>
      <w:r>
        <w:rPr>
          <w:rFonts w:ascii="Book Antiqua" w:hAnsi="Book Antiqua"/>
          <w:b/>
          <w:bCs/>
        </w:rPr>
        <w:t>Yi C</w:t>
      </w:r>
      <w:r>
        <w:rPr>
          <w:rFonts w:ascii="Book Antiqua" w:hAnsi="Book Antiqua"/>
        </w:rPr>
        <w:t xml:space="preserve">, Chen L, Lin Z, Liu L, Shao W, Zhang R, Lin J, Zhang J, Zhu W, Jia H, Qin L, Lu L, Chen J. Lenvatinib Targets FGF Receptor 4 to Enhance Antitumor Immune Response of Anti-Programmed Cell Death-1 in HCC. </w:t>
      </w:r>
      <w:r>
        <w:rPr>
          <w:rFonts w:ascii="Book Antiqua" w:hAnsi="Book Antiqua"/>
          <w:i/>
          <w:iCs/>
        </w:rPr>
        <w:t>Hepatology</w:t>
      </w:r>
      <w:r>
        <w:rPr>
          <w:rFonts w:ascii="Book Antiqua" w:hAnsi="Book Antiqua"/>
        </w:rPr>
        <w:t xml:space="preserve"> 2021; </w:t>
      </w:r>
      <w:r>
        <w:rPr>
          <w:rFonts w:ascii="Book Antiqua" w:hAnsi="Book Antiqua"/>
          <w:b/>
          <w:bCs/>
        </w:rPr>
        <w:t>74</w:t>
      </w:r>
      <w:r>
        <w:rPr>
          <w:rFonts w:ascii="Book Antiqua" w:hAnsi="Book Antiqua"/>
        </w:rPr>
        <w:t>: 2544-2560 [PMID: 34036623 DOI: 10.1002/hep.31921]</w:t>
      </w:r>
    </w:p>
    <w:p>
      <w:pPr>
        <w:spacing w:line="360" w:lineRule="auto"/>
        <w:jc w:val="both"/>
        <w:rPr>
          <w:rFonts w:ascii="Book Antiqua" w:hAnsi="Book Antiqua"/>
        </w:rPr>
      </w:pPr>
      <w:r>
        <w:rPr>
          <w:rFonts w:ascii="Book Antiqua" w:hAnsi="Book Antiqua"/>
        </w:rPr>
        <w:t xml:space="preserve">45 </w:t>
      </w:r>
      <w:r>
        <w:rPr>
          <w:rFonts w:ascii="Book Antiqua" w:hAnsi="Book Antiqua"/>
          <w:b/>
          <w:bCs/>
        </w:rPr>
        <w:t>Lee YH</w:t>
      </w:r>
      <w:r>
        <w:rPr>
          <w:rFonts w:ascii="Book Antiqua" w:hAnsi="Book Antiqua"/>
        </w:rPr>
        <w:t xml:space="preserve">, Tai D, Yip C, Choo SP, Chew V. Combinational Immunotherapy for Hepatocellular Carcinoma: Radiotherapy, Immune Checkpoint Blockade and Beyond. </w:t>
      </w:r>
      <w:r>
        <w:rPr>
          <w:rFonts w:ascii="Book Antiqua" w:hAnsi="Book Antiqua"/>
          <w:i/>
          <w:iCs/>
        </w:rPr>
        <w:t>Front Immunol</w:t>
      </w:r>
      <w:r>
        <w:rPr>
          <w:rFonts w:ascii="Book Antiqua" w:hAnsi="Book Antiqua"/>
        </w:rPr>
        <w:t xml:space="preserve"> 2020; </w:t>
      </w:r>
      <w:r>
        <w:rPr>
          <w:rFonts w:ascii="Book Antiqua" w:hAnsi="Book Antiqua"/>
          <w:b/>
          <w:bCs/>
        </w:rPr>
        <w:t>11</w:t>
      </w:r>
      <w:r>
        <w:rPr>
          <w:rFonts w:ascii="Book Antiqua" w:hAnsi="Book Antiqua"/>
        </w:rPr>
        <w:t>: 568759 [PMID: 33117354 DOI: 10.3389/fimmu.2020.568759]</w:t>
      </w:r>
    </w:p>
    <w:p>
      <w:pPr>
        <w:spacing w:line="360" w:lineRule="auto"/>
        <w:jc w:val="both"/>
        <w:rPr>
          <w:rFonts w:ascii="Book Antiqua" w:hAnsi="Book Antiqua"/>
        </w:rPr>
      </w:pPr>
      <w:r>
        <w:rPr>
          <w:rFonts w:ascii="Book Antiqua" w:hAnsi="Book Antiqua"/>
        </w:rPr>
        <w:t xml:space="preserve">46 </w:t>
      </w:r>
      <w:r>
        <w:rPr>
          <w:rFonts w:ascii="Book Antiqua" w:hAnsi="Book Antiqua"/>
          <w:b/>
          <w:bCs/>
        </w:rPr>
        <w:t>Zhang Q</w:t>
      </w:r>
      <w:r>
        <w:rPr>
          <w:rFonts w:ascii="Book Antiqua" w:hAnsi="Book Antiqua"/>
        </w:rPr>
        <w:t xml:space="preserve">, He Y, Luo N, Patel SJ, Han Y, Gao R, Modak M, Carotta S, Haslinger C, Kind D, Peet GW, Zhong G, Lu S, Zhu W, Mao Y, Xiao M, Bergmann M, Hu X, Kerkar SP, Vogt AB, Pflanz S, Liu K, Peng J, Ren X, Zhang Z. Landscape and Dynamics of Single Immune Cells in Hepatocellular Carcinoma. </w:t>
      </w:r>
      <w:r>
        <w:rPr>
          <w:rFonts w:ascii="Book Antiqua" w:hAnsi="Book Antiqua"/>
          <w:i/>
          <w:iCs/>
        </w:rPr>
        <w:t>Cell</w:t>
      </w:r>
      <w:r>
        <w:rPr>
          <w:rFonts w:ascii="Book Antiqua" w:hAnsi="Book Antiqua"/>
        </w:rPr>
        <w:t xml:space="preserve"> 2019; </w:t>
      </w:r>
      <w:r>
        <w:rPr>
          <w:rFonts w:ascii="Book Antiqua" w:hAnsi="Book Antiqua"/>
          <w:b/>
          <w:bCs/>
        </w:rPr>
        <w:t>179</w:t>
      </w:r>
      <w:r>
        <w:rPr>
          <w:rFonts w:ascii="Book Antiqua" w:hAnsi="Book Antiqua"/>
        </w:rPr>
        <w:t>: 829-845.e20 [PMID: 31675496 DOI: 10.1016/j.cell.2019.10.003]</w:t>
      </w:r>
    </w:p>
    <w:p>
      <w:pPr>
        <w:spacing w:line="360" w:lineRule="auto"/>
        <w:jc w:val="both"/>
        <w:rPr>
          <w:rFonts w:ascii="Book Antiqua" w:hAnsi="Book Antiqua"/>
        </w:rPr>
      </w:pPr>
      <w:r>
        <w:rPr>
          <w:rFonts w:ascii="Book Antiqua" w:hAnsi="Book Antiqua"/>
        </w:rPr>
        <w:t xml:space="preserve">47 </w:t>
      </w:r>
      <w:r>
        <w:rPr>
          <w:rFonts w:ascii="Book Antiqua" w:hAnsi="Book Antiqua"/>
          <w:b/>
          <w:bCs/>
        </w:rPr>
        <w:t>Wilson GK</w:t>
      </w:r>
      <w:r>
        <w:rPr>
          <w:rFonts w:ascii="Book Antiqua" w:hAnsi="Book Antiqua"/>
        </w:rPr>
        <w:t xml:space="preserve">, Tennant DA, McKeating JA. Hypoxia inducible factors in liver disease and hepatocellular carcinoma: current understanding and future directions. </w:t>
      </w:r>
      <w:r>
        <w:rPr>
          <w:rFonts w:ascii="Book Antiqua" w:hAnsi="Book Antiqua"/>
          <w:i/>
          <w:iCs/>
        </w:rPr>
        <w:t>J Hepatol</w:t>
      </w:r>
      <w:r>
        <w:rPr>
          <w:rFonts w:ascii="Book Antiqua" w:hAnsi="Book Antiqua"/>
        </w:rPr>
        <w:t xml:space="preserve"> 2014; </w:t>
      </w:r>
      <w:r>
        <w:rPr>
          <w:rFonts w:ascii="Book Antiqua" w:hAnsi="Book Antiqua"/>
          <w:b/>
          <w:bCs/>
        </w:rPr>
        <w:t>61</w:t>
      </w:r>
      <w:r>
        <w:rPr>
          <w:rFonts w:ascii="Book Antiqua" w:hAnsi="Book Antiqua"/>
        </w:rPr>
        <w:t>: 1397-1406 [PMID: 25157983 DOI: 10.1016/j.jhep.2014.08.025]</w:t>
      </w:r>
    </w:p>
    <w:p>
      <w:pPr>
        <w:spacing w:line="360" w:lineRule="auto"/>
        <w:jc w:val="both"/>
        <w:rPr>
          <w:rFonts w:ascii="Book Antiqua" w:hAnsi="Book Antiqua"/>
        </w:rPr>
      </w:pPr>
      <w:r>
        <w:rPr>
          <w:rFonts w:ascii="Book Antiqua" w:hAnsi="Book Antiqua"/>
        </w:rPr>
        <w:t xml:space="preserve">48 </w:t>
      </w:r>
      <w:r>
        <w:rPr>
          <w:rFonts w:ascii="Book Antiqua" w:hAnsi="Book Antiqua"/>
          <w:b/>
          <w:bCs/>
        </w:rPr>
        <w:t>Guo Y</w:t>
      </w:r>
      <w:r>
        <w:rPr>
          <w:rFonts w:ascii="Book Antiqua" w:hAnsi="Book Antiqua"/>
        </w:rPr>
        <w:t>, Xiao Z, Yang L, Gao Y, Zhu Q, Hu L, Huang D, Xu Q. Hypoxia</w:t>
      </w:r>
      <w:r>
        <w:rPr>
          <w:rFonts w:ascii="Book Antiqua" w:hAnsi="Book Antiqua"/>
        </w:rPr>
        <w:noBreakHyphen/>
      </w:r>
      <w:r>
        <w:rPr>
          <w:rFonts w:ascii="Book Antiqua" w:hAnsi="Book Antiqua"/>
        </w:rPr>
        <w:t xml:space="preserve">inducible factors in hepatocellular carcinoma (Review). </w:t>
      </w:r>
      <w:r>
        <w:rPr>
          <w:rFonts w:ascii="Book Antiqua" w:hAnsi="Book Antiqua"/>
          <w:i/>
          <w:iCs/>
        </w:rPr>
        <w:t>Oncol Rep</w:t>
      </w:r>
      <w:r>
        <w:rPr>
          <w:rFonts w:ascii="Book Antiqua" w:hAnsi="Book Antiqua"/>
        </w:rPr>
        <w:t xml:space="preserve"> 2020; </w:t>
      </w:r>
      <w:r>
        <w:rPr>
          <w:rFonts w:ascii="Book Antiqua" w:hAnsi="Book Antiqua"/>
          <w:b/>
          <w:bCs/>
        </w:rPr>
        <w:t>43</w:t>
      </w:r>
      <w:r>
        <w:rPr>
          <w:rFonts w:ascii="Book Antiqua" w:hAnsi="Book Antiqua"/>
        </w:rPr>
        <w:t>: 3-15 [PMID: 31746396 DOI: 10.3892/or.2019.7397]</w:t>
      </w:r>
    </w:p>
    <w:p>
      <w:pPr>
        <w:spacing w:line="360" w:lineRule="auto"/>
        <w:jc w:val="both"/>
        <w:rPr>
          <w:rFonts w:ascii="Book Antiqua" w:hAnsi="Book Antiqua"/>
        </w:rPr>
      </w:pPr>
      <w:r>
        <w:rPr>
          <w:rFonts w:ascii="Book Antiqua" w:hAnsi="Book Antiqua"/>
        </w:rPr>
        <w:t xml:space="preserve">49 </w:t>
      </w:r>
      <w:r>
        <w:rPr>
          <w:rFonts w:ascii="Book Antiqua" w:hAnsi="Book Antiqua"/>
          <w:b/>
          <w:bCs/>
        </w:rPr>
        <w:t>Liu J</w:t>
      </w:r>
      <w:r>
        <w:rPr>
          <w:rFonts w:ascii="Book Antiqua" w:hAnsi="Book Antiqua"/>
        </w:rPr>
        <w:t xml:space="preserve">, Li W, Zhu W, He W, Zhao H, Xiang Y, Liu C, Wu W. Chronic intermittent hypoxia promotes the development of experimental non-alcoholic steatohepatitis by modulating Treg/Th17 differentiation. </w:t>
      </w:r>
      <w:r>
        <w:rPr>
          <w:rFonts w:ascii="Book Antiqua" w:hAnsi="Book Antiqua"/>
          <w:i/>
          <w:iCs/>
        </w:rPr>
        <w:t>Acta Biochim Biophys Sin (Shanghai)</w:t>
      </w:r>
      <w:r>
        <w:rPr>
          <w:rFonts w:ascii="Book Antiqua" w:hAnsi="Book Antiqua"/>
        </w:rPr>
        <w:t xml:space="preserve"> 2018; </w:t>
      </w:r>
      <w:r>
        <w:rPr>
          <w:rFonts w:ascii="Book Antiqua" w:hAnsi="Book Antiqua"/>
          <w:b/>
          <w:bCs/>
        </w:rPr>
        <w:t>50</w:t>
      </w:r>
      <w:r>
        <w:rPr>
          <w:rFonts w:ascii="Book Antiqua" w:hAnsi="Book Antiqua"/>
        </w:rPr>
        <w:t>: 1200-1210 [PMID: 30379980 DOI: 10.1093/abbs/gmy131]</w:t>
      </w:r>
    </w:p>
    <w:p>
      <w:pPr>
        <w:spacing w:line="360" w:lineRule="auto"/>
        <w:jc w:val="both"/>
        <w:rPr>
          <w:rFonts w:ascii="Book Antiqua" w:hAnsi="Book Antiqua"/>
        </w:rPr>
      </w:pPr>
      <w:r>
        <w:rPr>
          <w:rFonts w:ascii="Book Antiqua" w:hAnsi="Book Antiqua"/>
        </w:rPr>
        <w:t xml:space="preserve">50 </w:t>
      </w:r>
      <w:r>
        <w:rPr>
          <w:rFonts w:ascii="Book Antiqua" w:hAnsi="Book Antiqua"/>
          <w:b/>
          <w:bCs/>
        </w:rPr>
        <w:t>Hu CC</w:t>
      </w:r>
      <w:r>
        <w:rPr>
          <w:rFonts w:ascii="Book Antiqua" w:hAnsi="Book Antiqua"/>
        </w:rPr>
        <w:t xml:space="preserve">, Jeng WJ, Chen YC, Fang JH, Huang CH, Teng W, Hsieh YC, Lin YC, Chien RN, Sheen IS, Lin CY. Memory Regulatory T cells Increase Only In Inflammatory Phase of Chronic Hepatitis B Infection and Related to Galectin-9/Tim-3 interaction. </w:t>
      </w:r>
      <w:r>
        <w:rPr>
          <w:rFonts w:ascii="Book Antiqua" w:hAnsi="Book Antiqua"/>
          <w:i/>
          <w:iCs/>
        </w:rPr>
        <w:t>Sci Rep</w:t>
      </w:r>
      <w:r>
        <w:rPr>
          <w:rFonts w:ascii="Book Antiqua" w:hAnsi="Book Antiqua"/>
        </w:rPr>
        <w:t xml:space="preserve"> 2017; </w:t>
      </w:r>
      <w:r>
        <w:rPr>
          <w:rFonts w:ascii="Book Antiqua" w:hAnsi="Book Antiqua"/>
          <w:b/>
          <w:bCs/>
        </w:rPr>
        <w:t>7</w:t>
      </w:r>
      <w:r>
        <w:rPr>
          <w:rFonts w:ascii="Book Antiqua" w:hAnsi="Book Antiqua"/>
        </w:rPr>
        <w:t>: 15280 [PMID: 29127350 DOI: 10.1038/s41598-017-15527-x]</w:t>
      </w:r>
    </w:p>
    <w:p>
      <w:pPr>
        <w:spacing w:line="360" w:lineRule="auto"/>
        <w:jc w:val="both"/>
        <w:rPr>
          <w:rFonts w:ascii="Book Antiqua" w:hAnsi="Book Antiqua"/>
        </w:rPr>
      </w:pPr>
      <w:r>
        <w:rPr>
          <w:rFonts w:ascii="Book Antiqua" w:hAnsi="Book Antiqua"/>
        </w:rPr>
        <w:t xml:space="preserve">51 </w:t>
      </w:r>
      <w:r>
        <w:rPr>
          <w:rFonts w:ascii="Book Antiqua" w:hAnsi="Book Antiqua"/>
          <w:b/>
          <w:bCs/>
        </w:rPr>
        <w:t>Nebbia G</w:t>
      </w:r>
      <w:r>
        <w:rPr>
          <w:rFonts w:ascii="Book Antiqua" w:hAnsi="Book Antiqua"/>
        </w:rPr>
        <w:t xml:space="preserve">, Peppa D, Schurich A, Khanna P, Singh HD, Cheng Y, Rosenberg W, Dusheiko G, Gilson R, ChinAleong J, Kennedy P, Maini MK. Upregulation of the Tim-3/galectin-9 pathway of T cell exhaustion in chronic hepatitis B virus infection. </w:t>
      </w:r>
      <w:r>
        <w:rPr>
          <w:rFonts w:ascii="Book Antiqua" w:hAnsi="Book Antiqua"/>
          <w:i/>
          <w:iCs/>
        </w:rPr>
        <w:t>PLoS One</w:t>
      </w:r>
      <w:r>
        <w:rPr>
          <w:rFonts w:ascii="Book Antiqua" w:hAnsi="Book Antiqua"/>
        </w:rPr>
        <w:t xml:space="preserve"> 2012; </w:t>
      </w:r>
      <w:r>
        <w:rPr>
          <w:rFonts w:ascii="Book Antiqua" w:hAnsi="Book Antiqua"/>
          <w:b/>
          <w:bCs/>
        </w:rPr>
        <w:t>7</w:t>
      </w:r>
      <w:r>
        <w:rPr>
          <w:rFonts w:ascii="Book Antiqua" w:hAnsi="Book Antiqua"/>
        </w:rPr>
        <w:t>: e47648 [PMID: 23112829 DOI: 10.1371/journal.pone.0047648]</w:t>
      </w:r>
    </w:p>
    <w:p>
      <w:pPr>
        <w:spacing w:line="360" w:lineRule="auto"/>
        <w:jc w:val="both"/>
        <w:rPr>
          <w:rFonts w:ascii="Book Antiqua" w:hAnsi="Book Antiqua"/>
        </w:rPr>
      </w:pPr>
      <w:r>
        <w:rPr>
          <w:rFonts w:ascii="Book Antiqua" w:hAnsi="Book Antiqua"/>
        </w:rPr>
        <w:t xml:space="preserve">52 </w:t>
      </w:r>
      <w:r>
        <w:rPr>
          <w:rFonts w:ascii="Book Antiqua" w:hAnsi="Book Antiqua"/>
          <w:b/>
          <w:bCs/>
        </w:rPr>
        <w:t>Ju Y</w:t>
      </w:r>
      <w:r>
        <w:rPr>
          <w:rFonts w:ascii="Book Antiqua" w:hAnsi="Book Antiqua"/>
        </w:rPr>
        <w:t xml:space="preserve">, Shang X, Liu Z, Zhang J, Li Y, Shen Y, Liu Y, Liu C, Liu B, Xu L, Wang Y, Zhang B, Zou J. The Tim-3/galectin-9 pathway involves in the homeostasis of hepatic Tregs in a mouse model of concanavalin A-induced hepatitis. </w:t>
      </w:r>
      <w:r>
        <w:rPr>
          <w:rFonts w:ascii="Book Antiqua" w:hAnsi="Book Antiqua"/>
          <w:i/>
          <w:iCs/>
        </w:rPr>
        <w:t>Mol Immunol</w:t>
      </w:r>
      <w:r>
        <w:rPr>
          <w:rFonts w:ascii="Book Antiqua" w:hAnsi="Book Antiqua"/>
        </w:rPr>
        <w:t xml:space="preserve"> 2014; </w:t>
      </w:r>
      <w:r>
        <w:rPr>
          <w:rFonts w:ascii="Book Antiqua" w:hAnsi="Book Antiqua"/>
          <w:b/>
          <w:bCs/>
        </w:rPr>
        <w:t>58</w:t>
      </w:r>
      <w:r>
        <w:rPr>
          <w:rFonts w:ascii="Book Antiqua" w:hAnsi="Book Antiqua"/>
        </w:rPr>
        <w:t>: 85-91 [PMID: 24333756 DOI: 10.1016/j.molimm.2013.11.001]</w:t>
      </w:r>
    </w:p>
    <w:p>
      <w:pPr>
        <w:spacing w:line="360" w:lineRule="auto"/>
        <w:jc w:val="both"/>
        <w:rPr>
          <w:rFonts w:ascii="Book Antiqua" w:hAnsi="Book Antiqua"/>
        </w:rPr>
      </w:pPr>
      <w:r>
        <w:rPr>
          <w:rFonts w:ascii="Book Antiqua" w:hAnsi="Book Antiqua"/>
        </w:rPr>
        <w:t xml:space="preserve">53 </w:t>
      </w:r>
      <w:r>
        <w:rPr>
          <w:rFonts w:ascii="Book Antiqua" w:hAnsi="Book Antiqua"/>
          <w:b/>
          <w:bCs/>
        </w:rPr>
        <w:t>Wang Z</w:t>
      </w:r>
      <w:r>
        <w:rPr>
          <w:rFonts w:ascii="Book Antiqua" w:hAnsi="Book Antiqua"/>
        </w:rPr>
        <w:t xml:space="preserve">, He L, Li W, Xu C, Zhang J, Wang D, Dou K, Zhuang R, Jin B, Zhang W, Hao Q, Zhang K, Zhang W, Wang S, Gao Y, Gu J, Shang L, Tan Z, Su H, Zhang Y, Zhang C, Li M. GDF15 induces immunosuppression via CD48 on regulatory T cells in hepatocellular carcinoma. </w:t>
      </w:r>
      <w:r>
        <w:rPr>
          <w:rFonts w:ascii="Book Antiqua" w:hAnsi="Book Antiqua"/>
          <w:i/>
          <w:iCs/>
        </w:rPr>
        <w:t>J Immunother Cancer</w:t>
      </w:r>
      <w:r>
        <w:rPr>
          <w:rFonts w:ascii="Book Antiqua" w:hAnsi="Book Antiqua"/>
        </w:rPr>
        <w:t xml:space="preserve"> 2021; </w:t>
      </w:r>
      <w:r>
        <w:rPr>
          <w:rFonts w:ascii="Book Antiqua" w:hAnsi="Book Antiqua"/>
          <w:b/>
          <w:bCs/>
        </w:rPr>
        <w:t>9</w:t>
      </w:r>
      <w:r>
        <w:rPr>
          <w:rFonts w:ascii="Book Antiqua" w:hAnsi="Book Antiqua"/>
        </w:rPr>
        <w:t xml:space="preserve"> [PMID: 34489334 DOI: 10.1136/jitc-2021-002787]</w:t>
      </w:r>
    </w:p>
    <w:p>
      <w:pPr>
        <w:spacing w:line="360" w:lineRule="auto"/>
        <w:jc w:val="both"/>
        <w:rPr>
          <w:rFonts w:ascii="Book Antiqua" w:hAnsi="Book Antiqua"/>
        </w:rPr>
      </w:pPr>
      <w:r>
        <w:rPr>
          <w:rFonts w:ascii="Book Antiqua" w:hAnsi="Book Antiqua"/>
        </w:rPr>
        <w:t xml:space="preserve">54 </w:t>
      </w:r>
      <w:r>
        <w:rPr>
          <w:rFonts w:ascii="Book Antiqua" w:hAnsi="Book Antiqua"/>
          <w:b/>
          <w:bCs/>
        </w:rPr>
        <w:t>Li Y</w:t>
      </w:r>
      <w:r>
        <w:rPr>
          <w:rFonts w:ascii="Book Antiqua" w:hAnsi="Book Antiqua"/>
        </w:rPr>
        <w:t xml:space="preserve">, Jiang HT, Han LB, Xiao L, Gan JH. MiR-195 regulates CD40 to maintain Th17/Treg balance in rats with non-alcoholic fatty liver disease. </w:t>
      </w:r>
      <w:r>
        <w:rPr>
          <w:rFonts w:ascii="Book Antiqua" w:hAnsi="Book Antiqua"/>
          <w:i/>
          <w:iCs/>
        </w:rPr>
        <w:t>Biomed Pharmacother</w:t>
      </w:r>
      <w:r>
        <w:rPr>
          <w:rFonts w:ascii="Book Antiqua" w:hAnsi="Book Antiqua"/>
        </w:rPr>
        <w:t xml:space="preserve"> 2020; </w:t>
      </w:r>
      <w:r>
        <w:rPr>
          <w:rFonts w:ascii="Book Antiqua" w:hAnsi="Book Antiqua"/>
          <w:b/>
          <w:bCs/>
        </w:rPr>
        <w:t>124</w:t>
      </w:r>
      <w:r>
        <w:rPr>
          <w:rFonts w:ascii="Book Antiqua" w:hAnsi="Book Antiqua"/>
        </w:rPr>
        <w:t>: 109930 [PMID: 31991386 DOI: 10.1016/j.biopha.2020.109930]</w:t>
      </w:r>
    </w:p>
    <w:p>
      <w:pPr>
        <w:spacing w:line="360" w:lineRule="auto"/>
        <w:jc w:val="both"/>
        <w:rPr>
          <w:rFonts w:ascii="Book Antiqua" w:hAnsi="Book Antiqua"/>
        </w:rPr>
      </w:pPr>
      <w:r>
        <w:rPr>
          <w:rFonts w:ascii="Book Antiqua" w:hAnsi="Book Antiqua"/>
        </w:rPr>
        <w:t xml:space="preserve">55 </w:t>
      </w:r>
      <w:r>
        <w:rPr>
          <w:rFonts w:ascii="Book Antiqua" w:hAnsi="Book Antiqua"/>
          <w:b/>
          <w:bCs/>
        </w:rPr>
        <w:t>Cai C</w:t>
      </w:r>
      <w:r>
        <w:rPr>
          <w:rFonts w:ascii="Book Antiqua" w:hAnsi="Book Antiqua"/>
        </w:rPr>
        <w:t xml:space="preserve">, Chen DZ, Tu HX, Chen WK, Ge LC, Fu TT, Tao Y, Ye SS, Li J, Lin Z, Wang XD, Xu LM, Chen YP. MicroRNA-29c Acting on FOS Plays a Significant Role in Nonalcoholic Steatohepatitis Through the Interleukin-17 Signaling Pathway. </w:t>
      </w:r>
      <w:r>
        <w:rPr>
          <w:rFonts w:ascii="Book Antiqua" w:hAnsi="Book Antiqua"/>
          <w:i/>
          <w:iCs/>
        </w:rPr>
        <w:t>Front Physiol</w:t>
      </w:r>
      <w:r>
        <w:rPr>
          <w:rFonts w:ascii="Book Antiqua" w:hAnsi="Book Antiqua"/>
        </w:rPr>
        <w:t xml:space="preserve"> 2021; </w:t>
      </w:r>
      <w:r>
        <w:rPr>
          <w:rFonts w:ascii="Book Antiqua" w:hAnsi="Book Antiqua"/>
          <w:b/>
          <w:bCs/>
        </w:rPr>
        <w:t>12</w:t>
      </w:r>
      <w:r>
        <w:rPr>
          <w:rFonts w:ascii="Book Antiqua" w:hAnsi="Book Antiqua"/>
        </w:rPr>
        <w:t>: 597449 [PMID: 33927635 DOI: 10.3389/fphys.2021.597449]</w:t>
      </w:r>
    </w:p>
    <w:p>
      <w:pPr>
        <w:spacing w:line="360" w:lineRule="auto"/>
        <w:jc w:val="both"/>
        <w:rPr>
          <w:rFonts w:ascii="Book Antiqua" w:hAnsi="Book Antiqua"/>
        </w:rPr>
      </w:pPr>
      <w:r>
        <w:rPr>
          <w:rFonts w:ascii="Book Antiqua" w:hAnsi="Book Antiqua"/>
        </w:rPr>
        <w:t xml:space="preserve">56 </w:t>
      </w:r>
      <w:r>
        <w:rPr>
          <w:rFonts w:ascii="Book Antiqua" w:hAnsi="Book Antiqua"/>
          <w:b/>
          <w:bCs/>
        </w:rPr>
        <w:t>Xia G</w:t>
      </w:r>
      <w:r>
        <w:rPr>
          <w:rFonts w:ascii="Book Antiqua" w:hAnsi="Book Antiqua"/>
        </w:rPr>
        <w:t xml:space="preserve">, Wu S, Wang X, Fu M. Inhibition of microRNA-155 attenuates concanavalin-A-induced autoimmune hepatitis by regulating Treg/Th17 cell differentiation. </w:t>
      </w:r>
      <w:r>
        <w:rPr>
          <w:rFonts w:ascii="Book Antiqua" w:hAnsi="Book Antiqua"/>
          <w:i/>
          <w:iCs/>
        </w:rPr>
        <w:t>Can J Physiol Pharmacol</w:t>
      </w:r>
      <w:r>
        <w:rPr>
          <w:rFonts w:ascii="Book Antiqua" w:hAnsi="Book Antiqua"/>
        </w:rPr>
        <w:t xml:space="preserve"> 2018; </w:t>
      </w:r>
      <w:r>
        <w:rPr>
          <w:rFonts w:ascii="Book Antiqua" w:hAnsi="Book Antiqua"/>
          <w:b/>
          <w:bCs/>
        </w:rPr>
        <w:t>96</w:t>
      </w:r>
      <w:r>
        <w:rPr>
          <w:rFonts w:ascii="Book Antiqua" w:hAnsi="Book Antiqua"/>
        </w:rPr>
        <w:t>: 1293-1300 [PMID: 30290123 DOI: 10.1139/cjpp-2018-0467]</w:t>
      </w:r>
    </w:p>
    <w:p>
      <w:pPr>
        <w:spacing w:line="360" w:lineRule="auto"/>
        <w:jc w:val="both"/>
        <w:rPr>
          <w:rFonts w:ascii="Book Antiqua" w:hAnsi="Book Antiqua"/>
        </w:rPr>
      </w:pPr>
      <w:r>
        <w:rPr>
          <w:rFonts w:ascii="Book Antiqua" w:hAnsi="Book Antiqua"/>
        </w:rPr>
        <w:t xml:space="preserve">57 </w:t>
      </w:r>
      <w:r>
        <w:rPr>
          <w:rFonts w:ascii="Book Antiqua" w:hAnsi="Book Antiqua"/>
          <w:b/>
          <w:bCs/>
        </w:rPr>
        <w:t>Liu N</w:t>
      </w:r>
      <w:r>
        <w:rPr>
          <w:rFonts w:ascii="Book Antiqua" w:hAnsi="Book Antiqua"/>
        </w:rPr>
        <w:t xml:space="preserve">, Chang CW, Steer CJ, Wang XW, Song G. MicroRNA-15a/16-1 Prevents Hepatocellular Carcinoma by Disrupting the Communication Between Kupffer Cells and Regulatory T Cells. </w:t>
      </w:r>
      <w:r>
        <w:rPr>
          <w:rFonts w:ascii="Book Antiqua" w:hAnsi="Book Antiqua"/>
          <w:i/>
          <w:iCs/>
        </w:rPr>
        <w:t>Gastroenterology</w:t>
      </w:r>
      <w:r>
        <w:rPr>
          <w:rFonts w:ascii="Book Antiqua" w:hAnsi="Book Antiqua"/>
        </w:rPr>
        <w:t xml:space="preserve"> 2022; </w:t>
      </w:r>
      <w:r>
        <w:rPr>
          <w:rFonts w:ascii="Book Antiqua" w:hAnsi="Book Antiqua"/>
          <w:b/>
          <w:bCs/>
        </w:rPr>
        <w:t>162</w:t>
      </w:r>
      <w:r>
        <w:rPr>
          <w:rFonts w:ascii="Book Antiqua" w:hAnsi="Book Antiqua"/>
        </w:rPr>
        <w:t>: 575-589 [PMID: 34678217 DOI: 10.1053/j.gastro.2021.10.015]</w:t>
      </w:r>
    </w:p>
    <w:p>
      <w:pPr>
        <w:spacing w:line="360" w:lineRule="auto"/>
        <w:jc w:val="both"/>
        <w:rPr>
          <w:rFonts w:ascii="Book Antiqua" w:hAnsi="Book Antiqua"/>
        </w:rPr>
      </w:pPr>
      <w:r>
        <w:rPr>
          <w:rFonts w:ascii="Book Antiqua" w:hAnsi="Book Antiqua"/>
        </w:rPr>
        <w:t xml:space="preserve">58 </w:t>
      </w:r>
      <w:r>
        <w:rPr>
          <w:rFonts w:ascii="Book Antiqua" w:hAnsi="Book Antiqua"/>
          <w:b/>
          <w:bCs/>
        </w:rPr>
        <w:t>Yu Z</w:t>
      </w:r>
      <w:r>
        <w:rPr>
          <w:rFonts w:ascii="Book Antiqua" w:hAnsi="Book Antiqua"/>
        </w:rPr>
        <w:t xml:space="preserve">, Zhao H, Feng X, Li H, Qiu C, Yi X, Tang H, Zhang J. Long Non-coding RNA FENDRR Acts as a miR-423-5p Sponge to Suppress the Treg-Mediated Immune Escape of Hepatocellular Carcinoma Cells. </w:t>
      </w:r>
      <w:r>
        <w:rPr>
          <w:rFonts w:ascii="Book Antiqua" w:hAnsi="Book Antiqua"/>
          <w:i/>
          <w:iCs/>
        </w:rPr>
        <w:t>Mol Ther Nucleic Acids</w:t>
      </w:r>
      <w:r>
        <w:rPr>
          <w:rFonts w:ascii="Book Antiqua" w:hAnsi="Book Antiqua"/>
        </w:rPr>
        <w:t xml:space="preserve"> 2019; </w:t>
      </w:r>
      <w:r>
        <w:rPr>
          <w:rFonts w:ascii="Book Antiqua" w:hAnsi="Book Antiqua"/>
          <w:b/>
          <w:bCs/>
        </w:rPr>
        <w:t>17</w:t>
      </w:r>
      <w:r>
        <w:rPr>
          <w:rFonts w:ascii="Book Antiqua" w:hAnsi="Book Antiqua"/>
        </w:rPr>
        <w:t>: 516-529 [PMID: 31351327 DOI: 10.1016/j.omtn.2019.05.027]</w:t>
      </w:r>
    </w:p>
    <w:p>
      <w:pPr>
        <w:spacing w:line="360" w:lineRule="auto"/>
        <w:jc w:val="both"/>
        <w:rPr>
          <w:rFonts w:ascii="Book Antiqua" w:hAnsi="Book Antiqua"/>
        </w:rPr>
      </w:pPr>
      <w:r>
        <w:rPr>
          <w:rFonts w:ascii="Book Antiqua" w:hAnsi="Book Antiqua"/>
        </w:rPr>
        <w:t xml:space="preserve">59 </w:t>
      </w:r>
      <w:r>
        <w:rPr>
          <w:rFonts w:ascii="Book Antiqua" w:hAnsi="Book Antiqua"/>
          <w:b/>
          <w:bCs/>
        </w:rPr>
        <w:t>Xie K</w:t>
      </w:r>
      <w:r>
        <w:rPr>
          <w:rFonts w:ascii="Book Antiqua" w:hAnsi="Book Antiqua"/>
        </w:rPr>
        <w:t xml:space="preserve">, Liu L, Chen J, Liu F. Exosomal miR-1246 derived from human umbilical cord blood mesenchymal stem cells attenuates hepatic ischemia reperfusion injury by modulating T helper 17/regulatory T balance. </w:t>
      </w:r>
      <w:r>
        <w:rPr>
          <w:rFonts w:ascii="Book Antiqua" w:hAnsi="Book Antiqua"/>
          <w:i/>
          <w:iCs/>
        </w:rPr>
        <w:t>IUBMB Life</w:t>
      </w:r>
      <w:r>
        <w:rPr>
          <w:rFonts w:ascii="Book Antiqua" w:hAnsi="Book Antiqua"/>
        </w:rPr>
        <w:t xml:space="preserve"> 2019; </w:t>
      </w:r>
      <w:r>
        <w:rPr>
          <w:rFonts w:ascii="Book Antiqua" w:hAnsi="Book Antiqua"/>
          <w:b/>
          <w:bCs/>
        </w:rPr>
        <w:t>71</w:t>
      </w:r>
      <w:r>
        <w:rPr>
          <w:rFonts w:ascii="Book Antiqua" w:hAnsi="Book Antiqua"/>
        </w:rPr>
        <w:t>: 2020-2030 [PMID: 31433911 DOI: 10.1002/iub.2147]</w:t>
      </w:r>
    </w:p>
    <w:p>
      <w:pPr>
        <w:spacing w:line="360" w:lineRule="auto"/>
        <w:jc w:val="both"/>
        <w:rPr>
          <w:rFonts w:ascii="Book Antiqua" w:hAnsi="Book Antiqua"/>
        </w:rPr>
      </w:pPr>
      <w:r>
        <w:rPr>
          <w:rFonts w:ascii="Book Antiqua" w:hAnsi="Book Antiqua"/>
        </w:rPr>
        <w:t xml:space="preserve">60 </w:t>
      </w:r>
      <w:r>
        <w:rPr>
          <w:rFonts w:ascii="Book Antiqua" w:hAnsi="Book Antiqua"/>
          <w:b/>
          <w:bCs/>
        </w:rPr>
        <w:t>Pasare C</w:t>
      </w:r>
      <w:r>
        <w:rPr>
          <w:rFonts w:ascii="Book Antiqua" w:hAnsi="Book Antiqua"/>
        </w:rPr>
        <w:t xml:space="preserve">, Medzhitov R. Toll pathway-dependent blockade of CD4+CD25+ T cell-mediated suppression by dendritic cells. </w:t>
      </w:r>
      <w:r>
        <w:rPr>
          <w:rFonts w:ascii="Book Antiqua" w:hAnsi="Book Antiqua"/>
          <w:i/>
          <w:iCs/>
        </w:rPr>
        <w:t>Science</w:t>
      </w:r>
      <w:r>
        <w:rPr>
          <w:rFonts w:ascii="Book Antiqua" w:hAnsi="Book Antiqua"/>
        </w:rPr>
        <w:t xml:space="preserve"> 2003; </w:t>
      </w:r>
      <w:r>
        <w:rPr>
          <w:rFonts w:ascii="Book Antiqua" w:hAnsi="Book Antiqua"/>
          <w:b/>
          <w:bCs/>
        </w:rPr>
        <w:t>299</w:t>
      </w:r>
      <w:r>
        <w:rPr>
          <w:rFonts w:ascii="Book Antiqua" w:hAnsi="Book Antiqua"/>
        </w:rPr>
        <w:t>: 1033-1036 [PMID: 12532024 DOI: 10.1126/science.1078231]</w:t>
      </w:r>
    </w:p>
    <w:p>
      <w:pPr>
        <w:spacing w:line="360" w:lineRule="auto"/>
        <w:jc w:val="both"/>
        <w:rPr>
          <w:rFonts w:ascii="Book Antiqua" w:hAnsi="Book Antiqua"/>
        </w:rPr>
      </w:pPr>
      <w:r>
        <w:rPr>
          <w:rFonts w:ascii="Book Antiqua" w:hAnsi="Book Antiqua"/>
        </w:rPr>
        <w:t xml:space="preserve">61 </w:t>
      </w:r>
      <w:r>
        <w:rPr>
          <w:rFonts w:ascii="Book Antiqua" w:hAnsi="Book Antiqua"/>
          <w:b/>
          <w:bCs/>
        </w:rPr>
        <w:t>Hall JA</w:t>
      </w:r>
      <w:r>
        <w:rPr>
          <w:rFonts w:ascii="Book Antiqua" w:hAnsi="Book Antiqua"/>
        </w:rPr>
        <w:t xml:space="preserve">, Bouladoux N, Sun CM, Wohlfert EA, Blank RB, Zhu Q, Grigg ME, Berzofsky JA, Belkaid Y. Commensal DNA limits regulatory T cell conversion and is a natural adjuvant of intestinal immune responses. </w:t>
      </w:r>
      <w:r>
        <w:rPr>
          <w:rFonts w:ascii="Book Antiqua" w:hAnsi="Book Antiqua"/>
          <w:i/>
          <w:iCs/>
        </w:rPr>
        <w:t>Immunity</w:t>
      </w:r>
      <w:r>
        <w:rPr>
          <w:rFonts w:ascii="Book Antiqua" w:hAnsi="Book Antiqua"/>
        </w:rPr>
        <w:t xml:space="preserve"> 2008; </w:t>
      </w:r>
      <w:r>
        <w:rPr>
          <w:rFonts w:ascii="Book Antiqua" w:hAnsi="Book Antiqua"/>
          <w:b/>
          <w:bCs/>
        </w:rPr>
        <w:t>29</w:t>
      </w:r>
      <w:r>
        <w:rPr>
          <w:rFonts w:ascii="Book Antiqua" w:hAnsi="Book Antiqua"/>
        </w:rPr>
        <w:t>: 637-649 [PMID: 18835196 DOI: 10.1016/j.immuni.2008.08.009]</w:t>
      </w:r>
    </w:p>
    <w:p>
      <w:pPr>
        <w:spacing w:line="360" w:lineRule="auto"/>
        <w:jc w:val="both"/>
        <w:rPr>
          <w:rFonts w:ascii="Book Antiqua" w:hAnsi="Book Antiqua"/>
        </w:rPr>
      </w:pPr>
      <w:r>
        <w:rPr>
          <w:rFonts w:ascii="Book Antiqua" w:hAnsi="Book Antiqua"/>
        </w:rPr>
        <w:t xml:space="preserve">62 </w:t>
      </w:r>
      <w:r>
        <w:rPr>
          <w:rFonts w:ascii="Book Antiqua" w:hAnsi="Book Antiqua"/>
          <w:b/>
          <w:bCs/>
        </w:rPr>
        <w:t>Ni X</w:t>
      </w:r>
      <w:r>
        <w:rPr>
          <w:rFonts w:ascii="Book Antiqua" w:hAnsi="Book Antiqua"/>
        </w:rPr>
        <w:t xml:space="preserve">, Tao J, Barbi J, Chen Q, Park BV, Li Z, Zhang N, Lebid A, Ramaswamy A, Wei P, Zheng Y, Zhang X, Wu X, Vignali P, Yang CP, Li H, Pardoll D, Lu L, Pan D, Pan F. YAP Is Essential for Treg-Mediated Suppression of Antitumor Immunity. </w:t>
      </w:r>
      <w:r>
        <w:rPr>
          <w:rFonts w:ascii="Book Antiqua" w:hAnsi="Book Antiqua"/>
          <w:i/>
          <w:iCs/>
        </w:rPr>
        <w:t>Cancer Discov</w:t>
      </w:r>
      <w:r>
        <w:rPr>
          <w:rFonts w:ascii="Book Antiqua" w:hAnsi="Book Antiqua"/>
        </w:rPr>
        <w:t xml:space="preserve"> 2018; </w:t>
      </w:r>
      <w:r>
        <w:rPr>
          <w:rFonts w:ascii="Book Antiqua" w:hAnsi="Book Antiqua"/>
          <w:b/>
          <w:bCs/>
        </w:rPr>
        <w:t>8</w:t>
      </w:r>
      <w:r>
        <w:rPr>
          <w:rFonts w:ascii="Book Antiqua" w:hAnsi="Book Antiqua"/>
        </w:rPr>
        <w:t>: 1026-1043 [PMID: 29907586 DOI: 10.1158/2159-8290.CD-17-1124]</w:t>
      </w:r>
    </w:p>
    <w:p>
      <w:pPr>
        <w:spacing w:line="360" w:lineRule="auto"/>
        <w:jc w:val="both"/>
        <w:rPr>
          <w:rFonts w:ascii="Book Antiqua" w:hAnsi="Book Antiqua"/>
        </w:rPr>
      </w:pPr>
      <w:r>
        <w:rPr>
          <w:rFonts w:ascii="Book Antiqua" w:hAnsi="Book Antiqua"/>
        </w:rPr>
        <w:t xml:space="preserve">63 </w:t>
      </w:r>
      <w:r>
        <w:rPr>
          <w:rFonts w:ascii="Book Antiqua" w:hAnsi="Book Antiqua"/>
          <w:b/>
          <w:bCs/>
        </w:rPr>
        <w:t>Polanczyk MJ</w:t>
      </w:r>
      <w:r>
        <w:rPr>
          <w:rFonts w:ascii="Book Antiqua" w:hAnsi="Book Antiqua"/>
        </w:rPr>
        <w:t>, Walker E, Haley D, Guerrouahen BS, Akporiaye ET. Blockade of TGF-β signaling to enhance the antitumor response is accompanied by dysregulation of the functional activity of CD4</w:t>
      </w:r>
      <w:r>
        <w:rPr>
          <w:rFonts w:ascii="Book Antiqua" w:hAnsi="Book Antiqua"/>
          <w:vertAlign w:val="superscript"/>
        </w:rPr>
        <w:t>+</w:t>
      </w:r>
      <w:r>
        <w:rPr>
          <w:rFonts w:ascii="Book Antiqua" w:hAnsi="Book Antiqua"/>
        </w:rPr>
        <w:t>CD25</w:t>
      </w:r>
      <w:r>
        <w:rPr>
          <w:rFonts w:ascii="Book Antiqua" w:hAnsi="Book Antiqua"/>
          <w:vertAlign w:val="superscript"/>
        </w:rPr>
        <w:t>+</w:t>
      </w:r>
      <w:r>
        <w:rPr>
          <w:rFonts w:ascii="Book Antiqua" w:hAnsi="Book Antiqua"/>
        </w:rPr>
        <w:t>Foxp3</w:t>
      </w:r>
      <w:r>
        <w:rPr>
          <w:rFonts w:ascii="Book Antiqua" w:hAnsi="Book Antiqua"/>
          <w:vertAlign w:val="superscript"/>
        </w:rPr>
        <w:t>+</w:t>
      </w:r>
      <w:r>
        <w:rPr>
          <w:rFonts w:ascii="Book Antiqua" w:hAnsi="Book Antiqua"/>
        </w:rPr>
        <w:t xml:space="preserve"> and CD4</w:t>
      </w:r>
      <w:r>
        <w:rPr>
          <w:rFonts w:ascii="Book Antiqua" w:hAnsi="Book Antiqua"/>
          <w:vertAlign w:val="superscript"/>
        </w:rPr>
        <w:t>+</w:t>
      </w:r>
      <w:r>
        <w:rPr>
          <w:rFonts w:ascii="Book Antiqua" w:hAnsi="Book Antiqua"/>
        </w:rPr>
        <w:t>CD25</w:t>
      </w:r>
      <w:r>
        <w:rPr>
          <w:rFonts w:ascii="Book Antiqua" w:hAnsi="Book Antiqua"/>
          <w:vertAlign w:val="superscript"/>
        </w:rPr>
        <w:t>-</w:t>
      </w:r>
      <w:r>
        <w:rPr>
          <w:rFonts w:ascii="Book Antiqua" w:hAnsi="Book Antiqua"/>
        </w:rPr>
        <w:t>Foxp3</w:t>
      </w:r>
      <w:r>
        <w:rPr>
          <w:rFonts w:ascii="Book Antiqua" w:hAnsi="Book Antiqua"/>
          <w:vertAlign w:val="superscript"/>
        </w:rPr>
        <w:t>+</w:t>
      </w:r>
      <w:r>
        <w:rPr>
          <w:rFonts w:ascii="Book Antiqua" w:hAnsi="Book Antiqua"/>
        </w:rPr>
        <w:t xml:space="preserve"> T cells. </w:t>
      </w:r>
      <w:r>
        <w:rPr>
          <w:rFonts w:ascii="Book Antiqua" w:hAnsi="Book Antiqua"/>
          <w:i/>
          <w:iCs/>
        </w:rPr>
        <w:t>J Transl Med</w:t>
      </w:r>
      <w:r>
        <w:rPr>
          <w:rFonts w:ascii="Book Antiqua" w:hAnsi="Book Antiqua"/>
        </w:rPr>
        <w:t xml:space="preserve"> 2019; </w:t>
      </w:r>
      <w:r>
        <w:rPr>
          <w:rFonts w:ascii="Book Antiqua" w:hAnsi="Book Antiqua"/>
          <w:b/>
          <w:bCs/>
        </w:rPr>
        <w:t>17</w:t>
      </w:r>
      <w:r>
        <w:rPr>
          <w:rFonts w:ascii="Book Antiqua" w:hAnsi="Book Antiqua"/>
        </w:rPr>
        <w:t>: 219 [PMID: 31288845 DOI: 10.1186/s12967-019-1967-3]</w:t>
      </w:r>
    </w:p>
    <w:p>
      <w:pPr>
        <w:spacing w:line="360" w:lineRule="auto"/>
        <w:jc w:val="both"/>
        <w:rPr>
          <w:rFonts w:ascii="Book Antiqua" w:hAnsi="Book Antiqua"/>
        </w:rPr>
      </w:pPr>
      <w:r>
        <w:rPr>
          <w:rFonts w:ascii="Book Antiqua" w:hAnsi="Book Antiqua"/>
        </w:rPr>
        <w:t xml:space="preserve">64 </w:t>
      </w:r>
      <w:r>
        <w:rPr>
          <w:rFonts w:ascii="Book Antiqua" w:hAnsi="Book Antiqua"/>
          <w:b/>
          <w:bCs/>
        </w:rPr>
        <w:t>Badr AM</w:t>
      </w:r>
      <w:r>
        <w:rPr>
          <w:rFonts w:ascii="Book Antiqua" w:hAnsi="Book Antiqua"/>
        </w:rPr>
        <w:t xml:space="preserve">, El-Ahwany E, Goda L, Nagy F, Helal N, El Deeb S. MicroRNA-26a systemic administration attenuates tumor formation in hepatocellular carcinoma mouse model. </w:t>
      </w:r>
      <w:r>
        <w:rPr>
          <w:rFonts w:ascii="Book Antiqua" w:hAnsi="Book Antiqua"/>
          <w:i/>
          <w:iCs/>
        </w:rPr>
        <w:t>Pak J Pharm Sci</w:t>
      </w:r>
      <w:r>
        <w:rPr>
          <w:rFonts w:ascii="Book Antiqua" w:hAnsi="Book Antiqua"/>
        </w:rPr>
        <w:t xml:space="preserve"> 2021; </w:t>
      </w:r>
      <w:r>
        <w:rPr>
          <w:rFonts w:ascii="Book Antiqua" w:hAnsi="Book Antiqua"/>
          <w:b/>
          <w:bCs/>
        </w:rPr>
        <w:t>34</w:t>
      </w:r>
      <w:r>
        <w:rPr>
          <w:rFonts w:ascii="Book Antiqua" w:hAnsi="Book Antiqua"/>
        </w:rPr>
        <w:t>: 925-932 [PMID: 34602415]</w:t>
      </w:r>
    </w:p>
    <w:p>
      <w:pPr>
        <w:spacing w:line="360" w:lineRule="auto"/>
        <w:jc w:val="both"/>
        <w:rPr>
          <w:rFonts w:ascii="Book Antiqua" w:hAnsi="Book Antiqua"/>
        </w:rPr>
      </w:pPr>
      <w:r>
        <w:rPr>
          <w:rFonts w:ascii="Book Antiqua" w:hAnsi="Book Antiqua"/>
        </w:rPr>
        <w:t xml:space="preserve">65 </w:t>
      </w:r>
      <w:r>
        <w:rPr>
          <w:rFonts w:ascii="Book Antiqua" w:hAnsi="Book Antiqua"/>
          <w:b/>
          <w:bCs/>
        </w:rPr>
        <w:t>Yang X</w:t>
      </w:r>
      <w:r>
        <w:rPr>
          <w:rFonts w:ascii="Book Antiqua" w:hAnsi="Book Antiqua"/>
        </w:rPr>
        <w:t xml:space="preserve">, Liang L, Zhang XF, Jia HL, Qin Y, Zhu XC, Gao XM, Qiao P, Zheng Y, Sheng YY, Wei JW, Zhou HJ, Ren N, Ye QH, Dong QZ, Qin LX. MicroRNA-26a suppresses tumor growth and metastasis of human hepatocellular carcinoma by targeting interleukin-6-Stat3 pathway. </w:t>
      </w:r>
      <w:r>
        <w:rPr>
          <w:rFonts w:ascii="Book Antiqua" w:hAnsi="Book Antiqua"/>
          <w:i/>
          <w:iCs/>
        </w:rPr>
        <w:t>Hepatology</w:t>
      </w:r>
      <w:r>
        <w:rPr>
          <w:rFonts w:ascii="Book Antiqua" w:hAnsi="Book Antiqua"/>
        </w:rPr>
        <w:t xml:space="preserve"> 2013; </w:t>
      </w:r>
      <w:r>
        <w:rPr>
          <w:rFonts w:ascii="Book Antiqua" w:hAnsi="Book Antiqua"/>
          <w:b/>
          <w:bCs/>
        </w:rPr>
        <w:t>58</w:t>
      </w:r>
      <w:r>
        <w:rPr>
          <w:rFonts w:ascii="Book Antiqua" w:hAnsi="Book Antiqua"/>
        </w:rPr>
        <w:t>: 158-170 [PMID: 23389848 DOI: 10.1002/hep.26305]</w:t>
      </w:r>
    </w:p>
    <w:p>
      <w:pPr>
        <w:spacing w:line="360" w:lineRule="auto"/>
        <w:jc w:val="both"/>
        <w:rPr>
          <w:rFonts w:ascii="Book Antiqua" w:hAnsi="Book Antiqua"/>
        </w:rPr>
      </w:pPr>
      <w:r>
        <w:rPr>
          <w:rFonts w:ascii="Book Antiqua" w:hAnsi="Book Antiqua"/>
        </w:rPr>
        <w:t xml:space="preserve">66 </w:t>
      </w:r>
      <w:r>
        <w:rPr>
          <w:rFonts w:ascii="Book Antiqua" w:hAnsi="Book Antiqua"/>
          <w:b/>
          <w:bCs/>
        </w:rPr>
        <w:t>Yang X</w:t>
      </w:r>
      <w:r>
        <w:rPr>
          <w:rFonts w:ascii="Book Antiqua" w:hAnsi="Book Antiqua"/>
        </w:rPr>
        <w:t xml:space="preserve">, Zhang XF, Lu X, Jia HL, Liang L, Dong QZ, Ye QH, Qin LX. MicroRNA-26a suppresses angiogenesis in human hepatocellular carcinoma by targeting hepatocyte growth factor-cMet pathway. </w:t>
      </w:r>
      <w:r>
        <w:rPr>
          <w:rFonts w:ascii="Book Antiqua" w:hAnsi="Book Antiqua"/>
          <w:i/>
          <w:iCs/>
        </w:rPr>
        <w:t>Hepatology</w:t>
      </w:r>
      <w:r>
        <w:rPr>
          <w:rFonts w:ascii="Book Antiqua" w:hAnsi="Book Antiqua"/>
        </w:rPr>
        <w:t xml:space="preserve"> 2014; </w:t>
      </w:r>
      <w:r>
        <w:rPr>
          <w:rFonts w:ascii="Book Antiqua" w:hAnsi="Book Antiqua"/>
          <w:b/>
          <w:bCs/>
        </w:rPr>
        <w:t>59</w:t>
      </w:r>
      <w:r>
        <w:rPr>
          <w:rFonts w:ascii="Book Antiqua" w:hAnsi="Book Antiqua"/>
        </w:rPr>
        <w:t>: 1874-1885 [PMID: 24259426 DOI: 10.1002/hep.26941]</w:t>
      </w:r>
    </w:p>
    <w:p>
      <w:pPr>
        <w:spacing w:line="360" w:lineRule="auto"/>
        <w:jc w:val="both"/>
        <w:rPr>
          <w:rFonts w:ascii="Book Antiqua" w:hAnsi="Book Antiqua"/>
        </w:rPr>
      </w:pPr>
      <w:r>
        <w:rPr>
          <w:rFonts w:ascii="Book Antiqua" w:hAnsi="Book Antiqua"/>
        </w:rPr>
        <w:t xml:space="preserve">67 </w:t>
      </w:r>
      <w:r>
        <w:rPr>
          <w:rFonts w:ascii="Book Antiqua" w:hAnsi="Book Antiqua"/>
          <w:b/>
          <w:bCs/>
        </w:rPr>
        <w:t>Ma Y</w:t>
      </w:r>
      <w:r>
        <w:rPr>
          <w:rFonts w:ascii="Book Antiqua" w:hAnsi="Book Antiqua"/>
        </w:rPr>
        <w:t xml:space="preserve">, Deng F, Li P, Chen G, Tao Y, Wang H. The tumor suppressive miR-26a regulation of FBXO11 inhibits proliferation, migration and invasion of hepatocellular carcinoma cells. </w:t>
      </w:r>
      <w:r>
        <w:rPr>
          <w:rFonts w:ascii="Book Antiqua" w:hAnsi="Book Antiqua"/>
          <w:i/>
          <w:iCs/>
        </w:rPr>
        <w:t>Biomed Pharmacother</w:t>
      </w:r>
      <w:r>
        <w:rPr>
          <w:rFonts w:ascii="Book Antiqua" w:hAnsi="Book Antiqua"/>
        </w:rPr>
        <w:t xml:space="preserve"> 2018; </w:t>
      </w:r>
      <w:r>
        <w:rPr>
          <w:rFonts w:ascii="Book Antiqua" w:hAnsi="Book Antiqua"/>
          <w:b/>
          <w:bCs/>
        </w:rPr>
        <w:t>101</w:t>
      </w:r>
      <w:r>
        <w:rPr>
          <w:rFonts w:ascii="Book Antiqua" w:hAnsi="Book Antiqua"/>
        </w:rPr>
        <w:t>: 648-655 [PMID: 29518611 DOI: 10.1016/j.biopha.2018.02.118]</w:t>
      </w:r>
    </w:p>
    <w:p>
      <w:pPr>
        <w:spacing w:line="360" w:lineRule="auto"/>
        <w:jc w:val="both"/>
        <w:rPr>
          <w:rFonts w:ascii="Book Antiqua" w:hAnsi="Book Antiqua"/>
        </w:rPr>
      </w:pPr>
      <w:r>
        <w:rPr>
          <w:rFonts w:ascii="Book Antiqua" w:hAnsi="Book Antiqua"/>
        </w:rPr>
        <w:t xml:space="preserve">68 </w:t>
      </w:r>
      <w:r>
        <w:rPr>
          <w:rFonts w:ascii="Book Antiqua" w:hAnsi="Book Antiqua"/>
          <w:b/>
          <w:bCs/>
        </w:rPr>
        <w:t>Wang X</w:t>
      </w:r>
      <w:r>
        <w:rPr>
          <w:rFonts w:ascii="Book Antiqua" w:hAnsi="Book Antiqua"/>
        </w:rPr>
        <w:t xml:space="preserve">, Sun L, Zhang L, Jiang Z. Effect of Adoptive Transfer or Depletion of Regulatory T Cells on Triptolide-induced Liver Injury. </w:t>
      </w:r>
      <w:r>
        <w:rPr>
          <w:rFonts w:ascii="Book Antiqua" w:hAnsi="Book Antiqua"/>
          <w:i/>
          <w:iCs/>
        </w:rPr>
        <w:t>Front Pharmacol</w:t>
      </w:r>
      <w:r>
        <w:rPr>
          <w:rFonts w:ascii="Book Antiqua" w:hAnsi="Book Antiqua"/>
        </w:rPr>
        <w:t xml:space="preserve"> 2016; </w:t>
      </w:r>
      <w:r>
        <w:rPr>
          <w:rFonts w:ascii="Book Antiqua" w:hAnsi="Book Antiqua"/>
          <w:b/>
          <w:bCs/>
        </w:rPr>
        <w:t>7</w:t>
      </w:r>
      <w:r>
        <w:rPr>
          <w:rFonts w:ascii="Book Antiqua" w:hAnsi="Book Antiqua"/>
        </w:rPr>
        <w:t>: 99 [PMID: 27148057 DOI: 10.3389/fphar.2016.00099]</w:t>
      </w:r>
    </w:p>
    <w:p>
      <w:pPr>
        <w:spacing w:line="360" w:lineRule="auto"/>
        <w:jc w:val="both"/>
        <w:rPr>
          <w:rFonts w:ascii="Book Antiqua" w:hAnsi="Book Antiqua"/>
        </w:rPr>
      </w:pPr>
      <w:r>
        <w:rPr>
          <w:rFonts w:ascii="Book Antiqua" w:hAnsi="Book Antiqua"/>
        </w:rPr>
        <w:t xml:space="preserve">69 </w:t>
      </w:r>
      <w:r>
        <w:rPr>
          <w:rFonts w:ascii="Book Antiqua" w:hAnsi="Book Antiqua"/>
          <w:b/>
          <w:bCs/>
        </w:rPr>
        <w:t>Huang H</w:t>
      </w:r>
      <w:r>
        <w:rPr>
          <w:rFonts w:ascii="Book Antiqua" w:hAnsi="Book Antiqua"/>
        </w:rPr>
        <w:t xml:space="preserve">, Deng Z. Adoptive transfer of regulatory T cells stimulated by Allogeneic Hepatic Stellate Cells mitigates liver injury in mice with concanavalin A-induced autoimmune hepatitis. </w:t>
      </w:r>
      <w:r>
        <w:rPr>
          <w:rFonts w:ascii="Book Antiqua" w:hAnsi="Book Antiqua"/>
          <w:i/>
          <w:iCs/>
        </w:rPr>
        <w:t>Biochem Biophys Res Commun</w:t>
      </w:r>
      <w:r>
        <w:rPr>
          <w:rFonts w:ascii="Book Antiqua" w:hAnsi="Book Antiqua"/>
        </w:rPr>
        <w:t xml:space="preserve"> 2019; </w:t>
      </w:r>
      <w:r>
        <w:rPr>
          <w:rFonts w:ascii="Book Antiqua" w:hAnsi="Book Antiqua"/>
          <w:b/>
          <w:bCs/>
        </w:rPr>
        <w:t>512</w:t>
      </w:r>
      <w:r>
        <w:rPr>
          <w:rFonts w:ascii="Book Antiqua" w:hAnsi="Book Antiqua"/>
        </w:rPr>
        <w:t>: 14-21 [PMID: 30853178 DOI: 10.1016/j.bbrc.2019.02.147]</w:t>
      </w:r>
    </w:p>
    <w:p>
      <w:pPr>
        <w:spacing w:line="360" w:lineRule="auto"/>
        <w:jc w:val="both"/>
        <w:rPr>
          <w:rFonts w:ascii="Book Antiqua" w:hAnsi="Book Antiqua"/>
        </w:rPr>
      </w:pPr>
      <w:r>
        <w:rPr>
          <w:rFonts w:ascii="Book Antiqua" w:hAnsi="Book Antiqua"/>
        </w:rPr>
        <w:t xml:space="preserve">70 </w:t>
      </w:r>
      <w:r>
        <w:rPr>
          <w:rFonts w:ascii="Book Antiqua" w:hAnsi="Book Antiqua"/>
          <w:b/>
          <w:bCs/>
        </w:rPr>
        <w:t>Feng M</w:t>
      </w:r>
      <w:r>
        <w:rPr>
          <w:rFonts w:ascii="Book Antiqua" w:hAnsi="Book Antiqua"/>
        </w:rPr>
        <w:t xml:space="preserve">, Wang Q, Jiang Z, Ding J, Wang H, Wang M, Lu L, Guan W. Adoptive transferred hepatic stellate cells attenuated drug-induced liver injury by modulating the rate of regulatory T cells/T helper 17 cells. </w:t>
      </w:r>
      <w:r>
        <w:rPr>
          <w:rFonts w:ascii="Book Antiqua" w:hAnsi="Book Antiqua"/>
          <w:i/>
          <w:iCs/>
        </w:rPr>
        <w:t>Clin Immunol</w:t>
      </w:r>
      <w:r>
        <w:rPr>
          <w:rFonts w:ascii="Book Antiqua" w:hAnsi="Book Antiqua"/>
        </w:rPr>
        <w:t xml:space="preserve"> 2016; </w:t>
      </w:r>
      <w:r>
        <w:rPr>
          <w:rFonts w:ascii="Book Antiqua" w:hAnsi="Book Antiqua"/>
          <w:b/>
          <w:bCs/>
        </w:rPr>
        <w:t>165</w:t>
      </w:r>
      <w:r>
        <w:rPr>
          <w:rFonts w:ascii="Book Antiqua" w:hAnsi="Book Antiqua"/>
        </w:rPr>
        <w:t>: 12-18 [PMID: 26911201 DOI: 10.1016/j.clim.2016.02.006]</w:t>
      </w:r>
    </w:p>
    <w:p>
      <w:pPr>
        <w:spacing w:line="360" w:lineRule="auto"/>
        <w:jc w:val="both"/>
        <w:rPr>
          <w:rFonts w:ascii="Book Antiqua" w:hAnsi="Book Antiqua"/>
        </w:rPr>
      </w:pPr>
      <w:r>
        <w:rPr>
          <w:rFonts w:ascii="Book Antiqua" w:hAnsi="Book Antiqua"/>
        </w:rPr>
        <w:t xml:space="preserve">71 </w:t>
      </w:r>
      <w:r>
        <w:rPr>
          <w:rFonts w:ascii="Book Antiqua" w:hAnsi="Book Antiqua"/>
          <w:b/>
          <w:bCs/>
        </w:rPr>
        <w:t>Kehrmann J</w:t>
      </w:r>
      <w:r>
        <w:rPr>
          <w:rFonts w:ascii="Book Antiqua" w:hAnsi="Book Antiqua"/>
        </w:rPr>
        <w:t>, Effenberg L, Wilk C, Schoemer D, Ngo Thi Phuong N, Adamczyk A, Pastille E, Scholtysik R, Klein-Hitpass L, Klopfleisch R, Westendorf AM, Buer J. Depletion of Foxp3</w:t>
      </w:r>
      <w:r>
        <w:rPr>
          <w:rFonts w:ascii="Book Antiqua" w:hAnsi="Book Antiqua"/>
          <w:vertAlign w:val="superscript"/>
        </w:rPr>
        <w:t>+</w:t>
      </w:r>
      <w:r>
        <w:rPr>
          <w:rFonts w:ascii="Book Antiqua" w:hAnsi="Book Antiqua"/>
        </w:rPr>
        <w:t xml:space="preserve"> regulatory T cells is accompanied by an increase in the relative abundance of Firmicutes in the murine gut microbiome. </w:t>
      </w:r>
      <w:r>
        <w:rPr>
          <w:rFonts w:ascii="Book Antiqua" w:hAnsi="Book Antiqua"/>
          <w:i/>
          <w:iCs/>
        </w:rPr>
        <w:t>Immunology</w:t>
      </w:r>
      <w:r>
        <w:rPr>
          <w:rFonts w:ascii="Book Antiqua" w:hAnsi="Book Antiqua"/>
        </w:rPr>
        <w:t xml:space="preserve"> 2020; </w:t>
      </w:r>
      <w:r>
        <w:rPr>
          <w:rFonts w:ascii="Book Antiqua" w:hAnsi="Book Antiqua"/>
          <w:b/>
          <w:bCs/>
        </w:rPr>
        <w:t>159</w:t>
      </w:r>
      <w:r>
        <w:rPr>
          <w:rFonts w:ascii="Book Antiqua" w:hAnsi="Book Antiqua"/>
        </w:rPr>
        <w:t>: 344-353 [PMID: 31755554 DOI: 10.1111/imm.13158]</w:t>
      </w:r>
    </w:p>
    <w:p>
      <w:pPr>
        <w:spacing w:line="360" w:lineRule="auto"/>
        <w:jc w:val="both"/>
        <w:rPr>
          <w:rFonts w:ascii="Book Antiqua" w:hAnsi="Book Antiqua"/>
        </w:rPr>
      </w:pPr>
      <w:r>
        <w:rPr>
          <w:rFonts w:ascii="Book Antiqua" w:hAnsi="Book Antiqua"/>
        </w:rPr>
        <w:t xml:space="preserve">72 </w:t>
      </w:r>
      <w:r>
        <w:rPr>
          <w:rFonts w:ascii="Book Antiqua" w:hAnsi="Book Antiqua"/>
          <w:b/>
          <w:bCs/>
        </w:rPr>
        <w:t>Wang Y</w:t>
      </w:r>
      <w:r>
        <w:rPr>
          <w:rFonts w:ascii="Book Antiqua" w:hAnsi="Book Antiqua"/>
        </w:rPr>
        <w:t xml:space="preserve">, Liu Y, Kirpich I, Ma Z, Wang C, Zhang M, Suttles J, McClain C, Feng W. Lactobacillus rhamnosus GG reduces hepatic TNFα production and inflammation in chronic alcohol-induced liver injury. </w:t>
      </w:r>
      <w:r>
        <w:rPr>
          <w:rFonts w:ascii="Book Antiqua" w:hAnsi="Book Antiqua"/>
          <w:i/>
          <w:iCs/>
        </w:rPr>
        <w:t>J Nutr Biochem</w:t>
      </w:r>
      <w:r>
        <w:rPr>
          <w:rFonts w:ascii="Book Antiqua" w:hAnsi="Book Antiqua"/>
        </w:rPr>
        <w:t xml:space="preserve"> 2013; </w:t>
      </w:r>
      <w:r>
        <w:rPr>
          <w:rFonts w:ascii="Book Antiqua" w:hAnsi="Book Antiqua"/>
          <w:b/>
          <w:bCs/>
        </w:rPr>
        <w:t>24</w:t>
      </w:r>
      <w:r>
        <w:rPr>
          <w:rFonts w:ascii="Book Antiqua" w:hAnsi="Book Antiqua"/>
        </w:rPr>
        <w:t>: 1609-1615 [PMID: 23618528 DOI: 10.1016/j.jnutbio.2013.02.001]</w:t>
      </w:r>
    </w:p>
    <w:p>
      <w:pPr>
        <w:spacing w:line="360" w:lineRule="auto"/>
        <w:jc w:val="both"/>
        <w:rPr>
          <w:rFonts w:ascii="Book Antiqua" w:hAnsi="Book Antiqua"/>
        </w:rPr>
      </w:pPr>
      <w:r>
        <w:rPr>
          <w:rFonts w:ascii="Book Antiqua" w:hAnsi="Book Antiqua"/>
        </w:rPr>
        <w:t xml:space="preserve">73 </w:t>
      </w:r>
      <w:r>
        <w:rPr>
          <w:rFonts w:ascii="Book Antiqua" w:hAnsi="Book Antiqua"/>
          <w:b/>
          <w:bCs/>
        </w:rPr>
        <w:t>Wang Y</w:t>
      </w:r>
      <w:r>
        <w:rPr>
          <w:rFonts w:ascii="Book Antiqua" w:hAnsi="Book Antiqua"/>
        </w:rPr>
        <w:t xml:space="preserve">, Liu Y, Sidhu A, Ma Z, McClain C, Feng W. Lactobacillus rhamnosus GG culture supernatant ameliorates acute alcohol-induced intestinal permeability and liver injury. </w:t>
      </w:r>
      <w:r>
        <w:rPr>
          <w:rFonts w:ascii="Book Antiqua" w:hAnsi="Book Antiqua"/>
          <w:i/>
          <w:iCs/>
        </w:rPr>
        <w:t>Am J Physiol Gastrointest Liver Physiol</w:t>
      </w:r>
      <w:r>
        <w:rPr>
          <w:rFonts w:ascii="Book Antiqua" w:hAnsi="Book Antiqua"/>
        </w:rPr>
        <w:t xml:space="preserve"> 2012; </w:t>
      </w:r>
      <w:r>
        <w:rPr>
          <w:rFonts w:ascii="Book Antiqua" w:hAnsi="Book Antiqua"/>
          <w:b/>
          <w:bCs/>
        </w:rPr>
        <w:t>303</w:t>
      </w:r>
      <w:r>
        <w:rPr>
          <w:rFonts w:ascii="Book Antiqua" w:hAnsi="Book Antiqua"/>
        </w:rPr>
        <w:t>: G32-G41 [PMID: 22538402 DOI: 10.1152/ajpgi.00024.2012]</w:t>
      </w:r>
    </w:p>
    <w:p>
      <w:pPr>
        <w:spacing w:line="360" w:lineRule="auto"/>
        <w:jc w:val="both"/>
        <w:rPr>
          <w:rFonts w:ascii="Book Antiqua" w:hAnsi="Book Antiqua"/>
        </w:rPr>
      </w:pPr>
      <w:r>
        <w:rPr>
          <w:rFonts w:ascii="Book Antiqua" w:hAnsi="Book Antiqua"/>
        </w:rPr>
        <w:t xml:space="preserve">74 </w:t>
      </w:r>
      <w:r>
        <w:rPr>
          <w:rFonts w:ascii="Book Antiqua" w:hAnsi="Book Antiqua"/>
          <w:b/>
          <w:bCs/>
        </w:rPr>
        <w:t>Li J</w:t>
      </w:r>
      <w:r>
        <w:rPr>
          <w:rFonts w:ascii="Book Antiqua" w:hAnsi="Book Antiqua"/>
        </w:rPr>
        <w:t xml:space="preserve">, Sung CY, Lee N, Ni Y, Pihlajamäki J, Panagiotou G, El-Nezami H. Probiotics modulated gut microbiota suppresses hepatocellular carcinoma growth in mice. </w:t>
      </w:r>
      <w:r>
        <w:rPr>
          <w:rFonts w:ascii="Book Antiqua" w:hAnsi="Book Antiqua"/>
          <w:i/>
          <w:iCs/>
        </w:rPr>
        <w:t>Proc Natl Acad Sci U S A</w:t>
      </w:r>
      <w:r>
        <w:rPr>
          <w:rFonts w:ascii="Book Antiqua" w:hAnsi="Book Antiqua"/>
        </w:rPr>
        <w:t xml:space="preserve"> 2016; </w:t>
      </w:r>
      <w:r>
        <w:rPr>
          <w:rFonts w:ascii="Book Antiqua" w:hAnsi="Book Antiqua"/>
          <w:b/>
          <w:bCs/>
        </w:rPr>
        <w:t>113</w:t>
      </w:r>
      <w:r>
        <w:rPr>
          <w:rFonts w:ascii="Book Antiqua" w:hAnsi="Book Antiqua"/>
        </w:rPr>
        <w:t>: E1306-E1315 [PMID: 26884164 DOI: 10.1073/pnas.1518189113]</w:t>
      </w:r>
    </w:p>
    <w:p>
      <w:pPr>
        <w:spacing w:line="360" w:lineRule="auto"/>
        <w:jc w:val="both"/>
        <w:rPr>
          <w:rFonts w:ascii="Book Antiqua" w:hAnsi="Book Antiqua"/>
        </w:rPr>
      </w:pPr>
      <w:r>
        <w:rPr>
          <w:rFonts w:ascii="Book Antiqua" w:hAnsi="Book Antiqua"/>
        </w:rPr>
        <w:t xml:space="preserve">75 </w:t>
      </w:r>
      <w:r>
        <w:rPr>
          <w:rFonts w:ascii="Book Antiqua" w:hAnsi="Book Antiqua"/>
          <w:b/>
          <w:bCs/>
        </w:rPr>
        <w:t>Shigeta K</w:t>
      </w:r>
      <w:r>
        <w:rPr>
          <w:rFonts w:ascii="Book Antiqua" w:hAnsi="Book Antiqua"/>
        </w:rPr>
        <w:t xml:space="preserve">, Datta M, Hato T, Kitahara S, Chen IX, Matsui A, Kikuchi H, Mamessier E, Aoki S, Ramjiawan RR, Ochiai H, Bardeesy N, Huang P, Cobbold M, Zhu AX, Jain RK, Duda DG. Dual Programmed Death Receptor-1 and Vascular Endothelial Growth Factor Receptor-2 Blockade Promotes Vascular Normalization and Enhances Antitumor Immune Responses in Hepatocellular Carcinoma. </w:t>
      </w:r>
      <w:r>
        <w:rPr>
          <w:rFonts w:ascii="Book Antiqua" w:hAnsi="Book Antiqua"/>
          <w:i/>
          <w:iCs/>
        </w:rPr>
        <w:t>Hepatology</w:t>
      </w:r>
      <w:r>
        <w:rPr>
          <w:rFonts w:ascii="Book Antiqua" w:hAnsi="Book Antiqua"/>
        </w:rPr>
        <w:t xml:space="preserve"> 2020; </w:t>
      </w:r>
      <w:r>
        <w:rPr>
          <w:rFonts w:ascii="Book Antiqua" w:hAnsi="Book Antiqua"/>
          <w:b/>
          <w:bCs/>
        </w:rPr>
        <w:t>71</w:t>
      </w:r>
      <w:r>
        <w:rPr>
          <w:rFonts w:ascii="Book Antiqua" w:hAnsi="Book Antiqua"/>
        </w:rPr>
        <w:t>: 1247-1261 [PMID: 31378984 DOI: 10.1002/hep.30889]</w:t>
      </w:r>
    </w:p>
    <w:p>
      <w:pPr>
        <w:spacing w:line="360" w:lineRule="auto"/>
        <w:jc w:val="both"/>
        <w:rPr>
          <w:rFonts w:ascii="Book Antiqua" w:hAnsi="Book Antiqua"/>
        </w:rPr>
      </w:pPr>
      <w:r>
        <w:rPr>
          <w:rFonts w:ascii="Book Antiqua" w:hAnsi="Book Antiqua"/>
        </w:rPr>
        <w:t xml:space="preserve">76 </w:t>
      </w:r>
      <w:r>
        <w:rPr>
          <w:rFonts w:ascii="Book Antiqua" w:hAnsi="Book Antiqua"/>
          <w:b/>
          <w:bCs/>
        </w:rPr>
        <w:t>Langhans B</w:t>
      </w:r>
      <w:r>
        <w:rPr>
          <w:rFonts w:ascii="Book Antiqua" w:hAnsi="Book Antiqua"/>
        </w:rPr>
        <w:t xml:space="preserve">, Nischalke HD, Krämer B, Dold L, Lutz P, Mohr R, Vogt A, Toma M, Eis-Hübinger AM, Nattermann J, Strassburg CP, Gonzalez-Carmona MA, Spengler U. Role of regulatory T cells and checkpoint inhibition in hepatocellular carcinoma. </w:t>
      </w:r>
      <w:r>
        <w:rPr>
          <w:rFonts w:ascii="Book Antiqua" w:hAnsi="Book Antiqua"/>
          <w:i/>
          <w:iCs/>
        </w:rPr>
        <w:t>Cancer Immunol Immunother</w:t>
      </w:r>
      <w:r>
        <w:rPr>
          <w:rFonts w:ascii="Book Antiqua" w:hAnsi="Book Antiqua"/>
        </w:rPr>
        <w:t xml:space="preserve"> 2019; </w:t>
      </w:r>
      <w:r>
        <w:rPr>
          <w:rFonts w:ascii="Book Antiqua" w:hAnsi="Book Antiqua"/>
          <w:b/>
          <w:bCs/>
        </w:rPr>
        <w:t>68</w:t>
      </w:r>
      <w:r>
        <w:rPr>
          <w:rFonts w:ascii="Book Antiqua" w:hAnsi="Book Antiqua"/>
        </w:rPr>
        <w:t>: 2055-2066 [PMID: 31724091 DOI: 10.1007/s00262-019-02427-4]</w:t>
      </w:r>
    </w:p>
    <w:p>
      <w:pPr>
        <w:spacing w:line="360" w:lineRule="auto"/>
        <w:jc w:val="both"/>
        <w:rPr>
          <w:rFonts w:ascii="Book Antiqua" w:hAnsi="Book Antiqua"/>
        </w:rPr>
      </w:pPr>
      <w:r>
        <w:rPr>
          <w:rFonts w:ascii="Book Antiqua" w:hAnsi="Book Antiqua"/>
        </w:rPr>
        <w:t xml:space="preserve">77 </w:t>
      </w:r>
      <w:r>
        <w:rPr>
          <w:rFonts w:ascii="Book Antiqua" w:hAnsi="Book Antiqua"/>
          <w:b/>
          <w:bCs/>
        </w:rPr>
        <w:t>Lee JC</w:t>
      </w:r>
      <w:r>
        <w:rPr>
          <w:rFonts w:ascii="Book Antiqua" w:hAnsi="Book Antiqua"/>
        </w:rPr>
        <w:t xml:space="preserve">, Mehdizadeh S, Smith J, Young A, Mufazalov IA, Mowery CT, Daud A, Bluestone JA. Regulatory T cell control of systemic immunity and immunotherapy response in liver metastasis. </w:t>
      </w:r>
      <w:r>
        <w:rPr>
          <w:rFonts w:ascii="Book Antiqua" w:hAnsi="Book Antiqua"/>
          <w:i/>
          <w:iCs/>
        </w:rPr>
        <w:t>Sci Immunol</w:t>
      </w:r>
      <w:r>
        <w:rPr>
          <w:rFonts w:ascii="Book Antiqua" w:hAnsi="Book Antiqua"/>
        </w:rPr>
        <w:t xml:space="preserve"> 2020; </w:t>
      </w:r>
      <w:r>
        <w:rPr>
          <w:rFonts w:ascii="Book Antiqua" w:hAnsi="Book Antiqua"/>
          <w:b/>
          <w:bCs/>
        </w:rPr>
        <w:t>5</w:t>
      </w:r>
      <w:r>
        <w:rPr>
          <w:rFonts w:ascii="Book Antiqua" w:hAnsi="Book Antiqua"/>
        </w:rPr>
        <w:t xml:space="preserve"> [PMID: 33008914 DOI: 10.1126/sciimmunol.aba0759]</w:t>
      </w:r>
    </w:p>
    <w:p>
      <w:pPr>
        <w:spacing w:line="360" w:lineRule="auto"/>
        <w:jc w:val="both"/>
        <w:rPr>
          <w:rFonts w:ascii="Book Antiqua" w:hAnsi="Book Antiqua"/>
        </w:rPr>
      </w:pPr>
      <w:r>
        <w:rPr>
          <w:rFonts w:ascii="Book Antiqua" w:hAnsi="Book Antiqua"/>
        </w:rPr>
        <w:t xml:space="preserve">78 </w:t>
      </w:r>
      <w:r>
        <w:rPr>
          <w:rFonts w:ascii="Book Antiqua" w:hAnsi="Book Antiqua"/>
          <w:b/>
          <w:bCs/>
        </w:rPr>
        <w:t>Doi T</w:t>
      </w:r>
      <w:r>
        <w:rPr>
          <w:rFonts w:ascii="Book Antiqua" w:hAnsi="Book Antiqua"/>
        </w:rPr>
        <w:t xml:space="preserve">, Muro K, Ishii H, Kato T, Tsushima T, Takenoyama M, Oizumi S, Gemmoto K, Suna H, Enokitani K, Kawakami T, Nishikawa H, Yamamoto N. A Phase I Study of the Anti-CC Chemokine Receptor 4 Antibody, Mogamulizumab, in Combination with Nivolumab in Patients with Advanced or Metastatic Solid Tumors. </w:t>
      </w:r>
      <w:r>
        <w:rPr>
          <w:rFonts w:ascii="Book Antiqua" w:hAnsi="Book Antiqua"/>
          <w:i/>
          <w:iCs/>
        </w:rPr>
        <w:t>Clin Cancer Res</w:t>
      </w:r>
      <w:r>
        <w:rPr>
          <w:rFonts w:ascii="Book Antiqua" w:hAnsi="Book Antiqua"/>
        </w:rPr>
        <w:t xml:space="preserve"> 2019; </w:t>
      </w:r>
      <w:r>
        <w:rPr>
          <w:rFonts w:ascii="Book Antiqua" w:hAnsi="Book Antiqua"/>
          <w:b/>
          <w:bCs/>
        </w:rPr>
        <w:t>25</w:t>
      </w:r>
      <w:r>
        <w:rPr>
          <w:rFonts w:ascii="Book Antiqua" w:hAnsi="Book Antiqua"/>
        </w:rPr>
        <w:t>: 6614-6622 [PMID: 31455681 DOI: 10.1158/1078-0432.CCR-19-1090]</w:t>
      </w:r>
    </w:p>
    <w:p>
      <w:pPr>
        <w:spacing w:line="360" w:lineRule="auto"/>
        <w:jc w:val="both"/>
        <w:rPr>
          <w:rFonts w:ascii="Book Antiqua" w:hAnsi="Book Antiqua"/>
        </w:rPr>
      </w:pPr>
      <w:r>
        <w:rPr>
          <w:rFonts w:ascii="Book Antiqua" w:hAnsi="Book Antiqua"/>
        </w:rPr>
        <w:t xml:space="preserve">79 </w:t>
      </w:r>
      <w:r>
        <w:rPr>
          <w:rFonts w:ascii="Book Antiqua" w:hAnsi="Book Antiqua"/>
          <w:b/>
          <w:bCs/>
        </w:rPr>
        <w:t>Zhang Q</w:t>
      </w:r>
      <w:r>
        <w:rPr>
          <w:rFonts w:ascii="Book Antiqua" w:hAnsi="Book Antiqua"/>
        </w:rPr>
        <w:t>, Huang H, Zheng F, Liu H, Qiu F, Chen Y, Liang CL, Dai Z. Resveratrol exerts antitumor effects by downregulating CD8</w:t>
      </w:r>
      <w:r>
        <w:rPr>
          <w:rFonts w:ascii="Book Antiqua" w:hAnsi="Book Antiqua"/>
          <w:vertAlign w:val="superscript"/>
        </w:rPr>
        <w:t>+</w:t>
      </w:r>
      <w:r>
        <w:rPr>
          <w:rFonts w:ascii="Book Antiqua" w:hAnsi="Book Antiqua"/>
        </w:rPr>
        <w:t>CD122</w:t>
      </w:r>
      <w:r>
        <w:rPr>
          <w:rFonts w:ascii="Book Antiqua" w:hAnsi="Book Antiqua"/>
          <w:vertAlign w:val="superscript"/>
        </w:rPr>
        <w:t>+</w:t>
      </w:r>
      <w:r>
        <w:rPr>
          <w:rFonts w:ascii="Book Antiqua" w:hAnsi="Book Antiqua"/>
        </w:rPr>
        <w:t xml:space="preserve"> Tregs in murine hepatocellular carcinoma. </w:t>
      </w:r>
      <w:r>
        <w:rPr>
          <w:rFonts w:ascii="Book Antiqua" w:hAnsi="Book Antiqua"/>
          <w:i/>
          <w:iCs/>
        </w:rPr>
        <w:t>Oncoimmunology</w:t>
      </w:r>
      <w:r>
        <w:rPr>
          <w:rFonts w:ascii="Book Antiqua" w:hAnsi="Book Antiqua"/>
        </w:rPr>
        <w:t xml:space="preserve"> 2020; </w:t>
      </w:r>
      <w:r>
        <w:rPr>
          <w:rFonts w:ascii="Book Antiqua" w:hAnsi="Book Antiqua"/>
          <w:b/>
          <w:bCs/>
        </w:rPr>
        <w:t>9</w:t>
      </w:r>
      <w:r>
        <w:rPr>
          <w:rFonts w:ascii="Book Antiqua" w:hAnsi="Book Antiqua"/>
        </w:rPr>
        <w:t>: 1829346 [PMID: 33150044 DOI: 10.1080/2162402X.2020.1829346]</w:t>
      </w:r>
    </w:p>
    <w:p>
      <w:pPr>
        <w:spacing w:line="360" w:lineRule="auto"/>
        <w:jc w:val="both"/>
        <w:rPr>
          <w:rFonts w:ascii="Book Antiqua" w:hAnsi="Book Antiqua"/>
        </w:rPr>
      </w:pPr>
      <w:r>
        <w:rPr>
          <w:rFonts w:ascii="Book Antiqua" w:hAnsi="Book Antiqua"/>
        </w:rPr>
        <w:t xml:space="preserve">80 </w:t>
      </w:r>
      <w:r>
        <w:rPr>
          <w:rFonts w:ascii="Book Antiqua" w:hAnsi="Book Antiqua"/>
          <w:b/>
          <w:bCs/>
        </w:rPr>
        <w:t>Ren Z</w:t>
      </w:r>
      <w:r>
        <w:rPr>
          <w:rFonts w:ascii="Book Antiqua" w:hAnsi="Book Antiqua"/>
        </w:rPr>
        <w:t xml:space="preserve">, Yue Y, Zhang Y, Dong J, Liu Y, Yang X, Lin X, Zhao X, Wei Z, Zheng Y, Wang T. Changes in the Peripheral Blood Treg Cell Proportion in Hepatocellular Carcinoma Patients After Transarterial Chemoembolization With Microparticles. </w:t>
      </w:r>
      <w:r>
        <w:rPr>
          <w:rFonts w:ascii="Book Antiqua" w:hAnsi="Book Antiqua"/>
          <w:i/>
          <w:iCs/>
        </w:rPr>
        <w:t>Front Immunol</w:t>
      </w:r>
      <w:r>
        <w:rPr>
          <w:rFonts w:ascii="Book Antiqua" w:hAnsi="Book Antiqua"/>
        </w:rPr>
        <w:t xml:space="preserve"> 2021; </w:t>
      </w:r>
      <w:r>
        <w:rPr>
          <w:rFonts w:ascii="Book Antiqua" w:hAnsi="Book Antiqua"/>
          <w:b/>
          <w:bCs/>
        </w:rPr>
        <w:t>12</w:t>
      </w:r>
      <w:r>
        <w:rPr>
          <w:rFonts w:ascii="Book Antiqua" w:hAnsi="Book Antiqua"/>
        </w:rPr>
        <w:t>: 624789 [PMID: 33717135 DOI: 10.3389/fimmu.2021.624789]</w:t>
      </w:r>
    </w:p>
    <w:p>
      <w:pPr>
        <w:spacing w:line="360" w:lineRule="auto"/>
        <w:jc w:val="both"/>
        <w:rPr>
          <w:rFonts w:ascii="Book Antiqua" w:hAnsi="Book Antiqua"/>
        </w:rPr>
      </w:pPr>
      <w:r>
        <w:rPr>
          <w:rFonts w:ascii="Book Antiqua" w:hAnsi="Book Antiqua"/>
        </w:rPr>
        <w:t xml:space="preserve">81 </w:t>
      </w:r>
      <w:r>
        <w:rPr>
          <w:rFonts w:ascii="Book Antiqua" w:hAnsi="Book Antiqua"/>
          <w:b/>
          <w:bCs/>
        </w:rPr>
        <w:t>Jhun J</w:t>
      </w:r>
      <w:r>
        <w:rPr>
          <w:rFonts w:ascii="Book Antiqua" w:hAnsi="Book Antiqua"/>
        </w:rPr>
        <w:t xml:space="preserve">, Lee SH, Lee SK, Kim HY, Jung ES, Kim DG, Choi J, Bae SH, Yoon SK, Chung BH, Yang CW, Cho ML, Choi JY. Serial Monitoring of Immune Markers Being Represented Regulatory T Cell/T Helper 17 Cell Ratio: Indicating Tolerance for Tapering Immunosuppression after Liver Transplantation. </w:t>
      </w:r>
      <w:r>
        <w:rPr>
          <w:rFonts w:ascii="Book Antiqua" w:hAnsi="Book Antiqua"/>
          <w:i/>
          <w:iCs/>
        </w:rPr>
        <w:t>Front Immunol</w:t>
      </w:r>
      <w:r>
        <w:rPr>
          <w:rFonts w:ascii="Book Antiqua" w:hAnsi="Book Antiqua"/>
        </w:rPr>
        <w:t xml:space="preserve"> 2018; </w:t>
      </w:r>
      <w:r>
        <w:rPr>
          <w:rFonts w:ascii="Book Antiqua" w:hAnsi="Book Antiqua"/>
          <w:b/>
          <w:bCs/>
        </w:rPr>
        <w:t>9</w:t>
      </w:r>
      <w:r>
        <w:rPr>
          <w:rFonts w:ascii="Book Antiqua" w:hAnsi="Book Antiqua"/>
        </w:rPr>
        <w:t>: 352 [PMID: 29545795 DOI: 10.3389/fimmu.2018.00352]</w:t>
      </w:r>
    </w:p>
    <w:p>
      <w:pPr>
        <w:spacing w:line="360" w:lineRule="auto"/>
        <w:jc w:val="both"/>
        <w:rPr>
          <w:rFonts w:ascii="Book Antiqua" w:hAnsi="Book Antiqua"/>
        </w:rPr>
      </w:pPr>
      <w:r>
        <w:rPr>
          <w:rFonts w:ascii="Book Antiqua" w:hAnsi="Book Antiqua"/>
        </w:rPr>
        <w:t xml:space="preserve">82 </w:t>
      </w:r>
      <w:r>
        <w:rPr>
          <w:rFonts w:ascii="Book Antiqua" w:hAnsi="Book Antiqua"/>
          <w:b/>
          <w:bCs/>
        </w:rPr>
        <w:t>Knochelmann HM</w:t>
      </w:r>
      <w:r>
        <w:rPr>
          <w:rFonts w:ascii="Book Antiqua" w:hAnsi="Book Antiqua"/>
        </w:rPr>
        <w:t xml:space="preserve">, Dwyer CJ, Bailey SR, Amaya SM, Elston DM, Mazza-McCrann JM, Paulos CM. When worlds collide: Th17 and Treg cells in cancer and autoimmunity. </w:t>
      </w:r>
      <w:r>
        <w:rPr>
          <w:rFonts w:ascii="Book Antiqua" w:hAnsi="Book Antiqua"/>
          <w:i/>
          <w:iCs/>
        </w:rPr>
        <w:t>Cell Mol Immunol</w:t>
      </w:r>
      <w:r>
        <w:rPr>
          <w:rFonts w:ascii="Book Antiqua" w:hAnsi="Book Antiqua"/>
        </w:rPr>
        <w:t xml:space="preserve"> 2018; </w:t>
      </w:r>
      <w:r>
        <w:rPr>
          <w:rFonts w:ascii="Book Antiqua" w:hAnsi="Book Antiqua"/>
          <w:b/>
          <w:bCs/>
        </w:rPr>
        <w:t>15</w:t>
      </w:r>
      <w:r>
        <w:rPr>
          <w:rFonts w:ascii="Book Antiqua" w:hAnsi="Book Antiqua"/>
        </w:rPr>
        <w:t>: 458-469 [PMID: 29563615 DOI: 10.1038/s41423-018-0004-4]</w:t>
      </w:r>
    </w:p>
    <w:p>
      <w:pPr>
        <w:spacing w:line="360" w:lineRule="auto"/>
        <w:jc w:val="both"/>
        <w:rPr>
          <w:rFonts w:ascii="Book Antiqua" w:hAnsi="Book Antiqua"/>
        </w:rPr>
      </w:pPr>
      <w:r>
        <w:rPr>
          <w:rFonts w:ascii="Book Antiqua" w:hAnsi="Book Antiqua"/>
        </w:rPr>
        <w:t xml:space="preserve">83 </w:t>
      </w:r>
      <w:r>
        <w:rPr>
          <w:rFonts w:ascii="Book Antiqua" w:hAnsi="Book Antiqua"/>
          <w:b/>
          <w:bCs/>
        </w:rPr>
        <w:t>Sánchez-Fueyo A</w:t>
      </w:r>
      <w:r>
        <w:rPr>
          <w:rFonts w:ascii="Book Antiqua" w:hAnsi="Book Antiqua"/>
        </w:rPr>
        <w:t xml:space="preserve">, Whitehouse G, Grageda N, Cramp ME, Lim TY, Romano M, Thirkell S, Lowe K, Fry L, Heward J, Kerr A, Ali J, Fisher C, Lewis G, Hope A, Kodela E, Lyne M, Farzaneh F, Kordasti S, Rebollo-Mesa I, Jose Lozano J, Safinia N, Heaton N, Lechler R, Martínez-Llordella M, Lombardi G. Applicability, safety, and biological activity of regulatory T cell therapy in liver transplantation. </w:t>
      </w:r>
      <w:r>
        <w:rPr>
          <w:rFonts w:ascii="Book Antiqua" w:hAnsi="Book Antiqua"/>
          <w:i/>
          <w:iCs/>
        </w:rPr>
        <w:t>Am J Transplant</w:t>
      </w:r>
      <w:r>
        <w:rPr>
          <w:rFonts w:ascii="Book Antiqua" w:hAnsi="Book Antiqua"/>
        </w:rPr>
        <w:t xml:space="preserve"> 2020; </w:t>
      </w:r>
      <w:r>
        <w:rPr>
          <w:rFonts w:ascii="Book Antiqua" w:hAnsi="Book Antiqua"/>
          <w:b/>
          <w:bCs/>
        </w:rPr>
        <w:t>20</w:t>
      </w:r>
      <w:r>
        <w:rPr>
          <w:rFonts w:ascii="Book Antiqua" w:hAnsi="Book Antiqua"/>
        </w:rPr>
        <w:t>: 1125-1136 [PMID: 31715056 DOI: 10.1111/ajt.15700]</w:t>
      </w:r>
    </w:p>
    <w:p>
      <w:pPr>
        <w:spacing w:line="360" w:lineRule="auto"/>
        <w:jc w:val="both"/>
        <w:rPr>
          <w:rFonts w:ascii="Book Antiqua" w:hAnsi="Book Antiqua"/>
        </w:rPr>
      </w:pPr>
      <w:r>
        <w:rPr>
          <w:rFonts w:ascii="Book Antiqua" w:hAnsi="Book Antiqua"/>
        </w:rPr>
        <w:t xml:space="preserve">84 </w:t>
      </w:r>
      <w:r>
        <w:rPr>
          <w:rFonts w:ascii="Book Antiqua" w:hAnsi="Book Antiqua"/>
          <w:b/>
          <w:bCs/>
        </w:rPr>
        <w:t>Whitehouse GP</w:t>
      </w:r>
      <w:r>
        <w:rPr>
          <w:rFonts w:ascii="Book Antiqua" w:hAnsi="Book Antiqua"/>
        </w:rPr>
        <w:t xml:space="preserve">, Hope A, Sanchez-Fueyo A. Regulatory T-cell therapy in liver transplantation. </w:t>
      </w:r>
      <w:r>
        <w:rPr>
          <w:rFonts w:ascii="Book Antiqua" w:hAnsi="Book Antiqua"/>
          <w:i/>
          <w:iCs/>
        </w:rPr>
        <w:t>Transpl Int</w:t>
      </w:r>
      <w:r>
        <w:rPr>
          <w:rFonts w:ascii="Book Antiqua" w:hAnsi="Book Antiqua"/>
        </w:rPr>
        <w:t xml:space="preserve"> 2017; </w:t>
      </w:r>
      <w:r>
        <w:rPr>
          <w:rFonts w:ascii="Book Antiqua" w:hAnsi="Book Antiqua"/>
          <w:b/>
          <w:bCs/>
        </w:rPr>
        <w:t>30</w:t>
      </w:r>
      <w:r>
        <w:rPr>
          <w:rFonts w:ascii="Book Antiqua" w:hAnsi="Book Antiqua"/>
        </w:rPr>
        <w:t>: 776-784 [PMID: 28608637 DOI: 10.1111/tri.12998]</w:t>
      </w:r>
    </w:p>
    <w:p>
      <w:pPr>
        <w:spacing w:line="360" w:lineRule="auto"/>
        <w:jc w:val="both"/>
        <w:rPr>
          <w:rFonts w:ascii="Book Antiqua" w:hAnsi="Book Antiqua"/>
        </w:rPr>
      </w:pPr>
      <w:r>
        <w:rPr>
          <w:rFonts w:ascii="Book Antiqua" w:hAnsi="Book Antiqua"/>
        </w:rPr>
        <w:t xml:space="preserve">85 </w:t>
      </w:r>
      <w:r>
        <w:rPr>
          <w:rFonts w:ascii="Book Antiqua" w:hAnsi="Book Antiqua"/>
          <w:b/>
          <w:bCs/>
        </w:rPr>
        <w:t>Cvetkovski F</w:t>
      </w:r>
      <w:r>
        <w:rPr>
          <w:rFonts w:ascii="Book Antiqua" w:hAnsi="Book Antiqua"/>
        </w:rPr>
        <w:t xml:space="preserve">, Hexham JM, Berglund E. Strategies for Liver Transplantation Tolerance. </w:t>
      </w:r>
      <w:r>
        <w:rPr>
          <w:rFonts w:ascii="Book Antiqua" w:hAnsi="Book Antiqua"/>
          <w:i/>
          <w:iCs/>
        </w:rPr>
        <w:t>Int J Mol Sci</w:t>
      </w:r>
      <w:r>
        <w:rPr>
          <w:rFonts w:ascii="Book Antiqua" w:hAnsi="Book Antiqua"/>
        </w:rPr>
        <w:t xml:space="preserve"> 2021; </w:t>
      </w:r>
      <w:r>
        <w:rPr>
          <w:rFonts w:ascii="Book Antiqua" w:hAnsi="Book Antiqua"/>
          <w:b/>
          <w:bCs/>
        </w:rPr>
        <w:t>22</w:t>
      </w:r>
      <w:r>
        <w:rPr>
          <w:rFonts w:ascii="Book Antiqua" w:hAnsi="Book Antiqua"/>
        </w:rPr>
        <w:t xml:space="preserve"> [PMID: 33668238 DOI: 10.3390/ijms22052253]</w:t>
      </w:r>
    </w:p>
    <w:p>
      <w:pPr>
        <w:spacing w:line="360" w:lineRule="auto"/>
        <w:jc w:val="both"/>
        <w:rPr>
          <w:rFonts w:ascii="Book Antiqua" w:hAnsi="Book Antiqua"/>
        </w:rPr>
      </w:pPr>
      <w:r>
        <w:rPr>
          <w:rFonts w:ascii="Book Antiqua" w:hAnsi="Book Antiqua"/>
        </w:rPr>
        <w:t xml:space="preserve">86 </w:t>
      </w:r>
      <w:r>
        <w:rPr>
          <w:rFonts w:ascii="Book Antiqua" w:hAnsi="Book Antiqua"/>
          <w:b/>
          <w:bCs/>
        </w:rPr>
        <w:t>Casiraghi F</w:t>
      </w:r>
      <w:r>
        <w:rPr>
          <w:rFonts w:ascii="Book Antiqua" w:hAnsi="Book Antiqua"/>
        </w:rPr>
        <w:t xml:space="preserve">, Perico N, Podestà MA, Todeschini M, Zambelli M, Colledan M, Camagni S, Fagiuoli S, Pinna AD, Cescon M, Bertuzzo V, Maroni L, Introna M, Capelli C, Golay JT, Buzzi M, Mister M, Ordonez PYR, Breno M, Mele C, Villa A, Remuzzi G; MSC-LIVER Study Group. Third-party bone marrow-derived mesenchymal stromal cell infusion before liver transplantation: A randomized controlled trial. </w:t>
      </w:r>
      <w:r>
        <w:rPr>
          <w:rFonts w:ascii="Book Antiqua" w:hAnsi="Book Antiqua"/>
          <w:i/>
          <w:iCs/>
        </w:rPr>
        <w:t>Am J Transplant</w:t>
      </w:r>
      <w:r>
        <w:rPr>
          <w:rFonts w:ascii="Book Antiqua" w:hAnsi="Book Antiqua"/>
        </w:rPr>
        <w:t xml:space="preserve"> 2021; </w:t>
      </w:r>
      <w:r>
        <w:rPr>
          <w:rFonts w:ascii="Book Antiqua" w:hAnsi="Book Antiqua"/>
          <w:b/>
          <w:bCs/>
        </w:rPr>
        <w:t>21</w:t>
      </w:r>
      <w:r>
        <w:rPr>
          <w:rFonts w:ascii="Book Antiqua" w:hAnsi="Book Antiqua"/>
        </w:rPr>
        <w:t>: 2795-2809 [PMID: 33370477 DOI: 10.1111/ajt.16468]</w:t>
      </w:r>
    </w:p>
    <w:p>
      <w:pPr>
        <w:spacing w:line="360" w:lineRule="auto"/>
        <w:jc w:val="both"/>
        <w:rPr>
          <w:rFonts w:ascii="Book Antiqua" w:hAnsi="Book Antiqua"/>
        </w:rPr>
      </w:pPr>
      <w:r>
        <w:rPr>
          <w:rFonts w:ascii="Book Antiqua" w:hAnsi="Book Antiqua"/>
        </w:rPr>
        <w:t xml:space="preserve">87 </w:t>
      </w:r>
      <w:r>
        <w:rPr>
          <w:rFonts w:ascii="Book Antiqua" w:hAnsi="Book Antiqua"/>
          <w:b/>
          <w:bCs/>
        </w:rPr>
        <w:t>Han JW</w:t>
      </w:r>
      <w:r>
        <w:rPr>
          <w:rFonts w:ascii="Book Antiqua" w:hAnsi="Book Antiqua"/>
        </w:rPr>
        <w:t xml:space="preserve">, Sung PS, Hong SH, Lee H, Koh JY, Lee H, White S, Maslow JN, Weiner DB, Park SH, Jeong M, Heo J, Ahn SH, Shin EC. IFNL3-adjuvanted HCV DNA vaccine reduces regulatory T cell frequency and increases virus-specific T cell responses. </w:t>
      </w:r>
      <w:r>
        <w:rPr>
          <w:rFonts w:ascii="Book Antiqua" w:hAnsi="Book Antiqua"/>
          <w:i/>
          <w:iCs/>
        </w:rPr>
        <w:t>J Hepatol</w:t>
      </w:r>
      <w:r>
        <w:rPr>
          <w:rFonts w:ascii="Book Antiqua" w:hAnsi="Book Antiqua"/>
        </w:rPr>
        <w:t xml:space="preserve"> 2020; </w:t>
      </w:r>
      <w:r>
        <w:rPr>
          <w:rFonts w:ascii="Book Antiqua" w:hAnsi="Book Antiqua"/>
          <w:b/>
          <w:bCs/>
        </w:rPr>
        <w:t>73</w:t>
      </w:r>
      <w:r>
        <w:rPr>
          <w:rFonts w:ascii="Book Antiqua" w:hAnsi="Book Antiqua"/>
        </w:rPr>
        <w:t>: 72-83 [PMID: 32088322 DOI: 10.1016/j.jhep.2020.02.009]</w:t>
      </w:r>
    </w:p>
    <w:p>
      <w:pPr>
        <w:spacing w:line="360" w:lineRule="auto"/>
        <w:jc w:val="both"/>
        <w:rPr>
          <w:rFonts w:ascii="Book Antiqua" w:hAnsi="Book Antiqua"/>
        </w:rPr>
      </w:pPr>
      <w:r>
        <w:rPr>
          <w:rFonts w:ascii="Book Antiqua" w:hAnsi="Book Antiqua"/>
        </w:rPr>
        <w:t xml:space="preserve">88 </w:t>
      </w:r>
      <w:r>
        <w:rPr>
          <w:rFonts w:ascii="Book Antiqua" w:hAnsi="Book Antiqua"/>
          <w:b/>
          <w:bCs/>
        </w:rPr>
        <w:t>Boni C</w:t>
      </w:r>
      <w:r>
        <w:rPr>
          <w:rFonts w:ascii="Book Antiqua" w:hAnsi="Book Antiqua"/>
        </w:rPr>
        <w:t xml:space="preserve">, Janssen HLA, Rossi M, Yoon SK, Vecchi A, Barili V, Yoshida EM, Trinh H, Rodell TC, Laccabue D, Alfieri A, Brillo F, Fisicaro P, Acerbi G, Pedrazzi G, Andreone P, Cursaro C, Margotti M, Santoro R, Piazzolla V, Brunetto MR, Coco B, Cavallone D, Zhao Y, Joshi A, Woo J, Lau AH, Gaggar A, Subramanian GM, Massetto B, Fung S, Ahn SH, Ma X, Mangia A, Ferrari C. Combined GS-4774 and Tenofovir Therapy Can Improve HBV-Specific T-Cell Responses in Patients With Chronic Hepatitis. </w:t>
      </w:r>
      <w:r>
        <w:rPr>
          <w:rFonts w:ascii="Book Antiqua" w:hAnsi="Book Antiqua"/>
          <w:i/>
          <w:iCs/>
        </w:rPr>
        <w:t>Gastroenterology</w:t>
      </w:r>
      <w:r>
        <w:rPr>
          <w:rFonts w:ascii="Book Antiqua" w:hAnsi="Book Antiqua"/>
        </w:rPr>
        <w:t xml:space="preserve"> 2019; </w:t>
      </w:r>
      <w:r>
        <w:rPr>
          <w:rFonts w:ascii="Book Antiqua" w:hAnsi="Book Antiqua"/>
          <w:b/>
          <w:bCs/>
        </w:rPr>
        <w:t>157</w:t>
      </w:r>
      <w:r>
        <w:rPr>
          <w:rFonts w:ascii="Book Antiqua" w:hAnsi="Book Antiqua"/>
        </w:rPr>
        <w:t>: 227-241.e7 [PMID: 30930022 DOI: 10.1053/j.gastro.2019.03.044]</w:t>
      </w:r>
    </w:p>
    <w:p>
      <w:pPr>
        <w:spacing w:line="360" w:lineRule="auto"/>
        <w:jc w:val="both"/>
        <w:rPr>
          <w:rFonts w:ascii="Book Antiqua" w:hAnsi="Book Antiqua"/>
        </w:rPr>
      </w:pPr>
      <w:r>
        <w:rPr>
          <w:rFonts w:ascii="Book Antiqua" w:hAnsi="Book Antiqua"/>
        </w:rPr>
        <w:t xml:space="preserve">89 </w:t>
      </w:r>
      <w:r>
        <w:rPr>
          <w:rFonts w:ascii="Book Antiqua" w:hAnsi="Book Antiqua"/>
          <w:b/>
          <w:bCs/>
        </w:rPr>
        <w:t>Wu D</w:t>
      </w:r>
      <w:r>
        <w:rPr>
          <w:rFonts w:ascii="Book Antiqua" w:hAnsi="Book Antiqua"/>
        </w:rPr>
        <w:t xml:space="preserve">, Wang P, Han M, Chen Y, Chen X, Xia Q, Yan W, Wan X, Zhu C, Xie Q, Jiang J, Wei L, Tan D, Dou X, Yu Y, Hou J, Luo X, Ning Q. Sequential combination therapy with interferon, interleukin-2 and therapeutic vaccine in entecavir-suppressed chronic hepatitis B patients: the Endeavor study. </w:t>
      </w:r>
      <w:r>
        <w:rPr>
          <w:rFonts w:ascii="Book Antiqua" w:hAnsi="Book Antiqua"/>
          <w:i/>
          <w:iCs/>
        </w:rPr>
        <w:t>Hepatol Int</w:t>
      </w:r>
      <w:r>
        <w:rPr>
          <w:rFonts w:ascii="Book Antiqua" w:hAnsi="Book Antiqua"/>
        </w:rPr>
        <w:t xml:space="preserve"> 2019; </w:t>
      </w:r>
      <w:r>
        <w:rPr>
          <w:rFonts w:ascii="Book Antiqua" w:hAnsi="Book Antiqua"/>
          <w:b/>
          <w:bCs/>
        </w:rPr>
        <w:t>13</w:t>
      </w:r>
      <w:r>
        <w:rPr>
          <w:rFonts w:ascii="Book Antiqua" w:hAnsi="Book Antiqua"/>
        </w:rPr>
        <w:t>: 573-586 [PMID: 31172415 DOI: 10.1007/s12072-019-09956-1]</w:t>
      </w:r>
    </w:p>
    <w:p>
      <w:pPr>
        <w:spacing w:line="360" w:lineRule="auto"/>
        <w:jc w:val="both"/>
        <w:rPr>
          <w:rFonts w:ascii="Book Antiqua" w:hAnsi="Book Antiqua"/>
        </w:rPr>
      </w:pPr>
      <w:r>
        <w:rPr>
          <w:rFonts w:ascii="Book Antiqua" w:hAnsi="Book Antiqua"/>
        </w:rPr>
        <w:t xml:space="preserve">90 </w:t>
      </w:r>
      <w:r>
        <w:rPr>
          <w:rFonts w:ascii="Book Antiqua" w:hAnsi="Book Antiqua"/>
          <w:b/>
          <w:bCs/>
        </w:rPr>
        <w:t>Kalathil SG</w:t>
      </w:r>
      <w:r>
        <w:rPr>
          <w:rFonts w:ascii="Book Antiqua" w:hAnsi="Book Antiqua"/>
        </w:rPr>
        <w:t xml:space="preserve">, Hutson A, Barbi J, Iyer R, Thanavala Y. Augmentation of IFN-γ+ CD8+ T cell responses correlates with survival of HCC patients on sorafenib therapy. </w:t>
      </w:r>
      <w:r>
        <w:rPr>
          <w:rFonts w:ascii="Book Antiqua" w:hAnsi="Book Antiqua"/>
          <w:i/>
          <w:iCs/>
        </w:rPr>
        <w:t>JCI Insight</w:t>
      </w:r>
      <w:r>
        <w:rPr>
          <w:rFonts w:ascii="Book Antiqua" w:hAnsi="Book Antiqua"/>
        </w:rPr>
        <w:t xml:space="preserve"> 2019; </w:t>
      </w:r>
      <w:r>
        <w:rPr>
          <w:rFonts w:ascii="Book Antiqua" w:hAnsi="Book Antiqua"/>
          <w:b/>
          <w:bCs/>
        </w:rPr>
        <w:t>4</w:t>
      </w:r>
      <w:r>
        <w:rPr>
          <w:rFonts w:ascii="Book Antiqua" w:hAnsi="Book Antiqua"/>
        </w:rPr>
        <w:t xml:space="preserve"> [PMID: 31391334 DOI: 10.1172/jci.insight.130116]</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rPr>
        <w:t>Footnotes</w:t>
      </w: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cs="TimesNewRomanPS-BoldItalicMT"/>
          <w:bCs/>
          <w:iCs/>
        </w:rPr>
        <w:t>There are no conflicts of interest to report.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rPr>
        <w:t xml:space="preserve">Provenance and peer review: </w:t>
      </w:r>
      <w:r>
        <w:rPr>
          <w:rFonts w:ascii="Book Antiqua" w:hAnsi="Book Antiqua" w:eastAsia="Book Antiqua" w:cs="Book Antiqua"/>
        </w:rPr>
        <w:t>Invited article; Externally peer reviewed.</w:t>
      </w:r>
    </w:p>
    <w:p>
      <w:pPr>
        <w:spacing w:line="360" w:lineRule="auto"/>
        <w:jc w:val="both"/>
        <w:rPr>
          <w:rFonts w:ascii="Book Antiqua" w:hAnsi="Book Antiqua"/>
        </w:rPr>
      </w:pPr>
      <w:r>
        <w:rPr>
          <w:rFonts w:ascii="Book Antiqua" w:hAnsi="Book Antiqua" w:eastAsia="Book Antiqua" w:cs="Book Antiqua"/>
          <w:b/>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rPr>
        <w:t xml:space="preserve">Peer-review started: </w:t>
      </w:r>
      <w:r>
        <w:rPr>
          <w:rFonts w:ascii="Book Antiqua" w:hAnsi="Book Antiqua" w:eastAsia="Book Antiqua" w:cs="Book Antiqua"/>
        </w:rPr>
        <w:t>January 3, 2022</w:t>
      </w:r>
    </w:p>
    <w:p>
      <w:pPr>
        <w:spacing w:line="360" w:lineRule="auto"/>
        <w:jc w:val="both"/>
        <w:rPr>
          <w:rFonts w:ascii="Book Antiqua" w:hAnsi="Book Antiqua"/>
        </w:rPr>
      </w:pPr>
      <w:r>
        <w:rPr>
          <w:rFonts w:ascii="Book Antiqua" w:hAnsi="Book Antiqua" w:eastAsia="Book Antiqua" w:cs="Book Antiqua"/>
          <w:b/>
        </w:rPr>
        <w:t xml:space="preserve">First decision: </w:t>
      </w:r>
      <w:r>
        <w:rPr>
          <w:rFonts w:ascii="Book Antiqua" w:hAnsi="Book Antiqua" w:eastAsia="Book Antiqua" w:cs="Book Antiqua"/>
        </w:rPr>
        <w:t>January 23, 2022</w:t>
      </w:r>
    </w:p>
    <w:p>
      <w:pPr>
        <w:spacing w:line="360" w:lineRule="auto"/>
        <w:jc w:val="both"/>
        <w:rPr>
          <w:rFonts w:ascii="Book Antiqua" w:hAnsi="Book Antiqua"/>
          <w:lang w:eastAsia="zh-CN"/>
        </w:rPr>
      </w:pPr>
      <w:r>
        <w:rPr>
          <w:rFonts w:ascii="Book Antiqua" w:hAnsi="Book Antiqua" w:eastAsia="Book Antiqua" w:cs="Book Antiqua"/>
          <w:b/>
        </w:rPr>
        <w:t xml:space="preserve">Article in press: </w:t>
      </w:r>
      <w:r>
        <w:rPr>
          <w:rFonts w:ascii="Book Antiqua" w:hAnsi="Book Antiqua" w:eastAsia="Book Antiqua" w:cs="Book Antiqua"/>
          <w:b w:val="0"/>
          <w:bCs w:val="0"/>
        </w:rPr>
        <w:t>June 23,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rPr>
        <w:t xml:space="preserve">Specialty type: </w:t>
      </w:r>
      <w:r>
        <w:rPr>
          <w:rFonts w:ascii="Book Antiqua" w:hAnsi="Book Antiqua" w:eastAsia="Book Antiqua" w:cs="Book Antiqua"/>
        </w:rPr>
        <w:t>Gastroenterology and hepatology</w:t>
      </w:r>
    </w:p>
    <w:p>
      <w:pPr>
        <w:spacing w:line="360" w:lineRule="auto"/>
        <w:jc w:val="both"/>
        <w:rPr>
          <w:rFonts w:ascii="Book Antiqua" w:hAnsi="Book Antiqua"/>
        </w:rPr>
      </w:pPr>
      <w:r>
        <w:rPr>
          <w:rFonts w:ascii="Book Antiqua" w:hAnsi="Book Antiqua" w:eastAsia="Book Antiqua" w:cs="Book Antiqua"/>
          <w:b/>
        </w:rPr>
        <w:t xml:space="preserve">Country/Territory of origin: </w:t>
      </w:r>
      <w:r>
        <w:rPr>
          <w:rFonts w:ascii="Book Antiqua" w:hAnsi="Book Antiqua" w:eastAsia="Book Antiqua" w:cs="Book Antiqua"/>
        </w:rPr>
        <w:t>United States</w:t>
      </w:r>
    </w:p>
    <w:p>
      <w:pPr>
        <w:spacing w:line="360" w:lineRule="auto"/>
        <w:jc w:val="both"/>
        <w:rPr>
          <w:rFonts w:ascii="Book Antiqua" w:hAnsi="Book Antiqua"/>
        </w:rPr>
      </w:pPr>
      <w:r>
        <w:rPr>
          <w:rFonts w:ascii="Book Antiqua" w:hAnsi="Book Antiqua" w:eastAsia="Book Antiqua" w:cs="Book Antiqua"/>
          <w:b/>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0</w:t>
      </w:r>
    </w:p>
    <w:p>
      <w:pPr>
        <w:spacing w:line="360" w:lineRule="auto"/>
        <w:jc w:val="both"/>
        <w:rPr>
          <w:rFonts w:ascii="Book Antiqua" w:hAnsi="Book Antiqua"/>
        </w:rPr>
      </w:pPr>
      <w:r>
        <w:rPr>
          <w:rFonts w:ascii="Book Antiqua" w:hAnsi="Book Antiqua" w:eastAsia="Book Antiqua" w:cs="Book Antiqua"/>
        </w:rPr>
        <w:t>Grade B (Very good): B</w:t>
      </w:r>
    </w:p>
    <w:p>
      <w:pPr>
        <w:spacing w:line="360" w:lineRule="auto"/>
        <w:jc w:val="both"/>
        <w:rPr>
          <w:rFonts w:ascii="Book Antiqua" w:hAnsi="Book Antiqua"/>
        </w:rPr>
      </w:pPr>
      <w:r>
        <w:rPr>
          <w:rFonts w:ascii="Book Antiqua" w:hAnsi="Book Antiqua" w:eastAsia="Book Antiqua" w:cs="Book Antiqua"/>
        </w:rPr>
        <w:t>Grade C (Good): C</w:t>
      </w:r>
    </w:p>
    <w:p>
      <w:pPr>
        <w:spacing w:line="360" w:lineRule="auto"/>
        <w:jc w:val="both"/>
        <w:rPr>
          <w:rFonts w:ascii="Book Antiqua" w:hAnsi="Book Antiqua"/>
        </w:rPr>
      </w:pPr>
      <w:r>
        <w:rPr>
          <w:rFonts w:ascii="Book Antiqua" w:hAnsi="Book Antiqua" w:eastAsia="Book Antiqua" w:cs="Book Antiqua"/>
        </w:rPr>
        <w:t>Grade D (Fair): 0</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ascii="Book Antiqua" w:hAnsi="Book Antiqua" w:cs="Book Antiqua"/>
          <w:lang w:eastAsia="zh-CN"/>
        </w:rPr>
      </w:pPr>
      <w:r>
        <w:rPr>
          <w:rFonts w:ascii="Book Antiqua" w:hAnsi="Book Antiqua" w:eastAsia="Book Antiqua" w:cs="Book Antiqua"/>
          <w:b/>
        </w:rPr>
        <w:t xml:space="preserve">P-Reviewer: </w:t>
      </w:r>
      <w:r>
        <w:rPr>
          <w:rFonts w:ascii="Book Antiqua" w:hAnsi="Book Antiqua" w:eastAsia="Book Antiqua" w:cs="Book Antiqua"/>
        </w:rPr>
        <w:t>Grassi G, Italy; Lu G, China</w:t>
      </w:r>
      <w:r>
        <w:rPr>
          <w:rFonts w:ascii="Book Antiqua" w:hAnsi="Book Antiqua" w:eastAsia="Book Antiqua" w:cs="Book Antiqua"/>
          <w:b/>
        </w:rPr>
        <w:t xml:space="preserve"> S-Editor: </w:t>
      </w:r>
      <w:r>
        <w:rPr>
          <w:rFonts w:ascii="Book Antiqua" w:hAnsi="Book Antiqua" w:cs="Book Antiqua"/>
          <w:lang w:eastAsia="zh-CN"/>
        </w:rPr>
        <w:t>Chen YL</w:t>
      </w:r>
      <w:r>
        <w:rPr>
          <w:rFonts w:ascii="Book Antiqua" w:hAnsi="Book Antiqua" w:eastAsia="Book Antiqua" w:cs="Book Antiqua"/>
          <w:b/>
        </w:rPr>
        <w:t xml:space="preserve"> L-Editor: </w:t>
      </w:r>
      <w:r>
        <w:rPr>
          <w:rFonts w:ascii="Book Antiqua" w:hAnsi="Book Antiqua" w:cs="Book Antiqua"/>
          <w:lang w:eastAsia="zh-CN"/>
        </w:rPr>
        <w:t>A</w:t>
      </w:r>
      <w:r>
        <w:rPr>
          <w:rFonts w:ascii="Book Antiqua" w:hAnsi="Book Antiqua" w:cs="Book Antiqua"/>
          <w:b/>
          <w:lang w:eastAsia="zh-CN"/>
        </w:rPr>
        <w:t xml:space="preserve"> </w:t>
      </w:r>
      <w:r>
        <w:rPr>
          <w:rFonts w:ascii="Book Antiqua" w:hAnsi="Book Antiqua" w:eastAsia="Book Antiqua" w:cs="Book Antiqua"/>
          <w:b/>
        </w:rPr>
        <w:t>P-Editor:</w:t>
      </w:r>
      <w:r>
        <w:rPr>
          <w:rFonts w:ascii="Book Antiqua" w:hAnsi="Book Antiqua" w:cs="Book Antiqua"/>
          <w:b/>
          <w:lang w:eastAsia="zh-CN"/>
        </w:rPr>
        <w:t xml:space="preserve"> </w:t>
      </w:r>
      <w:r>
        <w:rPr>
          <w:rFonts w:ascii="Book Antiqua" w:hAnsi="Book Antiqua" w:cs="Book Antiqua"/>
          <w:lang w:eastAsia="zh-CN"/>
        </w:rPr>
        <w:t>Chen YL</w:t>
      </w: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rPr>
      </w:pPr>
      <w:r>
        <w:rPr>
          <w:rFonts w:ascii="Book Antiqua" w:hAnsi="Book Antiqua" w:eastAsia="Book Antiqua" w:cs="Book Antiqua"/>
          <w:b/>
        </w:rPr>
        <w:t>Figure Legends</w:t>
      </w:r>
    </w:p>
    <w:p>
      <w:pPr>
        <w:spacing w:line="360" w:lineRule="auto"/>
        <w:jc w:val="both"/>
        <w:rPr>
          <w:rFonts w:ascii="Book Antiqua" w:hAnsi="Book Antiqua"/>
          <w:lang w:eastAsia="zh-CN"/>
        </w:rPr>
      </w:pPr>
    </w:p>
    <w:p>
      <w:pPr>
        <w:spacing w:line="360" w:lineRule="auto"/>
        <w:jc w:val="both"/>
        <w:rPr>
          <w:rFonts w:ascii="Book Antiqua" w:hAnsi="Book Antiqua"/>
          <w:lang w:eastAsia="zh-CN"/>
        </w:rPr>
      </w:pPr>
      <w:r>
        <w:rPr>
          <w:rFonts w:ascii="Book Antiqua" w:hAnsi="Book Antiqua"/>
          <w:lang w:eastAsia="zh-CN"/>
        </w:rPr>
        <w:drawing>
          <wp:inline distT="0" distB="0" distL="114300" distR="114300">
            <wp:extent cx="5941060" cy="3299460"/>
            <wp:effectExtent l="0" t="0" r="2540" b="7620"/>
            <wp:docPr id="2" name="图片 2" descr="WJG-28-3346-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G-28-3346-g001"/>
                    <pic:cNvPicPr>
                      <a:picLocks noChangeAspect="1"/>
                    </pic:cNvPicPr>
                  </pic:nvPicPr>
                  <pic:blipFill>
                    <a:blip r:embed="rId5"/>
                    <a:stretch>
                      <a:fillRect/>
                    </a:stretch>
                  </pic:blipFill>
                  <pic:spPr>
                    <a:xfrm>
                      <a:off x="0" y="0"/>
                      <a:ext cx="5941060" cy="3299460"/>
                    </a:xfrm>
                    <a:prstGeom prst="rect">
                      <a:avLst/>
                    </a:prstGeom>
                  </pic:spPr>
                </pic:pic>
              </a:graphicData>
            </a:graphic>
          </wp:inline>
        </w:drawing>
      </w:r>
    </w:p>
    <w:p>
      <w:pPr>
        <w:spacing w:line="360" w:lineRule="auto"/>
        <w:jc w:val="both"/>
        <w:rPr>
          <w:rFonts w:ascii="Book Antiqua" w:hAnsi="Book Antiqua" w:cs="Book Antiqua"/>
          <w:lang w:eastAsia="zh-CN"/>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bCs/>
        </w:rPr>
        <w:t xml:space="preserve">Figure 1 The imbalance of regulatory T cells and effector T cells promotes the progression of chronic liver diseases and hepatocellular carcinoma. </w:t>
      </w:r>
      <w:r>
        <w:rPr>
          <w:rFonts w:ascii="Book Antiqua" w:hAnsi="Book Antiqua" w:eastAsia="Book Antiqua" w:cs="Book Antiqua"/>
        </w:rPr>
        <w:t>Chronic liver diseases such as alcoholic liver disease and non-alcoholic fatty liver disease induced by factors such as alcohol abuse and high-fat diet, respectively, can induce liver fibrosis, cirrhosis, and even hepatocellular carcinoma. The imbalance of regulatory T cells with T helper 17 cells or CD8 T cells is involved in the pathogenesis of liver inflammation, fibrosis, and cancer progression. ALD: Alcoholic liver disease; HCC: Hepatocellular carcinoma; NAFLD: Non-alcoholic fatty liver disease; Treg: Regulatory T cells; Th: T helper</w:t>
      </w:r>
      <w:r>
        <w:rPr>
          <w:rFonts w:hint="eastAsia" w:ascii="Book Antiqua" w:hAnsi="Book Antiqua" w:cs="Book Antiqua"/>
          <w:lang w:eastAsia="zh-CN"/>
        </w:rPr>
        <w:t>.</w:t>
      </w:r>
    </w:p>
    <w:p>
      <w:pPr>
        <w:spacing w:line="360" w:lineRule="auto"/>
        <w:jc w:val="both"/>
        <w:rPr>
          <w:rFonts w:ascii="Book Antiqua" w:hAnsi="Book Antiqua"/>
          <w:lang w:eastAsia="zh-CN"/>
        </w:rPr>
      </w:pPr>
    </w:p>
    <w:p>
      <w:pPr>
        <w:spacing w:line="360" w:lineRule="auto"/>
        <w:jc w:val="both"/>
        <w:rPr>
          <w:rFonts w:ascii="Book Antiqua" w:hAnsi="Book Antiqua"/>
          <w:lang w:eastAsia="zh-CN"/>
        </w:rPr>
      </w:pPr>
      <w:r>
        <w:rPr>
          <w:rFonts w:ascii="Book Antiqua" w:hAnsi="Book Antiqua"/>
          <w:lang w:eastAsia="zh-CN"/>
        </w:rPr>
        <w:drawing>
          <wp:inline distT="0" distB="0" distL="114300" distR="114300">
            <wp:extent cx="3898265" cy="3989705"/>
            <wp:effectExtent l="0" t="0" r="3175" b="3175"/>
            <wp:docPr id="4" name="图片 4" descr="WJG-28-3346-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G-28-3346-g002"/>
                    <pic:cNvPicPr>
                      <a:picLocks noChangeAspect="1"/>
                    </pic:cNvPicPr>
                  </pic:nvPicPr>
                  <pic:blipFill>
                    <a:blip r:embed="rId6"/>
                    <a:stretch>
                      <a:fillRect/>
                    </a:stretch>
                  </pic:blipFill>
                  <pic:spPr>
                    <a:xfrm>
                      <a:off x="0" y="0"/>
                      <a:ext cx="3898265" cy="3989705"/>
                    </a:xfrm>
                    <a:prstGeom prst="rect">
                      <a:avLst/>
                    </a:prstGeom>
                  </pic:spPr>
                </pic:pic>
              </a:graphicData>
            </a:graphic>
          </wp:inline>
        </w:drawing>
      </w:r>
    </w:p>
    <w:p>
      <w:pPr>
        <w:spacing w:line="360" w:lineRule="auto"/>
        <w:jc w:val="both"/>
        <w:rPr>
          <w:rFonts w:ascii="Book Antiqua" w:hAnsi="Book Antiqua" w:cs="Book Antiqua"/>
          <w:lang w:eastAsia="zh-CN"/>
        </w:rPr>
      </w:pPr>
      <w:r>
        <w:rPr>
          <w:rFonts w:ascii="Book Antiqua" w:hAnsi="Book Antiqua" w:eastAsia="Book Antiqua" w:cs="Book Antiqua"/>
          <w:b/>
          <w:bCs/>
        </w:rPr>
        <w:t xml:space="preserve">Figure 2 The alteration of intrahepatic immunity predicts the prognosis of hepatocellular carcinoma patients. </w:t>
      </w:r>
      <w:r>
        <w:rPr>
          <w:rFonts w:ascii="Book Antiqua" w:hAnsi="Book Antiqua" w:eastAsia="Book Antiqua" w:cs="Book Antiqua"/>
        </w:rPr>
        <w:t>Usually, an increase of regulatory T cells, T helper (Th) 2 cells, and Th17 cells, as well as M2 macrophages is positively associated with hepatocellular carcinoma (HCC) progression in patients, whereas an abundance of CD8 T cells, Th1 T cells, and M1 macrophages is associated with HCC therapy and good prognosis for HCC patients. HCC: Hepatocellular carcinoma; Treg: Regulatory T cells; Th: T helper.</w:t>
      </w:r>
    </w:p>
    <w:p>
      <w:pPr>
        <w:spacing w:line="360" w:lineRule="auto"/>
        <w:jc w:val="both"/>
        <w:rPr>
          <w:rFonts w:ascii="Book Antiqua" w:hAnsi="Book Antiqua"/>
          <w:lang w:eastAsia="zh-CN"/>
        </w:rPr>
      </w:pPr>
      <w:r>
        <w:rPr>
          <w:rFonts w:ascii="Book Antiqua" w:hAnsi="Book Antiqua"/>
          <w:lang w:eastAsia="zh-CN"/>
        </w:rPr>
        <w:drawing>
          <wp:inline distT="0" distB="0" distL="114300" distR="114300">
            <wp:extent cx="3472180" cy="2499995"/>
            <wp:effectExtent l="0" t="0" r="2540" b="14605"/>
            <wp:docPr id="5" name="图片 5" descr="WJG-28-3346-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WJG-28-3346-g003"/>
                    <pic:cNvPicPr>
                      <a:picLocks noChangeAspect="1"/>
                    </pic:cNvPicPr>
                  </pic:nvPicPr>
                  <pic:blipFill>
                    <a:blip r:embed="rId7"/>
                    <a:stretch>
                      <a:fillRect/>
                    </a:stretch>
                  </pic:blipFill>
                  <pic:spPr>
                    <a:xfrm>
                      <a:off x="0" y="0"/>
                      <a:ext cx="3472180" cy="2499995"/>
                    </a:xfrm>
                    <a:prstGeom prst="rect">
                      <a:avLst/>
                    </a:prstGeom>
                  </pic:spPr>
                </pic:pic>
              </a:graphicData>
            </a:graphic>
          </wp:inline>
        </w:drawing>
      </w:r>
    </w:p>
    <w:p>
      <w:pPr>
        <w:spacing w:line="360" w:lineRule="auto"/>
        <w:jc w:val="both"/>
        <w:rPr>
          <w:rFonts w:ascii="Book Antiqua" w:hAnsi="Book Antiqua" w:cs="Book Antiqua"/>
          <w:shd w:val="clear" w:color="auto" w:fill="FFFFFF"/>
          <w:lang w:eastAsia="zh-CN"/>
        </w:rPr>
      </w:pPr>
      <w:r>
        <w:rPr>
          <w:rFonts w:ascii="Book Antiqua" w:hAnsi="Book Antiqua" w:eastAsia="Book Antiqua" w:cs="Book Antiqua"/>
          <w:b/>
          <w:bCs/>
        </w:rPr>
        <w:t xml:space="preserve">Figure 3 Factors mediated the imbalance of regulatory T cells/effector T cells. </w:t>
      </w:r>
      <w:r>
        <w:rPr>
          <w:rFonts w:ascii="Book Antiqua" w:hAnsi="Book Antiqua" w:eastAsia="Book Antiqua" w:cs="Book Antiqua"/>
        </w:rPr>
        <w:t xml:space="preserve">Factor such as Hepatitis B virus, gut microbiota, and non-alcoholic fatty liver disease, as well as hepatocellular carcinoma tumor cells, can modulate several important molecules produced in the liver. Alteration of these molecules has been associated with the change of frequency and/or function of regulatory T cells in chronic liver disease, resulting in an imbalance of regulatory T cells/effector T cells. HCC: Hepatocellular carcinoma; HBV: Hepatitis B virus; NAFLD: Non-alcoholic fatty liver disease; Teff: Effector T cells; Treg: Regulatory T cells; GDF: Growth differentiation factor; HIF: Hypoxia-inducible transcription factors; Gal: Galectin; miR: </w:t>
      </w:r>
      <w:r>
        <w:rPr>
          <w:rFonts w:ascii="Book Antiqua" w:hAnsi="Book Antiqua" w:cs="Book Antiqua"/>
          <w:lang w:eastAsia="zh-CN"/>
        </w:rPr>
        <w:t>m</w:t>
      </w:r>
      <w:r>
        <w:rPr>
          <w:rFonts w:ascii="Book Antiqua" w:hAnsi="Book Antiqua" w:eastAsia="Book Antiqua" w:cs="Book Antiqua"/>
        </w:rPr>
        <w:t>icro ribonucleic acid; TLR: Toll-like receptor; YAP: Yes-associated protein; TGF-β: Transforming growth factor-beta.</w:t>
      </w:r>
    </w:p>
    <w:p>
      <w:pPr>
        <w:spacing w:line="360" w:lineRule="auto"/>
        <w:jc w:val="both"/>
        <w:rPr>
          <w:rFonts w:ascii="Book Antiqua" w:hAnsi="Book Antiqua" w:eastAsia="Book Antiqua" w:cs="Book Antiqua"/>
        </w:rPr>
        <w:sectPr>
          <w:pgSz w:w="12240" w:h="15840"/>
          <w:pgMar w:top="1440" w:right="1440" w:bottom="1440" w:left="1440" w:header="720" w:footer="720" w:gutter="0"/>
          <w:cols w:space="720" w:num="1"/>
          <w:docGrid w:linePitch="360" w:charSpace="0"/>
        </w:sectPr>
      </w:pPr>
      <w:bookmarkStart w:id="4" w:name="_GoBack"/>
      <w:bookmarkEnd w:id="4"/>
    </w:p>
    <w:p>
      <w:pPr>
        <w:spacing w:line="360" w:lineRule="auto"/>
        <w:jc w:val="both"/>
        <w:rPr>
          <w:rFonts w:ascii="Book Antiqua" w:hAnsi="Book Antiqua"/>
          <w:b/>
          <w:bCs/>
        </w:rPr>
      </w:pPr>
      <w:r>
        <w:rPr>
          <w:rFonts w:ascii="Book Antiqua" w:hAnsi="Book Antiqua"/>
          <w:b/>
          <w:bCs/>
        </w:rPr>
        <w:t xml:space="preserve">Table 1 Treatment options for </w:t>
      </w:r>
      <w:r>
        <w:rPr>
          <w:rFonts w:ascii="Book Antiqua" w:hAnsi="Book Antiqua"/>
          <w:b/>
          <w:bCs/>
          <w:lang w:eastAsia="zh-CN"/>
        </w:rPr>
        <w:t>h</w:t>
      </w:r>
      <w:r>
        <w:rPr>
          <w:rFonts w:ascii="Book Antiqua" w:hAnsi="Book Antiqua"/>
          <w:b/>
          <w:bCs/>
        </w:rPr>
        <w:t>epatocellular carcinoma by targeting regulatory T cells and relative signaling pathways</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44"/>
        <w:gridCol w:w="2394"/>
        <w:gridCol w:w="7334"/>
        <w:gridCol w:w="14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815" w:type="pct"/>
            <w:tcBorders>
              <w:top w:val="single" w:color="auto" w:sz="4" w:space="0"/>
              <w:bottom w:val="single" w:color="auto" w:sz="4" w:space="0"/>
            </w:tcBorders>
          </w:tcPr>
          <w:p>
            <w:pPr>
              <w:spacing w:line="360" w:lineRule="auto"/>
              <w:jc w:val="both"/>
              <w:rPr>
                <w:rFonts w:ascii="Book Antiqua" w:hAnsi="Book Antiqua" w:cstheme="minorBidi"/>
                <w:b/>
                <w:bCs/>
              </w:rPr>
            </w:pPr>
            <w:r>
              <w:rPr>
                <w:rFonts w:ascii="Book Antiqua" w:hAnsi="Book Antiqua" w:cstheme="minorBidi"/>
                <w:b/>
                <w:bCs/>
              </w:rPr>
              <w:t>Treatment</w:t>
            </w:r>
          </w:p>
        </w:tc>
        <w:tc>
          <w:tcPr>
            <w:tcW w:w="769" w:type="pct"/>
            <w:tcBorders>
              <w:top w:val="single" w:color="auto" w:sz="4" w:space="0"/>
              <w:bottom w:val="single" w:color="auto" w:sz="4" w:space="0"/>
            </w:tcBorders>
          </w:tcPr>
          <w:p>
            <w:pPr>
              <w:spacing w:line="360" w:lineRule="auto"/>
              <w:jc w:val="both"/>
              <w:rPr>
                <w:rFonts w:ascii="Book Antiqua" w:hAnsi="Book Antiqua" w:cstheme="minorBidi"/>
                <w:b/>
                <w:bCs/>
              </w:rPr>
            </w:pPr>
            <w:r>
              <w:rPr>
                <w:rFonts w:ascii="Book Antiqua" w:hAnsi="Book Antiqua" w:cstheme="minorBidi"/>
                <w:b/>
                <w:bCs/>
              </w:rPr>
              <w:t>Targets</w:t>
            </w:r>
          </w:p>
        </w:tc>
        <w:tc>
          <w:tcPr>
            <w:tcW w:w="2837" w:type="pct"/>
            <w:tcBorders>
              <w:top w:val="single" w:color="auto" w:sz="4" w:space="0"/>
              <w:bottom w:val="single" w:color="auto" w:sz="4" w:space="0"/>
            </w:tcBorders>
          </w:tcPr>
          <w:p>
            <w:pPr>
              <w:spacing w:line="360" w:lineRule="auto"/>
              <w:jc w:val="both"/>
              <w:rPr>
                <w:rFonts w:ascii="Book Antiqua" w:hAnsi="Book Antiqua" w:cstheme="minorBidi"/>
                <w:b/>
                <w:bCs/>
              </w:rPr>
            </w:pPr>
            <w:r>
              <w:rPr>
                <w:rFonts w:ascii="Book Antiqua" w:hAnsi="Book Antiqua" w:cstheme="minorBidi"/>
                <w:b/>
                <w:bCs/>
              </w:rPr>
              <w:t>Functions</w:t>
            </w:r>
          </w:p>
        </w:tc>
        <w:tc>
          <w:tcPr>
            <w:tcW w:w="579" w:type="pct"/>
            <w:tcBorders>
              <w:top w:val="single" w:color="auto" w:sz="4" w:space="0"/>
              <w:bottom w:val="single" w:color="auto" w:sz="4" w:space="0"/>
            </w:tcBorders>
          </w:tcPr>
          <w:p>
            <w:pPr>
              <w:spacing w:line="360" w:lineRule="auto"/>
              <w:jc w:val="both"/>
              <w:rPr>
                <w:rFonts w:ascii="Book Antiqua" w:hAnsi="Book Antiqua" w:cstheme="minorBidi"/>
                <w:b/>
                <w:bCs/>
              </w:rPr>
            </w:pPr>
            <w:r>
              <w:rPr>
                <w:rFonts w:ascii="Book Antiqua" w:hAnsi="Book Antiqua" w:cstheme="minorBidi"/>
                <w:b/>
                <w:bCs/>
              </w:rPr>
              <w:t>Ref.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815" w:type="pct"/>
            <w:tcBorders>
              <w:top w:val="single" w:color="auto" w:sz="4" w:space="0"/>
            </w:tcBorders>
          </w:tcPr>
          <w:p>
            <w:pPr>
              <w:spacing w:line="360" w:lineRule="auto"/>
              <w:jc w:val="both"/>
              <w:rPr>
                <w:rFonts w:ascii="Book Antiqua" w:hAnsi="Book Antiqua" w:cstheme="minorBidi"/>
              </w:rPr>
            </w:pPr>
            <w:r>
              <w:rPr>
                <w:rFonts w:ascii="Book Antiqua" w:hAnsi="Book Antiqua" w:cstheme="minorBidi"/>
              </w:rPr>
              <w:t>CCR4 antagonist</w:t>
            </w:r>
          </w:p>
        </w:tc>
        <w:tc>
          <w:tcPr>
            <w:tcW w:w="769" w:type="pct"/>
            <w:tcBorders>
              <w:top w:val="single" w:color="auto" w:sz="4" w:space="0"/>
            </w:tcBorders>
          </w:tcPr>
          <w:p>
            <w:pPr>
              <w:spacing w:line="360" w:lineRule="auto"/>
              <w:jc w:val="both"/>
              <w:rPr>
                <w:rFonts w:ascii="Book Antiqua" w:hAnsi="Book Antiqua" w:cstheme="minorBidi"/>
              </w:rPr>
            </w:pPr>
            <w:r>
              <w:rPr>
                <w:rFonts w:ascii="Book Antiqua" w:hAnsi="Book Antiqua" w:cstheme="minorBidi"/>
              </w:rPr>
              <w:t>CCR4</w:t>
            </w:r>
          </w:p>
        </w:tc>
        <w:tc>
          <w:tcPr>
            <w:tcW w:w="2837" w:type="pct"/>
            <w:tcBorders>
              <w:top w:val="single" w:color="auto" w:sz="4" w:space="0"/>
            </w:tcBorders>
          </w:tcPr>
          <w:p>
            <w:pPr>
              <w:spacing w:line="360" w:lineRule="auto"/>
              <w:jc w:val="both"/>
              <w:rPr>
                <w:rFonts w:ascii="Book Antiqua" w:hAnsi="Book Antiqua" w:cstheme="minorBidi"/>
                <w:lang w:eastAsia="zh-CN"/>
              </w:rPr>
            </w:pPr>
            <w:r>
              <w:rPr>
                <w:rFonts w:ascii="Book Antiqua" w:hAnsi="Book Antiqua" w:cstheme="minorBidi"/>
              </w:rPr>
              <w:t>Administration of a CCR4 antagonist or N-CCR4-Fc, a neutralizing pseudo-receptor that can block Tregs accumulation in HCC, can enhance therapeutic efficacy to PD-1 blockade and sorafenib</w:t>
            </w:r>
          </w:p>
        </w:tc>
        <w:tc>
          <w:tcPr>
            <w:tcW w:w="579" w:type="pct"/>
            <w:tcBorders>
              <w:top w:val="single" w:color="auto" w:sz="4" w:space="0"/>
            </w:tcBorders>
          </w:tcPr>
          <w:p>
            <w:pPr>
              <w:spacing w:line="360" w:lineRule="auto"/>
              <w:jc w:val="both"/>
              <w:rPr>
                <w:rFonts w:ascii="Book Antiqua" w:hAnsi="Book Antiqua" w:cstheme="minorBidi"/>
              </w:rPr>
            </w:pPr>
            <w:r>
              <w:rPr>
                <w:rFonts w:ascii="Book Antiqua" w:hAnsi="Book Antiqua" w:cstheme="minorBidi"/>
              </w:rPr>
              <w:t>Gao</w:t>
            </w:r>
            <w:r>
              <w:rPr>
                <w:rFonts w:ascii="Book Antiqua" w:hAnsi="Book Antiqua" w:cstheme="minorBidi"/>
                <w:lang w:eastAsia="zh-CN"/>
              </w:rPr>
              <w:t xml:space="preserve"> </w:t>
            </w:r>
            <w:r>
              <w:rPr>
                <w:rFonts w:ascii="Book Antiqua" w:hAnsi="Book Antiqua" w:cstheme="minorBidi"/>
                <w:i/>
                <w:iCs/>
                <w:lang w:eastAsia="zh-CN"/>
              </w:rPr>
              <w:t>et al</w:t>
            </w:r>
            <w:r>
              <w:rPr>
                <w:rFonts w:ascii="Book Antiqua" w:hAnsi="Book Antiqua" w:cstheme="minorBidi"/>
                <w:vertAlign w:val="superscript"/>
                <w:lang w:eastAsia="zh-CN"/>
              </w:rPr>
              <w:t>[37]</w:t>
            </w:r>
            <w:r>
              <w:rPr>
                <w:rFonts w:ascii="Book Antiqua" w:hAnsi="Book Antiqua" w:cstheme="minorBidi"/>
                <w:lang w:eastAsia="zh-CN"/>
              </w:rPr>
              <w:t>, 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815" w:type="pct"/>
          </w:tcPr>
          <w:p>
            <w:pPr>
              <w:spacing w:line="360" w:lineRule="auto"/>
              <w:jc w:val="both"/>
              <w:rPr>
                <w:rFonts w:ascii="Book Antiqua" w:hAnsi="Book Antiqua" w:cstheme="minorBidi"/>
              </w:rPr>
            </w:pPr>
            <w:r>
              <w:rPr>
                <w:rFonts w:ascii="Book Antiqua" w:hAnsi="Book Antiqua" w:cstheme="minorBidi"/>
              </w:rPr>
              <w:t>miR-26a</w:t>
            </w:r>
          </w:p>
        </w:tc>
        <w:tc>
          <w:tcPr>
            <w:tcW w:w="769" w:type="pct"/>
          </w:tcPr>
          <w:p>
            <w:pPr>
              <w:spacing w:line="360" w:lineRule="auto"/>
              <w:jc w:val="both"/>
              <w:rPr>
                <w:rFonts w:ascii="Book Antiqua" w:hAnsi="Book Antiqua" w:cstheme="minorBidi"/>
              </w:rPr>
            </w:pPr>
            <w:r>
              <w:rPr>
                <w:rFonts w:ascii="Book Antiqua" w:hAnsi="Book Antiqua" w:cstheme="minorBidi"/>
              </w:rPr>
              <w:t>IL6/Stat3 and HGF/c-Met</w:t>
            </w:r>
          </w:p>
        </w:tc>
        <w:tc>
          <w:tcPr>
            <w:tcW w:w="2837" w:type="pct"/>
          </w:tcPr>
          <w:p>
            <w:pPr>
              <w:spacing w:line="360" w:lineRule="auto"/>
              <w:jc w:val="both"/>
              <w:rPr>
                <w:rFonts w:ascii="Book Antiqua" w:hAnsi="Book Antiqua" w:cstheme="minorBidi"/>
                <w:lang w:eastAsia="zh-CN"/>
              </w:rPr>
            </w:pPr>
            <w:r>
              <w:rPr>
                <w:rFonts w:ascii="Book Antiqua" w:hAnsi="Book Antiqua" w:cstheme="minorBidi"/>
              </w:rPr>
              <w:t>The suppressive effects of miR-26a on HCC growth and angiogenesis are mediated by targeting IL-6/signal transducer and activator of transcription 3 signaling and HGF/HGFR/c-Met signaling, respectively</w:t>
            </w:r>
          </w:p>
        </w:tc>
        <w:tc>
          <w:tcPr>
            <w:tcW w:w="579" w:type="pct"/>
          </w:tcPr>
          <w:p>
            <w:pPr>
              <w:spacing w:line="360" w:lineRule="auto"/>
              <w:jc w:val="both"/>
              <w:rPr>
                <w:rFonts w:ascii="Book Antiqua" w:hAnsi="Book Antiqua" w:cstheme="minorBidi"/>
              </w:rPr>
            </w:pPr>
            <w:r>
              <w:rPr>
                <w:rFonts w:ascii="Book Antiqua" w:hAnsi="Book Antiqua" w:cstheme="minorBidi"/>
              </w:rPr>
              <w:t>Yang</w:t>
            </w:r>
            <w:r>
              <w:rPr>
                <w:rFonts w:ascii="Book Antiqua" w:hAnsi="Book Antiqua" w:cstheme="minorBidi"/>
                <w:lang w:eastAsia="zh-CN"/>
              </w:rPr>
              <w:t xml:space="preserve"> </w:t>
            </w:r>
            <w:r>
              <w:rPr>
                <w:rFonts w:ascii="Book Antiqua" w:hAnsi="Book Antiqua" w:cstheme="minorBidi"/>
                <w:i/>
                <w:iCs/>
              </w:rPr>
              <w:t>et al</w:t>
            </w:r>
            <w:r>
              <w:rPr>
                <w:rFonts w:ascii="Book Antiqua" w:hAnsi="Book Antiqua" w:cstheme="minorBidi"/>
                <w:vertAlign w:val="superscript"/>
              </w:rPr>
              <w:t>[65]</w:t>
            </w:r>
            <w:r>
              <w:rPr>
                <w:rFonts w:ascii="Book Antiqua" w:hAnsi="Book Antiqua" w:cstheme="minorBidi"/>
              </w:rPr>
              <w:t xml:space="preserve">, 2013; Yang </w:t>
            </w:r>
            <w:r>
              <w:rPr>
                <w:rFonts w:ascii="Book Antiqua" w:hAnsi="Book Antiqua" w:cstheme="minorBidi"/>
                <w:i/>
                <w:iCs/>
              </w:rPr>
              <w:t>et al</w:t>
            </w:r>
            <w:r>
              <w:rPr>
                <w:rFonts w:ascii="Book Antiqua" w:hAnsi="Book Antiqua" w:cstheme="minorBidi"/>
                <w:vertAlign w:val="superscript"/>
              </w:rPr>
              <w:t>[66]</w:t>
            </w:r>
            <w:r>
              <w:rPr>
                <w:rFonts w:ascii="Book Antiqua" w:hAnsi="Book Antiqua" w:cstheme="minorBidi"/>
              </w:rPr>
              <w:t>, 2014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815" w:type="pct"/>
          </w:tcPr>
          <w:p>
            <w:pPr>
              <w:spacing w:line="360" w:lineRule="auto"/>
              <w:jc w:val="both"/>
              <w:rPr>
                <w:rFonts w:ascii="Book Antiqua" w:hAnsi="Book Antiqua" w:cstheme="minorBidi"/>
              </w:rPr>
            </w:pPr>
            <w:r>
              <w:rPr>
                <w:rFonts w:ascii="Book Antiqua" w:hAnsi="Book Antiqua" w:cstheme="minorBidi"/>
              </w:rPr>
              <w:t>GDF15 neutralizing antibody</w:t>
            </w:r>
          </w:p>
        </w:tc>
        <w:tc>
          <w:tcPr>
            <w:tcW w:w="769" w:type="pct"/>
          </w:tcPr>
          <w:p>
            <w:pPr>
              <w:spacing w:line="360" w:lineRule="auto"/>
              <w:jc w:val="both"/>
              <w:rPr>
                <w:rFonts w:ascii="Book Antiqua" w:hAnsi="Book Antiqua" w:cstheme="minorBidi"/>
              </w:rPr>
            </w:pPr>
            <w:r>
              <w:rPr>
                <w:rFonts w:ascii="Book Antiqua" w:hAnsi="Book Antiqua" w:cstheme="minorBidi"/>
              </w:rPr>
              <w:t>GDF15/CD48</w:t>
            </w:r>
          </w:p>
        </w:tc>
        <w:tc>
          <w:tcPr>
            <w:tcW w:w="2837" w:type="pct"/>
          </w:tcPr>
          <w:p>
            <w:pPr>
              <w:spacing w:line="360" w:lineRule="auto"/>
              <w:jc w:val="both"/>
              <w:rPr>
                <w:rFonts w:ascii="Book Antiqua" w:hAnsi="Book Antiqua" w:cstheme="minorBidi"/>
                <w:lang w:eastAsia="zh-CN"/>
              </w:rPr>
            </w:pPr>
            <w:r>
              <w:rPr>
                <w:rFonts w:ascii="Book Antiqua" w:hAnsi="Book Antiqua" w:cstheme="minorBidi"/>
              </w:rPr>
              <w:t>Inhibiting GDF15 function by a neutralizing antibody can effectively eradicate HCC and promote a tumoricidal immune response in mice</w:t>
            </w:r>
          </w:p>
        </w:tc>
        <w:tc>
          <w:tcPr>
            <w:tcW w:w="579" w:type="pct"/>
          </w:tcPr>
          <w:p>
            <w:pPr>
              <w:spacing w:line="360" w:lineRule="auto"/>
              <w:jc w:val="both"/>
              <w:rPr>
                <w:rFonts w:ascii="Book Antiqua" w:hAnsi="Book Antiqua" w:cstheme="minorBidi"/>
              </w:rPr>
            </w:pPr>
            <w:r>
              <w:rPr>
                <w:rFonts w:ascii="Book Antiqua" w:hAnsi="Book Antiqua" w:cstheme="minorBidi"/>
              </w:rPr>
              <w:t xml:space="preserve">Wang </w:t>
            </w:r>
            <w:r>
              <w:rPr>
                <w:rFonts w:ascii="Book Antiqua" w:hAnsi="Book Antiqua" w:cstheme="minorBidi"/>
                <w:i/>
                <w:iCs/>
              </w:rPr>
              <w:t>et al</w:t>
            </w:r>
            <w:r>
              <w:rPr>
                <w:rFonts w:ascii="Book Antiqua" w:hAnsi="Book Antiqua" w:cstheme="minorBidi"/>
                <w:vertAlign w:val="superscript"/>
              </w:rPr>
              <w:t>[53]</w:t>
            </w:r>
            <w:r>
              <w:rPr>
                <w:rFonts w:ascii="Book Antiqua" w:hAnsi="Book Antiqua" w:cstheme="minorBidi"/>
              </w:rPr>
              <w:t>, 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815" w:type="pct"/>
          </w:tcPr>
          <w:p>
            <w:pPr>
              <w:spacing w:line="360" w:lineRule="auto"/>
              <w:jc w:val="both"/>
              <w:rPr>
                <w:rFonts w:ascii="Book Antiqua" w:hAnsi="Book Antiqua" w:cstheme="minorBidi"/>
              </w:rPr>
            </w:pPr>
            <w:r>
              <w:rPr>
                <w:rFonts w:ascii="Book Antiqua" w:hAnsi="Book Antiqua" w:cstheme="minorBidi"/>
              </w:rPr>
              <w:t xml:space="preserve">Supplementation of </w:t>
            </w:r>
            <w:r>
              <w:rPr>
                <w:rFonts w:ascii="Book Antiqua" w:hAnsi="Book Antiqua" w:cstheme="minorBidi"/>
                <w:i/>
                <w:iCs/>
              </w:rPr>
              <w:t>Lactobacillus rhamnosus</w:t>
            </w:r>
            <w:r>
              <w:rPr>
                <w:rFonts w:ascii="Book Antiqua" w:hAnsi="Book Antiqua" w:cstheme="minorBidi"/>
              </w:rPr>
              <w:t xml:space="preserve"> GG or its culture supernatant</w:t>
            </w:r>
          </w:p>
        </w:tc>
        <w:tc>
          <w:tcPr>
            <w:tcW w:w="769" w:type="pct"/>
          </w:tcPr>
          <w:p>
            <w:pPr>
              <w:spacing w:line="360" w:lineRule="auto"/>
              <w:jc w:val="both"/>
              <w:rPr>
                <w:rFonts w:ascii="Book Antiqua" w:hAnsi="Book Antiqua" w:cstheme="minorBidi"/>
              </w:rPr>
            </w:pPr>
            <w:r>
              <w:rPr>
                <w:rFonts w:ascii="Book Antiqua" w:hAnsi="Book Antiqua" w:cstheme="minorBidi"/>
              </w:rPr>
              <w:t>The ratio of Treg and Th17 cells</w:t>
            </w:r>
          </w:p>
        </w:tc>
        <w:tc>
          <w:tcPr>
            <w:tcW w:w="2837" w:type="pct"/>
          </w:tcPr>
          <w:p>
            <w:pPr>
              <w:spacing w:line="360" w:lineRule="auto"/>
              <w:jc w:val="both"/>
              <w:rPr>
                <w:rFonts w:ascii="Book Antiqua" w:hAnsi="Book Antiqua" w:cstheme="minorBidi"/>
                <w:lang w:eastAsia="zh-CN"/>
              </w:rPr>
            </w:pPr>
            <w:r>
              <w:rPr>
                <w:rFonts w:ascii="Book Antiqua" w:hAnsi="Book Antiqua" w:cstheme="minorBidi"/>
              </w:rPr>
              <w:t xml:space="preserve">Supplementation of </w:t>
            </w:r>
            <w:r>
              <w:rPr>
                <w:rFonts w:ascii="Book Antiqua" w:hAnsi="Book Antiqua" w:cstheme="minorBidi"/>
                <w:i/>
                <w:iCs/>
              </w:rPr>
              <w:t>Lactobacillus rhamnosus</w:t>
            </w:r>
            <w:r>
              <w:rPr>
                <w:rFonts w:ascii="Book Antiqua" w:hAnsi="Book Antiqua" w:cstheme="minorBidi"/>
              </w:rPr>
              <w:t xml:space="preserve"> GG or its culture supernatant can ameliorate chronic alcohol-induced liver injury by reducing hepatic inflammation, enhancing intestinal barrier integrity, and inducing balance in the ratio of Treg and Th17 cells to reduce alcoholic-induced liver injury</w:t>
            </w:r>
          </w:p>
        </w:tc>
        <w:tc>
          <w:tcPr>
            <w:tcW w:w="579" w:type="pct"/>
          </w:tcPr>
          <w:p>
            <w:pPr>
              <w:spacing w:line="360" w:lineRule="auto"/>
              <w:jc w:val="both"/>
              <w:rPr>
                <w:rFonts w:ascii="Book Antiqua" w:hAnsi="Book Antiqua" w:cstheme="minorBidi"/>
              </w:rPr>
            </w:pPr>
            <w:r>
              <w:rPr>
                <w:rFonts w:ascii="Book Antiqua" w:hAnsi="Book Antiqua" w:cstheme="minorBidi"/>
              </w:rPr>
              <w:t xml:space="preserve">Chen </w:t>
            </w:r>
            <w:r>
              <w:rPr>
                <w:rFonts w:ascii="Book Antiqua" w:hAnsi="Book Antiqua" w:cstheme="minorBidi"/>
                <w:i/>
                <w:iCs/>
              </w:rPr>
              <w:t>et al</w:t>
            </w:r>
            <w:r>
              <w:rPr>
                <w:rFonts w:ascii="Book Antiqua" w:hAnsi="Book Antiqua" w:cstheme="minorBidi"/>
                <w:vertAlign w:val="superscript"/>
              </w:rPr>
              <w:t>[22]</w:t>
            </w:r>
            <w:r>
              <w:rPr>
                <w:rFonts w:ascii="Book Antiqua" w:hAnsi="Book Antiqua" w:cstheme="minorBidi"/>
              </w:rPr>
              <w:t xml:space="preserve">, 2016; Wang </w:t>
            </w:r>
            <w:r>
              <w:rPr>
                <w:rFonts w:ascii="Book Antiqua" w:hAnsi="Book Antiqua" w:cstheme="minorBidi"/>
                <w:i/>
                <w:iCs/>
              </w:rPr>
              <w:t>et al</w:t>
            </w:r>
            <w:r>
              <w:rPr>
                <w:rFonts w:ascii="Book Antiqua" w:hAnsi="Book Antiqua" w:cstheme="minorBidi"/>
                <w:vertAlign w:val="superscript"/>
              </w:rPr>
              <w:t>[72]</w:t>
            </w:r>
            <w:r>
              <w:rPr>
                <w:rFonts w:ascii="Book Antiqua" w:hAnsi="Book Antiqua" w:cstheme="minorBidi"/>
              </w:rPr>
              <w:t xml:space="preserve">, 2013; Wang </w:t>
            </w:r>
            <w:r>
              <w:rPr>
                <w:rFonts w:ascii="Book Antiqua" w:hAnsi="Book Antiqua" w:cstheme="minorBidi"/>
                <w:i/>
                <w:iCs/>
              </w:rPr>
              <w:t>et al</w:t>
            </w:r>
            <w:r>
              <w:rPr>
                <w:rFonts w:ascii="Book Antiqua" w:hAnsi="Book Antiqua" w:cstheme="minorBidi"/>
                <w:vertAlign w:val="superscript"/>
              </w:rPr>
              <w:t>[73]</w:t>
            </w:r>
            <w:r>
              <w:rPr>
                <w:rFonts w:ascii="Book Antiqua" w:hAnsi="Book Antiqua" w:cstheme="minorBidi"/>
              </w:rPr>
              <w:t>, 2012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815" w:type="pct"/>
          </w:tcPr>
          <w:p>
            <w:pPr>
              <w:spacing w:line="360" w:lineRule="auto"/>
              <w:jc w:val="both"/>
              <w:rPr>
                <w:rFonts w:ascii="Book Antiqua" w:hAnsi="Book Antiqua" w:cstheme="minorBidi"/>
              </w:rPr>
            </w:pPr>
            <w:r>
              <w:rPr>
                <w:rFonts w:ascii="Book Antiqua" w:hAnsi="Book Antiqua" w:cstheme="minorBidi"/>
              </w:rPr>
              <w:t>Prohep, a novel probiotic mixture</w:t>
            </w:r>
          </w:p>
        </w:tc>
        <w:tc>
          <w:tcPr>
            <w:tcW w:w="769" w:type="pct"/>
          </w:tcPr>
          <w:p>
            <w:pPr>
              <w:spacing w:line="360" w:lineRule="auto"/>
              <w:jc w:val="both"/>
              <w:rPr>
                <w:rFonts w:ascii="Book Antiqua" w:hAnsi="Book Antiqua" w:cstheme="minorBidi"/>
              </w:rPr>
            </w:pPr>
            <w:r>
              <w:rPr>
                <w:rFonts w:ascii="Book Antiqua" w:hAnsi="Book Antiqua" w:cstheme="minorBidi"/>
              </w:rPr>
              <w:t>Gut microbiota and Treg differentiation</w:t>
            </w:r>
          </w:p>
        </w:tc>
        <w:tc>
          <w:tcPr>
            <w:tcW w:w="2837" w:type="pct"/>
          </w:tcPr>
          <w:p>
            <w:pPr>
              <w:spacing w:line="360" w:lineRule="auto"/>
              <w:jc w:val="both"/>
              <w:rPr>
                <w:rFonts w:ascii="Book Antiqua" w:hAnsi="Book Antiqua" w:cstheme="minorBidi"/>
              </w:rPr>
            </w:pPr>
            <w:r>
              <w:rPr>
                <w:rFonts w:ascii="Book Antiqua" w:hAnsi="Book Antiqua" w:cstheme="minorBidi"/>
              </w:rPr>
              <w:t xml:space="preserve">Probiotic treatment regulated T-cell differentiation in the gut by reducing Th17 polarization and increasing the differentiation of anti-inflammatory Treg cells, by increasing the abundance of beneficial bacteria, such as </w:t>
            </w:r>
            <w:r>
              <w:rPr>
                <w:rFonts w:ascii="Book Antiqua" w:hAnsi="Book Antiqua" w:cstheme="minorBidi"/>
                <w:i/>
                <w:iCs/>
              </w:rPr>
              <w:t xml:space="preserve">Prevotella </w:t>
            </w:r>
            <w:r>
              <w:rPr>
                <w:rFonts w:ascii="Book Antiqua" w:hAnsi="Book Antiqua" w:cstheme="minorBidi"/>
              </w:rPr>
              <w:t xml:space="preserve">and </w:t>
            </w:r>
            <w:r>
              <w:rPr>
                <w:rFonts w:ascii="Book Antiqua" w:hAnsi="Book Antiqua" w:cstheme="minorBidi"/>
                <w:i/>
                <w:iCs/>
              </w:rPr>
              <w:t>Oscillibacter</w:t>
            </w:r>
          </w:p>
        </w:tc>
        <w:tc>
          <w:tcPr>
            <w:tcW w:w="579" w:type="pct"/>
          </w:tcPr>
          <w:p>
            <w:pPr>
              <w:spacing w:line="360" w:lineRule="auto"/>
              <w:jc w:val="both"/>
              <w:rPr>
                <w:rFonts w:ascii="Book Antiqua" w:hAnsi="Book Antiqua" w:cstheme="minorBidi"/>
              </w:rPr>
            </w:pPr>
            <w:r>
              <w:rPr>
                <w:rFonts w:ascii="Book Antiqua" w:hAnsi="Book Antiqua" w:cstheme="minorBidi"/>
              </w:rPr>
              <w:t xml:space="preserve">Li </w:t>
            </w:r>
            <w:r>
              <w:rPr>
                <w:rFonts w:ascii="Book Antiqua" w:hAnsi="Book Antiqua" w:cstheme="minorBidi"/>
                <w:i/>
                <w:iCs/>
              </w:rPr>
              <w:t>et al</w:t>
            </w:r>
            <w:r>
              <w:rPr>
                <w:rFonts w:ascii="Book Antiqua" w:hAnsi="Book Antiqua" w:cstheme="minorBidi"/>
                <w:vertAlign w:val="superscript"/>
              </w:rPr>
              <w:t>[74]</w:t>
            </w:r>
            <w:r>
              <w:rPr>
                <w:rFonts w:ascii="Book Antiqua" w:hAnsi="Book Antiqua" w:cstheme="minorBidi"/>
              </w:rPr>
              <w:t>, 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815" w:type="pct"/>
          </w:tcPr>
          <w:p>
            <w:pPr>
              <w:spacing w:line="360" w:lineRule="auto"/>
              <w:jc w:val="both"/>
              <w:rPr>
                <w:rFonts w:ascii="Book Antiqua" w:hAnsi="Book Antiqua" w:cstheme="minorBidi"/>
              </w:rPr>
            </w:pPr>
            <w:r>
              <w:rPr>
                <w:rFonts w:ascii="Book Antiqua" w:hAnsi="Book Antiqua" w:cstheme="minorBidi"/>
              </w:rPr>
              <w:t>Anti-PD-1 and anti-PD-L1 antibodies</w:t>
            </w:r>
          </w:p>
        </w:tc>
        <w:tc>
          <w:tcPr>
            <w:tcW w:w="769" w:type="pct"/>
          </w:tcPr>
          <w:p>
            <w:pPr>
              <w:spacing w:line="360" w:lineRule="auto"/>
              <w:jc w:val="both"/>
              <w:rPr>
                <w:rFonts w:ascii="Book Antiqua" w:hAnsi="Book Antiqua" w:cstheme="minorBidi"/>
              </w:rPr>
            </w:pPr>
            <w:r>
              <w:rPr>
                <w:rFonts w:ascii="Book Antiqua" w:hAnsi="Book Antiqua" w:cstheme="minorBidi"/>
              </w:rPr>
              <w:t>PD-1 and PD-L1</w:t>
            </w:r>
          </w:p>
        </w:tc>
        <w:tc>
          <w:tcPr>
            <w:tcW w:w="2837" w:type="pct"/>
          </w:tcPr>
          <w:p>
            <w:pPr>
              <w:spacing w:line="360" w:lineRule="auto"/>
              <w:jc w:val="both"/>
              <w:rPr>
                <w:rFonts w:ascii="Book Antiqua" w:hAnsi="Book Antiqua" w:cstheme="minorBidi"/>
                <w:lang w:eastAsia="zh-CN"/>
              </w:rPr>
            </w:pPr>
            <w:r>
              <w:rPr>
                <w:rFonts w:ascii="Book Antiqua" w:hAnsi="Book Antiqua" w:cstheme="minorBidi"/>
              </w:rPr>
              <w:t>Another study also showed that Treg-mediated inhibition of IFN-γ production and cytotoxicity of CD8 T cells can be partially reduced by anti-PD-1 and anti-PD-L1 antibodies in HCC</w:t>
            </w:r>
          </w:p>
        </w:tc>
        <w:tc>
          <w:tcPr>
            <w:tcW w:w="579" w:type="pct"/>
          </w:tcPr>
          <w:p>
            <w:pPr>
              <w:spacing w:line="360" w:lineRule="auto"/>
              <w:jc w:val="both"/>
              <w:rPr>
                <w:rFonts w:ascii="Book Antiqua" w:hAnsi="Book Antiqua" w:cstheme="minorBidi"/>
              </w:rPr>
            </w:pPr>
            <w:r>
              <w:rPr>
                <w:rFonts w:ascii="Book Antiqua" w:hAnsi="Book Antiqua" w:cstheme="minorBidi"/>
              </w:rPr>
              <w:t xml:space="preserve">Langhans </w:t>
            </w:r>
            <w:r>
              <w:rPr>
                <w:rFonts w:ascii="Book Antiqua" w:hAnsi="Book Antiqua" w:cstheme="minorBidi"/>
                <w:i/>
                <w:iCs/>
              </w:rPr>
              <w:t>et al</w:t>
            </w:r>
            <w:r>
              <w:rPr>
                <w:rFonts w:ascii="Book Antiqua" w:hAnsi="Book Antiqua" w:cstheme="minorBidi"/>
                <w:vertAlign w:val="superscript"/>
              </w:rPr>
              <w:t>[76]</w:t>
            </w:r>
            <w:r>
              <w:rPr>
                <w:rFonts w:ascii="Book Antiqua" w:hAnsi="Book Antiqua" w:cstheme="minorBidi"/>
              </w:rPr>
              <w:t>, 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815" w:type="pct"/>
          </w:tcPr>
          <w:p>
            <w:pPr>
              <w:spacing w:line="360" w:lineRule="auto"/>
              <w:jc w:val="both"/>
              <w:rPr>
                <w:rFonts w:ascii="Book Antiqua" w:hAnsi="Book Antiqua" w:cstheme="minorBidi"/>
              </w:rPr>
            </w:pPr>
            <w:r>
              <w:rPr>
                <w:rFonts w:ascii="Book Antiqua" w:hAnsi="Book Antiqua" w:cstheme="minorBidi"/>
              </w:rPr>
              <w:t>Dual anti-PD-1/VEGFR-2 therapy</w:t>
            </w:r>
          </w:p>
        </w:tc>
        <w:tc>
          <w:tcPr>
            <w:tcW w:w="769" w:type="pct"/>
          </w:tcPr>
          <w:p>
            <w:pPr>
              <w:spacing w:line="360" w:lineRule="auto"/>
              <w:jc w:val="both"/>
              <w:rPr>
                <w:rFonts w:ascii="Book Antiqua" w:hAnsi="Book Antiqua" w:cstheme="minorBidi"/>
              </w:rPr>
            </w:pPr>
            <w:r>
              <w:rPr>
                <w:rFonts w:ascii="Book Antiqua" w:hAnsi="Book Antiqua" w:cstheme="minorBidi"/>
              </w:rPr>
              <w:t>VEGFR-2 and PD-1</w:t>
            </w:r>
          </w:p>
        </w:tc>
        <w:tc>
          <w:tcPr>
            <w:tcW w:w="2837" w:type="pct"/>
          </w:tcPr>
          <w:p>
            <w:pPr>
              <w:spacing w:line="360" w:lineRule="auto"/>
              <w:jc w:val="both"/>
              <w:rPr>
                <w:rFonts w:ascii="Book Antiqua" w:hAnsi="Book Antiqua" w:cstheme="minorBidi"/>
              </w:rPr>
            </w:pPr>
            <w:r>
              <w:rPr>
                <w:rFonts w:ascii="Book Antiqua" w:hAnsi="Book Antiqua" w:cstheme="minorBidi"/>
              </w:rPr>
              <w:t>Dual therapies increased CD8 T cell infiltration and activation, reduced Tregs and infiltration of CCR2</w:t>
            </w:r>
            <w:r>
              <w:rPr>
                <w:rFonts w:ascii="Book Antiqua" w:hAnsi="Book Antiqua" w:cstheme="minorBidi"/>
                <w:vertAlign w:val="superscript"/>
              </w:rPr>
              <w:t>+</w:t>
            </w:r>
            <w:r>
              <w:rPr>
                <w:rFonts w:ascii="Book Antiqua" w:hAnsi="Book Antiqua" w:cstheme="minorBidi"/>
              </w:rPr>
              <w:t>monocytes, as well as the phenotype of tumor-associated macrophages (the M1/M2 ratio) in HCC tissue</w:t>
            </w:r>
          </w:p>
        </w:tc>
        <w:tc>
          <w:tcPr>
            <w:tcW w:w="579" w:type="pct"/>
          </w:tcPr>
          <w:p>
            <w:pPr>
              <w:spacing w:line="360" w:lineRule="auto"/>
              <w:jc w:val="both"/>
              <w:rPr>
                <w:rFonts w:ascii="Book Antiqua" w:hAnsi="Book Antiqua" w:cstheme="minorBidi"/>
              </w:rPr>
            </w:pPr>
            <w:r>
              <w:rPr>
                <w:rFonts w:ascii="Book Antiqua" w:hAnsi="Book Antiqua" w:cstheme="minorBidi"/>
              </w:rPr>
              <w:t>Shigeta</w:t>
            </w:r>
            <w:r>
              <w:rPr>
                <w:rFonts w:ascii="Book Antiqua" w:hAnsi="Book Antiqua" w:cstheme="minorBidi"/>
                <w:lang w:eastAsia="zh-CN"/>
              </w:rPr>
              <w:t xml:space="preserve"> </w:t>
            </w:r>
            <w:r>
              <w:rPr>
                <w:rFonts w:ascii="Book Antiqua" w:hAnsi="Book Antiqua" w:cstheme="minorBidi"/>
                <w:i/>
                <w:iCs/>
              </w:rPr>
              <w:t>et al</w:t>
            </w:r>
            <w:r>
              <w:rPr>
                <w:rFonts w:ascii="Book Antiqua" w:hAnsi="Book Antiqua" w:cstheme="minorBidi"/>
                <w:vertAlign w:val="superscript"/>
              </w:rPr>
              <w:t>[75]</w:t>
            </w:r>
            <w:r>
              <w:rPr>
                <w:rFonts w:ascii="Book Antiqua" w:hAnsi="Book Antiqua" w:cstheme="minorBidi"/>
              </w:rPr>
              <w:t>, 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815" w:type="pct"/>
          </w:tcPr>
          <w:p>
            <w:pPr>
              <w:spacing w:line="360" w:lineRule="auto"/>
              <w:jc w:val="both"/>
              <w:rPr>
                <w:rFonts w:ascii="Book Antiqua" w:hAnsi="Book Antiqua" w:cstheme="minorBidi"/>
              </w:rPr>
            </w:pPr>
            <w:r>
              <w:rPr>
                <w:rFonts w:ascii="Book Antiqua" w:hAnsi="Book Antiqua" w:cstheme="minorBidi"/>
              </w:rPr>
              <w:t>Anti-CTLA-4 monoclonal antibody</w:t>
            </w:r>
          </w:p>
        </w:tc>
        <w:tc>
          <w:tcPr>
            <w:tcW w:w="769" w:type="pct"/>
          </w:tcPr>
          <w:p>
            <w:pPr>
              <w:spacing w:line="360" w:lineRule="auto"/>
              <w:jc w:val="both"/>
              <w:rPr>
                <w:rFonts w:ascii="Book Antiqua" w:hAnsi="Book Antiqua" w:cstheme="minorBidi"/>
              </w:rPr>
            </w:pPr>
            <w:r>
              <w:rPr>
                <w:rFonts w:ascii="Book Antiqua" w:hAnsi="Book Antiqua" w:cstheme="minorBidi"/>
              </w:rPr>
              <w:t>Tregs</w:t>
            </w:r>
          </w:p>
        </w:tc>
        <w:tc>
          <w:tcPr>
            <w:tcW w:w="2837" w:type="pct"/>
          </w:tcPr>
          <w:p>
            <w:pPr>
              <w:spacing w:line="360" w:lineRule="auto"/>
              <w:jc w:val="both"/>
              <w:rPr>
                <w:rFonts w:ascii="Book Antiqua" w:hAnsi="Book Antiqua" w:cstheme="minorBidi"/>
                <w:lang w:eastAsia="zh-CN"/>
              </w:rPr>
            </w:pPr>
            <w:r>
              <w:rPr>
                <w:rFonts w:ascii="Book Antiqua" w:hAnsi="Book Antiqua" w:cstheme="minorBidi"/>
              </w:rPr>
              <w:t>Treg depletion-mediated by anti-CTLA-4 monoclonal antibody (clone 9H10) restored the function of tumor antigen-specific CD8 T cells, with a synergistic effect with anti-PD-1 treatment</w:t>
            </w:r>
          </w:p>
        </w:tc>
        <w:tc>
          <w:tcPr>
            <w:tcW w:w="579" w:type="pct"/>
          </w:tcPr>
          <w:p>
            <w:pPr>
              <w:spacing w:line="360" w:lineRule="auto"/>
              <w:jc w:val="both"/>
              <w:rPr>
                <w:rFonts w:ascii="Book Antiqua" w:hAnsi="Book Antiqua" w:cstheme="minorBidi"/>
              </w:rPr>
            </w:pPr>
            <w:r>
              <w:rPr>
                <w:rFonts w:ascii="Book Antiqua" w:hAnsi="Book Antiqua" w:cstheme="minorBidi"/>
              </w:rPr>
              <w:t xml:space="preserve">Lee </w:t>
            </w:r>
            <w:r>
              <w:rPr>
                <w:rFonts w:ascii="Book Antiqua" w:hAnsi="Book Antiqua" w:cstheme="minorBidi"/>
                <w:i/>
                <w:iCs/>
              </w:rPr>
              <w:t>et al</w:t>
            </w:r>
            <w:r>
              <w:rPr>
                <w:rFonts w:ascii="Book Antiqua" w:hAnsi="Book Antiqua" w:cstheme="minorBidi"/>
                <w:vertAlign w:val="superscript"/>
              </w:rPr>
              <w:t>[77]</w:t>
            </w:r>
            <w:r>
              <w:rPr>
                <w:rFonts w:ascii="Book Antiqua" w:hAnsi="Book Antiqua" w:cstheme="minorBidi"/>
              </w:rPr>
              <w:t>, 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815" w:type="pct"/>
            <w:tcBorders>
              <w:bottom w:val="single" w:color="auto" w:sz="4" w:space="0"/>
            </w:tcBorders>
          </w:tcPr>
          <w:p>
            <w:pPr>
              <w:spacing w:line="360" w:lineRule="auto"/>
              <w:jc w:val="both"/>
              <w:rPr>
                <w:rFonts w:ascii="Book Antiqua" w:hAnsi="Book Antiqua" w:cstheme="minorBidi"/>
              </w:rPr>
            </w:pPr>
            <w:r>
              <w:rPr>
                <w:rFonts w:ascii="Book Antiqua" w:hAnsi="Book Antiqua" w:cstheme="minorBidi"/>
              </w:rPr>
              <w:t>Resveratrol</w:t>
            </w:r>
          </w:p>
        </w:tc>
        <w:tc>
          <w:tcPr>
            <w:tcW w:w="769" w:type="pct"/>
            <w:tcBorders>
              <w:bottom w:val="single" w:color="auto" w:sz="4" w:space="0"/>
            </w:tcBorders>
          </w:tcPr>
          <w:p>
            <w:pPr>
              <w:spacing w:line="360" w:lineRule="auto"/>
              <w:jc w:val="both"/>
              <w:rPr>
                <w:rFonts w:ascii="Book Antiqua" w:hAnsi="Book Antiqua" w:cstheme="minorBidi"/>
              </w:rPr>
            </w:pPr>
            <w:r>
              <w:rPr>
                <w:rFonts w:ascii="Book Antiqua" w:hAnsi="Book Antiqua" w:cstheme="minorBidi"/>
              </w:rPr>
              <w:t>Tregs and immunosuppressive cytokines including TGF-β1 and IL-10</w:t>
            </w:r>
          </w:p>
        </w:tc>
        <w:tc>
          <w:tcPr>
            <w:tcW w:w="2837" w:type="pct"/>
            <w:tcBorders>
              <w:bottom w:val="single" w:color="auto" w:sz="4" w:space="0"/>
            </w:tcBorders>
          </w:tcPr>
          <w:p>
            <w:pPr>
              <w:spacing w:line="360" w:lineRule="auto"/>
              <w:jc w:val="both"/>
              <w:rPr>
                <w:rFonts w:ascii="Book Antiqua" w:hAnsi="Book Antiqua" w:cstheme="minorBidi"/>
                <w:lang w:eastAsia="zh-CN"/>
              </w:rPr>
            </w:pPr>
            <w:r>
              <w:rPr>
                <w:rFonts w:ascii="Book Antiqua" w:hAnsi="Book Antiqua" w:cstheme="minorBidi"/>
              </w:rPr>
              <w:t>Treatment with resveratrol, a natural phenol, can inhibit H22 (a mouse HCC cell line)-induced orthotopic HCC tumor growth via decreasing the frequency of CD8</w:t>
            </w:r>
            <w:r>
              <w:rPr>
                <w:rFonts w:ascii="Book Antiqua" w:hAnsi="Book Antiqua" w:cstheme="minorBidi"/>
                <w:vertAlign w:val="superscript"/>
              </w:rPr>
              <w:t>+</w:t>
            </w:r>
            <w:r>
              <w:rPr>
                <w:rFonts w:ascii="Book Antiqua" w:hAnsi="Book Antiqua" w:cstheme="minorBidi"/>
              </w:rPr>
              <w:t>CD122</w:t>
            </w:r>
            <w:r>
              <w:rPr>
                <w:rFonts w:ascii="Book Antiqua" w:hAnsi="Book Antiqua" w:cstheme="minorBidi"/>
                <w:vertAlign w:val="superscript"/>
              </w:rPr>
              <w:t>+</w:t>
            </w:r>
            <w:r>
              <w:rPr>
                <w:rFonts w:ascii="Book Antiqua" w:hAnsi="Book Antiqua" w:cstheme="minorBidi"/>
              </w:rPr>
              <w:t>Tregs and M2-like macrophages in mice</w:t>
            </w:r>
          </w:p>
        </w:tc>
        <w:tc>
          <w:tcPr>
            <w:tcW w:w="579" w:type="pct"/>
            <w:tcBorders>
              <w:bottom w:val="single" w:color="auto" w:sz="4" w:space="0"/>
            </w:tcBorders>
          </w:tcPr>
          <w:p>
            <w:pPr>
              <w:spacing w:line="360" w:lineRule="auto"/>
              <w:jc w:val="both"/>
              <w:rPr>
                <w:rFonts w:ascii="Book Antiqua" w:hAnsi="Book Antiqua" w:cstheme="minorBidi"/>
              </w:rPr>
            </w:pPr>
            <w:r>
              <w:rPr>
                <w:rFonts w:ascii="Book Antiqua" w:hAnsi="Book Antiqua" w:cstheme="minorBidi"/>
              </w:rPr>
              <w:t xml:space="preserve">Zhang </w:t>
            </w:r>
            <w:r>
              <w:rPr>
                <w:rFonts w:ascii="Book Antiqua" w:hAnsi="Book Antiqua" w:cstheme="minorBidi"/>
                <w:i/>
                <w:iCs/>
              </w:rPr>
              <w:t>et al</w:t>
            </w:r>
            <w:r>
              <w:rPr>
                <w:rFonts w:ascii="Book Antiqua" w:hAnsi="Book Antiqua" w:cstheme="minorBidi"/>
                <w:vertAlign w:val="superscript"/>
              </w:rPr>
              <w:t>[79]</w:t>
            </w:r>
            <w:r>
              <w:rPr>
                <w:rFonts w:ascii="Book Antiqua" w:hAnsi="Book Antiqua" w:cstheme="minorBidi"/>
              </w:rPr>
              <w:t>, 2020</w:t>
            </w:r>
          </w:p>
        </w:tc>
      </w:tr>
    </w:tbl>
    <w:p>
      <w:pPr>
        <w:spacing w:line="360" w:lineRule="auto"/>
        <w:jc w:val="both"/>
        <w:rPr>
          <w:rFonts w:ascii="Book Antiqua" w:hAnsi="Book Antiqua"/>
        </w:rPr>
      </w:pPr>
      <w:r>
        <w:rPr>
          <w:rFonts w:ascii="Book Antiqua" w:hAnsi="Book Antiqua"/>
        </w:rPr>
        <w:t>CCR</w:t>
      </w:r>
      <w:r>
        <w:rPr>
          <w:rFonts w:ascii="Book Antiqua" w:hAnsi="Book Antiqua"/>
          <w:lang w:eastAsia="zh-CN"/>
        </w:rPr>
        <w:t xml:space="preserve">: C-C chemokine receptor; HGF: </w:t>
      </w:r>
      <w:r>
        <w:rPr>
          <w:rFonts w:ascii="Book Antiqua" w:hAnsi="Book Antiqua"/>
        </w:rPr>
        <w:t xml:space="preserve">Hepatocyte growth factor; HGFR: Hepatocyte growth factor receptor; </w:t>
      </w:r>
      <w:r>
        <w:rPr>
          <w:rFonts w:ascii="Book Antiqua" w:hAnsi="Book Antiqua" w:eastAsia="Book Antiqua" w:cs="Book Antiqua"/>
        </w:rPr>
        <w:t xml:space="preserve">HCC: Hepatocellular carcinoma; </w:t>
      </w:r>
      <w:r>
        <w:rPr>
          <w:rFonts w:ascii="Book Antiqua" w:hAnsi="Book Antiqua"/>
        </w:rPr>
        <w:t xml:space="preserve">PD-1: </w:t>
      </w:r>
      <w:r>
        <w:rPr>
          <w:rFonts w:ascii="Book Antiqua" w:hAnsi="Book Antiqua" w:eastAsia="Book Antiqua" w:cs="Book Antiqua"/>
        </w:rPr>
        <w:t xml:space="preserve">Programmed cell death protein 1; miR: </w:t>
      </w:r>
      <w:r>
        <w:rPr>
          <w:rFonts w:ascii="Book Antiqua" w:hAnsi="Book Antiqua" w:cs="Book Antiqua"/>
          <w:lang w:eastAsia="zh-CN"/>
        </w:rPr>
        <w:t>m</w:t>
      </w:r>
      <w:r>
        <w:rPr>
          <w:rFonts w:ascii="Book Antiqua" w:hAnsi="Book Antiqua" w:eastAsia="Book Antiqua" w:cs="Book Antiqua"/>
        </w:rPr>
        <w:t xml:space="preserve">icro ribonucleic acid; IL: Interleukin; GDF: Growth differentiation factor; Treg: Regulatory T cells; Th: T helper; IFN: Interferon; VEGFR: </w:t>
      </w:r>
      <w:r>
        <w:rPr>
          <w:rFonts w:ascii="Book Antiqua" w:hAnsi="Book Antiqua" w:cs="Book Antiqua"/>
          <w:lang w:eastAsia="zh-CN"/>
        </w:rPr>
        <w:t>V</w:t>
      </w:r>
      <w:r>
        <w:rPr>
          <w:rFonts w:ascii="Book Antiqua" w:hAnsi="Book Antiqua" w:eastAsia="Book Antiqua" w:cs="Book Antiqua"/>
        </w:rPr>
        <w:t>ascular endothelial growth factor receptor</w:t>
      </w:r>
      <w:r>
        <w:rPr>
          <w:rFonts w:ascii="Book Antiqua" w:hAnsi="Book Antiqua" w:cs="Book Antiqua"/>
          <w:lang w:eastAsia="zh-CN"/>
        </w:rPr>
        <w:t>;</w:t>
      </w:r>
      <w:r>
        <w:rPr>
          <w:rFonts w:ascii="Book Antiqua" w:hAnsi="Book Antiqua" w:eastAsia="Book Antiqua" w:cs="Book Antiqua"/>
        </w:rPr>
        <w:t xml:space="preserve"> </w:t>
      </w:r>
      <w:r>
        <w:rPr>
          <w:rFonts w:ascii="Book Antiqua" w:hAnsi="Book Antiqua"/>
        </w:rPr>
        <w:t>CTLA</w:t>
      </w:r>
      <w:r>
        <w:rPr>
          <w:rFonts w:ascii="Book Antiqua" w:hAnsi="Book Antiqua" w:eastAsia="Book Antiqua" w:cs="Book Antiqua"/>
        </w:rPr>
        <w:t xml:space="preserve">: Cytotoxic T lymphocyte-associated antigen; </w:t>
      </w:r>
      <w:r>
        <w:rPr>
          <w:rFonts w:ascii="Book Antiqua" w:hAnsi="Book Antiqua"/>
        </w:rPr>
        <w:t xml:space="preserve">TGF-β: </w:t>
      </w:r>
      <w:r>
        <w:rPr>
          <w:rFonts w:ascii="Book Antiqua" w:hAnsi="Book Antiqua" w:eastAsia="Book Antiqua" w:cs="Book Antiqua"/>
        </w:rPr>
        <w:t>Transforming growth factor-beta.</w:t>
      </w:r>
      <w:r>
        <w:rPr>
          <w:rFonts w:ascii="Book Antiqua" w:hAnsi="Book Antiqua"/>
        </w:rPr>
        <w:br w:type="page"/>
      </w:r>
    </w:p>
    <w:p>
      <w:pPr>
        <w:spacing w:line="360" w:lineRule="auto"/>
        <w:jc w:val="both"/>
        <w:rPr>
          <w:rFonts w:ascii="Book Antiqua" w:hAnsi="Book Antiqua"/>
          <w:lang w:eastAsia="zh-CN"/>
        </w:rPr>
      </w:pPr>
      <w:r>
        <w:rPr>
          <w:rFonts w:ascii="Book Antiqua" w:hAnsi="Book Antiqua"/>
          <w:b/>
          <w:bCs/>
        </w:rPr>
        <w:t>Table 2 Clinical trials by targeting regulatory T cells to modulate the immune response</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93"/>
        <w:gridCol w:w="856"/>
        <w:gridCol w:w="2102"/>
        <w:gridCol w:w="3973"/>
        <w:gridCol w:w="14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3" w:type="dxa"/>
            <w:tcBorders>
              <w:top w:val="single" w:color="auto" w:sz="4" w:space="0"/>
              <w:bottom w:val="single" w:color="auto" w:sz="4" w:space="0"/>
            </w:tcBorders>
            <w:vAlign w:val="center"/>
          </w:tcPr>
          <w:p>
            <w:pPr>
              <w:spacing w:line="360" w:lineRule="auto"/>
              <w:jc w:val="both"/>
              <w:rPr>
                <w:rFonts w:ascii="Book Antiqua" w:hAnsi="Book Antiqua" w:cstheme="minorBidi"/>
                <w:b/>
                <w:bCs/>
              </w:rPr>
            </w:pPr>
            <w:r>
              <w:rPr>
                <w:rFonts w:ascii="Book Antiqua" w:hAnsi="Book Antiqua" w:cstheme="minorBidi"/>
                <w:b/>
                <w:bCs/>
              </w:rPr>
              <w:t>Trial</w:t>
            </w:r>
          </w:p>
        </w:tc>
        <w:tc>
          <w:tcPr>
            <w:tcW w:w="856" w:type="dxa"/>
            <w:tcBorders>
              <w:top w:val="single" w:color="auto" w:sz="4" w:space="0"/>
              <w:bottom w:val="single" w:color="auto" w:sz="4" w:space="0"/>
            </w:tcBorders>
            <w:vAlign w:val="center"/>
          </w:tcPr>
          <w:p>
            <w:pPr>
              <w:spacing w:line="360" w:lineRule="auto"/>
              <w:jc w:val="both"/>
              <w:rPr>
                <w:rFonts w:ascii="Book Antiqua" w:hAnsi="Book Antiqua" w:cstheme="minorBidi"/>
                <w:b/>
                <w:bCs/>
              </w:rPr>
            </w:pPr>
            <w:r>
              <w:rPr>
                <w:rFonts w:ascii="Book Antiqua" w:hAnsi="Book Antiqua" w:cstheme="minorBidi"/>
                <w:b/>
                <w:bCs/>
              </w:rPr>
              <w:t>Phase</w:t>
            </w:r>
          </w:p>
        </w:tc>
        <w:tc>
          <w:tcPr>
            <w:tcW w:w="2102" w:type="dxa"/>
            <w:tcBorders>
              <w:top w:val="single" w:color="auto" w:sz="4" w:space="0"/>
              <w:bottom w:val="single" w:color="auto" w:sz="4" w:space="0"/>
            </w:tcBorders>
            <w:vAlign w:val="center"/>
          </w:tcPr>
          <w:p>
            <w:pPr>
              <w:spacing w:line="360" w:lineRule="auto"/>
              <w:jc w:val="both"/>
              <w:rPr>
                <w:rFonts w:ascii="Book Antiqua" w:hAnsi="Book Antiqua" w:cstheme="minorBidi"/>
                <w:b/>
                <w:bCs/>
              </w:rPr>
            </w:pPr>
            <w:r>
              <w:rPr>
                <w:rFonts w:ascii="Book Antiqua" w:hAnsi="Book Antiqua" w:cstheme="minorBidi"/>
                <w:b/>
                <w:bCs/>
              </w:rPr>
              <w:t>Treatment</w:t>
            </w:r>
          </w:p>
        </w:tc>
        <w:tc>
          <w:tcPr>
            <w:tcW w:w="3973" w:type="dxa"/>
            <w:tcBorders>
              <w:top w:val="single" w:color="auto" w:sz="4" w:space="0"/>
              <w:bottom w:val="single" w:color="auto" w:sz="4" w:space="0"/>
            </w:tcBorders>
            <w:vAlign w:val="center"/>
          </w:tcPr>
          <w:p>
            <w:pPr>
              <w:spacing w:line="360" w:lineRule="auto"/>
              <w:jc w:val="both"/>
              <w:rPr>
                <w:rFonts w:ascii="Book Antiqua" w:hAnsi="Book Antiqua" w:cstheme="minorBidi"/>
                <w:b/>
                <w:bCs/>
              </w:rPr>
            </w:pPr>
            <w:r>
              <w:rPr>
                <w:rFonts w:ascii="Book Antiqua" w:hAnsi="Book Antiqua" w:cstheme="minorBidi"/>
                <w:b/>
                <w:bCs/>
              </w:rPr>
              <w:t>Results</w:t>
            </w:r>
          </w:p>
        </w:tc>
        <w:tc>
          <w:tcPr>
            <w:tcW w:w="952" w:type="dxa"/>
            <w:tcBorders>
              <w:top w:val="single" w:color="auto" w:sz="4" w:space="0"/>
              <w:bottom w:val="single" w:color="auto" w:sz="4" w:space="0"/>
            </w:tcBorders>
            <w:vAlign w:val="center"/>
          </w:tcPr>
          <w:p>
            <w:pPr>
              <w:spacing w:line="360" w:lineRule="auto"/>
              <w:jc w:val="both"/>
              <w:rPr>
                <w:rFonts w:ascii="Book Antiqua" w:hAnsi="Book Antiqua" w:cstheme="minorBidi"/>
                <w:b/>
                <w:bCs/>
              </w:rPr>
            </w:pPr>
            <w:r>
              <w:rPr>
                <w:rFonts w:ascii="Book Antiqua" w:hAnsi="Book Antiqua" w:cstheme="minorBidi"/>
                <w:b/>
                <w:bCs/>
              </w:rPr>
              <w:t>Ref.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3" w:type="dxa"/>
            <w:tcBorders>
              <w:top w:val="single" w:color="auto" w:sz="4" w:space="0"/>
            </w:tcBorders>
            <w:vAlign w:val="center"/>
          </w:tcPr>
          <w:p>
            <w:pPr>
              <w:spacing w:line="360" w:lineRule="auto"/>
              <w:jc w:val="both"/>
              <w:rPr>
                <w:rFonts w:ascii="Book Antiqua" w:hAnsi="Book Antiqua" w:cstheme="minorBidi"/>
                <w:lang w:eastAsia="zh-CN"/>
              </w:rPr>
            </w:pPr>
            <w:r>
              <w:rPr>
                <w:rFonts w:ascii="Book Antiqua" w:hAnsi="Book Antiqua" w:cstheme="minorBidi"/>
              </w:rPr>
              <w:t>NCT02476123</w:t>
            </w:r>
          </w:p>
        </w:tc>
        <w:tc>
          <w:tcPr>
            <w:tcW w:w="856" w:type="dxa"/>
            <w:tcBorders>
              <w:top w:val="single" w:color="auto" w:sz="4" w:space="0"/>
            </w:tcBorders>
            <w:vAlign w:val="center"/>
          </w:tcPr>
          <w:p>
            <w:pPr>
              <w:spacing w:line="360" w:lineRule="auto"/>
              <w:jc w:val="both"/>
              <w:rPr>
                <w:rFonts w:ascii="Book Antiqua" w:hAnsi="Book Antiqua" w:cstheme="minorBidi"/>
              </w:rPr>
            </w:pPr>
            <w:r>
              <w:rPr>
                <w:rFonts w:ascii="Book Antiqua" w:hAnsi="Book Antiqua" w:cstheme="minorBidi"/>
              </w:rPr>
              <w:t>I</w:t>
            </w:r>
          </w:p>
        </w:tc>
        <w:tc>
          <w:tcPr>
            <w:tcW w:w="2102" w:type="dxa"/>
            <w:tcBorders>
              <w:top w:val="single" w:color="auto" w:sz="4" w:space="0"/>
            </w:tcBorders>
            <w:vAlign w:val="center"/>
          </w:tcPr>
          <w:p>
            <w:pPr>
              <w:spacing w:line="360" w:lineRule="auto"/>
              <w:jc w:val="both"/>
              <w:rPr>
                <w:rFonts w:ascii="Book Antiqua" w:hAnsi="Book Antiqua" w:cstheme="minorBidi"/>
              </w:rPr>
            </w:pPr>
            <w:r>
              <w:rPr>
                <w:rFonts w:ascii="Book Antiqua" w:hAnsi="Book Antiqua" w:cstheme="minorBidi"/>
              </w:rPr>
              <w:t>Anti-CCR4 antibody mogamulizumab</w:t>
            </w:r>
          </w:p>
        </w:tc>
        <w:tc>
          <w:tcPr>
            <w:tcW w:w="3973" w:type="dxa"/>
            <w:tcBorders>
              <w:top w:val="single" w:color="auto" w:sz="4" w:space="0"/>
            </w:tcBorders>
            <w:vAlign w:val="center"/>
          </w:tcPr>
          <w:p>
            <w:pPr>
              <w:spacing w:line="360" w:lineRule="auto"/>
              <w:jc w:val="both"/>
              <w:rPr>
                <w:rFonts w:ascii="Book Antiqua" w:hAnsi="Book Antiqua" w:cstheme="minorBidi"/>
                <w:lang w:eastAsia="zh-CN"/>
              </w:rPr>
            </w:pPr>
            <w:r>
              <w:rPr>
                <w:rFonts w:ascii="Book Antiqua" w:hAnsi="Book Antiqua" w:cstheme="minorBidi"/>
              </w:rPr>
              <w:t>Treg depletion induced by anti-CCR4 antibody (mogamulizumab), in combination with anti-PD-1 antibody (nivolumab) showed antitumor activity and increased CD8</w:t>
            </w:r>
            <w:r>
              <w:rPr>
                <w:rFonts w:ascii="Book Antiqua" w:hAnsi="Book Antiqua" w:cstheme="minorBidi"/>
                <w:vertAlign w:val="superscript"/>
              </w:rPr>
              <w:t>+</w:t>
            </w:r>
            <w:r>
              <w:rPr>
                <w:rFonts w:ascii="Book Antiqua" w:hAnsi="Book Antiqua" w:cstheme="minorBidi"/>
              </w:rPr>
              <w:t xml:space="preserve"> T cell infiltration</w:t>
            </w:r>
          </w:p>
        </w:tc>
        <w:tc>
          <w:tcPr>
            <w:tcW w:w="952" w:type="dxa"/>
            <w:tcBorders>
              <w:top w:val="single" w:color="auto" w:sz="4" w:space="0"/>
            </w:tcBorders>
            <w:vAlign w:val="center"/>
          </w:tcPr>
          <w:p>
            <w:pPr>
              <w:spacing w:line="360" w:lineRule="auto"/>
              <w:jc w:val="both"/>
              <w:rPr>
                <w:rFonts w:ascii="Book Antiqua" w:hAnsi="Book Antiqua" w:cstheme="minorBidi"/>
              </w:rPr>
            </w:pPr>
            <w:r>
              <w:rPr>
                <w:rFonts w:ascii="Book Antiqua" w:hAnsi="Book Antiqua" w:cstheme="minorBidi"/>
              </w:rPr>
              <w:t xml:space="preserve">Doi </w:t>
            </w:r>
            <w:r>
              <w:rPr>
                <w:rFonts w:ascii="Book Antiqua" w:hAnsi="Book Antiqua" w:cstheme="minorBidi"/>
                <w:i/>
                <w:iCs/>
              </w:rPr>
              <w:t>et al</w:t>
            </w:r>
            <w:r>
              <w:rPr>
                <w:rFonts w:ascii="Book Antiqua" w:hAnsi="Book Antiqua" w:cstheme="minorBidi"/>
                <w:vertAlign w:val="superscript"/>
              </w:rPr>
              <w:t>[78]</w:t>
            </w:r>
            <w:r>
              <w:rPr>
                <w:rFonts w:ascii="Book Antiqua" w:hAnsi="Book Antiqua" w:cstheme="minorBidi"/>
              </w:rPr>
              <w:t xml:space="preserve">, 2019; Sánchez-Fueyo </w:t>
            </w:r>
            <w:r>
              <w:rPr>
                <w:rFonts w:ascii="Book Antiqua" w:hAnsi="Book Antiqua" w:cstheme="minorBidi"/>
                <w:i/>
                <w:iCs/>
              </w:rPr>
              <w:t>et al</w:t>
            </w:r>
            <w:r>
              <w:rPr>
                <w:rFonts w:ascii="Book Antiqua" w:hAnsi="Book Antiqua" w:cstheme="minorBidi"/>
                <w:vertAlign w:val="superscript"/>
              </w:rPr>
              <w:t>[83]</w:t>
            </w:r>
            <w:r>
              <w:rPr>
                <w:rFonts w:ascii="Book Antiqua" w:hAnsi="Book Antiqua" w:cstheme="minorBidi"/>
              </w:rPr>
              <w:t>, 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3" w:type="dxa"/>
            <w:vAlign w:val="center"/>
          </w:tcPr>
          <w:p>
            <w:pPr>
              <w:spacing w:line="360" w:lineRule="auto"/>
              <w:jc w:val="both"/>
              <w:rPr>
                <w:rFonts w:ascii="Book Antiqua" w:hAnsi="Book Antiqua" w:cstheme="minorBidi"/>
              </w:rPr>
            </w:pPr>
            <w:r>
              <w:rPr>
                <w:rFonts w:ascii="Book Antiqua" w:hAnsi="Book Antiqua" w:cstheme="minorBidi"/>
              </w:rPr>
              <w:t>NCT02166177</w:t>
            </w:r>
          </w:p>
        </w:tc>
        <w:tc>
          <w:tcPr>
            <w:tcW w:w="856" w:type="dxa"/>
            <w:vAlign w:val="center"/>
          </w:tcPr>
          <w:p>
            <w:pPr>
              <w:spacing w:line="360" w:lineRule="auto"/>
              <w:jc w:val="both"/>
              <w:rPr>
                <w:rFonts w:ascii="Book Antiqua" w:hAnsi="Book Antiqua" w:cstheme="minorBidi"/>
              </w:rPr>
            </w:pPr>
            <w:r>
              <w:rPr>
                <w:rFonts w:ascii="Book Antiqua" w:hAnsi="Book Antiqua" w:cstheme="minorBidi"/>
              </w:rPr>
              <w:t>I</w:t>
            </w:r>
          </w:p>
        </w:tc>
        <w:tc>
          <w:tcPr>
            <w:tcW w:w="2102" w:type="dxa"/>
            <w:vAlign w:val="center"/>
          </w:tcPr>
          <w:p>
            <w:pPr>
              <w:spacing w:line="360" w:lineRule="auto"/>
              <w:jc w:val="both"/>
              <w:rPr>
                <w:rFonts w:ascii="Book Antiqua" w:hAnsi="Book Antiqua" w:cstheme="minorBidi"/>
              </w:rPr>
            </w:pPr>
            <w:r>
              <w:rPr>
                <w:rFonts w:ascii="Book Antiqua" w:hAnsi="Book Antiqua" w:cstheme="minorBidi"/>
              </w:rPr>
              <w:t>Intravenous infusion of ex vivo expanded Tregs</w:t>
            </w:r>
          </w:p>
        </w:tc>
        <w:tc>
          <w:tcPr>
            <w:tcW w:w="3973" w:type="dxa"/>
            <w:vAlign w:val="center"/>
          </w:tcPr>
          <w:p>
            <w:pPr>
              <w:spacing w:line="360" w:lineRule="auto"/>
              <w:jc w:val="both"/>
              <w:rPr>
                <w:rFonts w:ascii="Book Antiqua" w:hAnsi="Book Antiqua" w:cstheme="minorBidi"/>
                <w:lang w:eastAsia="zh-CN"/>
              </w:rPr>
            </w:pPr>
            <w:r>
              <w:rPr>
                <w:rFonts w:ascii="Book Antiqua" w:hAnsi="Book Antiqua" w:cstheme="minorBidi"/>
              </w:rPr>
              <w:t>Treg transfer can transiently increase circulating Tregs and inhibit anti-donor T cell responses in patients with liver transplants</w:t>
            </w:r>
          </w:p>
        </w:tc>
        <w:tc>
          <w:tcPr>
            <w:tcW w:w="952" w:type="dxa"/>
            <w:vAlign w:val="center"/>
          </w:tcPr>
          <w:p>
            <w:pPr>
              <w:spacing w:line="360" w:lineRule="auto"/>
              <w:jc w:val="both"/>
              <w:rPr>
                <w:rFonts w:ascii="Book Antiqua" w:hAnsi="Book Antiqua" w:cstheme="minorBidi"/>
              </w:rPr>
            </w:pPr>
            <w:r>
              <w:rPr>
                <w:rFonts w:ascii="Book Antiqua" w:hAnsi="Book Antiqua" w:cstheme="minorBidi"/>
              </w:rPr>
              <w:t xml:space="preserve">Fueyo </w:t>
            </w:r>
            <w:r>
              <w:rPr>
                <w:rFonts w:ascii="Book Antiqua" w:hAnsi="Book Antiqua" w:cstheme="minorBidi"/>
                <w:i/>
                <w:iCs/>
              </w:rPr>
              <w:t>et al</w:t>
            </w:r>
            <w:r>
              <w:rPr>
                <w:rFonts w:ascii="Book Antiqua" w:hAnsi="Book Antiqua" w:cstheme="minorBidi"/>
                <w:vertAlign w:val="superscript"/>
              </w:rPr>
              <w:t>[83]</w:t>
            </w:r>
            <w:r>
              <w:rPr>
                <w:rFonts w:ascii="Book Antiqua" w:hAnsi="Book Antiqua" w:cstheme="minorBidi"/>
              </w:rPr>
              <w:t>, 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3" w:type="dxa"/>
            <w:vAlign w:val="center"/>
          </w:tcPr>
          <w:p>
            <w:pPr>
              <w:spacing w:line="360" w:lineRule="auto"/>
              <w:jc w:val="both"/>
              <w:rPr>
                <w:rFonts w:ascii="Book Antiqua" w:hAnsi="Book Antiqua" w:cstheme="minorBidi"/>
              </w:rPr>
            </w:pPr>
            <w:r>
              <w:rPr>
                <w:rFonts w:ascii="Book Antiqua" w:hAnsi="Book Antiqua" w:cstheme="minorBidi"/>
              </w:rPr>
              <w:t>NCT02166177</w:t>
            </w:r>
          </w:p>
        </w:tc>
        <w:tc>
          <w:tcPr>
            <w:tcW w:w="856" w:type="dxa"/>
            <w:vAlign w:val="center"/>
          </w:tcPr>
          <w:p>
            <w:pPr>
              <w:spacing w:line="360" w:lineRule="auto"/>
              <w:jc w:val="both"/>
              <w:rPr>
                <w:rFonts w:ascii="Book Antiqua" w:hAnsi="Book Antiqua" w:cstheme="minorBidi"/>
              </w:rPr>
            </w:pPr>
            <w:r>
              <w:rPr>
                <w:rFonts w:ascii="Book Antiqua" w:hAnsi="Book Antiqua" w:cstheme="minorBidi"/>
              </w:rPr>
              <w:t>I</w:t>
            </w:r>
          </w:p>
        </w:tc>
        <w:tc>
          <w:tcPr>
            <w:tcW w:w="2102" w:type="dxa"/>
            <w:vAlign w:val="center"/>
          </w:tcPr>
          <w:p>
            <w:pPr>
              <w:spacing w:line="360" w:lineRule="auto"/>
              <w:jc w:val="both"/>
              <w:rPr>
                <w:rFonts w:ascii="Book Antiqua" w:hAnsi="Book Antiqua" w:cstheme="minorBidi"/>
              </w:rPr>
            </w:pPr>
            <w:r>
              <w:rPr>
                <w:rFonts w:ascii="Book Antiqua" w:hAnsi="Book Antiqua" w:cstheme="minorBidi"/>
              </w:rPr>
              <w:t>Autologous Treg therapy</w:t>
            </w:r>
          </w:p>
        </w:tc>
        <w:tc>
          <w:tcPr>
            <w:tcW w:w="3973" w:type="dxa"/>
            <w:vAlign w:val="center"/>
          </w:tcPr>
          <w:p>
            <w:pPr>
              <w:spacing w:line="360" w:lineRule="auto"/>
              <w:jc w:val="both"/>
              <w:rPr>
                <w:rFonts w:ascii="Book Antiqua" w:hAnsi="Book Antiqua" w:cstheme="minorBidi"/>
              </w:rPr>
            </w:pPr>
            <w:r>
              <w:rPr>
                <w:rFonts w:ascii="Book Antiqua" w:hAnsi="Book Antiqua" w:cstheme="minorBidi"/>
              </w:rPr>
              <w:t>To defect safety and efficacy study of regulatory T cell therapy in liver transplant patients</w:t>
            </w:r>
          </w:p>
        </w:tc>
        <w:tc>
          <w:tcPr>
            <w:tcW w:w="952" w:type="dxa"/>
            <w:vAlign w:val="center"/>
          </w:tcPr>
          <w:p>
            <w:pPr>
              <w:spacing w:line="360" w:lineRule="auto"/>
              <w:jc w:val="both"/>
              <w:rPr>
                <w:rFonts w:ascii="Book Antiqua" w:hAnsi="Book Antiqua" w:cstheme="minorBidi"/>
              </w:rPr>
            </w:pPr>
            <w:r>
              <w:rPr>
                <w:rFonts w:ascii="Book Antiqua" w:hAnsi="Book Antiqua" w:cstheme="minorBidi"/>
              </w:rPr>
              <w:t xml:space="preserve">Whitehouse </w:t>
            </w:r>
            <w:r>
              <w:rPr>
                <w:rFonts w:ascii="Book Antiqua" w:hAnsi="Book Antiqua" w:cstheme="minorBidi"/>
                <w:i/>
                <w:iCs/>
              </w:rPr>
              <w:t>et al</w:t>
            </w:r>
            <w:r>
              <w:rPr>
                <w:rFonts w:ascii="Book Antiqua" w:hAnsi="Book Antiqua" w:cstheme="minorBidi"/>
                <w:vertAlign w:val="superscript"/>
              </w:rPr>
              <w:t>[84]</w:t>
            </w:r>
            <w:r>
              <w:rPr>
                <w:rFonts w:ascii="Book Antiqua" w:hAnsi="Book Antiqua" w:cstheme="minorBidi"/>
              </w:rPr>
              <w:t>, 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3" w:type="dxa"/>
            <w:vAlign w:val="center"/>
          </w:tcPr>
          <w:p>
            <w:pPr>
              <w:spacing w:line="360" w:lineRule="auto"/>
              <w:jc w:val="both"/>
              <w:rPr>
                <w:rFonts w:ascii="Book Antiqua" w:hAnsi="Book Antiqua" w:cstheme="minorBidi"/>
              </w:rPr>
            </w:pPr>
            <w:r>
              <w:rPr>
                <w:rFonts w:ascii="Book Antiqua" w:hAnsi="Book Antiqua" w:cstheme="minorBidi"/>
              </w:rPr>
              <w:t>NCT01624077</w:t>
            </w:r>
          </w:p>
        </w:tc>
        <w:tc>
          <w:tcPr>
            <w:tcW w:w="856" w:type="dxa"/>
            <w:vAlign w:val="center"/>
          </w:tcPr>
          <w:p>
            <w:pPr>
              <w:spacing w:line="360" w:lineRule="auto"/>
              <w:jc w:val="both"/>
              <w:rPr>
                <w:rFonts w:ascii="Book Antiqua" w:hAnsi="Book Antiqua" w:cstheme="minorBidi"/>
              </w:rPr>
            </w:pPr>
            <w:r>
              <w:rPr>
                <w:rFonts w:ascii="Book Antiqua" w:hAnsi="Book Antiqua" w:cstheme="minorBidi"/>
              </w:rPr>
              <w:t>I</w:t>
            </w:r>
          </w:p>
        </w:tc>
        <w:tc>
          <w:tcPr>
            <w:tcW w:w="2102" w:type="dxa"/>
            <w:vAlign w:val="center"/>
          </w:tcPr>
          <w:p>
            <w:pPr>
              <w:spacing w:line="360" w:lineRule="auto"/>
              <w:jc w:val="both"/>
              <w:rPr>
                <w:rFonts w:ascii="Book Antiqua" w:hAnsi="Book Antiqua" w:cstheme="minorBidi"/>
              </w:rPr>
            </w:pPr>
            <w:r>
              <w:rPr>
                <w:rFonts w:ascii="Book Antiqua" w:hAnsi="Book Antiqua" w:cstheme="minorBidi"/>
              </w:rPr>
              <w:t>Injection of Tregs</w:t>
            </w:r>
          </w:p>
        </w:tc>
        <w:tc>
          <w:tcPr>
            <w:tcW w:w="3973" w:type="dxa"/>
            <w:vAlign w:val="center"/>
          </w:tcPr>
          <w:p>
            <w:pPr>
              <w:spacing w:line="360" w:lineRule="auto"/>
              <w:jc w:val="both"/>
              <w:rPr>
                <w:rFonts w:ascii="Book Antiqua" w:hAnsi="Book Antiqua" w:cstheme="minorBidi"/>
              </w:rPr>
            </w:pPr>
            <w:r>
              <w:rPr>
                <w:rFonts w:ascii="Book Antiqua" w:hAnsi="Book Antiqua" w:cstheme="minorBidi"/>
              </w:rPr>
              <w:t>To defect safety and efficacy study of regulatory T cell therapy in liver transplant patients</w:t>
            </w:r>
          </w:p>
        </w:tc>
        <w:tc>
          <w:tcPr>
            <w:tcW w:w="952" w:type="dxa"/>
            <w:vAlign w:val="center"/>
          </w:tcPr>
          <w:p>
            <w:pPr>
              <w:spacing w:line="360" w:lineRule="auto"/>
              <w:jc w:val="both"/>
              <w:rPr>
                <w:rFonts w:ascii="Book Antiqua" w:hAnsi="Book Antiqua" w:cstheme="minorBidi"/>
              </w:rPr>
            </w:pPr>
            <w:r>
              <w:rPr>
                <w:rFonts w:ascii="Book Antiqua" w:hAnsi="Book Antiqua" w:cstheme="minorBidi"/>
              </w:rPr>
              <w:t xml:space="preserve">Whitehouse </w:t>
            </w:r>
            <w:r>
              <w:rPr>
                <w:rFonts w:ascii="Book Antiqua" w:hAnsi="Book Antiqua" w:cstheme="minorBidi"/>
                <w:i/>
                <w:iCs/>
              </w:rPr>
              <w:t>et al</w:t>
            </w:r>
            <w:r>
              <w:rPr>
                <w:rFonts w:ascii="Book Antiqua" w:hAnsi="Book Antiqua" w:cstheme="minorBidi"/>
                <w:vertAlign w:val="superscript"/>
              </w:rPr>
              <w:t>[84]</w:t>
            </w:r>
            <w:r>
              <w:rPr>
                <w:rFonts w:ascii="Book Antiqua" w:hAnsi="Book Antiqua" w:cstheme="minorBidi"/>
              </w:rPr>
              <w:t>, 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3" w:type="dxa"/>
            <w:vAlign w:val="center"/>
          </w:tcPr>
          <w:p>
            <w:pPr>
              <w:spacing w:line="360" w:lineRule="auto"/>
              <w:jc w:val="both"/>
              <w:rPr>
                <w:rFonts w:ascii="Book Antiqua" w:hAnsi="Book Antiqua" w:cstheme="minorBidi"/>
              </w:rPr>
            </w:pPr>
            <w:r>
              <w:rPr>
                <w:rFonts w:ascii="Book Antiqua" w:hAnsi="Book Antiqua" w:cstheme="minorBidi"/>
              </w:rPr>
              <w:t>NCT03654040</w:t>
            </w:r>
          </w:p>
          <w:p>
            <w:pPr>
              <w:spacing w:line="360" w:lineRule="auto"/>
              <w:jc w:val="both"/>
              <w:rPr>
                <w:rFonts w:ascii="Book Antiqua" w:hAnsi="Book Antiqua" w:cstheme="minorBidi"/>
              </w:rPr>
            </w:pPr>
          </w:p>
        </w:tc>
        <w:tc>
          <w:tcPr>
            <w:tcW w:w="856" w:type="dxa"/>
            <w:vMerge w:val="restart"/>
            <w:vAlign w:val="center"/>
          </w:tcPr>
          <w:p>
            <w:pPr>
              <w:spacing w:line="360" w:lineRule="auto"/>
              <w:jc w:val="both"/>
              <w:rPr>
                <w:rFonts w:ascii="Book Antiqua" w:hAnsi="Book Antiqua" w:cstheme="minorBidi"/>
              </w:rPr>
            </w:pPr>
            <w:r>
              <w:rPr>
                <w:rFonts w:ascii="Book Antiqua" w:hAnsi="Book Antiqua" w:cstheme="minorBidi"/>
              </w:rPr>
              <w:t>I</w:t>
            </w:r>
          </w:p>
        </w:tc>
        <w:tc>
          <w:tcPr>
            <w:tcW w:w="2102" w:type="dxa"/>
            <w:vAlign w:val="center"/>
          </w:tcPr>
          <w:p>
            <w:pPr>
              <w:spacing w:line="360" w:lineRule="auto"/>
              <w:jc w:val="both"/>
              <w:rPr>
                <w:rFonts w:ascii="Book Antiqua" w:hAnsi="Book Antiqua" w:cstheme="minorBidi"/>
              </w:rPr>
            </w:pPr>
            <w:r>
              <w:rPr>
                <w:rFonts w:ascii="Book Antiqua" w:hAnsi="Book Antiqua" w:cstheme="minorBidi"/>
              </w:rPr>
              <w:t>A single dose of alloantigen-reactive Tregs (arTreg) (≥ 90 × 10</w:t>
            </w:r>
            <w:r>
              <w:rPr>
                <w:rFonts w:ascii="Book Antiqua" w:hAnsi="Book Antiqua" w:cstheme="minorBidi"/>
                <w:vertAlign w:val="superscript"/>
              </w:rPr>
              <w:t>6</w:t>
            </w:r>
            <w:r>
              <w:rPr>
                <w:rFonts w:ascii="Book Antiqua" w:hAnsi="Book Antiqua" w:cstheme="minorBidi"/>
              </w:rPr>
              <w:t xml:space="preserve"> total cells)</w:t>
            </w:r>
          </w:p>
        </w:tc>
        <w:tc>
          <w:tcPr>
            <w:tcW w:w="3973" w:type="dxa"/>
            <w:vMerge w:val="restart"/>
            <w:vAlign w:val="center"/>
          </w:tcPr>
          <w:p>
            <w:pPr>
              <w:spacing w:line="360" w:lineRule="auto"/>
              <w:jc w:val="both"/>
              <w:rPr>
                <w:rFonts w:ascii="Book Antiqua" w:hAnsi="Book Antiqua" w:cstheme="minorBidi"/>
                <w:lang w:eastAsia="zh-CN"/>
              </w:rPr>
            </w:pPr>
            <w:r>
              <w:rPr>
                <w:rFonts w:ascii="Book Antiqua" w:hAnsi="Book Antiqua" w:cstheme="minorBidi"/>
              </w:rPr>
              <w:t>It is a single-center, prospective, open-label, non-randomized clinical trial exploring cellular therapy to facilitate immunosuppression withdrawal in liver transplant recipients</w:t>
            </w:r>
          </w:p>
        </w:tc>
        <w:tc>
          <w:tcPr>
            <w:tcW w:w="952" w:type="dxa"/>
            <w:vMerge w:val="restart"/>
            <w:vAlign w:val="center"/>
          </w:tcPr>
          <w:p>
            <w:pPr>
              <w:spacing w:line="360" w:lineRule="auto"/>
              <w:jc w:val="both"/>
              <w:rPr>
                <w:rFonts w:ascii="Book Antiqua" w:hAnsi="Book Antiqua" w:cstheme="minorBidi"/>
              </w:rPr>
            </w:pPr>
            <w:r>
              <w:rPr>
                <w:rFonts w:ascii="Book Antiqua" w:hAnsi="Book Antiqua" w:cstheme="minorBidi"/>
              </w:rPr>
              <w:t xml:space="preserve">Cvetkovski </w:t>
            </w:r>
            <w:r>
              <w:rPr>
                <w:rFonts w:ascii="Book Antiqua" w:hAnsi="Book Antiqua" w:cstheme="minorBidi"/>
                <w:i/>
                <w:iCs/>
              </w:rPr>
              <w:t>et al</w:t>
            </w:r>
            <w:r>
              <w:rPr>
                <w:rFonts w:ascii="Book Antiqua" w:hAnsi="Book Antiqua" w:cstheme="minorBidi"/>
                <w:vertAlign w:val="superscript"/>
              </w:rPr>
              <w:t>[85]</w:t>
            </w:r>
            <w:r>
              <w:rPr>
                <w:rFonts w:ascii="Book Antiqua" w:hAnsi="Book Antiqua" w:cstheme="minorBidi"/>
              </w:rPr>
              <w:t>, 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3" w:type="dxa"/>
            <w:vAlign w:val="center"/>
          </w:tcPr>
          <w:p>
            <w:pPr>
              <w:spacing w:line="360" w:lineRule="auto"/>
              <w:jc w:val="both"/>
              <w:rPr>
                <w:rFonts w:ascii="Book Antiqua" w:hAnsi="Book Antiqua" w:cstheme="minorBidi"/>
              </w:rPr>
            </w:pPr>
            <w:r>
              <w:rPr>
                <w:rFonts w:ascii="Book Antiqua" w:hAnsi="Book Antiqua" w:cstheme="minorBidi"/>
              </w:rPr>
              <w:t>NCT03577431</w:t>
            </w:r>
          </w:p>
        </w:tc>
        <w:tc>
          <w:tcPr>
            <w:tcW w:w="856" w:type="dxa"/>
            <w:vMerge w:val="continue"/>
            <w:vAlign w:val="center"/>
          </w:tcPr>
          <w:p>
            <w:pPr>
              <w:spacing w:line="360" w:lineRule="auto"/>
              <w:jc w:val="both"/>
              <w:rPr>
                <w:rFonts w:ascii="Book Antiqua" w:hAnsi="Book Antiqua" w:cstheme="minorBidi"/>
              </w:rPr>
            </w:pPr>
          </w:p>
        </w:tc>
        <w:tc>
          <w:tcPr>
            <w:tcW w:w="2102" w:type="dxa"/>
            <w:vAlign w:val="center"/>
          </w:tcPr>
          <w:p>
            <w:pPr>
              <w:spacing w:line="360" w:lineRule="auto"/>
              <w:jc w:val="both"/>
              <w:rPr>
                <w:rFonts w:ascii="Book Antiqua" w:hAnsi="Book Antiqua" w:cstheme="minorBidi"/>
              </w:rPr>
            </w:pPr>
            <w:r>
              <w:rPr>
                <w:rFonts w:ascii="Book Antiqua" w:hAnsi="Book Antiqua" w:cstheme="minorBidi"/>
              </w:rPr>
              <w:t>arTreg-CSB (2.5 × 10</w:t>
            </w:r>
            <w:r>
              <w:rPr>
                <w:rFonts w:ascii="Book Antiqua" w:hAnsi="Book Antiqua" w:cstheme="minorBidi"/>
                <w:vertAlign w:val="superscript"/>
              </w:rPr>
              <w:t>6</w:t>
            </w:r>
            <w:r>
              <w:rPr>
                <w:rFonts w:ascii="Book Antiqua" w:hAnsi="Book Antiqua" w:cstheme="minorBidi"/>
              </w:rPr>
              <w:t xml:space="preserve"> cells)</w:t>
            </w:r>
          </w:p>
        </w:tc>
        <w:tc>
          <w:tcPr>
            <w:tcW w:w="3973" w:type="dxa"/>
            <w:vMerge w:val="continue"/>
            <w:vAlign w:val="center"/>
          </w:tcPr>
          <w:p>
            <w:pPr>
              <w:spacing w:line="360" w:lineRule="auto"/>
              <w:jc w:val="both"/>
              <w:rPr>
                <w:rFonts w:ascii="Book Antiqua" w:hAnsi="Book Antiqua" w:cstheme="minorBidi"/>
              </w:rPr>
            </w:pPr>
          </w:p>
        </w:tc>
        <w:tc>
          <w:tcPr>
            <w:tcW w:w="952" w:type="dxa"/>
            <w:vMerge w:val="continue"/>
            <w:vAlign w:val="center"/>
          </w:tcPr>
          <w:p>
            <w:pPr>
              <w:spacing w:line="360" w:lineRule="auto"/>
              <w:jc w:val="both"/>
              <w:rPr>
                <w:rFonts w:ascii="Book Antiqua" w:hAnsi="Book Antiqua" w:cstheme="minorBid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3" w:type="dxa"/>
            <w:vAlign w:val="center"/>
          </w:tcPr>
          <w:p>
            <w:pPr>
              <w:spacing w:line="360" w:lineRule="auto"/>
              <w:jc w:val="both"/>
              <w:rPr>
                <w:rFonts w:ascii="Book Antiqua" w:hAnsi="Book Antiqua" w:cstheme="minorBidi"/>
              </w:rPr>
            </w:pPr>
            <w:r>
              <w:rPr>
                <w:rFonts w:ascii="Book Antiqua" w:hAnsi="Book Antiqua" w:cstheme="minorBidi"/>
              </w:rPr>
              <w:t>NCT02260375</w:t>
            </w:r>
          </w:p>
        </w:tc>
        <w:tc>
          <w:tcPr>
            <w:tcW w:w="856" w:type="dxa"/>
            <w:vAlign w:val="center"/>
          </w:tcPr>
          <w:p>
            <w:pPr>
              <w:spacing w:line="360" w:lineRule="auto"/>
              <w:jc w:val="both"/>
              <w:rPr>
                <w:rFonts w:ascii="Book Antiqua" w:hAnsi="Book Antiqua" w:cstheme="minorBidi"/>
              </w:rPr>
            </w:pPr>
            <w:r>
              <w:rPr>
                <w:rFonts w:ascii="Book Antiqua" w:hAnsi="Book Antiqua" w:cstheme="minorBidi"/>
              </w:rPr>
              <w:t>I</w:t>
            </w:r>
          </w:p>
        </w:tc>
        <w:tc>
          <w:tcPr>
            <w:tcW w:w="2102" w:type="dxa"/>
            <w:vAlign w:val="center"/>
          </w:tcPr>
          <w:p>
            <w:pPr>
              <w:spacing w:line="360" w:lineRule="auto"/>
              <w:jc w:val="both"/>
              <w:rPr>
                <w:rFonts w:ascii="Book Antiqua" w:hAnsi="Book Antiqua" w:cstheme="minorBidi"/>
              </w:rPr>
            </w:pPr>
            <w:r>
              <w:rPr>
                <w:rFonts w:ascii="Book Antiqua" w:hAnsi="Book Antiqua" w:cstheme="minorBidi"/>
              </w:rPr>
              <w:t>Infusion of mesenchymal stromal cells</w:t>
            </w:r>
          </w:p>
        </w:tc>
        <w:tc>
          <w:tcPr>
            <w:tcW w:w="3973" w:type="dxa"/>
            <w:vAlign w:val="center"/>
          </w:tcPr>
          <w:p>
            <w:pPr>
              <w:spacing w:line="360" w:lineRule="auto"/>
              <w:jc w:val="both"/>
              <w:rPr>
                <w:rFonts w:ascii="Book Antiqua" w:hAnsi="Book Antiqua" w:cstheme="minorBidi"/>
                <w:lang w:eastAsia="zh-CN"/>
              </w:rPr>
            </w:pPr>
            <w:r>
              <w:rPr>
                <w:rFonts w:ascii="Book Antiqua" w:hAnsi="Book Antiqua" w:cstheme="minorBidi"/>
              </w:rPr>
              <w:t>MSC infusion in liver transplant recipients slightly increased circulating Treg/memory Treg over baseline, without a statistically significant, but not in the control group</w:t>
            </w:r>
          </w:p>
        </w:tc>
        <w:tc>
          <w:tcPr>
            <w:tcW w:w="952" w:type="dxa"/>
            <w:vAlign w:val="center"/>
          </w:tcPr>
          <w:p>
            <w:pPr>
              <w:spacing w:line="360" w:lineRule="auto"/>
              <w:jc w:val="both"/>
              <w:rPr>
                <w:rFonts w:ascii="Book Antiqua" w:hAnsi="Book Antiqua" w:cstheme="minorBidi"/>
              </w:rPr>
            </w:pPr>
            <w:r>
              <w:rPr>
                <w:rFonts w:ascii="Book Antiqua" w:hAnsi="Book Antiqua" w:cstheme="minorBidi"/>
              </w:rPr>
              <w:t xml:space="preserve">Casiraghi </w:t>
            </w:r>
            <w:r>
              <w:rPr>
                <w:rFonts w:ascii="Book Antiqua" w:hAnsi="Book Antiqua" w:cstheme="minorBidi"/>
                <w:i/>
                <w:iCs/>
              </w:rPr>
              <w:t>et al</w:t>
            </w:r>
            <w:r>
              <w:rPr>
                <w:rFonts w:ascii="Book Antiqua" w:hAnsi="Book Antiqua" w:cstheme="minorBidi"/>
                <w:vertAlign w:val="superscript"/>
              </w:rPr>
              <w:t>[86]</w:t>
            </w:r>
            <w:r>
              <w:rPr>
                <w:rFonts w:ascii="Book Antiqua" w:hAnsi="Book Antiqua" w:cstheme="minorBidi"/>
              </w:rPr>
              <w:t>, 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3" w:type="dxa"/>
            <w:vAlign w:val="center"/>
          </w:tcPr>
          <w:p>
            <w:pPr>
              <w:spacing w:line="360" w:lineRule="auto"/>
              <w:jc w:val="both"/>
              <w:rPr>
                <w:rFonts w:ascii="Book Antiqua" w:hAnsi="Book Antiqua" w:cstheme="minorBidi"/>
              </w:rPr>
            </w:pPr>
            <w:r>
              <w:rPr>
                <w:rFonts w:ascii="Book Antiqua" w:hAnsi="Book Antiqua" w:cstheme="minorBidi"/>
              </w:rPr>
              <w:t>NCT02027116</w:t>
            </w:r>
          </w:p>
        </w:tc>
        <w:tc>
          <w:tcPr>
            <w:tcW w:w="856" w:type="dxa"/>
            <w:vAlign w:val="center"/>
          </w:tcPr>
          <w:p>
            <w:pPr>
              <w:spacing w:line="360" w:lineRule="auto"/>
              <w:jc w:val="both"/>
              <w:rPr>
                <w:rFonts w:ascii="Book Antiqua" w:hAnsi="Book Antiqua" w:cstheme="minorBidi"/>
              </w:rPr>
            </w:pPr>
            <w:r>
              <w:rPr>
                <w:rFonts w:ascii="Book Antiqua" w:hAnsi="Book Antiqua" w:cstheme="minorBidi"/>
              </w:rPr>
              <w:t>I</w:t>
            </w:r>
          </w:p>
        </w:tc>
        <w:tc>
          <w:tcPr>
            <w:tcW w:w="2102" w:type="dxa"/>
            <w:vAlign w:val="center"/>
          </w:tcPr>
          <w:p>
            <w:pPr>
              <w:spacing w:line="360" w:lineRule="auto"/>
              <w:jc w:val="both"/>
              <w:rPr>
                <w:rFonts w:ascii="Book Antiqua" w:hAnsi="Book Antiqua" w:cstheme="minorBidi"/>
              </w:rPr>
            </w:pPr>
            <w:r>
              <w:rPr>
                <w:rFonts w:ascii="Book Antiqua" w:hAnsi="Book Antiqua" w:cstheme="minorBidi"/>
              </w:rPr>
              <w:t>DNA vaccine GLS-6150</w:t>
            </w:r>
          </w:p>
        </w:tc>
        <w:tc>
          <w:tcPr>
            <w:tcW w:w="3973" w:type="dxa"/>
            <w:vAlign w:val="center"/>
          </w:tcPr>
          <w:p>
            <w:pPr>
              <w:spacing w:line="360" w:lineRule="auto"/>
              <w:jc w:val="both"/>
              <w:rPr>
                <w:rFonts w:ascii="Book Antiqua" w:hAnsi="Book Antiqua" w:cstheme="minorBidi"/>
                <w:lang w:eastAsia="zh-CN"/>
              </w:rPr>
            </w:pPr>
            <w:r>
              <w:rPr>
                <w:rFonts w:ascii="Book Antiqua" w:hAnsi="Book Antiqua" w:cstheme="minorBidi"/>
              </w:rPr>
              <w:t>GLS-6150 decreases Treg cell frequency and enhances HCV-specific T cell responses without significant side effects</w:t>
            </w:r>
          </w:p>
        </w:tc>
        <w:tc>
          <w:tcPr>
            <w:tcW w:w="952" w:type="dxa"/>
            <w:vAlign w:val="center"/>
          </w:tcPr>
          <w:p>
            <w:pPr>
              <w:spacing w:line="360" w:lineRule="auto"/>
              <w:jc w:val="both"/>
              <w:rPr>
                <w:rFonts w:ascii="Book Antiqua" w:hAnsi="Book Antiqua" w:cstheme="minorBidi"/>
              </w:rPr>
            </w:pPr>
            <w:r>
              <w:rPr>
                <w:rFonts w:ascii="Book Antiqua" w:hAnsi="Book Antiqua" w:cstheme="minorBidi"/>
              </w:rPr>
              <w:t xml:space="preserve">Han </w:t>
            </w:r>
            <w:r>
              <w:rPr>
                <w:rFonts w:ascii="Book Antiqua" w:hAnsi="Book Antiqua" w:cstheme="minorBidi"/>
                <w:i/>
                <w:iCs/>
              </w:rPr>
              <w:t>et al</w:t>
            </w:r>
            <w:r>
              <w:rPr>
                <w:rFonts w:ascii="Book Antiqua" w:hAnsi="Book Antiqua" w:cstheme="minorBidi"/>
                <w:vertAlign w:val="superscript"/>
              </w:rPr>
              <w:t>[87]</w:t>
            </w:r>
            <w:r>
              <w:rPr>
                <w:rFonts w:ascii="Book Antiqua" w:hAnsi="Book Antiqua" w:cstheme="minorBidi"/>
              </w:rPr>
              <w:t>, 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3" w:type="dxa"/>
            <w:vAlign w:val="center"/>
          </w:tcPr>
          <w:p>
            <w:pPr>
              <w:spacing w:line="360" w:lineRule="auto"/>
              <w:jc w:val="both"/>
              <w:rPr>
                <w:rFonts w:ascii="Book Antiqua" w:hAnsi="Book Antiqua" w:cstheme="minorBidi"/>
              </w:rPr>
            </w:pPr>
            <w:r>
              <w:rPr>
                <w:rFonts w:ascii="Book Antiqua" w:hAnsi="Book Antiqua" w:cstheme="minorBidi"/>
              </w:rPr>
              <w:t>NCT02174276</w:t>
            </w:r>
          </w:p>
        </w:tc>
        <w:tc>
          <w:tcPr>
            <w:tcW w:w="856" w:type="dxa"/>
            <w:vAlign w:val="center"/>
          </w:tcPr>
          <w:p>
            <w:pPr>
              <w:spacing w:line="360" w:lineRule="auto"/>
              <w:jc w:val="both"/>
              <w:rPr>
                <w:rFonts w:ascii="Book Antiqua" w:hAnsi="Book Antiqua" w:cstheme="minorBidi"/>
              </w:rPr>
            </w:pPr>
            <w:r>
              <w:rPr>
                <w:rFonts w:ascii="Book Antiqua" w:hAnsi="Book Antiqua" w:cstheme="minorBidi"/>
              </w:rPr>
              <w:t>II</w:t>
            </w:r>
          </w:p>
        </w:tc>
        <w:tc>
          <w:tcPr>
            <w:tcW w:w="2102" w:type="dxa"/>
            <w:vAlign w:val="center"/>
          </w:tcPr>
          <w:p>
            <w:pPr>
              <w:spacing w:line="360" w:lineRule="auto"/>
              <w:jc w:val="both"/>
              <w:rPr>
                <w:rFonts w:ascii="Book Antiqua" w:hAnsi="Book Antiqua" w:cstheme="minorBidi"/>
              </w:rPr>
            </w:pPr>
            <w:r>
              <w:rPr>
                <w:rFonts w:ascii="Book Antiqua" w:hAnsi="Book Antiqua" w:cstheme="minorBidi"/>
              </w:rPr>
              <w:t>GS-4774, a yeast-based therapeutic vaccine</w:t>
            </w:r>
          </w:p>
        </w:tc>
        <w:tc>
          <w:tcPr>
            <w:tcW w:w="3973" w:type="dxa"/>
            <w:vAlign w:val="center"/>
          </w:tcPr>
          <w:p>
            <w:pPr>
              <w:spacing w:line="360" w:lineRule="auto"/>
              <w:jc w:val="both"/>
              <w:rPr>
                <w:rFonts w:ascii="Book Antiqua" w:hAnsi="Book Antiqua" w:cstheme="minorBidi"/>
                <w:lang w:eastAsia="zh-CN"/>
              </w:rPr>
            </w:pPr>
            <w:r>
              <w:rPr>
                <w:rFonts w:ascii="Book Antiqua" w:hAnsi="Book Antiqua" w:cstheme="minorBidi"/>
              </w:rPr>
              <w:t>Treatment with GS-4774 increased T-cell functions by increasing the production of IFN-γ and TNF and reducing the cell number of Tregs</w:t>
            </w:r>
          </w:p>
        </w:tc>
        <w:tc>
          <w:tcPr>
            <w:tcW w:w="952" w:type="dxa"/>
            <w:vAlign w:val="center"/>
          </w:tcPr>
          <w:p>
            <w:pPr>
              <w:spacing w:line="360" w:lineRule="auto"/>
              <w:jc w:val="both"/>
              <w:rPr>
                <w:rFonts w:ascii="Book Antiqua" w:hAnsi="Book Antiqua" w:cstheme="minorBidi"/>
              </w:rPr>
            </w:pPr>
            <w:r>
              <w:rPr>
                <w:rFonts w:ascii="Book Antiqua" w:hAnsi="Book Antiqua" w:cstheme="minorBidi"/>
              </w:rPr>
              <w:t xml:space="preserve">Boni </w:t>
            </w:r>
            <w:r>
              <w:rPr>
                <w:rFonts w:ascii="Book Antiqua" w:hAnsi="Book Antiqua" w:cstheme="minorBidi"/>
                <w:i/>
                <w:iCs/>
              </w:rPr>
              <w:t>et al</w:t>
            </w:r>
            <w:r>
              <w:rPr>
                <w:rFonts w:ascii="Book Antiqua" w:hAnsi="Book Antiqua" w:cstheme="minorBidi"/>
                <w:vertAlign w:val="superscript"/>
              </w:rPr>
              <w:t>[88]</w:t>
            </w:r>
            <w:r>
              <w:rPr>
                <w:rFonts w:ascii="Book Antiqua" w:hAnsi="Book Antiqua" w:cstheme="minorBidi"/>
              </w:rPr>
              <w:t>, 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3" w:type="dxa"/>
            <w:vAlign w:val="center"/>
          </w:tcPr>
          <w:p>
            <w:pPr>
              <w:spacing w:line="360" w:lineRule="auto"/>
              <w:jc w:val="both"/>
              <w:rPr>
                <w:rFonts w:ascii="Book Antiqua" w:hAnsi="Book Antiqua" w:cstheme="minorBidi"/>
              </w:rPr>
            </w:pPr>
            <w:r>
              <w:rPr>
                <w:rFonts w:ascii="Book Antiqua" w:hAnsi="Book Antiqua" w:cstheme="minorBidi"/>
              </w:rPr>
              <w:t>NCT02360592</w:t>
            </w:r>
          </w:p>
        </w:tc>
        <w:tc>
          <w:tcPr>
            <w:tcW w:w="856" w:type="dxa"/>
            <w:vAlign w:val="center"/>
          </w:tcPr>
          <w:p>
            <w:pPr>
              <w:spacing w:line="360" w:lineRule="auto"/>
              <w:jc w:val="both"/>
              <w:rPr>
                <w:rFonts w:ascii="Book Antiqua" w:hAnsi="Book Antiqua" w:cstheme="minorBidi"/>
              </w:rPr>
            </w:pPr>
            <w:r>
              <w:rPr>
                <w:rFonts w:ascii="Book Antiqua" w:hAnsi="Book Antiqua" w:cstheme="minorBidi"/>
              </w:rPr>
              <w:t>IV</w:t>
            </w:r>
          </w:p>
        </w:tc>
        <w:tc>
          <w:tcPr>
            <w:tcW w:w="2102" w:type="dxa"/>
            <w:vAlign w:val="center"/>
          </w:tcPr>
          <w:p>
            <w:pPr>
              <w:spacing w:line="360" w:lineRule="auto"/>
              <w:jc w:val="both"/>
              <w:rPr>
                <w:rFonts w:ascii="Book Antiqua" w:hAnsi="Book Antiqua" w:cstheme="minorBidi"/>
              </w:rPr>
            </w:pPr>
            <w:r>
              <w:rPr>
                <w:rFonts w:ascii="Book Antiqua" w:hAnsi="Book Antiqua" w:cstheme="minorBidi"/>
              </w:rPr>
              <w:t>Combined therapy with interferon plus IL-1 and hepatitis B Vaccine</w:t>
            </w:r>
          </w:p>
        </w:tc>
        <w:tc>
          <w:tcPr>
            <w:tcW w:w="3973" w:type="dxa"/>
            <w:vAlign w:val="center"/>
          </w:tcPr>
          <w:p>
            <w:pPr>
              <w:spacing w:line="360" w:lineRule="auto"/>
              <w:jc w:val="both"/>
              <w:rPr>
                <w:rFonts w:ascii="Book Antiqua" w:hAnsi="Book Antiqua" w:cstheme="minorBidi"/>
                <w:lang w:eastAsia="zh-CN"/>
              </w:rPr>
            </w:pPr>
            <w:r>
              <w:rPr>
                <w:rFonts w:ascii="Book Antiqua" w:hAnsi="Book Antiqua" w:cstheme="minorBidi"/>
              </w:rPr>
              <w:t>Combination therapy increased the level of hepatitis B surface antigen with partial restoration of Tregs and NK cells</w:t>
            </w:r>
          </w:p>
        </w:tc>
        <w:tc>
          <w:tcPr>
            <w:tcW w:w="952" w:type="dxa"/>
            <w:vAlign w:val="center"/>
          </w:tcPr>
          <w:p>
            <w:pPr>
              <w:spacing w:line="360" w:lineRule="auto"/>
              <w:jc w:val="both"/>
              <w:rPr>
                <w:rFonts w:ascii="Book Antiqua" w:hAnsi="Book Antiqua" w:cstheme="minorBidi"/>
              </w:rPr>
            </w:pPr>
            <w:r>
              <w:rPr>
                <w:rFonts w:ascii="Book Antiqua" w:hAnsi="Book Antiqua" w:cstheme="minorBidi"/>
              </w:rPr>
              <w:t xml:space="preserve">Wu </w:t>
            </w:r>
            <w:r>
              <w:rPr>
                <w:rFonts w:ascii="Book Antiqua" w:hAnsi="Book Antiqua" w:cstheme="minorBidi"/>
                <w:i/>
                <w:iCs/>
              </w:rPr>
              <w:t>et al</w:t>
            </w:r>
            <w:r>
              <w:rPr>
                <w:rFonts w:ascii="Book Antiqua" w:hAnsi="Book Antiqua" w:cstheme="minorBidi"/>
                <w:vertAlign w:val="superscript"/>
              </w:rPr>
              <w:t>[89]</w:t>
            </w:r>
            <w:r>
              <w:rPr>
                <w:rFonts w:ascii="Book Antiqua" w:hAnsi="Book Antiqua" w:cstheme="minorBidi"/>
              </w:rPr>
              <w:t>, 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3" w:type="dxa"/>
            <w:tcBorders>
              <w:bottom w:val="single" w:color="auto" w:sz="4" w:space="0"/>
            </w:tcBorders>
            <w:vAlign w:val="center"/>
          </w:tcPr>
          <w:p>
            <w:pPr>
              <w:spacing w:line="360" w:lineRule="auto"/>
              <w:jc w:val="both"/>
              <w:rPr>
                <w:rFonts w:ascii="Book Antiqua" w:hAnsi="Book Antiqua" w:cstheme="minorBidi"/>
              </w:rPr>
            </w:pPr>
            <w:r>
              <w:rPr>
                <w:rFonts w:ascii="Book Antiqua" w:hAnsi="Book Antiqua" w:cstheme="minorBidi"/>
              </w:rPr>
              <w:t>NCT02072486</w:t>
            </w:r>
          </w:p>
        </w:tc>
        <w:tc>
          <w:tcPr>
            <w:tcW w:w="856" w:type="dxa"/>
            <w:tcBorders>
              <w:bottom w:val="single" w:color="auto" w:sz="4" w:space="0"/>
            </w:tcBorders>
            <w:vAlign w:val="center"/>
          </w:tcPr>
          <w:p>
            <w:pPr>
              <w:spacing w:line="360" w:lineRule="auto"/>
              <w:jc w:val="both"/>
              <w:rPr>
                <w:rFonts w:ascii="Book Antiqua" w:hAnsi="Book Antiqua" w:cstheme="minorBidi"/>
              </w:rPr>
            </w:pPr>
            <w:r>
              <w:rPr>
                <w:rFonts w:ascii="Book Antiqua" w:hAnsi="Book Antiqua" w:cstheme="minorBidi"/>
              </w:rPr>
              <w:t>None</w:t>
            </w:r>
          </w:p>
        </w:tc>
        <w:tc>
          <w:tcPr>
            <w:tcW w:w="2102" w:type="dxa"/>
            <w:tcBorders>
              <w:bottom w:val="single" w:color="auto" w:sz="4" w:space="0"/>
            </w:tcBorders>
            <w:vAlign w:val="center"/>
          </w:tcPr>
          <w:p>
            <w:pPr>
              <w:spacing w:line="360" w:lineRule="auto"/>
              <w:jc w:val="both"/>
              <w:rPr>
                <w:rFonts w:ascii="Book Antiqua" w:hAnsi="Book Antiqua" w:cstheme="minorBidi"/>
              </w:rPr>
            </w:pPr>
            <w:r>
              <w:rPr>
                <w:rFonts w:ascii="Book Antiqua" w:hAnsi="Book Antiqua" w:cstheme="minorBidi"/>
              </w:rPr>
              <w:t>Sorafenib, a multiple kinase inhibitor</w:t>
            </w:r>
          </w:p>
        </w:tc>
        <w:tc>
          <w:tcPr>
            <w:tcW w:w="3973" w:type="dxa"/>
            <w:tcBorders>
              <w:bottom w:val="single" w:color="auto" w:sz="4" w:space="0"/>
            </w:tcBorders>
            <w:vAlign w:val="center"/>
          </w:tcPr>
          <w:p>
            <w:pPr>
              <w:spacing w:line="360" w:lineRule="auto"/>
              <w:jc w:val="both"/>
              <w:rPr>
                <w:rFonts w:ascii="Book Antiqua" w:hAnsi="Book Antiqua" w:cstheme="minorBidi"/>
                <w:lang w:eastAsia="zh-CN"/>
              </w:rPr>
            </w:pPr>
            <w:r>
              <w:rPr>
                <w:rFonts w:ascii="Book Antiqua" w:hAnsi="Book Antiqua" w:cstheme="minorBidi"/>
              </w:rPr>
              <w:t>Treatment with sorafenib can significantly suppress extracellular signal-regulated kinases</w:t>
            </w:r>
            <w:r>
              <w:rPr>
                <w:rFonts w:ascii="Book Antiqua" w:hAnsi="Book Antiqua" w:cstheme="minorBidi"/>
                <w:vertAlign w:val="superscript"/>
              </w:rPr>
              <w:t>+</w:t>
            </w:r>
            <w:r>
              <w:rPr>
                <w:rFonts w:ascii="Book Antiqua" w:hAnsi="Book Antiqua" w:cstheme="minorBidi"/>
              </w:rPr>
              <w:t>FMS-like tyrosine kinase 3</w:t>
            </w:r>
            <w:r>
              <w:rPr>
                <w:rFonts w:ascii="Book Antiqua" w:hAnsi="Book Antiqua" w:cstheme="minorBidi"/>
                <w:vertAlign w:val="superscript"/>
              </w:rPr>
              <w:t>+</w:t>
            </w:r>
            <w:r>
              <w:rPr>
                <w:rFonts w:ascii="Book Antiqua" w:hAnsi="Book Antiqua" w:cstheme="minorBidi"/>
              </w:rPr>
              <w:t xml:space="preserve"> Tregs and myeloid-derived suppressor cells to benefit the survival of HCC patients</w:t>
            </w:r>
          </w:p>
        </w:tc>
        <w:tc>
          <w:tcPr>
            <w:tcW w:w="952" w:type="dxa"/>
            <w:tcBorders>
              <w:bottom w:val="single" w:color="auto" w:sz="4" w:space="0"/>
            </w:tcBorders>
            <w:vAlign w:val="center"/>
          </w:tcPr>
          <w:p>
            <w:pPr>
              <w:spacing w:line="360" w:lineRule="auto"/>
              <w:jc w:val="both"/>
              <w:rPr>
                <w:rFonts w:ascii="Book Antiqua" w:hAnsi="Book Antiqua" w:cstheme="minorBidi"/>
                <w:lang w:eastAsia="zh-CN"/>
              </w:rPr>
            </w:pPr>
            <w:r>
              <w:rPr>
                <w:rFonts w:ascii="Book Antiqua" w:hAnsi="Book Antiqua" w:cstheme="minorBidi"/>
                <w:lang w:eastAsia="zh-CN"/>
              </w:rPr>
              <w:t xml:space="preserve">Kalathil </w:t>
            </w:r>
            <w:r>
              <w:rPr>
                <w:rFonts w:ascii="Book Antiqua" w:hAnsi="Book Antiqua" w:cstheme="minorBidi"/>
                <w:i/>
                <w:iCs/>
                <w:lang w:eastAsia="zh-CN"/>
              </w:rPr>
              <w:t>et al</w:t>
            </w:r>
            <w:r>
              <w:rPr>
                <w:rFonts w:ascii="Book Antiqua" w:hAnsi="Book Antiqua" w:cstheme="minorBidi"/>
                <w:vertAlign w:val="superscript"/>
                <w:lang w:eastAsia="zh-CN"/>
              </w:rPr>
              <w:t>[90]</w:t>
            </w:r>
            <w:r>
              <w:rPr>
                <w:rFonts w:ascii="Book Antiqua" w:hAnsi="Book Antiqua" w:cstheme="minorBidi"/>
                <w:lang w:eastAsia="zh-CN"/>
              </w:rPr>
              <w:t>, 2019</w:t>
            </w:r>
          </w:p>
        </w:tc>
      </w:tr>
    </w:tbl>
    <w:p>
      <w:pPr>
        <w:spacing w:line="360" w:lineRule="auto"/>
        <w:jc w:val="both"/>
        <w:rPr>
          <w:rFonts w:ascii="Book Antiqua" w:hAnsi="Book Antiqua" w:cs="Book Antiqua"/>
          <w:lang w:eastAsia="zh-CN"/>
        </w:rPr>
        <w:sectPr>
          <w:pgSz w:w="15840" w:h="12240" w:orient="landscape"/>
          <w:pgMar w:top="1440" w:right="1440" w:bottom="1440" w:left="1440" w:header="720" w:footer="720" w:gutter="0"/>
          <w:cols w:space="720" w:num="1"/>
          <w:docGrid w:linePitch="360" w:charSpace="0"/>
        </w:sectPr>
      </w:pPr>
      <w:r>
        <w:rPr>
          <w:rFonts w:ascii="Book Antiqua" w:hAnsi="Book Antiqua"/>
        </w:rPr>
        <w:t>CCR</w:t>
      </w:r>
      <w:r>
        <w:rPr>
          <w:rFonts w:ascii="Book Antiqua" w:hAnsi="Book Antiqua"/>
          <w:lang w:eastAsia="zh-CN"/>
        </w:rPr>
        <w:t xml:space="preserve">: C-C chemokine receptor; CSB: Co-stimulatory blockade; </w:t>
      </w:r>
      <w:r>
        <w:rPr>
          <w:rFonts w:ascii="Book Antiqua" w:hAnsi="Book Antiqua"/>
        </w:rPr>
        <w:t xml:space="preserve">PD-1: </w:t>
      </w:r>
      <w:r>
        <w:rPr>
          <w:rFonts w:ascii="Book Antiqua" w:hAnsi="Book Antiqua" w:eastAsia="Book Antiqua" w:cs="Book Antiqua"/>
        </w:rPr>
        <w:t xml:space="preserve">Programmed cell death protein 1; Treg: Regulatory T cells; MSC: Mesenchymal stromal cells; </w:t>
      </w:r>
      <w:r>
        <w:rPr>
          <w:rFonts w:ascii="Book Antiqua" w:hAnsi="Book Antiqua"/>
        </w:rPr>
        <w:t xml:space="preserve">DNA: </w:t>
      </w:r>
      <w:r>
        <w:rPr>
          <w:rFonts w:ascii="Book Antiqua" w:hAnsi="Book Antiqua" w:cs="Garamond"/>
        </w:rPr>
        <w:t xml:space="preserve">Deoxyribonucleic acid; </w:t>
      </w:r>
      <w:r>
        <w:rPr>
          <w:rFonts w:ascii="Book Antiqua" w:hAnsi="Book Antiqua"/>
        </w:rPr>
        <w:t xml:space="preserve">GLS: Glutaminase; </w:t>
      </w:r>
      <w:r>
        <w:rPr>
          <w:rFonts w:ascii="Book Antiqua" w:hAnsi="Book Antiqua" w:eastAsia="Book Antiqua" w:cs="Book Antiqua"/>
        </w:rPr>
        <w:t>IFN: Interferon; TNF: Tumor necrosis factor; IL: Interleukin; NK: Natural killer; FMS: Feline McDonough sarcoma</w:t>
      </w:r>
      <w:r>
        <w:rPr>
          <w:rFonts w:ascii="Book Antiqua" w:hAnsi="Book Antiqua" w:cs="Book Antiqua"/>
          <w:lang w:eastAsia="zh-CN"/>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3" name="图片 3"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spacing w:line="360" w:lineRule="auto"/>
        <w:jc w:val="both"/>
        <w:rPr>
          <w:rFonts w:ascii="Book Antiqua" w:hAnsi="Book Antiqua" w:cs="Book Antiqua"/>
          <w:lang w:eastAsia="zh-CN"/>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
    <w:panose1 w:val="02020404030301010803"/>
    <w:charset w:val="00"/>
    <w:family w:val="roman"/>
    <w:pitch w:val="default"/>
    <w:sig w:usb0="00000287" w:usb1="00000000" w:usb2="00000000" w:usb3="00000000" w:csb0="0000009F" w:csb1="DFD70000"/>
  </w:font>
  <w:font w:name="TimesNewRomanPS-BoldItalicMT">
    <w:altName w:val="Segoe Print"/>
    <w:panose1 w:val="00000000000000000000"/>
    <w:charset w:val="00"/>
    <w:family w:val="auto"/>
    <w:pitch w:val="default"/>
    <w:sig w:usb0="00000000" w:usb1="00000000" w:usb2="00000001" w:usb3="00000000" w:csb0="000001BF" w:csb1="00000000"/>
  </w:font>
  <w:font w:name="Segoe Print">
    <w:panose1 w:val="02000600000000000000"/>
    <w:charset w:val="00"/>
    <w:family w:val="auto"/>
    <w:pitch w:val="default"/>
    <w:sig w:usb0="0000028F" w:usb1="00000000" w:usb2="00000000" w:usb3="00000000" w:csb0="2000009F" w:csb1="4701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color w:val="000000" w:themeColor="text1"/>
        <w:sz w:val="24"/>
        <w:szCs w:val="24"/>
        <w14:textFill>
          <w14:solidFill>
            <w14:schemeClr w14:val="tx1"/>
          </w14:solidFill>
        </w14:textFill>
      </w:rPr>
    </w:pPr>
    <w:r>
      <w:rPr>
        <w:rFonts w:ascii="Book Antiqua" w:hAnsi="Book Antiqua"/>
        <w:color w:val="000000" w:themeColor="text1"/>
        <w:sz w:val="24"/>
        <w:szCs w:val="24"/>
        <w:lang w:val="zh-CN" w:eastAsia="zh-CN"/>
        <w14:textFill>
          <w14:solidFill>
            <w14:schemeClr w14:val="tx1"/>
          </w14:solidFill>
        </w14:textFill>
      </w:rPr>
      <w:t xml:space="preserve">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PAGE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4</w:t>
    </w:r>
    <w:r>
      <w:rPr>
        <w:rFonts w:ascii="Book Antiqua" w:hAnsi="Book Antiqua"/>
        <w:color w:val="000000" w:themeColor="text1"/>
        <w:sz w:val="24"/>
        <w:szCs w:val="24"/>
        <w14:textFill>
          <w14:solidFill>
            <w14:schemeClr w14:val="tx1"/>
          </w14:solidFill>
        </w14:textFill>
      </w:rPr>
      <w:fldChar w:fldCharType="end"/>
    </w:r>
    <w:r>
      <w:rPr>
        <w:rFonts w:ascii="Book Antiqua" w:hAnsi="Book Antiqua"/>
        <w:color w:val="000000" w:themeColor="text1"/>
        <w:sz w:val="24"/>
        <w:szCs w:val="24"/>
        <w:lang w:val="zh-CN" w:eastAsia="zh-CN"/>
        <w14:textFill>
          <w14:solidFill>
            <w14:schemeClr w14:val="tx1"/>
          </w14:solidFill>
        </w14:textFill>
      </w:rPr>
      <w:t xml:space="preserve"> /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NUMPAGES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36</w:t>
    </w:r>
    <w:r>
      <w:rPr>
        <w:rFonts w:ascii="Book Antiqua" w:hAnsi="Book Antiqua"/>
        <w:color w:val="000000" w:themeColor="text1"/>
        <w:sz w:val="24"/>
        <w:szCs w:val="24"/>
        <w14:textFill>
          <w14:solidFill>
            <w14:schemeClr w14:val="tx1"/>
          </w14:solidFill>
        </w14:textFill>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GwNDe1sDQ1sDA0NDVR0lEKTi0uzszPAykwrAUAtsgLGiwAAAA="/>
  </w:docVars>
  <w:rsids>
    <w:rsidRoot w:val="00A77B3E"/>
    <w:rsid w:val="0002646C"/>
    <w:rsid w:val="000301E0"/>
    <w:rsid w:val="0003522E"/>
    <w:rsid w:val="00035D37"/>
    <w:rsid w:val="000411EB"/>
    <w:rsid w:val="00045AB7"/>
    <w:rsid w:val="0005513C"/>
    <w:rsid w:val="00060BBB"/>
    <w:rsid w:val="00066427"/>
    <w:rsid w:val="00067F5E"/>
    <w:rsid w:val="0007051B"/>
    <w:rsid w:val="000813CE"/>
    <w:rsid w:val="000E347D"/>
    <w:rsid w:val="000E7E0E"/>
    <w:rsid w:val="000F33CD"/>
    <w:rsid w:val="001007FF"/>
    <w:rsid w:val="00106063"/>
    <w:rsid w:val="00122D2A"/>
    <w:rsid w:val="00127532"/>
    <w:rsid w:val="00131836"/>
    <w:rsid w:val="001420DD"/>
    <w:rsid w:val="00171BAF"/>
    <w:rsid w:val="001D13E0"/>
    <w:rsid w:val="001D5B89"/>
    <w:rsid w:val="001E5462"/>
    <w:rsid w:val="00204139"/>
    <w:rsid w:val="00210684"/>
    <w:rsid w:val="00216A76"/>
    <w:rsid w:val="002270DC"/>
    <w:rsid w:val="00232B31"/>
    <w:rsid w:val="00242D3F"/>
    <w:rsid w:val="00263845"/>
    <w:rsid w:val="00264CE4"/>
    <w:rsid w:val="00265BB4"/>
    <w:rsid w:val="00286D4B"/>
    <w:rsid w:val="002A4862"/>
    <w:rsid w:val="002B1BD5"/>
    <w:rsid w:val="002B341A"/>
    <w:rsid w:val="002C2965"/>
    <w:rsid w:val="002C2E01"/>
    <w:rsid w:val="002E409A"/>
    <w:rsid w:val="002F2F87"/>
    <w:rsid w:val="003072D7"/>
    <w:rsid w:val="003162B1"/>
    <w:rsid w:val="00337EBA"/>
    <w:rsid w:val="00367777"/>
    <w:rsid w:val="00371641"/>
    <w:rsid w:val="0037276E"/>
    <w:rsid w:val="00373927"/>
    <w:rsid w:val="00381F82"/>
    <w:rsid w:val="00387D75"/>
    <w:rsid w:val="003B14B1"/>
    <w:rsid w:val="003B530B"/>
    <w:rsid w:val="003C306E"/>
    <w:rsid w:val="003E23BE"/>
    <w:rsid w:val="00453106"/>
    <w:rsid w:val="00467924"/>
    <w:rsid w:val="004B758E"/>
    <w:rsid w:val="004C0105"/>
    <w:rsid w:val="004E26CE"/>
    <w:rsid w:val="004E5E1F"/>
    <w:rsid w:val="0051488A"/>
    <w:rsid w:val="00530FBF"/>
    <w:rsid w:val="00537DC9"/>
    <w:rsid w:val="00551A51"/>
    <w:rsid w:val="00551B6B"/>
    <w:rsid w:val="00552E8E"/>
    <w:rsid w:val="00574AB0"/>
    <w:rsid w:val="00584A50"/>
    <w:rsid w:val="005901E1"/>
    <w:rsid w:val="00595FEF"/>
    <w:rsid w:val="0059621E"/>
    <w:rsid w:val="005B38B1"/>
    <w:rsid w:val="005F0F3A"/>
    <w:rsid w:val="005F515F"/>
    <w:rsid w:val="006078E4"/>
    <w:rsid w:val="006104B9"/>
    <w:rsid w:val="006218E5"/>
    <w:rsid w:val="00630C1F"/>
    <w:rsid w:val="006602C6"/>
    <w:rsid w:val="00672E54"/>
    <w:rsid w:val="006D5211"/>
    <w:rsid w:val="00713589"/>
    <w:rsid w:val="007156F7"/>
    <w:rsid w:val="00777696"/>
    <w:rsid w:val="0078553A"/>
    <w:rsid w:val="00787B36"/>
    <w:rsid w:val="007A7D42"/>
    <w:rsid w:val="007E7921"/>
    <w:rsid w:val="00840164"/>
    <w:rsid w:val="008426D9"/>
    <w:rsid w:val="00847CF2"/>
    <w:rsid w:val="00854304"/>
    <w:rsid w:val="0085710F"/>
    <w:rsid w:val="008A1013"/>
    <w:rsid w:val="008C7A4C"/>
    <w:rsid w:val="008D6BFF"/>
    <w:rsid w:val="008E5729"/>
    <w:rsid w:val="00901641"/>
    <w:rsid w:val="009254CD"/>
    <w:rsid w:val="00936E39"/>
    <w:rsid w:val="00946D94"/>
    <w:rsid w:val="00973939"/>
    <w:rsid w:val="00985B6F"/>
    <w:rsid w:val="00997542"/>
    <w:rsid w:val="00A0121D"/>
    <w:rsid w:val="00A10263"/>
    <w:rsid w:val="00A42A16"/>
    <w:rsid w:val="00A464CA"/>
    <w:rsid w:val="00A63FD9"/>
    <w:rsid w:val="00A70945"/>
    <w:rsid w:val="00A77B3E"/>
    <w:rsid w:val="00A84E3A"/>
    <w:rsid w:val="00A97EC5"/>
    <w:rsid w:val="00AB5E4B"/>
    <w:rsid w:val="00AF4F21"/>
    <w:rsid w:val="00B05878"/>
    <w:rsid w:val="00B10CA8"/>
    <w:rsid w:val="00B10F94"/>
    <w:rsid w:val="00B24AF7"/>
    <w:rsid w:val="00B8352E"/>
    <w:rsid w:val="00B84CE3"/>
    <w:rsid w:val="00BA2610"/>
    <w:rsid w:val="00BB696D"/>
    <w:rsid w:val="00BE26B2"/>
    <w:rsid w:val="00C12181"/>
    <w:rsid w:val="00C1347A"/>
    <w:rsid w:val="00C13B99"/>
    <w:rsid w:val="00C37F6D"/>
    <w:rsid w:val="00C65CCD"/>
    <w:rsid w:val="00C70EA0"/>
    <w:rsid w:val="00C87B0F"/>
    <w:rsid w:val="00CA2A55"/>
    <w:rsid w:val="00CB769C"/>
    <w:rsid w:val="00CC551B"/>
    <w:rsid w:val="00CC60AA"/>
    <w:rsid w:val="00CD2F5F"/>
    <w:rsid w:val="00CE15BC"/>
    <w:rsid w:val="00CF773E"/>
    <w:rsid w:val="00D33049"/>
    <w:rsid w:val="00D51932"/>
    <w:rsid w:val="00D70380"/>
    <w:rsid w:val="00D8034E"/>
    <w:rsid w:val="00D946DF"/>
    <w:rsid w:val="00DA599A"/>
    <w:rsid w:val="00DF52B0"/>
    <w:rsid w:val="00E01A84"/>
    <w:rsid w:val="00E076B9"/>
    <w:rsid w:val="00E40272"/>
    <w:rsid w:val="00E55340"/>
    <w:rsid w:val="00E572A4"/>
    <w:rsid w:val="00EB6DD9"/>
    <w:rsid w:val="00EF191F"/>
    <w:rsid w:val="00F31482"/>
    <w:rsid w:val="00F45542"/>
    <w:rsid w:val="00F502B1"/>
    <w:rsid w:val="00F537F8"/>
    <w:rsid w:val="00F70A4C"/>
    <w:rsid w:val="00FB2A8D"/>
    <w:rsid w:val="00FB5F3F"/>
    <w:rsid w:val="00FC6985"/>
    <w:rsid w:val="00FE550E"/>
    <w:rsid w:val="29E92531"/>
    <w:rsid w:val="2EFF2BA5"/>
    <w:rsid w:val="313A3667"/>
    <w:rsid w:val="5B5719C6"/>
    <w:rsid w:val="62D52A0B"/>
    <w:rsid w:val="64A57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0"/>
  </w:style>
  <w:style w:type="paragraph" w:styleId="3">
    <w:name w:val="Balloon Text"/>
    <w:basedOn w:val="1"/>
    <w:link w:val="15"/>
    <w:qFormat/>
    <w:uiPriority w:val="0"/>
    <w:rPr>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0"/>
    <w:rPr>
      <w:b/>
      <w:bCs/>
    </w:rPr>
  </w:style>
  <w:style w:type="table" w:styleId="8">
    <w:name w:val="Table Grid"/>
    <w:basedOn w:val="7"/>
    <w:qFormat/>
    <w:uiPriority w:val="39"/>
    <w:rPr>
      <w:rFonts w:asciiTheme="minorHAnsi" w:hAnsi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qFormat/>
    <w:uiPriority w:val="0"/>
    <w:rPr>
      <w:sz w:val="21"/>
      <w:szCs w:val="21"/>
    </w:rPr>
  </w:style>
  <w:style w:type="character" w:customStyle="1" w:styleId="11">
    <w:name w:val="页眉 字符"/>
    <w:basedOn w:val="9"/>
    <w:link w:val="5"/>
    <w:qFormat/>
    <w:uiPriority w:val="0"/>
    <w:rPr>
      <w:sz w:val="18"/>
      <w:szCs w:val="18"/>
    </w:rPr>
  </w:style>
  <w:style w:type="character" w:customStyle="1" w:styleId="12">
    <w:name w:val="页脚 字符"/>
    <w:basedOn w:val="9"/>
    <w:link w:val="4"/>
    <w:qFormat/>
    <w:uiPriority w:val="99"/>
    <w:rPr>
      <w:sz w:val="18"/>
      <w:szCs w:val="18"/>
    </w:rPr>
  </w:style>
  <w:style w:type="character" w:customStyle="1" w:styleId="13">
    <w:name w:val="批注文字 字符"/>
    <w:basedOn w:val="9"/>
    <w:link w:val="2"/>
    <w:semiHidden/>
    <w:qFormat/>
    <w:uiPriority w:val="0"/>
    <w:rPr>
      <w:sz w:val="24"/>
      <w:szCs w:val="24"/>
    </w:rPr>
  </w:style>
  <w:style w:type="character" w:customStyle="1" w:styleId="14">
    <w:name w:val="批注主题 字符"/>
    <w:basedOn w:val="13"/>
    <w:link w:val="6"/>
    <w:semiHidden/>
    <w:qFormat/>
    <w:uiPriority w:val="0"/>
    <w:rPr>
      <w:b/>
      <w:bCs/>
      <w:sz w:val="24"/>
      <w:szCs w:val="24"/>
    </w:rPr>
  </w:style>
  <w:style w:type="character" w:customStyle="1" w:styleId="15">
    <w:name w:val="批注框文本 字符"/>
    <w:basedOn w:val="9"/>
    <w:link w:val="3"/>
    <w:qFormat/>
    <w:uiPriority w:val="0"/>
    <w:rPr>
      <w:sz w:val="18"/>
      <w:szCs w:val="18"/>
    </w:rPr>
  </w:style>
  <w:style w:type="paragraph" w:customStyle="1" w:styleId="16">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36</Pages>
  <Words>8980</Words>
  <Characters>51190</Characters>
  <Lines>426</Lines>
  <Paragraphs>120</Paragraphs>
  <TotalTime>3</TotalTime>
  <ScaleCrop>false</ScaleCrop>
  <LinksUpToDate>false</LinksUpToDate>
  <CharactersWithSpaces>60050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2022-06-22T23:01:00Z</dcterms:created>
  <dc:creator>Lian-Sheng Ma</dc:creator>
  <cp:lastModifiedBy>千</cp:lastModifiedBy>
  <dcterms:modified xsi:type="dcterms:W3CDTF">2022-07-18T06:25:05Z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27F0716D17574560BD593AE123A363F8</vt:lpwstr>
  </property>
</Properties>
</file>