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74890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Frequency of celiac disease and distribution of HLA-DQ2/DQ8 haplotypes among siblings of children with celiac disease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Sahin Y </w:t>
      </w:r>
      <w:r>
        <w:rPr>
          <w:rFonts w:ascii="Book Antiqua" w:hAnsi="Book Antiqua" w:eastAsia="Book Antiqua" w:cs="Book Antiqua"/>
          <w:i/>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Frequency of CD and distribution of H LA-DQ2/DQ8 haplotypes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Yasin Sahin, Serdar Mermer</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Yasin Sahin, </w:t>
      </w:r>
      <w:r>
        <w:rPr>
          <w:rFonts w:ascii="Book Antiqua" w:hAnsi="Book Antiqua" w:eastAsia="Book Antiqua" w:cs="Book Antiqua"/>
          <w:bCs/>
          <w:color w:val="000000" w:themeColor="text1"/>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 Gastroenterology, Mersin Training and Research Hospital, Mersin 33240, Mersin, Turkey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Serdar Mermer, </w:t>
      </w:r>
      <w:r>
        <w:rPr>
          <w:rFonts w:ascii="Book Antiqua" w:hAnsi="Book Antiqua" w:eastAsia="Book Antiqua" w:cs="Book Antiqua"/>
          <w:bCs/>
          <w:color w:val="000000" w:themeColor="text1"/>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Medical Genetics, Mersin Training and Research Hospital, Mersin 33240, Mersin, Turkey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Sahin Y designed the study, analyzed the data, interpreted the data and wrote the manuscript; Mermer S designed the study and collected and analyzed the data; All authors had read and approved the final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Yasin Sahin, MD, Associate Professor, </w:t>
      </w:r>
      <w:r>
        <w:rPr>
          <w:rFonts w:ascii="Book Antiqua" w:hAnsi="Book Antiqua" w:eastAsia="Book Antiqua" w:cs="Book Antiqua"/>
          <w:bCs/>
          <w:color w:val="000000" w:themeColor="text1"/>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 Gastroenterology, Mersin Training and Research Hospital, Korukent Mah. 96015 Sok. Mersin Entegre Sağlık Kampüsü 33240 Toroslar/Mersin, Mersin 33240, Mersin, Turkey. ysahin977@gmail.com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January 10, 2022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bCs/>
          <w:color w:val="000000" w:themeColor="text1"/>
          <w14:textFill>
            <w14:solidFill>
              <w14:schemeClr w14:val="tx1"/>
            </w14:solidFill>
          </w14:textFill>
        </w:rPr>
        <w:t>March 18</w:t>
      </w:r>
      <w:r>
        <w:rPr>
          <w:rFonts w:ascii="Book Antiqua" w:hAnsi="Book Antiqua" w:cs="Book Antiqua"/>
          <w:bCs/>
          <w:color w:val="000000" w:themeColor="text1"/>
          <w:lang w:eastAsia="zh-CN"/>
          <w14:textFill>
            <w14:solidFill>
              <w14:schemeClr w14:val="tx1"/>
            </w14:solidFill>
          </w14:textFill>
        </w:rPr>
        <w:t>,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t xml:space="preserve"> </w:t>
      </w:r>
      <w:bookmarkStart w:id="0" w:name="OLE_LINK2"/>
      <w:r>
        <w:rPr>
          <w:rFonts w:ascii="Book Antiqua" w:hAnsi="Book Antiqua" w:eastAsia="Book Antiqua" w:cs="Book Antiqua"/>
          <w:b w:val="0"/>
          <w:bCs w:val="0"/>
          <w:color w:val="000000" w:themeColor="text1"/>
          <w14:textFill>
            <w14:solidFill>
              <w14:schemeClr w14:val="tx1"/>
            </w14:solidFill>
          </w14:textFill>
        </w:rPr>
        <w:t>June 3, 2022</w:t>
      </w:r>
      <w:bookmarkEnd w:id="0"/>
      <w:r>
        <w:rPr>
          <w:rFonts w:ascii="Book Antiqua" w:hAnsi="Book Antiqua" w:eastAsia="Book Antiqua" w:cs="Book Antiqua"/>
          <w:b/>
          <w:bCs/>
          <w:color w:val="000000" w:themeColor="text1"/>
          <w14:textFill>
            <w14:solidFill>
              <w14:schemeClr w14:val="tx1"/>
            </w14:solidFill>
          </w14:textFill>
        </w:rPr>
        <w:t xml:space="preserve">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hint="eastAsia" w:ascii="Book Antiqua" w:hAnsi="Book Antiqua"/>
          <w:b w:val="0"/>
          <w:bCs w:val="0"/>
        </w:rPr>
        <w:t>July 9,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Celiac disease (CD) is a multifactorial disease, but genetic factors play a major role in its etiology. It has been known that human leucocyte antigen (HLA)-DQ2/DQ8 haplotypes are one of the most important predisposing genetic factors. The risk of developing CD in first-degree relatives and especially siblings of celiac patients is quite high because of having the same HLA haplotypes.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evaluate the frequency of CD and the distribution of the HLA-DQ2/DQ8 haplotypes in siblings of celiac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Patients with biopsy-proven CD and their siblings were included in the study; those who did not have HLA genotyping were excluded from the study. All siblings were on a gluten-containing diet. The HLA genotyping, tissue transglutaminase antibody IgA antibody test, and total IgA test were performed in all participants.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57 celiac patients and their 112 siblings were included in the study. The mean age of celiac patients and siblings were 10.30 ± 3.87 years and 9.90 ± 6.11 years, respectively. HLA-DQ2/DQ8 alleles were detected in 98.2% of patients with CD and 90.2% of siblings of celiac patients. HLA-DQ genotypes were present in all siblings diagnosed with CD. Tissue transglutaminase antibody IgA test was found to be positive in 16 siblings. CD was diagnosed in 12 siblings (10.7%) by intestinal biopsy.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prevalence of CD was found to be 10.7% in siblings of celiac patients in our study. One-third of the siblings diagnosed with CD were asymptomatic. We detected HLA-DQ alleles in 98.2% of celiac patients and 100% in siblings diagnosed with CD. In addition, 1 of the 2 siblings was diagnosed with CD 1 year later and the other 4 years later. Therefore, we suggest that siblings of celiac patients should be followed up with clinical findings as well as HLA analysis and serological examination. Since the risk of developing CD is much higher in asymptomatic siblings, we recommend that siblings should be screened for CD even if they are asymptomatic.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Celiac disease; Frequency; Genetic; HLA haplotypes; Intestinal biopsy; Siblings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Sahin Y, Mermer S. Frequency of celiac disease and distribution of HLA-DQ2/DQ8 haplotypes among siblings of children with celiac disease. </w:t>
      </w:r>
      <w:r>
        <w:rPr>
          <w:rFonts w:ascii="Book Antiqua" w:hAnsi="Book Antiqua" w:eastAsia="Book Antiqua" w:cs="Book Antiqua"/>
          <w:i/>
          <w:iCs/>
          <w:color w:val="000000" w:themeColor="text1"/>
          <w14:textFill>
            <w14:solidFill>
              <w14:schemeClr w14:val="tx1"/>
            </w14:solidFill>
          </w14:textFill>
        </w:rPr>
        <w:t>World J Clin Pediatr</w:t>
      </w:r>
      <w:r>
        <w:rPr>
          <w:rFonts w:ascii="Book Antiqua" w:hAnsi="Book Antiqua" w:eastAsia="Book Antiqua" w:cs="Book Antiqua"/>
          <w:color w:val="000000" w:themeColor="text1"/>
          <w14:textFill>
            <w14:solidFill>
              <w14:schemeClr w14:val="tx1"/>
            </w14:solidFill>
          </w14:textFill>
        </w:rPr>
        <w:t xml:space="preserve"> 2022; </w:t>
      </w:r>
      <w:bookmarkStart w:id="1" w:name="OLE_LINK1"/>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351-359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/351.htm </w:t>
      </w: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w:t>
      </w:r>
      <w:bookmarkEnd w:id="1"/>
      <w:r>
        <w:rPr>
          <w:rFonts w:hint="eastAsia" w:ascii="Book Antiqua" w:hAnsi="Book Antiqua"/>
        </w:rPr>
        <w:t>351</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Celiac disease (CD) is a multifactorial disease, but genetic factors play a major role in its etiology. Human leucocyte antigen-DQ2/DQ8 haplotypes are one of the most important predisposing genetic factors. We detected human leucocyte antigen-DQ alleles in 98.2% of celiac patients and 100% in siblings diagnosed with CD. Also, 1 of the 2 siblings was diagnosed with CD 1 year later and the other 4 years later. Siblings of celiac patients should be followed up with clinical findings and human leucocyte antigen analysis and serological examination. We recommend that siblings should be screened for CD even if they are asymptomatic.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Celiac disease (CD) is a systemic autoimmune disease triggered by gluten intake in genetically susceptible individuals characterized by various degrees of small intestinal damage</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It is a multifactorial disease, but genetic factors play a major role in its etiology. It has been known that human leucocyte antigen (HLA)-DQ2/DQ8 genotypes are one of the most important predisposing genetic factors</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risk of developing CD in first-degree relatives and especially siblings of celiac patients is quite high due to having the same HLA genotypes and environmental triggers such as gut microbiome</w:t>
      </w:r>
      <w:r>
        <w:rPr>
          <w:rFonts w:ascii="Book Antiqua" w:hAnsi="Book Antiqua" w:eastAsia="Book Antiqua" w:cs="Book Antiqua"/>
          <w:color w:val="000000" w:themeColor="text1"/>
          <w:vertAlign w:val="superscript"/>
          <w14:textFill>
            <w14:solidFill>
              <w14:schemeClr w14:val="tx1"/>
            </w14:solidFill>
          </w14:textFill>
        </w:rPr>
        <w:t>[5-8]</w:t>
      </w:r>
      <w:r>
        <w:rPr>
          <w:rFonts w:ascii="Book Antiqua" w:hAnsi="Book Antiqua" w:eastAsia="Book Antiqua" w:cs="Book Antiqua"/>
          <w:color w:val="000000" w:themeColor="text1"/>
          <w14:textFill>
            <w14:solidFill>
              <w14:schemeClr w14:val="tx1"/>
            </w14:solidFill>
          </w14:textFill>
        </w:rPr>
        <w:t>. It has been reported that the risk of developing CD is higher in siblings of celiac patients compared to other first-degree relatives</w:t>
      </w:r>
      <w:r>
        <w:rPr>
          <w:rFonts w:ascii="Book Antiqua" w:hAnsi="Book Antiqua" w:eastAsia="Book Antiqua" w:cs="Book Antiqua"/>
          <w:color w:val="000000" w:themeColor="text1"/>
          <w:vertAlign w:val="superscript"/>
          <w14:textFill>
            <w14:solidFill>
              <w14:schemeClr w14:val="tx1"/>
            </w14:solidFill>
          </w14:textFill>
        </w:rPr>
        <w:t>[9-11]</w:t>
      </w:r>
      <w:r>
        <w:rPr>
          <w:rFonts w:ascii="Book Antiqua" w:hAnsi="Book Antiqua" w:eastAsia="Book Antiqua" w:cs="Book Antiqua"/>
          <w:color w:val="000000" w:themeColor="text1"/>
          <w14:textFill>
            <w14:solidFill>
              <w14:schemeClr w14:val="tx1"/>
            </w14:solidFill>
          </w14:textFill>
        </w:rPr>
        <w:t>. CD may be asymptomatic for years or even be diagnosed 10 years after the first symptom appears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It has been reported that approximately half of the first-degree relatives of celiac patients newly diagnosed with CD are completely asymptomatic</w:t>
      </w:r>
      <w:r>
        <w:rPr>
          <w:rFonts w:ascii="Book Antiqua" w:hAnsi="Book Antiqua" w:eastAsia="Book Antiqua" w:cs="Book Antiqua"/>
          <w:color w:val="000000" w:themeColor="text1"/>
          <w:vertAlign w:val="superscript"/>
          <w14:textFill>
            <w14:solidFill>
              <w14:schemeClr w14:val="tx1"/>
            </w14:solidFill>
          </w14:textFill>
        </w:rPr>
        <w:t>[2,8,10]</w:t>
      </w:r>
      <w:r>
        <w:rPr>
          <w:rFonts w:ascii="Book Antiqua" w:hAnsi="Book Antiqua" w:eastAsia="Book Antiqua" w:cs="Book Antiqua"/>
          <w:color w:val="000000" w:themeColor="text1"/>
          <w14:textFill>
            <w14:solidFill>
              <w14:schemeClr w14:val="tx1"/>
            </w14:solidFill>
          </w14:textFill>
        </w:rPr>
        <w:t>. Early diagnosis of CD is very important for the prevention of long-term complications of CD such as osteoporosis, growth retardation, infertility, and malignancy.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Although there are many studies on the frequency of CD in first-degree relatives of celiac patients, the number of studies investigating the frequency of CD and the distribution of HLA-DQ2/DQ8 in siblings of celiac patients is rare</w:t>
      </w:r>
      <w:r>
        <w:rPr>
          <w:rFonts w:ascii="Book Antiqua" w:hAnsi="Book Antiqua" w:eastAsia="Book Antiqua" w:cs="Book Antiqua"/>
          <w:color w:val="000000" w:themeColor="text1"/>
          <w:vertAlign w:val="superscript"/>
          <w14:textFill>
            <w14:solidFill>
              <w14:schemeClr w14:val="tx1"/>
            </w14:solidFill>
          </w14:textFill>
        </w:rPr>
        <w:t>[8,10,13,14]</w:t>
      </w:r>
      <w:r>
        <w:rPr>
          <w:rFonts w:ascii="Book Antiqua" w:hAnsi="Book Antiqua" w:eastAsia="Book Antiqua" w:cs="Book Antiqua"/>
          <w:color w:val="000000" w:themeColor="text1"/>
          <w14:textFill>
            <w14:solidFill>
              <w14:schemeClr w14:val="tx1"/>
            </w14:solidFill>
          </w14:textFill>
        </w:rPr>
        <w:t>. The aim of our study was to evaluate the frequency of CD and the distribution of HLA-DQ2/DQ8 haplotypes in siblings of celiac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was carried out between February 2017 and June 2020. Patients with biopsy-proven CD and their siblings were included in the study; those who did not have HLA genotyping were excluded from the study. All siblings were on a gluten-containing diet. The current study was approved by the Local Ethics Committee (Toros University, Mersin, Turkey, 17.06.2020/41). The patient who was first diagnosed with CD was defined as an index case.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CD was diagnosed according to the European Society for Paediatric Gastroenterology, Hepatology and Nutrition 2012 guidelines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In total, 57 celiac patients and their 112 siblings were included in the study. Three patients who did not have any siblings were not included in the study. The HLA genotyping, tissue transglutaminase antibody (tTG) IgA antibody test, and total IgA test were performed in all participants. tTG IgA antibody levels were measured by enzyme-linked immunosorbent assay method (Diametra, Spello PG, Italy). The cutoff value for tTG IgA was 20</w:t>
      </w:r>
      <w:r>
        <w:rPr>
          <w:rFonts w:eastAsia="Book Antiqua"/>
          <w:color w:val="000000" w:themeColor="text1"/>
          <w14:textFill>
            <w14:solidFill>
              <w14:schemeClr w14:val="tx1"/>
            </w14:solidFill>
          </w14:textFill>
        </w:rPr>
        <w:t> </w:t>
      </w:r>
      <w:r>
        <w:rPr>
          <w:rFonts w:ascii="Book Antiqua" w:hAnsi="Book Antiqua" w:eastAsia="Book Antiqua" w:cs="Book Antiqua"/>
          <w:color w:val="000000" w:themeColor="text1"/>
          <w14:textFill>
            <w14:solidFill>
              <w14:schemeClr w14:val="tx1"/>
            </w14:solidFill>
          </w14:textFill>
        </w:rPr>
        <w:t>U/mL. Total IgA levels were measured by nephelometric method (Siemens Diagnostics, Marburg, Germany).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Gastroduodenoscopy and small intestinal biopsy were performed in all patients with tTG positivity. Four biopsies from the duodenum and at least one biopsy from the bulb were obtained. All intestinal biopsy specimens were evaluated according to the modified Marsh-Oberhuber classification</w:t>
      </w:r>
      <w:r>
        <w:rPr>
          <w:rFonts w:ascii="Book Antiqua" w:hAnsi="Book Antiqua" w:eastAsia="Book Antiqua" w:cs="Book Antiqua"/>
          <w:color w:val="000000" w:themeColor="text1"/>
          <w:vertAlign w:val="superscript"/>
          <w14:textFill>
            <w14:solidFill>
              <w14:schemeClr w14:val="tx1"/>
            </w14:solidFill>
          </w14:textFill>
        </w:rPr>
        <w:t xml:space="preserve">[15] </w:t>
      </w:r>
      <w:r>
        <w:rPr>
          <w:rFonts w:ascii="Book Antiqua" w:hAnsi="Book Antiqua" w:eastAsia="Book Antiqua" w:cs="Book Antiqua"/>
          <w:color w:val="000000" w:themeColor="text1"/>
          <w14:textFill>
            <w14:solidFill>
              <w14:schemeClr w14:val="tx1"/>
            </w14:solidFill>
          </w14:textFill>
        </w:rPr>
        <w:t>as follows: Marsh stage 0: normal mucosa; Marsh stage 1: increased intraepithelial lymphocytosis (&gt; 40 lymphocytes per 100 epithelial cells); Marsh stage 2: increased intraepithelial lymphocytosis with crypt hyperplasia; Marsh stage 3a: increased intraepithelial lymphocytosis with crypt hyperplasia and partial villous atrophy; Marsh stage 3b: increased intraepithelial lymphocytosis with crypt hyperplasia and subtotal villous atrophy; and Marsh stage 3c: increased intraepithelial lymphocytosis with crypt hyperplasia and total villous atrophy. If the pathology result was compatible with Marsh stage 2 or stage 3, the patient was diagnosed with CD.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i/>
          <w:iCs/>
          <w:color w:val="000000" w:themeColor="text1"/>
          <w14:textFill>
            <w14:solidFill>
              <w14:schemeClr w14:val="tx1"/>
            </w14:solidFill>
          </w14:textFill>
        </w:rPr>
        <w:t>Statistical analysis</w:t>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Statistical analysis was performed using Statistical Package for Social Sciences software version 22.0 (SPSS Inc; Chicago, IL, United States). Frequency, percentage, and mean ± standard deviation were used as descriptive statistics. Independent sample </w:t>
      </w:r>
      <w:r>
        <w:rPr>
          <w:rFonts w:ascii="Book Antiqua" w:hAnsi="Book Antiqua"/>
          <w:i/>
          <w:iCs/>
          <w:color w:val="000000" w:themeColor="text1"/>
          <w14:textFill>
            <w14:solidFill>
              <w14:schemeClr w14:val="tx1"/>
            </w14:solidFill>
          </w14:textFill>
        </w:rPr>
        <w:t>t</w:t>
      </w:r>
      <w:r>
        <w:rPr>
          <w:rFonts w:ascii="Book Antiqua" w:hAnsi="Book Antiqua"/>
          <w:color w:val="000000" w:themeColor="text1"/>
          <w14:textFill>
            <w14:solidFill>
              <w14:schemeClr w14:val="tx1"/>
            </w14:solidFill>
          </w14:textFill>
        </w:rPr>
        <w:t xml:space="preserve">-test was used for nominal data. The Mann-Whitney </w:t>
      </w:r>
      <w:r>
        <w:rPr>
          <w:rFonts w:ascii="Book Antiqua" w:hAnsi="Book Antiqua"/>
          <w:i/>
          <w:iCs/>
          <w:color w:val="000000" w:themeColor="text1"/>
          <w14:textFill>
            <w14:solidFill>
              <w14:schemeClr w14:val="tx1"/>
            </w14:solidFill>
          </w14:textFill>
        </w:rPr>
        <w:t>U</w:t>
      </w:r>
      <w:r>
        <w:rPr>
          <w:rFonts w:ascii="Book Antiqua" w:hAnsi="Book Antiqua"/>
          <w:color w:val="000000" w:themeColor="text1"/>
          <w14:textFill>
            <w14:solidFill>
              <w14:schemeClr w14:val="tx1"/>
            </w14:solidFill>
          </w14:textFill>
        </w:rPr>
        <w:t xml:space="preserve"> test was used to compare groups of numerical variables. χ</w:t>
      </w:r>
      <w:r>
        <w:rPr>
          <w:rFonts w:ascii="Book Antiqua" w:hAnsi="Book Antiqua"/>
          <w:color w:val="000000" w:themeColor="text1"/>
          <w:vertAlign w:val="superscript"/>
          <w14:textFill>
            <w14:solidFill>
              <w14:schemeClr w14:val="tx1"/>
            </w14:solidFill>
          </w14:textFill>
        </w:rPr>
        <w:t>2</w:t>
      </w:r>
      <w:r>
        <w:rPr>
          <w:rFonts w:ascii="Book Antiqua" w:hAnsi="Book Antiqua"/>
          <w:color w:val="000000" w:themeColor="text1"/>
          <w14:textFill>
            <w14:solidFill>
              <w14:schemeClr w14:val="tx1"/>
            </w14:solidFill>
          </w14:textFill>
        </w:rPr>
        <w:t xml:space="preserve"> test was used for comparison of categorical variables.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57 celiac patients and their 112 siblings were included in the study. Of 112 siblings, 54 (48.20%) were female; 33 (57.89%) of the 57 celiac patients were female. The mean age of celiac patients and siblings were 10.30 ± 3.87 years and 9.90 ± 6.11 years, respectively (Table 1).</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HLA-DQ2/DQ8 alleles were detected in 98.2% of patients with CD and 90.2% of siblings of celiac patients (Table 2). A total of 57 celiac patients (57.9%) had HLA-DQ2, 29.8% had HLA-DQ2/DQ8, and 10.5% had HLA-DQ8. Both alleles were found to be negative in 1.8% of them. HLA-DQ genotypes were present in all siblings diagnosed with CD (Table 3). tTG IgA test was found to be positive in 16 siblings. CD was diagnosed in 12 siblings by intestinal biopsy (Table 3). The pathology result of 10 siblings was compatible with Marsh stage 3. The prevalence of CD was found to be 10.7% in siblings of celiac patients in our study, and this rate was 22.7 times higher than the general population. Gastroduodenoscopy could not be performed in 4 of 16 siblings because of parental refusal. Out of 100 cases not diagnosed with CD, 59 had HLA-DQ2 positivity, 16 had HLA-DQ2/DQ8 positivity, 14 had HLA-DQ8 positivity, and 11 were negative for HLA-DQ2 and HLA-DQ8.</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Seven of those twelve celiac patients had anemia, six of them had growth retardation, and four of them had no symptoms.</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HLA-DQ alleles were also positive in all 4 patients who refused to undergo gastroduodenoscopy.</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No IgA deficiency was detected in either group.</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Two siblings of three index cases were diagnosed with CD. The first sibling of the first index case was diagnosed 2 mo later, and the second sibling 1 year later (when looking at the second serology). The first sibling of the second index case was diagnosed with CD 4 years later (in the second serology examined with an interval of 2 years), and the second sibling was diagnosed with CD 4 mo after the first. The two siblings of the other index case were also diagnosed with CD within 3 mo.</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estimated prevalence of CD is 1% in the world, and this rate varies in different geographical regions</w:t>
      </w:r>
      <w:r>
        <w:rPr>
          <w:rFonts w:ascii="Book Antiqua" w:hAnsi="Book Antiqua" w:eastAsia="Book Antiqua" w:cs="Book Antiqua"/>
          <w:color w:val="000000" w:themeColor="text1"/>
          <w:vertAlign w:val="superscript"/>
          <w14:textFill>
            <w14:solidFill>
              <w14:schemeClr w14:val="tx1"/>
            </w14:solidFill>
          </w14:textFill>
        </w:rPr>
        <w:t>[2,16]</w:t>
      </w:r>
      <w:r>
        <w:rPr>
          <w:rFonts w:ascii="Book Antiqua" w:hAnsi="Book Antiqua" w:eastAsia="Book Antiqua" w:cs="Book Antiqua"/>
          <w:color w:val="000000" w:themeColor="text1"/>
          <w14:textFill>
            <w14:solidFill>
              <w14:schemeClr w14:val="tx1"/>
            </w14:solidFill>
          </w14:textFill>
        </w:rPr>
        <w:t>. The reason of that may be due to differences in genetic susceptibility and changes in dietary gluten intake.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With the identification of the major role of HLA-DQ2/DQ8 in genetically susceptible individuals, it has been reported that the negative detection of both HLA-DQ2 and HLA-DQ8 in first-degree relatives of celiac patients does not require further investigation for CD</w:t>
      </w:r>
      <w:r>
        <w:rPr>
          <w:rFonts w:ascii="Book Antiqua" w:hAnsi="Book Antiqua" w:eastAsia="Book Antiqua" w:cs="Book Antiqua"/>
          <w:color w:val="000000" w:themeColor="text1"/>
          <w:vertAlign w:val="superscript"/>
          <w14:textFill>
            <w14:solidFill>
              <w14:schemeClr w14:val="tx1"/>
            </w14:solidFill>
          </w14:textFill>
        </w:rPr>
        <w:t>[17,18]</w:t>
      </w:r>
      <w:r>
        <w:rPr>
          <w:rFonts w:ascii="Book Antiqua" w:hAnsi="Book Antiqua" w:eastAsia="Book Antiqua" w:cs="Book Antiqua"/>
          <w:color w:val="000000" w:themeColor="text1"/>
          <w14:textFill>
            <w14:solidFill>
              <w14:schemeClr w14:val="tx1"/>
            </w14:solidFill>
          </w14:textFill>
        </w:rPr>
        <w:t>. On the contrary, it has been reported that the risk of CD is higher in individuals with homozygous HLA-DQ2</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the European Society for Paediatric Gastroenterology, Hepatology and Nutrition 2012 guidelines, HLA genotyping is recommended as the initial screening test for CD especially in risk groups such as first-degree relatives of celiac patients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It has been shown that HLA-DQ analysis is helpful in predicting CD especially in first-degree relatives of celiac patients</w:t>
      </w:r>
      <w:r>
        <w:rPr>
          <w:rFonts w:ascii="Book Antiqua" w:hAnsi="Book Antiqua" w:eastAsia="Book Antiqua" w:cs="Book Antiqua"/>
          <w:color w:val="000000" w:themeColor="text1"/>
          <w:vertAlign w:val="superscript"/>
          <w14:textFill>
            <w14:solidFill>
              <w14:schemeClr w14:val="tx1"/>
            </w14:solidFill>
          </w14:textFill>
        </w:rPr>
        <w:t>[20-22]</w:t>
      </w:r>
      <w:r>
        <w:rPr>
          <w:rFonts w:ascii="Book Antiqua" w:hAnsi="Book Antiqua" w:eastAsia="Book Antiqua" w:cs="Book Antiqua"/>
          <w:color w:val="000000" w:themeColor="text1"/>
          <w14:textFill>
            <w14:solidFill>
              <w14:schemeClr w14:val="tx1"/>
            </w14:solidFill>
          </w14:textFill>
        </w:rPr>
        <w:t>. The absence of HLA-DQ2 and HLA-DQ8 most likely excludes CD, but celiac specific antibody tests are required to diagnose CD in the presence of those alleles</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While some authors have suggested that HLA analysis can be used in the diagnosis of CD, others have suggested that it is a good alternative for determining genetic predisposition</w:t>
      </w:r>
      <w:r>
        <w:rPr>
          <w:rFonts w:ascii="Book Antiqua" w:hAnsi="Book Antiqua" w:eastAsia="Book Antiqua" w:cs="Book Antiqua"/>
          <w:color w:val="000000" w:themeColor="text1"/>
          <w:vertAlign w:val="superscript"/>
          <w14:textFill>
            <w14:solidFill>
              <w14:schemeClr w14:val="tx1"/>
            </w14:solidFill>
          </w14:textFill>
        </w:rPr>
        <w:t>[23,24]</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bCs/>
          <w:color w:val="000000" w:themeColor="text1"/>
          <w14:textFill>
            <w14:solidFill>
              <w14:schemeClr w14:val="tx1"/>
            </w14:solidFill>
          </w14:textFill>
        </w:rPr>
        <w:t>The prevalence of CD in siblings of celiac patients is 5.9%-18.3%</w:t>
      </w:r>
      <w:r>
        <w:rPr>
          <w:rFonts w:ascii="Book Antiqua" w:hAnsi="Book Antiqua" w:eastAsia="Book Antiqua" w:cs="Book Antiqua"/>
          <w:color w:val="000000" w:themeColor="text1"/>
          <w:vertAlign w:val="superscript"/>
          <w14:textFill>
            <w14:solidFill>
              <w14:schemeClr w14:val="tx1"/>
            </w14:solidFill>
          </w14:textFill>
        </w:rPr>
        <w:t>[8,10,13,14,25]</w:t>
      </w:r>
      <w:r>
        <w:rPr>
          <w:rFonts w:ascii="Book Antiqua" w:hAnsi="Book Antiqua" w:eastAsia="Book Antiqua" w:cs="Book Antiqua"/>
          <w:color w:val="000000" w:themeColor="text1"/>
          <w14:textFill>
            <w14:solidFill>
              <w14:schemeClr w14:val="tx1"/>
            </w14:solidFill>
          </w14:textFill>
        </w:rPr>
        <w:t>. As c</w:t>
      </w:r>
      <w:r>
        <w:rPr>
          <w:rFonts w:ascii="Book Antiqua" w:hAnsi="Book Antiqua" w:eastAsia="Book Antiqua" w:cs="Book Antiqua"/>
          <w:bCs/>
          <w:color w:val="000000" w:themeColor="text1"/>
          <w14:textFill>
            <w14:solidFill>
              <w14:schemeClr w14:val="tx1"/>
            </w14:solidFill>
          </w14:textFill>
        </w:rPr>
        <w:t>onsistent with the literature, the prevalence of CD was found to be 10.7% in siblings of celiac patients in our study. Twelve siblings were diagnosed with CD by intestinal biopsy. Four siblings (25%) with positive tTG refused gastroduodenoscopy. In another study, the rate of those who did not accept biopsy (22.2%) was similar to our study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bCs/>
          <w:color w:val="000000" w:themeColor="text1"/>
          <w14:textFill>
            <w14:solidFill>
              <w14:schemeClr w14:val="tx1"/>
            </w14:solidFill>
          </w14:textFill>
        </w:rPr>
        <w:t>. The real prevalence of CD could not be estimated, as there were cases who refused the biopsy.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bCs/>
          <w:color w:val="000000" w:themeColor="text1"/>
          <w14:textFill>
            <w14:solidFill>
              <w14:schemeClr w14:val="tx1"/>
            </w14:solidFill>
          </w14:textFill>
        </w:rPr>
        <w:t>In a systematic review, it has been reported that the prevalence of CD in sisters of celiac patients is approximately two times higher than in brothers</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bCs/>
          <w:color w:val="000000" w:themeColor="text1"/>
          <w14:textFill>
            <w14:solidFill>
              <w14:schemeClr w14:val="tx1"/>
            </w14:solidFill>
          </w14:textFill>
        </w:rPr>
        <w:t>. Contrary to this, the prevalence of CD was equal in males and females in our study. The reason of that may be the study was cross-sectional, and 4 cases with positive serology did not accept endoscopy. For this reason, we may not have been able to fully determine the risk of CD. The other reason is that our study had a short follow-up period. Some seronegative individuals may be seropositive in the future and be diagnosed with CD.</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 multicenter study conducted in Europe, it was reported that 90% of celiac patients had the HLA-DQ2 genotype, and 5</w:t>
      </w:r>
      <w:r>
        <w:rPr>
          <w:rFonts w:ascii="Book Antiqua" w:hAnsi="Book Antiqua" w:eastAsia="Book Antiqua" w:cs="Book Antiqua"/>
          <w:bCs/>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to 10% of them had HLA-DQ8</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Those genotypes were found in 40</w:t>
      </w:r>
      <w:r>
        <w:rPr>
          <w:rFonts w:ascii="Book Antiqua" w:hAnsi="Book Antiqua" w:eastAsia="Book Antiqua" w:cs="Book Antiqua"/>
          <w:bCs/>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-65% of first-degree relatives of celiac patients and 18</w:t>
      </w:r>
      <w:r>
        <w:rPr>
          <w:rFonts w:ascii="Book Antiqua" w:hAnsi="Book Antiqua" w:eastAsia="Book Antiqua" w:cs="Book Antiqua"/>
          <w:bCs/>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-30% of the general population</w:t>
      </w:r>
      <w:r>
        <w:rPr>
          <w:rFonts w:ascii="Book Antiqua" w:hAnsi="Book Antiqua" w:eastAsia="Book Antiqua" w:cs="Book Antiqua"/>
          <w:color w:val="000000" w:themeColor="text1"/>
          <w:vertAlign w:val="superscript"/>
          <w14:textFill>
            <w14:solidFill>
              <w14:schemeClr w14:val="tx1"/>
            </w14:solidFill>
          </w14:textFill>
        </w:rPr>
        <w:t>[10,11,27]</w:t>
      </w:r>
      <w:r>
        <w:rPr>
          <w:rFonts w:ascii="Book Antiqua" w:hAnsi="Book Antiqua" w:eastAsia="Book Antiqua" w:cs="Book Antiqua"/>
          <w:color w:val="000000" w:themeColor="text1"/>
          <w14:textFill>
            <w14:solidFill>
              <w14:schemeClr w14:val="tx1"/>
            </w14:solidFill>
          </w14:textFill>
        </w:rPr>
        <w:t>. HLA-DQ8 positivity is higher in America, Asia, Chile, and Cuba compared to Europe</w:t>
      </w:r>
      <w:r>
        <w:rPr>
          <w:rFonts w:ascii="Book Antiqua" w:hAnsi="Book Antiqua" w:eastAsia="Book Antiqua" w:cs="Book Antiqua"/>
          <w:color w:val="000000" w:themeColor="text1"/>
          <w:vertAlign w:val="superscript"/>
          <w14:textFill>
            <w14:solidFill>
              <w14:schemeClr w14:val="tx1"/>
            </w14:solidFill>
          </w14:textFill>
        </w:rPr>
        <w:t>[28-31]</w:t>
      </w:r>
      <w:r>
        <w:rPr>
          <w:rFonts w:ascii="Book Antiqua" w:hAnsi="Book Antiqua" w:eastAsia="Book Antiqua" w:cs="Book Antiqua"/>
          <w:color w:val="000000" w:themeColor="text1"/>
          <w14:textFill>
            <w14:solidFill>
              <w14:schemeClr w14:val="tx1"/>
            </w14:solidFill>
          </w14:textFill>
        </w:rPr>
        <w:t>. In our study, 57.9% of celiac patients had HLA-DQ2, 29.8% had HLA-DQ2/DQ8, and 10.5% had HLA-DQ8. Both alleles were found to be negative in 1.8% of patients. HLA-DQ2/DQ8 ratios vary from region to region</w:t>
      </w:r>
      <w:r>
        <w:rPr>
          <w:rFonts w:ascii="Book Antiqua" w:hAnsi="Book Antiqua" w:eastAsia="Book Antiqua" w:cs="Book Antiqua"/>
          <w:color w:val="000000" w:themeColor="text1"/>
          <w:vertAlign w:val="superscript"/>
          <w14:textFill>
            <w14:solidFill>
              <w14:schemeClr w14:val="tx1"/>
            </w14:solidFill>
          </w14:textFill>
        </w:rPr>
        <w:t>[26,28-31]</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HLA analysis was performed on all siblings of celiac patients in the current study. HLA antigens were positive in 90.2% of siblings of celiac patients. As consistent with our study, HLA antigens were found to be positive in all siblings of celiac patients (100%) in another study conducted in our country</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our study, out of 100 cases not diagnosed with CD, 59 had HLA-DQ2 positivity, 16 had HLA-DQ2/DQ8 positivity, 14 had HLA-DQ8 positivity, and 11 were negative for both HLA-DQ2 and HLA-Dq8. In a study with the same number of cases, 49 of 100 cases whose siblings of celiac patients were not diagnosed with CD had HLA-DQ2 positivity, 6 had HLA-DQ8 positivity, 2 had HLA-DQ2/DQ8 positivity, and 43 were negative for both HLA-DQ2 and HLA-DQ8</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The reason may be due to the HLA-DQ2/DQ8 ratios varying from region to region</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cs="Book Antiqua"/>
          <w:color w:val="000000" w:themeColor="text1"/>
          <w:vertAlign w:val="superscript"/>
          <w:lang w:eastAsia="zh-CN"/>
          <w14:textFill>
            <w14:solidFill>
              <w14:schemeClr w14:val="tx1"/>
            </w14:solidFill>
          </w14:textFill>
        </w:rPr>
        <w:t>,28-31</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study by Bonamico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it was shown that the use of HLA genotyping as a first step can be used to exclude one-third of first-degree relatives, but it has been reported that patients negative for HLA-DQ2 and HLA-DQ8 can be overlooked. Also, it has been suggested that it may be more useful to evaluate the first-degree relatives of celiac patients together with tTG antibody test and HLA typing.</w:t>
      </w:r>
    </w:p>
    <w:p>
      <w:pPr>
        <w:spacing w:line="360" w:lineRule="auto"/>
        <w:ind w:firstLine="480" w:firstLineChars="2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HLA antigens were detected in 94.7%-100% of siblings of celiac patients diagnosed with CD</w:t>
      </w:r>
      <w:r>
        <w:rPr>
          <w:rFonts w:ascii="Book Antiqua" w:hAnsi="Book Antiqua" w:eastAsia="Book Antiqua" w:cs="Book Antiqua"/>
          <w:color w:val="000000" w:themeColor="text1"/>
          <w:vertAlign w:val="superscript"/>
          <w14:textFill>
            <w14:solidFill>
              <w14:schemeClr w14:val="tx1"/>
            </w14:solidFill>
          </w14:textFill>
        </w:rPr>
        <w:t>[10,14]</w:t>
      </w:r>
      <w:r>
        <w:rPr>
          <w:rFonts w:ascii="Book Antiqua" w:hAnsi="Book Antiqua" w:eastAsia="Book Antiqua" w:cs="Book Antiqua"/>
          <w:color w:val="000000" w:themeColor="text1"/>
          <w14:textFill>
            <w14:solidFill>
              <w14:schemeClr w14:val="tx1"/>
            </w14:solidFill>
          </w14:textFill>
        </w:rPr>
        <w:t>. In parallel with the literature, HLA antigens were detected in all 12 siblings of celiac patients diagnosed with CD in our study.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has been known that HLA-DQ alleles have a high prevalence among celiac patients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cs="Book Antiqua"/>
          <w:color w:val="000000" w:themeColor="text1"/>
          <w:vertAlign w:val="superscript"/>
          <w:lang w:eastAsia="zh-CN"/>
          <w14:textFill>
            <w14:solidFill>
              <w14:schemeClr w14:val="tx1"/>
            </w14:solidFill>
          </w14:textFill>
        </w:rPr>
        <w:t>,14,20,32,33</w:t>
      </w:r>
      <w:r>
        <w:rPr>
          <w:rFonts w:ascii="Book Antiqua" w:hAnsi="Book Antiqua" w:eastAsia="Book Antiqua" w:cs="Book Antiqua"/>
          <w:color w:val="000000" w:themeColor="text1"/>
          <w:vertAlign w:val="superscript"/>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Those alleles may determine susceptibility to CD in risk groups such as first-degree relatives of celiac patients</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It has been reported that the frequency of HLA-DQ2/DQ8 is high in risk groups such as first-degree relatives of celiac patients</w:t>
      </w:r>
      <w:r>
        <w:rPr>
          <w:rFonts w:ascii="Book Antiqua" w:hAnsi="Book Antiqua" w:eastAsia="Book Antiqua" w:cs="Book Antiqua"/>
          <w:color w:val="000000" w:themeColor="text1"/>
          <w:vertAlign w:val="superscript"/>
          <w14:textFill>
            <w14:solidFill>
              <w14:schemeClr w14:val="tx1"/>
            </w14:solidFill>
          </w14:textFill>
        </w:rPr>
        <w:t>[2,34]</w:t>
      </w:r>
      <w:r>
        <w:rPr>
          <w:rFonts w:ascii="Book Antiqua" w:hAnsi="Book Antiqua" w:eastAsia="Book Antiqua" w:cs="Book Antiqua"/>
          <w:color w:val="000000" w:themeColor="text1"/>
          <w14:textFill>
            <w14:solidFill>
              <w14:schemeClr w14:val="tx1"/>
            </w14:solidFill>
          </w14:textFill>
        </w:rPr>
        <w:t>. We found a high rate of positive HLA-DQ alleles in celiac patients and their siblings as compatible with the literature.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has been reported that 30.0%-78.9% of siblings of celiac patients diagnosed with CD are asymptomatic</w:t>
      </w:r>
      <w:r>
        <w:rPr>
          <w:rFonts w:ascii="Book Antiqua" w:hAnsi="Book Antiqua" w:eastAsia="Book Antiqua" w:cs="Book Antiqua"/>
          <w:color w:val="000000" w:themeColor="text1"/>
          <w:vertAlign w:val="superscript"/>
          <w14:textFill>
            <w14:solidFill>
              <w14:schemeClr w14:val="tx1"/>
            </w14:solidFill>
          </w14:textFill>
        </w:rPr>
        <w:t>[8,13,14,34]</w:t>
      </w:r>
      <w:r>
        <w:rPr>
          <w:rFonts w:ascii="Book Antiqua" w:hAnsi="Book Antiqua" w:eastAsia="Book Antiqua" w:cs="Book Antiqua"/>
          <w:color w:val="000000" w:themeColor="text1"/>
          <w14:textFill>
            <w14:solidFill>
              <w14:schemeClr w14:val="tx1"/>
            </w14:solidFill>
          </w14:textFill>
        </w:rPr>
        <w:t>. As consistent with the literature, one-third of our patients were found to be asymptomatic. Since patients diagnosed with silent CD have a high prevalence, asymptomatic siblings of celiac patients should be screened for CD.</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has been suggested that HLA genotyping can be used to exclude 25%-33% of first-degree relatives from serological follow-up</w:t>
      </w:r>
      <w:r>
        <w:rPr>
          <w:rFonts w:ascii="Book Antiqua" w:hAnsi="Book Antiqua" w:eastAsia="Book Antiqua" w:cs="Book Antiqua"/>
          <w:color w:val="000000" w:themeColor="text1"/>
          <w:vertAlign w:val="superscript"/>
          <w14:textFill>
            <w14:solidFill>
              <w14:schemeClr w14:val="tx1"/>
            </w14:solidFill>
          </w14:textFill>
        </w:rPr>
        <w:t>[10,23,35-37]</w:t>
      </w:r>
      <w:r>
        <w:rPr>
          <w:rFonts w:ascii="Book Antiqua" w:hAnsi="Book Antiqua" w:eastAsia="Book Antiqua" w:cs="Book Antiqua"/>
          <w:color w:val="000000" w:themeColor="text1"/>
          <w14:textFill>
            <w14:solidFill>
              <w14:schemeClr w14:val="tx1"/>
            </w14:solidFill>
          </w14:textFill>
        </w:rPr>
        <w:t>. The absence of HLA-DQ alleles has a high negative predictive value for CD; positive results indicate only a genetic predisposition</w:t>
      </w:r>
      <w:r>
        <w:rPr>
          <w:rFonts w:ascii="Book Antiqua" w:hAnsi="Book Antiqua" w:eastAsia="Book Antiqua" w:cs="Book Antiqua"/>
          <w:color w:val="000000" w:themeColor="text1"/>
          <w:vertAlign w:val="superscript"/>
          <w14:textFill>
            <w14:solidFill>
              <w14:schemeClr w14:val="tx1"/>
            </w14:solidFill>
          </w14:textFill>
        </w:rPr>
        <w:t>[38]</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CD can occur at any age. A negative serological test once does not mean that there will be no CD in the future. Many studies have been conducted on serologically negative celiac patients</w:t>
      </w:r>
      <w:r>
        <w:rPr>
          <w:rFonts w:ascii="Book Antiqua" w:hAnsi="Book Antiqua" w:eastAsia="Book Antiqua" w:cs="Book Antiqua"/>
          <w:color w:val="000000" w:themeColor="text1"/>
          <w:vertAlign w:val="superscript"/>
          <w14:textFill>
            <w14:solidFill>
              <w14:schemeClr w14:val="tx1"/>
            </w14:solidFill>
          </w14:textFill>
        </w:rPr>
        <w:t>[39-42]</w:t>
      </w:r>
      <w:r>
        <w:rPr>
          <w:rFonts w:ascii="Book Antiqua" w:hAnsi="Book Antiqua" w:eastAsia="Book Antiqua" w:cs="Book Antiqua"/>
          <w:color w:val="000000" w:themeColor="text1"/>
          <w14:textFill>
            <w14:solidFill>
              <w14:schemeClr w14:val="tx1"/>
            </w14:solidFill>
          </w14:textFill>
        </w:rPr>
        <w:t xml:space="preserve">. In the study by Pittschieler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serological positivity was detected in 3 cases with HLA-DQ2 positivity after more than 10 years of follow-up, and then CD was diagnosed. In parallel with that study, CD was diagnosed in 1 of 2 cases with HLA-DQ2 positive 1 year later and the other 4 years later in our study. CD may be seen in any period of life. Since the follow-up period was short in our study, we think that other cases with positive HLA antigens may be diagnosed with CD in the future. Therefore, we recommend that cases in a high-risk group should be followed clinically and serologically.</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 Western cohort, only 0.5% of celiac patients were found to have HLA-DQ negativity</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In a recent study, it has been reported that HLA-DQ typing is insufficient to identify individuals susceptible to CD and could not be used to diagnose CD</w:t>
      </w:r>
      <w:r>
        <w:rPr>
          <w:rFonts w:ascii="Book Antiqua" w:hAnsi="Book Antiqua" w:eastAsia="Book Antiqua" w:cs="Book Antiqua"/>
          <w:color w:val="000000" w:themeColor="text1"/>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In another study conducted in Iran, HLA-DQ negativity was found to be 3.9%</w:t>
      </w:r>
      <w:r>
        <w:rPr>
          <w:rFonts w:ascii="Book Antiqua" w:hAnsi="Book Antiqua" w:eastAsia="Book Antiqua" w:cs="Book Antiqua"/>
          <w:color w:val="000000" w:themeColor="text1"/>
          <w:vertAlign w:val="superscript"/>
          <w14:textFill>
            <w14:solidFill>
              <w14:schemeClr w14:val="tx1"/>
            </w14:solidFill>
          </w14:textFill>
        </w:rPr>
        <w:t>[44]</w:t>
      </w:r>
      <w:r>
        <w:rPr>
          <w:rFonts w:ascii="Book Antiqua" w:hAnsi="Book Antiqua" w:eastAsia="Book Antiqua" w:cs="Book Antiqua"/>
          <w:color w:val="000000" w:themeColor="text1"/>
          <w14:textFill>
            <w14:solidFill>
              <w14:schemeClr w14:val="tx1"/>
            </w14:solidFill>
          </w14:textFill>
        </w:rPr>
        <w:t>. HLA-DQ2 and HLA-DQ8 were found to be negative in 5% of cases in another study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In parallel with those studies, HLA-DQ antigens were found to be negative in 1.8% of celiac patients in our study. In those studies, it has been reported that the risk of developing CD is very low in cases with negative HLA-DQ. It has been suggested that cases negative for HLA-DQ2/DQ8 negative should be followed clinically and serologically every 2 years or 3 years</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For this reason, it has been suggested that HLA analysis would be more appropriate in cases where it is difficult to diagnose.</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 study conducted in healthy school children in our country, the prevalence of CD was found to be 0.47%</w:t>
      </w:r>
      <w:r>
        <w:rPr>
          <w:rFonts w:ascii="Book Antiqua" w:hAnsi="Book Antiqua" w:eastAsia="Book Antiqua" w:cs="Book Antiqua"/>
          <w:color w:val="000000" w:themeColor="text1"/>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In the current study, the prevalence of CD in siblings of celiac patients was found to be 10.7%. That is, we found that the prevalence was 22.7 times higher than in the general population.</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bCs/>
          <w:color w:val="000000" w:themeColor="text1"/>
          <w14:textFill>
            <w14:solidFill>
              <w14:schemeClr w14:val="tx1"/>
            </w14:solidFill>
          </w14:textFill>
        </w:rPr>
        <w:t>One of the limitations of the study was that 15</w:t>
      </w:r>
      <w:r>
        <w:rPr>
          <w:rFonts w:ascii="Book Antiqua" w:hAnsi="Book Antiqua" w:eastAsia="Book Antiqua" w:cs="Book Antiqua"/>
          <w:color w:val="000000" w:themeColor="text1"/>
          <w14:textFill>
            <w14:solidFill>
              <w14:schemeClr w14:val="tx1"/>
            </w14:solidFill>
          </w14:textFill>
        </w:rPr>
        <w:t xml:space="preserve"> celiac patients and their 28 siblings refused to participate in the study. If they did, the results would have been different, and the power of study would have been better. Another limitation was the short follow-up period. CD may develop over time in our serologically negative cases. For these reasons, we think that we were unable to estimate the real prevalence of CD.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conclusion, the prevalence of CD was found to be 10.7% in siblings of celiac patients in our study, and this rate was 22.7 times higher than the general population. One-third of the siblings diagnosed with CD were asymptomatic. We detected HLA-DQ alleles in 98.2% of celiac patients and 100% in siblings diagnosed with CD. Thus, CD has been shown to be associated with HLA-DQ2 and HLA-DQ8 genotypes. In addition, 1 of the 2 siblings was diagnosed with CD 1 year later and the other 4 years later. Therefore, we suggest that siblings of celiac patients should be followed up with clinical findings as well as HLA analysis and serological examination. Since the risk of developing CD is much higher in asymptomatic siblings, we recommend that siblings should be screened for CD even if they are asymptomatic.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Celiac disease (CD) is a systemic autoimmune disease triggered by gluten intake in genetically susceptible individuals. It is a multifactorial disease, but genetic factors play a major role in its etiology. It has been known that human leucocyte antigen (HLA)-DQ2/DQ8 genotypes are one of the most important predisposing genetic factors. The risk of developing CD in siblings of celiac patients is quite high because of having the same HLA genotypes and environmental triggers such as gut microbiome.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Although there are many studies on the frequency of CD in first-degree relatives of celiac patients, the number of studies investigating the frequency of CD and the distribution of HLA-DQ2/DQ8 in siblings of celiac patients is rare. Because of that, we aimed to evaluate the frequency of CD and the distribution of HLA-DQ2/DQ8 haplotypes in siblings of celiac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investigate the frequency of CD and the distribution of HLA-DQ2/DQ8 haplotypes in siblings of celiac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current study was carried out between February 2017 and June 2020. Biopsy-proven celiac patients and their siblings were included in the study. CD was diagnosed according to the European Society for Paediatric Gastroenterology, Hepatology and Nutrition 2012 guidelines. In total, 57 celiac patients and their 112 siblings were included in the study. All siblings were on a gluten-containing diet. The HLA genotyping, tissue transglutaminase antibody IgA antibody test, and total IgA test were performed in all participants. Gastroduodenoscopy was performed in all patients with tissue transglutaminase antibody positivity. Four biopsies from the duodenum and at least one biopsy from the bulb were obtained. All intestinal biopsy specimens were evaluated according to the modified Marsh-Oberhuber classification.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HLA-DQ2/DQ8 alleles were detected in 98.2% of patients with CD and 90.2% of siblings of celiac patients. Tissue transglutaminase antibody IgA test was found to be positive in 16 siblings. CD was diagnosed in 12 siblings by intestinal biopsy. Seven of those twelve celiac patients had anemia, six of them had growth retardation, and four of them had no symptoms.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prevalence of CD was found to be 10.7% in siblings of celiac patients in our study, and this rate was 22.7 times higher than the general population. One-third of the siblings diagnosed with CD was asymptomatic. We detected HLA-DQ alleles in 98.2% of celiac patients and 100% in siblings diagnosed with CD. Thus, CD has been shown to be associated with HLA-DQ2 and HLA-DQ8 genotypes. In addition, 1 of the 2 siblings was diagnosed with CD 1 year later and the other 4 years later.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According to the current study, we suggest that the siblings of celiac patients should be followed up with clinical findings as well as HLA analysis and serological examination. Since the risk of developing CD is much higher in asymptomatic siblings, we recommend that siblings should be screened for CD even if they are asymptomatic.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would like to thank the pathologists, pediatricians and Derya Aydin Sahin for their help in the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Sahin Y</w:t>
      </w:r>
      <w:r>
        <w:rPr>
          <w:rFonts w:ascii="Book Antiqua" w:hAnsi="Book Antiqua"/>
        </w:rPr>
        <w:t xml:space="preserve">. Celiac disease in children: A review of the literature. </w:t>
      </w:r>
      <w:r>
        <w:rPr>
          <w:rFonts w:ascii="Book Antiqua" w:hAnsi="Book Antiqua"/>
          <w:i/>
          <w:iCs/>
        </w:rPr>
        <w:t>World J Clin Pediatr</w:t>
      </w:r>
      <w:r>
        <w:rPr>
          <w:rFonts w:ascii="Book Antiqua" w:hAnsi="Book Antiqua"/>
        </w:rPr>
        <w:t xml:space="preserve"> 2021; </w:t>
      </w:r>
      <w:r>
        <w:rPr>
          <w:rFonts w:ascii="Book Antiqua" w:hAnsi="Book Antiqua"/>
          <w:b/>
          <w:bCs/>
        </w:rPr>
        <w:t>10</w:t>
      </w:r>
      <w:r>
        <w:rPr>
          <w:rFonts w:ascii="Book Antiqua" w:hAnsi="Book Antiqua"/>
        </w:rPr>
        <w:t>: 53-71 [PMID: 34316439 DOI: 10.5409/wjcp.v10.i4.53]</w:t>
      </w:r>
    </w:p>
    <w:p>
      <w:pPr>
        <w:spacing w:line="360" w:lineRule="auto"/>
        <w:jc w:val="both"/>
        <w:rPr>
          <w:rFonts w:ascii="Book Antiqua" w:hAnsi="Book Antiqua"/>
        </w:rPr>
      </w:pPr>
      <w:r>
        <w:rPr>
          <w:rFonts w:ascii="Book Antiqua" w:hAnsi="Book Antiqua"/>
        </w:rPr>
        <w:t xml:space="preserve">2 </w:t>
      </w:r>
      <w:r>
        <w:rPr>
          <w:rFonts w:ascii="Book Antiqua" w:hAnsi="Book Antiqua"/>
          <w:b/>
          <w:bCs/>
        </w:rPr>
        <w:t>Husby S</w:t>
      </w:r>
      <w:r>
        <w:rPr>
          <w:rFonts w:ascii="Book Antiqua" w:hAnsi="Book Antiqua"/>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Pr>
          <w:rFonts w:ascii="Book Antiqua" w:hAnsi="Book Antiqua"/>
          <w:i/>
          <w:iCs/>
        </w:rPr>
        <w:t>J Pediatr Gastroenterol Nutr</w:t>
      </w:r>
      <w:r>
        <w:rPr>
          <w:rFonts w:ascii="Book Antiqua" w:hAnsi="Book Antiqua"/>
        </w:rPr>
        <w:t xml:space="preserve"> 2012; </w:t>
      </w:r>
      <w:r>
        <w:rPr>
          <w:rFonts w:ascii="Book Antiqua" w:hAnsi="Book Antiqua"/>
          <w:b/>
          <w:bCs/>
        </w:rPr>
        <w:t>54</w:t>
      </w:r>
      <w:r>
        <w:rPr>
          <w:rFonts w:ascii="Book Antiqua" w:hAnsi="Book Antiqua"/>
        </w:rPr>
        <w:t>: 136-160 [PMID: 22197856 DOI: 10.1097/MPG.0b013e31821a23d0]</w:t>
      </w:r>
    </w:p>
    <w:p>
      <w:pPr>
        <w:spacing w:line="360" w:lineRule="auto"/>
        <w:jc w:val="both"/>
        <w:rPr>
          <w:rFonts w:ascii="Book Antiqua" w:hAnsi="Book Antiqua"/>
        </w:rPr>
      </w:pPr>
      <w:r>
        <w:rPr>
          <w:rFonts w:ascii="Book Antiqua" w:hAnsi="Book Antiqua"/>
        </w:rPr>
        <w:t xml:space="preserve">3 </w:t>
      </w:r>
      <w:r>
        <w:rPr>
          <w:rFonts w:ascii="Book Antiqua" w:hAnsi="Book Antiqua"/>
          <w:b/>
          <w:bCs/>
        </w:rPr>
        <w:t>Ludvigsson JF</w:t>
      </w:r>
      <w:r>
        <w:rPr>
          <w:rFonts w:ascii="Book Antiqua" w:hAnsi="Book Antiqua"/>
        </w:rPr>
        <w:t xml:space="preserve">, Leffler DA, Bai JC, Biagi F, Fasano A, Green PH, Hadjivassiliou M, Kaukinen K, Kelly CP, Leonard JN, Lundin KE, Murray JA, Sanders DS, Walker MM, Zingone F, Ciacci C. The Oslo definitions for coeliac disease and related terms.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43-52 [PMID: 22345659 DOI: 10.1136/gutjnl-2011-301346]</w:t>
      </w:r>
    </w:p>
    <w:p>
      <w:pPr>
        <w:spacing w:line="360" w:lineRule="auto"/>
        <w:jc w:val="both"/>
        <w:rPr>
          <w:rFonts w:ascii="Book Antiqua" w:hAnsi="Book Antiqua"/>
        </w:rPr>
      </w:pPr>
      <w:r>
        <w:rPr>
          <w:rFonts w:ascii="Book Antiqua" w:hAnsi="Book Antiqua"/>
        </w:rPr>
        <w:t xml:space="preserve">4 </w:t>
      </w:r>
      <w:r>
        <w:rPr>
          <w:rFonts w:ascii="Book Antiqua" w:hAnsi="Book Antiqua"/>
          <w:b/>
          <w:bCs/>
        </w:rPr>
        <w:t>Rubio-Tapia A</w:t>
      </w:r>
      <w:r>
        <w:rPr>
          <w:rFonts w:ascii="Book Antiqua" w:hAnsi="Book Antiqua"/>
        </w:rPr>
        <w:t xml:space="preserve">, Hill ID, Kelly CP, Calderwood AH, Murray JA; American College of Gastroenterology. ACG clinical guidelines: diagnosis and management of celiac disease.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656-76; quiz 677 [PMID: 23609613 DOI: 10.1038/ajg.2013.79]</w:t>
      </w:r>
    </w:p>
    <w:p>
      <w:pPr>
        <w:spacing w:line="360" w:lineRule="auto"/>
        <w:jc w:val="both"/>
        <w:rPr>
          <w:rFonts w:ascii="Book Antiqua" w:hAnsi="Book Antiqua"/>
        </w:rPr>
      </w:pPr>
      <w:r>
        <w:rPr>
          <w:rFonts w:ascii="Book Antiqua" w:hAnsi="Book Antiqua"/>
        </w:rPr>
        <w:t xml:space="preserve">5 </w:t>
      </w:r>
      <w:r>
        <w:rPr>
          <w:rFonts w:ascii="Book Antiqua" w:hAnsi="Book Antiqua"/>
          <w:b/>
          <w:bCs/>
        </w:rPr>
        <w:t>Khosravi A</w:t>
      </w:r>
      <w:r>
        <w:rPr>
          <w:rFonts w:ascii="Book Antiqua" w:hAnsi="Book Antiqua"/>
        </w:rPr>
        <w:t xml:space="preserve">, Mansouri M, Rostami-Nejad M, Shahbazkhani B, Ekhlasi G, Kalantari E. The likelihood ratio and frequency of DQ2/DQ8 haplotypes in Iranian patients with celiac disease. </w:t>
      </w:r>
      <w:r>
        <w:rPr>
          <w:rFonts w:ascii="Book Antiqua" w:hAnsi="Book Antiqua"/>
          <w:i/>
          <w:iCs/>
        </w:rPr>
        <w:t>Gastroenterol Hepatol Bed Bench</w:t>
      </w:r>
      <w:r>
        <w:rPr>
          <w:rFonts w:ascii="Book Antiqua" w:hAnsi="Book Antiqua"/>
        </w:rPr>
        <w:t xml:space="preserve"> 2016; </w:t>
      </w:r>
      <w:r>
        <w:rPr>
          <w:rFonts w:ascii="Book Antiqua" w:hAnsi="Book Antiqua"/>
          <w:b/>
          <w:bCs/>
        </w:rPr>
        <w:t>9</w:t>
      </w:r>
      <w:r>
        <w:rPr>
          <w:rFonts w:ascii="Book Antiqua" w:hAnsi="Book Antiqua"/>
        </w:rPr>
        <w:t>: 18-24 [PMID: 26744610]</w:t>
      </w:r>
    </w:p>
    <w:p>
      <w:pPr>
        <w:spacing w:line="360" w:lineRule="auto"/>
        <w:jc w:val="both"/>
        <w:rPr>
          <w:rFonts w:ascii="Book Antiqua" w:hAnsi="Book Antiqua"/>
        </w:rPr>
      </w:pPr>
      <w:r>
        <w:rPr>
          <w:rFonts w:ascii="Book Antiqua" w:hAnsi="Book Antiqua"/>
        </w:rPr>
        <w:t xml:space="preserve">6 </w:t>
      </w:r>
      <w:r>
        <w:rPr>
          <w:rFonts w:ascii="Book Antiqua" w:hAnsi="Book Antiqua"/>
          <w:b/>
          <w:bCs/>
        </w:rPr>
        <w:t>Freeman HJ</w:t>
      </w:r>
      <w:r>
        <w:rPr>
          <w:rFonts w:ascii="Book Antiqua" w:hAnsi="Book Antiqua"/>
        </w:rPr>
        <w:t xml:space="preserve">. Risk factors in familial forms of celiac disease.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1828-1831 [PMID: 20397258 DOI: 10.3748/wjg.v16.i15.1828]</w:t>
      </w:r>
    </w:p>
    <w:p>
      <w:pPr>
        <w:spacing w:line="360" w:lineRule="auto"/>
        <w:jc w:val="both"/>
        <w:rPr>
          <w:rFonts w:ascii="Book Antiqua" w:hAnsi="Book Antiqua"/>
        </w:rPr>
      </w:pPr>
      <w:r>
        <w:rPr>
          <w:rFonts w:ascii="Book Antiqua" w:hAnsi="Book Antiqua"/>
        </w:rPr>
        <w:t xml:space="preserve">7 </w:t>
      </w:r>
      <w:r>
        <w:rPr>
          <w:rFonts w:ascii="Book Antiqua" w:hAnsi="Book Antiqua"/>
          <w:b/>
          <w:bCs/>
        </w:rPr>
        <w:t>Olivares M</w:t>
      </w:r>
      <w:r>
        <w:rPr>
          <w:rFonts w:ascii="Book Antiqua" w:hAnsi="Book Antiqua"/>
        </w:rPr>
        <w:t xml:space="preserve">, Neef A, Castillejo G, Palma GD, Varea V, Capilla A, Palau F, Nova E, Marcos A, Polanco I, Ribes-Koninckx C, Ortigosa L, Izquierdo L, Sanz Y. The HLA-DQ2 genotype selects for early intestinal microbiota composition in infants at high risk of developing coeliac disease.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406-417 [PMID: 24939571 DOI: 10.1136/gutjnl-2014-306931]</w:t>
      </w:r>
    </w:p>
    <w:p>
      <w:pPr>
        <w:spacing w:line="360" w:lineRule="auto"/>
        <w:jc w:val="both"/>
        <w:rPr>
          <w:rFonts w:ascii="Book Antiqua" w:hAnsi="Book Antiqua"/>
        </w:rPr>
      </w:pPr>
      <w:r>
        <w:rPr>
          <w:rFonts w:ascii="Book Antiqua" w:hAnsi="Book Antiqua"/>
        </w:rPr>
        <w:t xml:space="preserve">8 </w:t>
      </w:r>
      <w:r>
        <w:rPr>
          <w:rFonts w:ascii="Book Antiqua" w:hAnsi="Book Antiqua"/>
          <w:b/>
        </w:rPr>
        <w:t>Sahin Y.</w:t>
      </w:r>
      <w:r>
        <w:rPr>
          <w:rFonts w:ascii="Book Antiqua" w:hAnsi="Book Antiqua"/>
        </w:rPr>
        <w:t xml:space="preserve"> The Frequency of Celiac Disease in Siblings of Celiac Patients. </w:t>
      </w:r>
      <w:r>
        <w:rPr>
          <w:rFonts w:ascii="Book Antiqua" w:hAnsi="Book Antiqua"/>
          <w:i/>
        </w:rPr>
        <w:t>EC Paediatrics</w:t>
      </w:r>
      <w:r>
        <w:rPr>
          <w:rFonts w:ascii="Book Antiqua" w:hAnsi="Book Antiqua"/>
        </w:rPr>
        <w:t xml:space="preserve"> 2019; </w:t>
      </w:r>
      <w:r>
        <w:rPr>
          <w:rFonts w:ascii="Book Antiqua" w:hAnsi="Book Antiqua"/>
          <w:b/>
        </w:rPr>
        <w:t>8:</w:t>
      </w:r>
      <w:r>
        <w:rPr>
          <w:rFonts w:ascii="Book Antiqua" w:hAnsi="Book Antiqua"/>
        </w:rPr>
        <w:t xml:space="preserve"> 154-157</w:t>
      </w:r>
    </w:p>
    <w:p>
      <w:pPr>
        <w:spacing w:line="360" w:lineRule="auto"/>
        <w:jc w:val="both"/>
        <w:rPr>
          <w:rFonts w:ascii="Book Antiqua" w:hAnsi="Book Antiqua"/>
        </w:rPr>
      </w:pPr>
      <w:r>
        <w:rPr>
          <w:rFonts w:ascii="Book Antiqua" w:hAnsi="Book Antiqua"/>
        </w:rPr>
        <w:t xml:space="preserve">9 </w:t>
      </w:r>
      <w:r>
        <w:rPr>
          <w:rFonts w:ascii="Book Antiqua" w:hAnsi="Book Antiqua"/>
          <w:b/>
          <w:bCs/>
        </w:rPr>
        <w:t>Rubio-Tapia A</w:t>
      </w:r>
      <w:r>
        <w:rPr>
          <w:rFonts w:ascii="Book Antiqua" w:hAnsi="Book Antiqua"/>
        </w:rPr>
        <w:t xml:space="preserve">, Van Dyke CT, Lahr BD, Zinsmeister AR, El-Youssef M, Moore SB, Bowman M, Burgart LJ, Melton LJ 3rd, Murray JA. Predictors of family risk for celiac disease: a population-based study. </w:t>
      </w:r>
      <w:r>
        <w:rPr>
          <w:rFonts w:ascii="Book Antiqua" w:hAnsi="Book Antiqua"/>
          <w:i/>
          <w:iCs/>
        </w:rPr>
        <w:t>Clin Gastroenterol Hepatol</w:t>
      </w:r>
      <w:r>
        <w:rPr>
          <w:rFonts w:ascii="Book Antiqua" w:hAnsi="Book Antiqua"/>
        </w:rPr>
        <w:t xml:space="preserve"> 2008; </w:t>
      </w:r>
      <w:r>
        <w:rPr>
          <w:rFonts w:ascii="Book Antiqua" w:hAnsi="Book Antiqua"/>
          <w:b/>
          <w:bCs/>
        </w:rPr>
        <w:t>6</w:t>
      </w:r>
      <w:r>
        <w:rPr>
          <w:rFonts w:ascii="Book Antiqua" w:hAnsi="Book Antiqua"/>
        </w:rPr>
        <w:t>: 983-987 [PMID: 18585974 DOI: 10.1016/j.cgh.2008.04.008]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Bonamico M</w:t>
      </w:r>
      <w:r>
        <w:rPr>
          <w:rFonts w:ascii="Book Antiqua" w:hAnsi="Book Antiqua"/>
        </w:rPr>
        <w:t xml:space="preserve">, Ferri M, Mariani P, Nenna R, Thanasi E, Luparia RP, Picarelli A, Magliocca FM, Mora B, Bardella MT, Verrienti A, Fiore B, Uccini S, Megiorni F, Mazzilli MC, Tiberti C. Serologic and genetic markers of celiac disease: a sequential study in the screening of first degree relatives. </w:t>
      </w:r>
      <w:r>
        <w:rPr>
          <w:rFonts w:ascii="Book Antiqua" w:hAnsi="Book Antiqua"/>
          <w:i/>
          <w:iCs/>
        </w:rPr>
        <w:t>J Pediatr Gastroenterol Nutr</w:t>
      </w:r>
      <w:r>
        <w:rPr>
          <w:rFonts w:ascii="Book Antiqua" w:hAnsi="Book Antiqua"/>
        </w:rPr>
        <w:t xml:space="preserve"> 2006; </w:t>
      </w:r>
      <w:r>
        <w:rPr>
          <w:rFonts w:ascii="Book Antiqua" w:hAnsi="Book Antiqua"/>
          <w:b/>
          <w:bCs/>
        </w:rPr>
        <w:t>42</w:t>
      </w:r>
      <w:r>
        <w:rPr>
          <w:rFonts w:ascii="Book Antiqua" w:hAnsi="Book Antiqua"/>
        </w:rPr>
        <w:t>: 150-154 [PMID: 16456406 DOI: 10.1097/01.mpg.0000189337.08139.83]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Takeyoshi I</w:t>
      </w:r>
      <w:r>
        <w:rPr>
          <w:rFonts w:ascii="Book Antiqua" w:hAnsi="Book Antiqua"/>
        </w:rPr>
        <w:t xml:space="preserve">, Iwanami K, Ohwada S, Kawashima Y, Kawata K, Aiba M, Kobayashi J, Koyama T, Matsumoto K, Satoh S, Morishita Y. Effect of FR167653 on small bowel ischemia-reperfusion injury in dogs. </w:t>
      </w:r>
      <w:r>
        <w:rPr>
          <w:rFonts w:ascii="Book Antiqua" w:hAnsi="Book Antiqua"/>
          <w:i/>
          <w:iCs/>
        </w:rPr>
        <w:t>Dig Dis Sci</w:t>
      </w:r>
      <w:r>
        <w:rPr>
          <w:rFonts w:ascii="Book Antiqua" w:hAnsi="Book Antiqua"/>
        </w:rPr>
        <w:t xml:space="preserve"> 1999; </w:t>
      </w:r>
      <w:r>
        <w:rPr>
          <w:rFonts w:ascii="Book Antiqua" w:hAnsi="Book Antiqua"/>
          <w:b/>
          <w:bCs/>
        </w:rPr>
        <w:t>44</w:t>
      </w:r>
      <w:r>
        <w:rPr>
          <w:rFonts w:ascii="Book Antiqua" w:hAnsi="Book Antiqua"/>
        </w:rPr>
        <w:t>: 2334-2343 [PMID: 10573384 DOI: 10.1023/a:1026685527228]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Majsiak E</w:t>
      </w:r>
      <w:r>
        <w:rPr>
          <w:rFonts w:ascii="Book Antiqua" w:hAnsi="Book Antiqua"/>
        </w:rPr>
        <w:t xml:space="preserve">, Cichoż-Lach H, Gubska O, Cukrowska B. [Celiac disease - disease of children and adults: symptoms, disease complications, risk groups and comorbidities]. </w:t>
      </w:r>
      <w:r>
        <w:rPr>
          <w:rFonts w:ascii="Book Antiqua" w:hAnsi="Book Antiqua"/>
          <w:i/>
          <w:iCs/>
        </w:rPr>
        <w:t>Pol Merkur Lekarski</w:t>
      </w:r>
      <w:r>
        <w:rPr>
          <w:rFonts w:ascii="Book Antiqua" w:hAnsi="Book Antiqua"/>
        </w:rPr>
        <w:t xml:space="preserve"> 2018; </w:t>
      </w:r>
      <w:r>
        <w:rPr>
          <w:rFonts w:ascii="Book Antiqua" w:hAnsi="Book Antiqua"/>
          <w:b/>
          <w:bCs/>
        </w:rPr>
        <w:t>44</w:t>
      </w:r>
      <w:r>
        <w:rPr>
          <w:rFonts w:ascii="Book Antiqua" w:hAnsi="Book Antiqua"/>
        </w:rPr>
        <w:t>: 31-35 [PMID: 29374421]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Chomeili B</w:t>
      </w:r>
      <w:r>
        <w:rPr>
          <w:rFonts w:ascii="Book Antiqua" w:hAnsi="Book Antiqua"/>
        </w:rPr>
        <w:t xml:space="preserve">, Aminzadeh M, Hardani AK, Fathizadeh P, Chomeili P, Azaran A. Prevalence of celiac disease in siblings of Iranian patients with celiac disease. </w:t>
      </w:r>
      <w:r>
        <w:rPr>
          <w:rFonts w:ascii="Book Antiqua" w:hAnsi="Book Antiqua"/>
          <w:i/>
          <w:iCs/>
        </w:rPr>
        <w:t>Arq Gastroenterol</w:t>
      </w:r>
      <w:r>
        <w:rPr>
          <w:rFonts w:ascii="Book Antiqua" w:hAnsi="Book Antiqua"/>
        </w:rPr>
        <w:t xml:space="preserve"> 2011; </w:t>
      </w:r>
      <w:r>
        <w:rPr>
          <w:rFonts w:ascii="Book Antiqua" w:hAnsi="Book Antiqua"/>
          <w:b/>
          <w:bCs/>
        </w:rPr>
        <w:t>48</w:t>
      </w:r>
      <w:r>
        <w:rPr>
          <w:rFonts w:ascii="Book Antiqua" w:hAnsi="Book Antiqua"/>
        </w:rPr>
        <w:t>: 131-135 [PMID: 21709955 DOI: 10.1590/s0004-28032011000200009]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Appak YÇ,</w:t>
      </w:r>
      <w:r>
        <w:rPr>
          <w:rFonts w:ascii="Book Antiqua" w:hAnsi="Book Antiqua"/>
        </w:rPr>
        <w:t xml:space="preserve"> Karakoyun M, Güneş S, Üzüm Ö, Baran M. Evaluation of siblings togetherness and tissue types in celiac disease. </w:t>
      </w:r>
      <w:r>
        <w:rPr>
          <w:rFonts w:ascii="Book Antiqua" w:hAnsi="Book Antiqua"/>
          <w:i/>
        </w:rPr>
        <w:t xml:space="preserve">Izmir Dr. Behçet Uz Cocuk Hast Dergisi </w:t>
      </w:r>
      <w:r>
        <w:rPr>
          <w:rFonts w:ascii="Book Antiqua" w:hAnsi="Book Antiqua"/>
        </w:rPr>
        <w:t xml:space="preserve">2018; </w:t>
      </w:r>
      <w:r>
        <w:rPr>
          <w:rFonts w:ascii="Book Antiqua" w:hAnsi="Book Antiqua"/>
          <w:b/>
        </w:rPr>
        <w:t>8:</w:t>
      </w:r>
      <w:r>
        <w:rPr>
          <w:rFonts w:ascii="Book Antiqua" w:hAnsi="Book Antiqua"/>
        </w:rPr>
        <w:t xml:space="preserve"> 127-131 [DOI: 10.5222/buchd.2018.127]</w:t>
      </w:r>
    </w:p>
    <w:p>
      <w:pPr>
        <w:spacing w:line="360" w:lineRule="auto"/>
        <w:jc w:val="both"/>
        <w:rPr>
          <w:rFonts w:ascii="Book Antiqua" w:hAnsi="Book Antiqua"/>
        </w:rPr>
      </w:pPr>
      <w:r>
        <w:rPr>
          <w:rFonts w:ascii="Book Antiqua" w:hAnsi="Book Antiqua"/>
        </w:rPr>
        <w:t xml:space="preserve">15 </w:t>
      </w:r>
      <w:r>
        <w:rPr>
          <w:rFonts w:ascii="Book Antiqua" w:hAnsi="Book Antiqua"/>
          <w:b/>
          <w:bCs/>
        </w:rPr>
        <w:t>Oberhuber G</w:t>
      </w:r>
      <w:r>
        <w:rPr>
          <w:rFonts w:ascii="Book Antiqua" w:hAnsi="Book Antiqua"/>
        </w:rPr>
        <w:t xml:space="preserve">, Granditsch G, Vogelsang H. The histopathology of coeliac disease: time for a standardized report scheme for pathologists. </w:t>
      </w:r>
      <w:r>
        <w:rPr>
          <w:rFonts w:ascii="Book Antiqua" w:hAnsi="Book Antiqua"/>
          <w:i/>
          <w:iCs/>
        </w:rPr>
        <w:t>Eur J Gastroenterol Hepatol</w:t>
      </w:r>
      <w:r>
        <w:rPr>
          <w:rFonts w:ascii="Book Antiqua" w:hAnsi="Book Antiqua"/>
        </w:rPr>
        <w:t xml:space="preserve"> 1999; </w:t>
      </w:r>
      <w:r>
        <w:rPr>
          <w:rFonts w:ascii="Book Antiqua" w:hAnsi="Book Antiqua"/>
          <w:b/>
          <w:bCs/>
        </w:rPr>
        <w:t>11</w:t>
      </w:r>
      <w:r>
        <w:rPr>
          <w:rFonts w:ascii="Book Antiqua" w:hAnsi="Book Antiqua"/>
        </w:rPr>
        <w:t>: 1185-1194 [PMID: 10524652 DOI: 10.1097/00042737-199910000-00019]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Husby S</w:t>
      </w:r>
      <w:r>
        <w:rPr>
          <w:rFonts w:ascii="Book Antiqua" w:hAnsi="Book Antiqua"/>
        </w:rPr>
        <w:t xml:space="preserve">, Koletzko S, Korponay-Szabó I, Kurppa K, Mearin ML, Ribes-Koninckx C, Shamir R, Troncone R, Auricchio R, Castillejo G, Christensen R, Dolinsek J, Gillett P, Hróbjartsson A, Koltai T, Maki M, Nielsen SM, Popp A, Størdal K, Werkstetter K, Wessels M. European Society Paediatric Gastroenterology, Hepatology and Nutrition Guidelines for Diagnosing Coeliac Disease 2020. </w:t>
      </w:r>
      <w:r>
        <w:rPr>
          <w:rFonts w:ascii="Book Antiqua" w:hAnsi="Book Antiqua"/>
          <w:i/>
          <w:iCs/>
        </w:rPr>
        <w:t>J Pediatr Gastroenterol Nutr</w:t>
      </w:r>
      <w:r>
        <w:rPr>
          <w:rFonts w:ascii="Book Antiqua" w:hAnsi="Book Antiqua"/>
        </w:rPr>
        <w:t xml:space="preserve"> 2020; </w:t>
      </w:r>
      <w:r>
        <w:rPr>
          <w:rFonts w:ascii="Book Antiqua" w:hAnsi="Book Antiqua"/>
          <w:b/>
          <w:bCs/>
        </w:rPr>
        <w:t>70</w:t>
      </w:r>
      <w:r>
        <w:rPr>
          <w:rFonts w:ascii="Book Antiqua" w:hAnsi="Book Antiqua"/>
        </w:rPr>
        <w:t>: 141-156 [PMID: 31568151 DOI: 10.1097/MPG.0000000000002497]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Karell K</w:t>
      </w:r>
      <w:r>
        <w:rPr>
          <w:rFonts w:ascii="Book Antiqua" w:hAnsi="Book Antiqua"/>
        </w:rPr>
        <w:t xml:space="preserve">, Louka AS, Moodie SJ, Ascher H, Clot F, Greco L, Ciclitira PJ, Sollid LM, Partanen J; European Genetics Cluster on Celiac Disease. HLA types in celiac disease patients not carrying the DQA1*05-DQB1*02 (DQ2) heterodimer: results from the European Genetics Cluster on Celiac Disease. </w:t>
      </w:r>
      <w:r>
        <w:rPr>
          <w:rFonts w:ascii="Book Antiqua" w:hAnsi="Book Antiqua"/>
          <w:i/>
          <w:iCs/>
        </w:rPr>
        <w:t>Hum Immunol</w:t>
      </w:r>
      <w:r>
        <w:rPr>
          <w:rFonts w:ascii="Book Antiqua" w:hAnsi="Book Antiqua"/>
        </w:rPr>
        <w:t xml:space="preserve"> 2003; </w:t>
      </w:r>
      <w:r>
        <w:rPr>
          <w:rFonts w:ascii="Book Antiqua" w:hAnsi="Book Antiqua"/>
          <w:b/>
          <w:bCs/>
        </w:rPr>
        <w:t>64</w:t>
      </w:r>
      <w:r>
        <w:rPr>
          <w:rFonts w:ascii="Book Antiqua" w:hAnsi="Book Antiqua"/>
        </w:rPr>
        <w:t>: 469-477 [PMID: 12651074 DOI: 10.1016/s0198-8859(03)00027-2]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Margaritte-Jeannin P</w:t>
      </w:r>
      <w:r>
        <w:rPr>
          <w:rFonts w:ascii="Book Antiqua" w:hAnsi="Book Antiqua"/>
        </w:rPr>
        <w:t xml:space="preserve">, Babron MC, Bourgey M, Louka AS, Clot F, Percopo S, Coto I, Hugot JP, Ascher H, Sollid LM, Greco L, Clerget-Darpoux F. HLA-DQ relative risks for coeliac disease in European populations: a study of the European Genetics Cluster on Coeliac Disease. </w:t>
      </w:r>
      <w:r>
        <w:rPr>
          <w:rFonts w:ascii="Book Antiqua" w:hAnsi="Book Antiqua"/>
          <w:i/>
          <w:iCs/>
        </w:rPr>
        <w:t>Tissue Antigens</w:t>
      </w:r>
      <w:r>
        <w:rPr>
          <w:rFonts w:ascii="Book Antiqua" w:hAnsi="Book Antiqua"/>
        </w:rPr>
        <w:t xml:space="preserve"> 2004; </w:t>
      </w:r>
      <w:r>
        <w:rPr>
          <w:rFonts w:ascii="Book Antiqua" w:hAnsi="Book Antiqua"/>
          <w:b/>
          <w:bCs/>
        </w:rPr>
        <w:t>63</w:t>
      </w:r>
      <w:r>
        <w:rPr>
          <w:rFonts w:ascii="Book Antiqua" w:hAnsi="Book Antiqua"/>
        </w:rPr>
        <w:t>: 562-567 [PMID: 15140032 DOI: 10.1111/j.0001-2815.2004.00237.x]</w:t>
      </w:r>
    </w:p>
    <w:p>
      <w:pPr>
        <w:spacing w:line="360" w:lineRule="auto"/>
        <w:jc w:val="both"/>
        <w:rPr>
          <w:rFonts w:ascii="Book Antiqua" w:hAnsi="Book Antiqua"/>
        </w:rPr>
      </w:pPr>
      <w:r>
        <w:rPr>
          <w:rFonts w:ascii="Book Antiqua" w:hAnsi="Book Antiqua"/>
        </w:rPr>
        <w:t xml:space="preserve">19 </w:t>
      </w:r>
      <w:r>
        <w:rPr>
          <w:rFonts w:ascii="Book Antiqua" w:hAnsi="Book Antiqua"/>
          <w:b/>
          <w:bCs/>
        </w:rPr>
        <w:t>van Belzen MJ</w:t>
      </w:r>
      <w:r>
        <w:rPr>
          <w:rFonts w:ascii="Book Antiqua" w:hAnsi="Book Antiqua"/>
        </w:rPr>
        <w:t xml:space="preserve">, Koeleman BP, Crusius JB, Meijer JW, Bardoel AF, Pearson PL, Sandkuijl LA, Houwen RH, Wijmenga C. Defining the contribution of the HLA region to cis DQ2-positive coeliac disease patients. </w:t>
      </w:r>
      <w:r>
        <w:rPr>
          <w:rFonts w:ascii="Book Antiqua" w:hAnsi="Book Antiqua"/>
          <w:i/>
          <w:iCs/>
        </w:rPr>
        <w:t>Genes Immun</w:t>
      </w:r>
      <w:r>
        <w:rPr>
          <w:rFonts w:ascii="Book Antiqua" w:hAnsi="Book Antiqua"/>
        </w:rPr>
        <w:t xml:space="preserve"> 2004; </w:t>
      </w:r>
      <w:r>
        <w:rPr>
          <w:rFonts w:ascii="Book Antiqua" w:hAnsi="Book Antiqua"/>
          <w:b/>
          <w:bCs/>
        </w:rPr>
        <w:t>5</w:t>
      </w:r>
      <w:r>
        <w:rPr>
          <w:rFonts w:ascii="Book Antiqua" w:hAnsi="Book Antiqua"/>
        </w:rPr>
        <w:t>: 215-220 [PMID: 15014431 DOI: 10.1038/sj.gene.6364061]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Martínez-Ojinaga E</w:t>
      </w:r>
      <w:r>
        <w:rPr>
          <w:rFonts w:ascii="Book Antiqua" w:hAnsi="Book Antiqua"/>
        </w:rPr>
        <w:t xml:space="preserve">, Molina M, Polanco I, Urcelay E, Núñez C. HLA-DQ distribution and risk assessment of celiac disease in a Spanish center. </w:t>
      </w:r>
      <w:r>
        <w:rPr>
          <w:rFonts w:ascii="Book Antiqua" w:hAnsi="Book Antiqua"/>
          <w:i/>
          <w:iCs/>
        </w:rPr>
        <w:t>Rev Esp Enferm Dig</w:t>
      </w:r>
      <w:r>
        <w:rPr>
          <w:rFonts w:ascii="Book Antiqua" w:hAnsi="Book Antiqua"/>
        </w:rPr>
        <w:t xml:space="preserve"> 2018; </w:t>
      </w:r>
      <w:r>
        <w:rPr>
          <w:rFonts w:ascii="Book Antiqua" w:hAnsi="Book Antiqua"/>
          <w:b/>
          <w:bCs/>
        </w:rPr>
        <w:t>110</w:t>
      </w:r>
      <w:r>
        <w:rPr>
          <w:rFonts w:ascii="Book Antiqua" w:hAnsi="Book Antiqua"/>
        </w:rPr>
        <w:t>: 421-426 [PMID: 29699404 DOI: 10.17235/reed.2018.5399/2017]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Martínez-Ojinaga E</w:t>
      </w:r>
      <w:r>
        <w:rPr>
          <w:rFonts w:ascii="Book Antiqua" w:hAnsi="Book Antiqua"/>
        </w:rPr>
        <w:t xml:space="preserve">, Fernández-Prieto M, Molina M, Polanco I, Urcelay E, Núñez C. Influence of HLA on clinical and analytical features of pediatric celiac disease. </w:t>
      </w:r>
      <w:r>
        <w:rPr>
          <w:rFonts w:ascii="Book Antiqua" w:hAnsi="Book Antiqua"/>
          <w:i/>
          <w:iCs/>
        </w:rPr>
        <w:t>BMC Gastroenterol</w:t>
      </w:r>
      <w:r>
        <w:rPr>
          <w:rFonts w:ascii="Book Antiqua" w:hAnsi="Book Antiqua"/>
        </w:rPr>
        <w:t xml:space="preserve"> 2019; </w:t>
      </w:r>
      <w:r>
        <w:rPr>
          <w:rFonts w:ascii="Book Antiqua" w:hAnsi="Book Antiqua"/>
          <w:b/>
          <w:bCs/>
        </w:rPr>
        <w:t>19</w:t>
      </w:r>
      <w:r>
        <w:rPr>
          <w:rFonts w:ascii="Book Antiqua" w:hAnsi="Book Antiqua"/>
        </w:rPr>
        <w:t>: 91 [PMID: 31196071 DOI: 10.1186/s12876-019-1014-0]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Özgenel ŞM</w:t>
      </w:r>
      <w:r>
        <w:rPr>
          <w:rFonts w:ascii="Book Antiqua" w:hAnsi="Book Antiqua"/>
        </w:rPr>
        <w:t xml:space="preserve">, Temel T, Üsküdar Teke H, Yıldız P, Korkmaz H, Özakyol A. HLA-DQ2/DQ8 frequency in adult patients with celiac disease, their first-degree relatives, and normal population in Turkey. </w:t>
      </w:r>
      <w:r>
        <w:rPr>
          <w:rFonts w:ascii="Book Antiqua" w:hAnsi="Book Antiqua"/>
          <w:i/>
          <w:iCs/>
        </w:rPr>
        <w:t>Turk J Gastroenterol</w:t>
      </w:r>
      <w:r>
        <w:rPr>
          <w:rFonts w:ascii="Book Antiqua" w:hAnsi="Book Antiqua"/>
        </w:rPr>
        <w:t xml:space="preserve"> 2019; </w:t>
      </w:r>
      <w:r>
        <w:rPr>
          <w:rFonts w:ascii="Book Antiqua" w:hAnsi="Book Antiqua"/>
          <w:b/>
          <w:bCs/>
        </w:rPr>
        <w:t>30</w:t>
      </w:r>
      <w:r>
        <w:rPr>
          <w:rFonts w:ascii="Book Antiqua" w:hAnsi="Book Antiqua"/>
        </w:rPr>
        <w:t>: 321-325 [PMID: 30945642 DOI: 10.5152/tjg.2019.18255]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Megiorni F</w:t>
      </w:r>
      <w:r>
        <w:rPr>
          <w:rFonts w:ascii="Book Antiqua" w:hAnsi="Book Antiqua"/>
        </w:rPr>
        <w:t xml:space="preserve">, Pizzuti A. HLA-DQA1 and HLA-DQB1 in Celiac disease predisposition: practical implications of the HLA molecular typing. </w:t>
      </w:r>
      <w:r>
        <w:rPr>
          <w:rFonts w:ascii="Book Antiqua" w:hAnsi="Book Antiqua"/>
          <w:i/>
          <w:iCs/>
        </w:rPr>
        <w:t>J Biomed Sci</w:t>
      </w:r>
      <w:r>
        <w:rPr>
          <w:rFonts w:ascii="Book Antiqua" w:hAnsi="Book Antiqua"/>
        </w:rPr>
        <w:t xml:space="preserve"> 2012; </w:t>
      </w:r>
      <w:r>
        <w:rPr>
          <w:rFonts w:ascii="Book Antiqua" w:hAnsi="Book Antiqua"/>
          <w:b/>
          <w:bCs/>
        </w:rPr>
        <w:t>19</w:t>
      </w:r>
      <w:r>
        <w:rPr>
          <w:rFonts w:ascii="Book Antiqua" w:hAnsi="Book Antiqua"/>
        </w:rPr>
        <w:t>: 88 [PMID: 23050549 DOI: 10.1186/1423-0127-19-88]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Piancatelli D</w:t>
      </w:r>
      <w:r>
        <w:rPr>
          <w:rFonts w:ascii="Book Antiqua" w:hAnsi="Book Antiqua"/>
        </w:rPr>
        <w:t xml:space="preserve">, Ben El Barhdadi I, Oumhani K, Sebastiani P, Colanardi A, Essaid A. HLA Typing and Celiac Disease in Moroccans. </w:t>
      </w:r>
      <w:r>
        <w:rPr>
          <w:rFonts w:ascii="Book Antiqua" w:hAnsi="Book Antiqua"/>
          <w:i/>
          <w:iCs/>
        </w:rPr>
        <w:t>Med Sci (Basel)</w:t>
      </w:r>
      <w:r>
        <w:rPr>
          <w:rFonts w:ascii="Book Antiqua" w:hAnsi="Book Antiqua"/>
        </w:rPr>
        <w:t xml:space="preserve"> 2017; </w:t>
      </w:r>
      <w:r>
        <w:rPr>
          <w:rFonts w:ascii="Book Antiqua" w:hAnsi="Book Antiqua"/>
          <w:b/>
          <w:bCs/>
        </w:rPr>
        <w:t>5</w:t>
      </w:r>
      <w:r>
        <w:rPr>
          <w:rFonts w:ascii="Book Antiqua" w:hAnsi="Book Antiqua"/>
        </w:rPr>
        <w:t xml:space="preserve"> [PMID: 29099018 DOI: 10.3390/medsci5010002]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Singh P</w:t>
      </w:r>
      <w:r>
        <w:rPr>
          <w:rFonts w:ascii="Book Antiqua" w:hAnsi="Book Antiqua"/>
        </w:rPr>
        <w:t xml:space="preserve">, Arora S, Lal S, Strand TA, Makharia GK. Risk of Celiac Disease in the First- and Second-Degree Relatives of Patients With Celiac Disease: A Systematic Review and Meta-Analysis. </w:t>
      </w:r>
      <w:r>
        <w:rPr>
          <w:rFonts w:ascii="Book Antiqua" w:hAnsi="Book Antiqua"/>
          <w:i/>
          <w:iCs/>
        </w:rPr>
        <w:t>Am J Gastroenterol</w:t>
      </w:r>
      <w:r>
        <w:rPr>
          <w:rFonts w:ascii="Book Antiqua" w:hAnsi="Book Antiqua"/>
        </w:rPr>
        <w:t xml:space="preserve"> 2015; </w:t>
      </w:r>
      <w:r>
        <w:rPr>
          <w:rFonts w:ascii="Book Antiqua" w:hAnsi="Book Antiqua"/>
          <w:b/>
          <w:bCs/>
        </w:rPr>
        <w:t>110</w:t>
      </w:r>
      <w:r>
        <w:rPr>
          <w:rFonts w:ascii="Book Antiqua" w:hAnsi="Book Antiqua"/>
        </w:rPr>
        <w:t>: 1539-1548 [PMID: 26416192 DOI: 10.1038/ajg.2015.296]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Polvi A</w:t>
      </w:r>
      <w:r>
        <w:rPr>
          <w:rFonts w:ascii="Book Antiqua" w:hAnsi="Book Antiqua"/>
        </w:rPr>
        <w:t xml:space="preserve">, Arranz E, Fernandez-Arquero M, Collin P, Mäki M, Sanz A, Calvo C, Maluenda C, Westman P, de la Concha EG, Partanen J. HLA-DQ2-negative celiac disease in Finland and Spain. </w:t>
      </w:r>
      <w:r>
        <w:rPr>
          <w:rFonts w:ascii="Book Antiqua" w:hAnsi="Book Antiqua"/>
          <w:i/>
          <w:iCs/>
        </w:rPr>
        <w:t>Hum Immunol</w:t>
      </w:r>
      <w:r>
        <w:rPr>
          <w:rFonts w:ascii="Book Antiqua" w:hAnsi="Book Antiqua"/>
        </w:rPr>
        <w:t xml:space="preserve"> 1998; </w:t>
      </w:r>
      <w:r>
        <w:rPr>
          <w:rFonts w:ascii="Book Antiqua" w:hAnsi="Book Antiqua"/>
          <w:b/>
          <w:bCs/>
        </w:rPr>
        <w:t>59</w:t>
      </w:r>
      <w:r>
        <w:rPr>
          <w:rFonts w:ascii="Book Antiqua" w:hAnsi="Book Antiqua"/>
        </w:rPr>
        <w:t>: 169-175 [PMID: 9548076 DOI: 10.1016/s0198-8859(98)00008-1]</w:t>
      </w:r>
    </w:p>
    <w:p>
      <w:pPr>
        <w:spacing w:line="360" w:lineRule="auto"/>
        <w:jc w:val="both"/>
        <w:rPr>
          <w:rFonts w:ascii="Book Antiqua" w:hAnsi="Book Antiqua"/>
        </w:rPr>
      </w:pPr>
      <w:r>
        <w:rPr>
          <w:rFonts w:ascii="Book Antiqua" w:hAnsi="Book Antiqua"/>
        </w:rPr>
        <w:t xml:space="preserve">27 </w:t>
      </w:r>
      <w:r>
        <w:rPr>
          <w:rFonts w:ascii="Book Antiqua" w:hAnsi="Book Antiqua"/>
          <w:b/>
          <w:bCs/>
        </w:rPr>
        <w:t>Romanos J</w:t>
      </w:r>
      <w:r>
        <w:rPr>
          <w:rFonts w:ascii="Book Antiqua" w:hAnsi="Book Antiqua"/>
        </w:rPr>
        <w:t xml:space="preserve">, van Diemen CC, Nolte IM, Trynka G, Zhernakova A, Fu J, Bardella MT, Barisani D, McManus R, van Heel DA, Wijmenga C. Analysis of HLA and non-HLA alleles can identify individuals at high risk for celiac disease. </w:t>
      </w:r>
      <w:r>
        <w:rPr>
          <w:rFonts w:ascii="Book Antiqua" w:hAnsi="Book Antiqua"/>
          <w:i/>
          <w:iCs/>
        </w:rPr>
        <w:t>Gastroenterology</w:t>
      </w:r>
      <w:r>
        <w:rPr>
          <w:rFonts w:ascii="Book Antiqua" w:hAnsi="Book Antiqua"/>
        </w:rPr>
        <w:t xml:space="preserve"> 2009; </w:t>
      </w:r>
      <w:r>
        <w:rPr>
          <w:rFonts w:ascii="Book Antiqua" w:hAnsi="Book Antiqua"/>
          <w:b/>
          <w:bCs/>
        </w:rPr>
        <w:t>137</w:t>
      </w:r>
      <w:r>
        <w:rPr>
          <w:rFonts w:ascii="Book Antiqua" w:hAnsi="Book Antiqua"/>
        </w:rPr>
        <w:t>: 834-840, 840.e1-840.e3 [PMID: 19454285 DOI: 10.1053/j.gastro.2009.05.040]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Sollid LM</w:t>
      </w:r>
      <w:r>
        <w:rPr>
          <w:rFonts w:ascii="Book Antiqua" w:hAnsi="Book Antiqua"/>
        </w:rPr>
        <w:t xml:space="preserve">. Molecular basis of celiac disease. </w:t>
      </w:r>
      <w:r>
        <w:rPr>
          <w:rFonts w:ascii="Book Antiqua" w:hAnsi="Book Antiqua"/>
          <w:i/>
          <w:iCs/>
        </w:rPr>
        <w:t>Annu Rev Immunol</w:t>
      </w:r>
      <w:r>
        <w:rPr>
          <w:rFonts w:ascii="Book Antiqua" w:hAnsi="Book Antiqua"/>
        </w:rPr>
        <w:t xml:space="preserve"> 2000; </w:t>
      </w:r>
      <w:r>
        <w:rPr>
          <w:rFonts w:ascii="Book Antiqua" w:hAnsi="Book Antiqua"/>
          <w:b/>
          <w:bCs/>
        </w:rPr>
        <w:t>18</w:t>
      </w:r>
      <w:r>
        <w:rPr>
          <w:rFonts w:ascii="Book Antiqua" w:hAnsi="Book Antiqua"/>
        </w:rPr>
        <w:t>: 53-81 [PMID: 10837052 DOI: 10.1146/annurev.immunol.18.1.53]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Johnson TC</w:t>
      </w:r>
      <w:r>
        <w:rPr>
          <w:rFonts w:ascii="Book Antiqua" w:hAnsi="Book Antiqua"/>
        </w:rPr>
        <w:t xml:space="preserve">, Diamond B, Memeo L, Negulescu H, Hovhanissyan Z, Verkarre V, Rotterdam H, Fasano A, Caillat-Zucman S, Grosdidier E, Winchester R, Cellier C, Jabri B, Green PH. Relationship of HLA-DQ8 and severity of celiac disease: comparison of New York and Parisian cohorts.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888-894 [PMID: 15476152 DOI: 10.1016/s1542-3565(04)00390-8]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Butterworth JR</w:t>
      </w:r>
      <w:r>
        <w:rPr>
          <w:rFonts w:ascii="Book Antiqua" w:hAnsi="Book Antiqua"/>
        </w:rPr>
        <w:t xml:space="preserve">, Iqbal TH, Cooper BT. Coeliac disease in South Asians resident in Britain: comparison with white Caucasian coeliac patients. </w:t>
      </w:r>
      <w:r>
        <w:rPr>
          <w:rFonts w:ascii="Book Antiqua" w:hAnsi="Book Antiqua"/>
          <w:i/>
          <w:iCs/>
        </w:rPr>
        <w:t>Eur J Gastroenterol Hepatol</w:t>
      </w:r>
      <w:r>
        <w:rPr>
          <w:rFonts w:ascii="Book Antiqua" w:hAnsi="Book Antiqua"/>
        </w:rPr>
        <w:t xml:space="preserve"> 2005; </w:t>
      </w:r>
      <w:r>
        <w:rPr>
          <w:rFonts w:ascii="Book Antiqua" w:hAnsi="Book Antiqua"/>
          <w:b/>
          <w:bCs/>
        </w:rPr>
        <w:t>17</w:t>
      </w:r>
      <w:r>
        <w:rPr>
          <w:rFonts w:ascii="Book Antiqua" w:hAnsi="Book Antiqua"/>
        </w:rPr>
        <w:t>: 541-545 [PMID: 15827445 DOI: 10.1097/00042737-200505000-00011]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Cintado A</w:t>
      </w:r>
      <w:r>
        <w:rPr>
          <w:rFonts w:ascii="Book Antiqua" w:hAnsi="Book Antiqua"/>
        </w:rPr>
        <w:t xml:space="preserve">, Sorell L, Galván JA, Martínez L, Castañeda C, Fragoso T, Camacho H, Ferrer A, Companioni O, Benitez J, Nazábal M, Novoa LI, Dueñas M. HLA DQA1*0501 and DQB1*02 in Cuban celiac patients. </w:t>
      </w:r>
      <w:r>
        <w:rPr>
          <w:rFonts w:ascii="Book Antiqua" w:hAnsi="Book Antiqua"/>
          <w:i/>
          <w:iCs/>
        </w:rPr>
        <w:t>Hum Immunol</w:t>
      </w:r>
      <w:r>
        <w:rPr>
          <w:rFonts w:ascii="Book Antiqua" w:hAnsi="Book Antiqua"/>
        </w:rPr>
        <w:t xml:space="preserve"> 2006; </w:t>
      </w:r>
      <w:r>
        <w:rPr>
          <w:rFonts w:ascii="Book Antiqua" w:hAnsi="Book Antiqua"/>
          <w:b/>
          <w:bCs/>
        </w:rPr>
        <w:t>67</w:t>
      </w:r>
      <w:r>
        <w:rPr>
          <w:rFonts w:ascii="Book Antiqua" w:hAnsi="Book Antiqua"/>
        </w:rPr>
        <w:t>: 639-642 [PMID: 16916661 DOI: 10.1016/j.humimm.2006.04.009]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Araya M</w:t>
      </w:r>
      <w:r>
        <w:rPr>
          <w:rFonts w:ascii="Book Antiqua" w:hAnsi="Book Antiqua"/>
        </w:rPr>
        <w:t xml:space="preserve">, Mondragón A, Pérez-Bravo F, Roessler JL, Alarcón T, Rios G, Bergenfreid C. Celiac disease in a Chilean population carrying Amerindian traits. </w:t>
      </w:r>
      <w:r>
        <w:rPr>
          <w:rFonts w:ascii="Book Antiqua" w:hAnsi="Book Antiqua"/>
          <w:i/>
          <w:iCs/>
        </w:rPr>
        <w:t>J Pediatr Gastroenterol Nutr</w:t>
      </w:r>
      <w:r>
        <w:rPr>
          <w:rFonts w:ascii="Book Antiqua" w:hAnsi="Book Antiqua"/>
        </w:rPr>
        <w:t xml:space="preserve"> 2000; </w:t>
      </w:r>
      <w:r>
        <w:rPr>
          <w:rFonts w:ascii="Book Antiqua" w:hAnsi="Book Antiqua"/>
          <w:b/>
          <w:bCs/>
        </w:rPr>
        <w:t>31</w:t>
      </w:r>
      <w:r>
        <w:rPr>
          <w:rFonts w:ascii="Book Antiqua" w:hAnsi="Book Antiqua"/>
        </w:rPr>
        <w:t>: 381-386 [PMID: 11045834 DOI: 10.1097/00005176-200010000-00010]</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Choung RS</w:t>
      </w:r>
      <w:r>
        <w:rPr>
          <w:rFonts w:ascii="Book Antiqua" w:hAnsi="Book Antiqua"/>
        </w:rPr>
        <w:t xml:space="preserve">, Mills JR, Snyder MR, Murray JA, Gandhi MJ. Celiac disease risk stratification based on HLA-DQ heterodimer (HLA-DQA1 ~ DQB1) typing in a large cohort of adults with suspected celiac disease. </w:t>
      </w:r>
      <w:r>
        <w:rPr>
          <w:rFonts w:ascii="Book Antiqua" w:hAnsi="Book Antiqua"/>
          <w:i/>
          <w:iCs/>
        </w:rPr>
        <w:t>Hum Immunol</w:t>
      </w:r>
      <w:r>
        <w:rPr>
          <w:rFonts w:ascii="Book Antiqua" w:hAnsi="Book Antiqua"/>
        </w:rPr>
        <w:t xml:space="preserve"> 2020; </w:t>
      </w:r>
      <w:r>
        <w:rPr>
          <w:rFonts w:ascii="Book Antiqua" w:hAnsi="Book Antiqua"/>
          <w:b/>
          <w:bCs/>
        </w:rPr>
        <w:t>81</w:t>
      </w:r>
      <w:r>
        <w:rPr>
          <w:rFonts w:ascii="Book Antiqua" w:hAnsi="Book Antiqua"/>
        </w:rPr>
        <w:t>: 59-64 [PMID: 32005535 DOI: 10.1016/j.humimm.2020.01.006]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Vaquero L</w:t>
      </w:r>
      <w:r>
        <w:rPr>
          <w:rFonts w:ascii="Book Antiqua" w:hAnsi="Book Antiqua"/>
        </w:rPr>
        <w:t xml:space="preserve">, Caminero A, Nuñez A, Hernando M, Iglesias C, Casqueiro J, Vivas S. Coeliac disease screening in first-degree relatives on the basis of biopsy and genetic risk. </w:t>
      </w:r>
      <w:r>
        <w:rPr>
          <w:rFonts w:ascii="Book Antiqua" w:hAnsi="Book Antiqua"/>
          <w:i/>
          <w:iCs/>
        </w:rPr>
        <w:t>Eur J Gastroenterol Hepatol</w:t>
      </w:r>
      <w:r>
        <w:rPr>
          <w:rFonts w:ascii="Book Antiqua" w:hAnsi="Book Antiqua"/>
        </w:rPr>
        <w:t xml:space="preserve"> 2014; </w:t>
      </w:r>
      <w:r>
        <w:rPr>
          <w:rFonts w:ascii="Book Antiqua" w:hAnsi="Book Antiqua"/>
          <w:b/>
          <w:bCs/>
        </w:rPr>
        <w:t>26</w:t>
      </w:r>
      <w:r>
        <w:rPr>
          <w:rFonts w:ascii="Book Antiqua" w:hAnsi="Book Antiqua"/>
        </w:rPr>
        <w:t>: 263-267 [PMID: 24300305 DOI: 10.1097/MEG.0000000000000020]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Fasano A</w:t>
      </w:r>
      <w:r>
        <w:rPr>
          <w:rFonts w:ascii="Book Antiqua" w:hAnsi="Book Antiqua"/>
        </w:rPr>
        <w:t xml:space="preserve">, Catassi C. Clinical practice. Celiac disease. </w:t>
      </w:r>
      <w:r>
        <w:rPr>
          <w:rFonts w:ascii="Book Antiqua" w:hAnsi="Book Antiqua"/>
          <w:i/>
          <w:iCs/>
        </w:rPr>
        <w:t>N Engl J Med</w:t>
      </w:r>
      <w:r>
        <w:rPr>
          <w:rFonts w:ascii="Book Antiqua" w:hAnsi="Book Antiqua"/>
        </w:rPr>
        <w:t xml:space="preserve"> 2012; </w:t>
      </w:r>
      <w:r>
        <w:rPr>
          <w:rFonts w:ascii="Book Antiqua" w:hAnsi="Book Antiqua"/>
          <w:b/>
          <w:bCs/>
        </w:rPr>
        <w:t>367</w:t>
      </w:r>
      <w:r>
        <w:rPr>
          <w:rFonts w:ascii="Book Antiqua" w:hAnsi="Book Antiqua"/>
        </w:rPr>
        <w:t>: 2419-2426 [PMID: 23252527 DOI: 10.1056/NEJMcp1113994]</w:t>
      </w:r>
    </w:p>
    <w:p>
      <w:pPr>
        <w:spacing w:line="360" w:lineRule="auto"/>
        <w:jc w:val="both"/>
        <w:rPr>
          <w:rFonts w:ascii="Book Antiqua" w:hAnsi="Book Antiqua"/>
        </w:rPr>
      </w:pPr>
      <w:r>
        <w:rPr>
          <w:rFonts w:ascii="Book Antiqua" w:hAnsi="Book Antiqua"/>
        </w:rPr>
        <w:t xml:space="preserve">36 </w:t>
      </w:r>
      <w:r>
        <w:rPr>
          <w:rFonts w:ascii="Book Antiqua" w:hAnsi="Book Antiqua"/>
          <w:b/>
          <w:bCs/>
        </w:rPr>
        <w:t>Chang M</w:t>
      </w:r>
      <w:r>
        <w:rPr>
          <w:rFonts w:ascii="Book Antiqua" w:hAnsi="Book Antiqua"/>
        </w:rPr>
        <w:t xml:space="preserve">, Green PH. Genetic testing before serologic screening in relatives of patients with celiac disease as a cost containment method. </w:t>
      </w:r>
      <w:r>
        <w:rPr>
          <w:rFonts w:ascii="Book Antiqua" w:hAnsi="Book Antiqua"/>
          <w:i/>
          <w:iCs/>
        </w:rPr>
        <w:t>J Clin Gastroenterol</w:t>
      </w:r>
      <w:r>
        <w:rPr>
          <w:rFonts w:ascii="Book Antiqua" w:hAnsi="Book Antiqua"/>
        </w:rPr>
        <w:t xml:space="preserve"> 2009; </w:t>
      </w:r>
      <w:r>
        <w:rPr>
          <w:rFonts w:ascii="Book Antiqua" w:hAnsi="Book Antiqua"/>
          <w:b/>
          <w:bCs/>
        </w:rPr>
        <w:t>43</w:t>
      </w:r>
      <w:r>
        <w:rPr>
          <w:rFonts w:ascii="Book Antiqua" w:hAnsi="Book Antiqua"/>
        </w:rPr>
        <w:t>: 43-50 [PMID: 19020464 DOI: 10.1097/MCG.0b013e318187311d]</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Lopes LHC</w:t>
      </w:r>
      <w:r>
        <w:rPr>
          <w:rFonts w:ascii="Book Antiqua" w:hAnsi="Book Antiqua"/>
        </w:rPr>
        <w:t xml:space="preserve">, Muniz JG, Oliveira RP, Sdepanian VL. Celiac Disease in Brazilian First-degree Relatives: The Odds Are Five Times Greater for HLA DQ2 Homozygous. </w:t>
      </w:r>
      <w:r>
        <w:rPr>
          <w:rFonts w:ascii="Book Antiqua" w:hAnsi="Book Antiqua"/>
          <w:i/>
          <w:iCs/>
        </w:rPr>
        <w:t>J Pediatr Gastroenterol Nutr</w:t>
      </w:r>
      <w:r>
        <w:rPr>
          <w:rFonts w:ascii="Book Antiqua" w:hAnsi="Book Antiqua"/>
        </w:rPr>
        <w:t xml:space="preserve"> 2019; </w:t>
      </w:r>
      <w:r>
        <w:rPr>
          <w:rFonts w:ascii="Book Antiqua" w:hAnsi="Book Antiqua"/>
          <w:b/>
          <w:bCs/>
        </w:rPr>
        <w:t>68</w:t>
      </w:r>
      <w:r>
        <w:rPr>
          <w:rFonts w:ascii="Book Antiqua" w:hAnsi="Book Antiqua"/>
        </w:rPr>
        <w:t>: e77-e80 [PMID: 30601367 DOI: 10.1097/MPG.0000000000002251]</w:t>
      </w:r>
    </w:p>
    <w:p>
      <w:pPr>
        <w:spacing w:line="360" w:lineRule="auto"/>
        <w:jc w:val="both"/>
        <w:rPr>
          <w:rFonts w:ascii="Book Antiqua" w:hAnsi="Book Antiqua"/>
        </w:rPr>
      </w:pPr>
      <w:r>
        <w:rPr>
          <w:rFonts w:ascii="Book Antiqua" w:hAnsi="Book Antiqua"/>
        </w:rPr>
        <w:t xml:space="preserve">38 </w:t>
      </w:r>
      <w:r>
        <w:rPr>
          <w:rFonts w:ascii="Book Antiqua" w:hAnsi="Book Antiqua"/>
          <w:b/>
          <w:bCs/>
        </w:rPr>
        <w:t>Tursi A</w:t>
      </w:r>
      <w:r>
        <w:rPr>
          <w:rFonts w:ascii="Book Antiqua" w:hAnsi="Book Antiqua"/>
        </w:rPr>
        <w:t xml:space="preserve">, Elisei W, Giorgetti GM, Gaspardone A, Lecca PG, Di Cesare L, Brandimarte G. Prevalence of celiac disease and symptoms in relatives of patients with celiac disease. </w:t>
      </w:r>
      <w:r>
        <w:rPr>
          <w:rFonts w:ascii="Book Antiqua" w:hAnsi="Book Antiqua"/>
          <w:i/>
          <w:iCs/>
        </w:rPr>
        <w:t>Eur Rev Med Pharmacol Sci</w:t>
      </w:r>
      <w:r>
        <w:rPr>
          <w:rFonts w:ascii="Book Antiqua" w:hAnsi="Book Antiqua"/>
        </w:rPr>
        <w:t xml:space="preserve"> 2010; </w:t>
      </w:r>
      <w:r>
        <w:rPr>
          <w:rFonts w:ascii="Book Antiqua" w:hAnsi="Book Antiqua"/>
          <w:b/>
          <w:bCs/>
        </w:rPr>
        <w:t>14</w:t>
      </w:r>
      <w:r>
        <w:rPr>
          <w:rFonts w:ascii="Book Antiqua" w:hAnsi="Book Antiqua"/>
        </w:rPr>
        <w:t>: 567-572 [PMID: 20712266]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Pittschieler K</w:t>
      </w:r>
      <w:r>
        <w:rPr>
          <w:rFonts w:ascii="Book Antiqua" w:hAnsi="Book Antiqua"/>
        </w:rPr>
        <w:t xml:space="preserve">, Gentili L, Niederhofer H. Onset of coeliac disease: a prospective longitudinal study. </w:t>
      </w:r>
      <w:r>
        <w:rPr>
          <w:rFonts w:ascii="Book Antiqua" w:hAnsi="Book Antiqua"/>
          <w:i/>
          <w:iCs/>
        </w:rPr>
        <w:t>Acta Paediatr</w:t>
      </w:r>
      <w:r>
        <w:rPr>
          <w:rFonts w:ascii="Book Antiqua" w:hAnsi="Book Antiqua"/>
        </w:rPr>
        <w:t xml:space="preserve"> 2003; </w:t>
      </w:r>
      <w:r>
        <w:rPr>
          <w:rFonts w:ascii="Book Antiqua" w:hAnsi="Book Antiqua"/>
          <w:b/>
          <w:bCs/>
        </w:rPr>
        <w:t>92</w:t>
      </w:r>
      <w:r>
        <w:rPr>
          <w:rFonts w:ascii="Book Antiqua" w:hAnsi="Book Antiqua"/>
        </w:rPr>
        <w:t>: 1149-1152 [PMID: 14632329 DOI: 10.1080/08035250310005332]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Goldberg D</w:t>
      </w:r>
      <w:r>
        <w:rPr>
          <w:rFonts w:ascii="Book Antiqua" w:hAnsi="Book Antiqua"/>
        </w:rPr>
        <w:t xml:space="preserve">, Kryszak D, Fasano A, Green PH. Screening for celiac disease in family members: is follow-up testing necessary? </w:t>
      </w:r>
      <w:r>
        <w:rPr>
          <w:rFonts w:ascii="Book Antiqua" w:hAnsi="Book Antiqua"/>
          <w:i/>
          <w:iCs/>
        </w:rPr>
        <w:t>Dig Dis Sci</w:t>
      </w:r>
      <w:r>
        <w:rPr>
          <w:rFonts w:ascii="Book Antiqua" w:hAnsi="Book Antiqua"/>
        </w:rPr>
        <w:t xml:space="preserve"> 2007; </w:t>
      </w:r>
      <w:r>
        <w:rPr>
          <w:rFonts w:ascii="Book Antiqua" w:hAnsi="Book Antiqua"/>
          <w:b/>
          <w:bCs/>
        </w:rPr>
        <w:t>52</w:t>
      </w:r>
      <w:r>
        <w:rPr>
          <w:rFonts w:ascii="Book Antiqua" w:hAnsi="Book Antiqua"/>
        </w:rPr>
        <w:t>: 1082-1086 [PMID: 17380406 DOI: 10.1007/s10620-006-9518-1]</w:t>
      </w:r>
    </w:p>
    <w:p>
      <w:pPr>
        <w:spacing w:line="360" w:lineRule="auto"/>
        <w:jc w:val="both"/>
        <w:rPr>
          <w:rFonts w:ascii="Book Antiqua" w:hAnsi="Book Antiqua"/>
        </w:rPr>
      </w:pPr>
      <w:r>
        <w:rPr>
          <w:rFonts w:ascii="Book Antiqua" w:hAnsi="Book Antiqua"/>
        </w:rPr>
        <w:t xml:space="preserve">41 </w:t>
      </w:r>
      <w:r>
        <w:rPr>
          <w:rFonts w:ascii="Book Antiqua" w:hAnsi="Book Antiqua"/>
          <w:b/>
          <w:bCs/>
        </w:rPr>
        <w:t>Niveloni S</w:t>
      </w:r>
      <w:r>
        <w:rPr>
          <w:rFonts w:ascii="Book Antiqua" w:hAnsi="Book Antiqua"/>
        </w:rPr>
        <w:t xml:space="preserve">, Pedreira S, Sugai E, Vazquez H, Smecuol E, Fiorini A, Cabanne A, Dezi R, Valero J, Kogan Z, Maurino E, Bai JC. The natural history of gluten sensitivity: report of two new celiac disease patients resulting from a long-term follow-up of nonatrophic, first-degree relatives. </w:t>
      </w:r>
      <w:r>
        <w:rPr>
          <w:rFonts w:ascii="Book Antiqua" w:hAnsi="Book Antiqua"/>
          <w:i/>
          <w:iCs/>
        </w:rPr>
        <w:t>Am J Gastroenterol</w:t>
      </w:r>
      <w:r>
        <w:rPr>
          <w:rFonts w:ascii="Book Antiqua" w:hAnsi="Book Antiqua"/>
        </w:rPr>
        <w:t xml:space="preserve"> 2000; </w:t>
      </w:r>
      <w:r>
        <w:rPr>
          <w:rFonts w:ascii="Book Antiqua" w:hAnsi="Book Antiqua"/>
          <w:b/>
          <w:bCs/>
        </w:rPr>
        <w:t>95</w:t>
      </w:r>
      <w:r>
        <w:rPr>
          <w:rFonts w:ascii="Book Antiqua" w:hAnsi="Book Antiqua"/>
        </w:rPr>
        <w:t>: 463-468 [PMID: 10685751 DOI: 10.1111/j.1572-0241.2000.01769.x]</w:t>
      </w:r>
    </w:p>
    <w:p>
      <w:pPr>
        <w:spacing w:line="360" w:lineRule="auto"/>
        <w:jc w:val="both"/>
        <w:rPr>
          <w:rFonts w:ascii="Book Antiqua" w:hAnsi="Book Antiqua"/>
        </w:rPr>
      </w:pPr>
      <w:r>
        <w:rPr>
          <w:rFonts w:ascii="Book Antiqua" w:hAnsi="Book Antiqua"/>
        </w:rPr>
        <w:t xml:space="preserve">42 </w:t>
      </w:r>
      <w:r>
        <w:rPr>
          <w:rFonts w:ascii="Book Antiqua" w:hAnsi="Book Antiqua"/>
          <w:b/>
          <w:bCs/>
        </w:rPr>
        <w:t>Högberg L</w:t>
      </w:r>
      <w:r>
        <w:rPr>
          <w:rFonts w:ascii="Book Antiqua" w:hAnsi="Book Antiqua"/>
        </w:rPr>
        <w:t xml:space="preserve">, Fälth-Magnusson K, Grodzinsky E, Stenhammar L. Familial prevalence of coeliac disease: a twenty-year follow-up study. </w:t>
      </w:r>
      <w:r>
        <w:rPr>
          <w:rFonts w:ascii="Book Antiqua" w:hAnsi="Book Antiqua"/>
          <w:i/>
          <w:iCs/>
        </w:rPr>
        <w:t>Scand J Gastroenterol</w:t>
      </w:r>
      <w:r>
        <w:rPr>
          <w:rFonts w:ascii="Book Antiqua" w:hAnsi="Book Antiqua"/>
        </w:rPr>
        <w:t xml:space="preserve"> 2003; </w:t>
      </w:r>
      <w:r>
        <w:rPr>
          <w:rFonts w:ascii="Book Antiqua" w:hAnsi="Book Antiqua"/>
          <w:b/>
          <w:bCs/>
        </w:rPr>
        <w:t>38</w:t>
      </w:r>
      <w:r>
        <w:rPr>
          <w:rFonts w:ascii="Book Antiqua" w:hAnsi="Book Antiqua"/>
        </w:rPr>
        <w:t>: 61-65 [PMID: 12608466 DOI: 10.1080/00365520310000456]</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Mansouri M</w:t>
      </w:r>
      <w:r>
        <w:rPr>
          <w:rFonts w:ascii="Book Antiqua" w:hAnsi="Book Antiqua"/>
        </w:rPr>
        <w:t xml:space="preserve">, Dadfar M, Rostami-Nejad M, Ekhlasi G, Shahbazkhani A, Shahbazkhani B. The frequency of HLA-DQ2/DQ8 haplotypes and celiac disease among the first-degree relatives of patients with celiac disease. </w:t>
      </w:r>
      <w:r>
        <w:rPr>
          <w:rFonts w:ascii="Book Antiqua" w:hAnsi="Book Antiqua"/>
          <w:i/>
          <w:iCs/>
        </w:rPr>
        <w:t>Gastroenterol Hepatol Bed Bench</w:t>
      </w:r>
      <w:r>
        <w:rPr>
          <w:rFonts w:ascii="Book Antiqua" w:hAnsi="Book Antiqua"/>
        </w:rPr>
        <w:t xml:space="preserve"> 2021; </w:t>
      </w:r>
      <w:r>
        <w:rPr>
          <w:rFonts w:ascii="Book Antiqua" w:hAnsi="Book Antiqua"/>
          <w:b/>
          <w:bCs/>
        </w:rPr>
        <w:t>14</w:t>
      </w:r>
      <w:r>
        <w:rPr>
          <w:rFonts w:ascii="Book Antiqua" w:hAnsi="Book Antiqua"/>
        </w:rPr>
        <w:t>: 36-43 [PMID: 33868608]</w:t>
      </w:r>
    </w:p>
    <w:p>
      <w:pPr>
        <w:spacing w:line="360" w:lineRule="auto"/>
        <w:jc w:val="both"/>
        <w:rPr>
          <w:rFonts w:ascii="Book Antiqua" w:hAnsi="Book Antiqua"/>
        </w:rPr>
      </w:pPr>
      <w:r>
        <w:rPr>
          <w:rFonts w:ascii="Book Antiqua" w:hAnsi="Book Antiqua"/>
        </w:rPr>
        <w:t xml:space="preserve">44 </w:t>
      </w:r>
      <w:r>
        <w:rPr>
          <w:rFonts w:ascii="Book Antiqua" w:hAnsi="Book Antiqua"/>
          <w:b/>
          <w:bCs/>
        </w:rPr>
        <w:t>Rostami-Nejad M</w:t>
      </w:r>
      <w:r>
        <w:rPr>
          <w:rFonts w:ascii="Book Antiqua" w:hAnsi="Book Antiqua"/>
        </w:rPr>
        <w:t xml:space="preserve">, Romanos J, Rostami K, Ganji A, Ehsani-Ardakani MJ, Bakhshipour AR, Zojaji H, Mohebbi SR, Zali MR, Wijmenga C. Allele and haplotype frequencies for HLA-DQ in Iranian celiac disease patients.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6302-6308 [PMID: 24876751 DOI: 10.3748/wjg.v20.i20.6302]</w:t>
      </w:r>
    </w:p>
    <w:p>
      <w:pPr>
        <w:spacing w:line="360" w:lineRule="auto"/>
        <w:jc w:val="both"/>
        <w:rPr>
          <w:rFonts w:ascii="Book Antiqua" w:hAnsi="Book Antiqua"/>
        </w:rPr>
      </w:pPr>
      <w:r>
        <w:rPr>
          <w:rFonts w:ascii="Book Antiqua" w:hAnsi="Book Antiqua"/>
        </w:rPr>
        <w:t xml:space="preserve">45 </w:t>
      </w:r>
      <w:r>
        <w:rPr>
          <w:rFonts w:ascii="Book Antiqua" w:hAnsi="Book Antiqua"/>
          <w:b/>
          <w:bCs/>
        </w:rPr>
        <w:t>Dalgic B</w:t>
      </w:r>
      <w:r>
        <w:rPr>
          <w:rFonts w:ascii="Book Antiqua" w:hAnsi="Book Antiqua"/>
        </w:rPr>
        <w:t xml:space="preserve">, Sari S, Basturk B, Ensari A, Egritas O, Bukulmez A, Baris Z; Turkish Celiac Study Group. Prevalence of celiac disease in healthy Turkish school children.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1512-1517 [PMID: 21691340 DOI: 10.1038/ajg.2011.183]</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 xml:space="preserve">The current study was approved by the Local Ethics Committee (Toros University, Mersin, Turkey, 17.06.2020/41). </w:t>
      </w:r>
    </w:p>
    <w:p>
      <w:pPr>
        <w:spacing w:line="360" w:lineRule="auto"/>
        <w:jc w:val="both"/>
        <w:rPr>
          <w:rFonts w:ascii="Book Antiqua" w:hAnsi="Book Antiqua"/>
          <w:color w:val="000000" w:themeColor="text1"/>
          <w14:textFill>
            <w14:solidFill>
              <w14:schemeClr w14:val="tx1"/>
            </w14:solidFill>
          </w14:textFill>
        </w:rPr>
      </w:pPr>
    </w:p>
    <w:p>
      <w:pPr>
        <w:pStyle w:val="6"/>
        <w:spacing w:before="0" w:beforeAutospacing="0" w:after="0" w:afterAutospacing="0" w:line="360" w:lineRule="auto"/>
        <w:jc w:val="both"/>
        <w:rPr>
          <w:rFonts w:ascii="Book Antiqua" w:hAnsi="Book Antiqua"/>
          <w:lang w:val="en-US"/>
        </w:rPr>
      </w:pPr>
      <w:r>
        <w:rPr>
          <w:rFonts w:ascii="Book Antiqua" w:hAnsi="Book Antiqua"/>
          <w:b/>
          <w:lang w:val="en-US"/>
        </w:rPr>
        <w:t>Informed consent statement</w:t>
      </w:r>
      <w:r>
        <w:rPr>
          <w:rFonts w:ascii="Book Antiqua" w:hAnsi="Book Antiqua"/>
          <w:b/>
          <w:bCs/>
          <w:iCs/>
          <w:color w:val="000000"/>
          <w:lang w:val="en-US"/>
        </w:rPr>
        <w:t>:</w:t>
      </w:r>
      <w:r>
        <w:rPr>
          <w:rFonts w:ascii="Book Antiqua" w:hAnsi="Book Antiqua"/>
          <w:lang w:val="en-US"/>
        </w:rPr>
        <w:t xml:space="preserve"> </w:t>
      </w:r>
      <w:r>
        <w:rPr>
          <w:rFonts w:ascii="Book Antiqua" w:hAnsi="Book Antiqua"/>
          <w:bCs/>
          <w:iCs/>
          <w:color w:val="000000"/>
          <w:lang w:val="en-US"/>
        </w:rPr>
        <w:t>Written informed consent was not obtained as the study is retrospective. However, the Local Ethics Committee approved the current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All the authors declare that they have no conflict of interest.</w:t>
      </w:r>
    </w:p>
    <w:p>
      <w:pPr>
        <w:spacing w:line="360" w:lineRule="auto"/>
        <w:jc w:val="both"/>
        <w:rPr>
          <w:rFonts w:ascii="Book Antiqua" w:hAnsi="Book Antiqua"/>
          <w:color w:val="000000" w:themeColor="text1"/>
          <w14:textFill>
            <w14:solidFill>
              <w14:schemeClr w14:val="tx1"/>
            </w14:solidFill>
          </w14:textFill>
        </w:rPr>
      </w:pPr>
    </w:p>
    <w:p>
      <w:pPr>
        <w:autoSpaceDE w:val="0"/>
        <w:autoSpaceDN w:val="0"/>
        <w:adjustRightInd w:val="0"/>
        <w:snapToGrid w:val="0"/>
        <w:spacing w:line="360" w:lineRule="auto"/>
        <w:jc w:val="both"/>
        <w:rPr>
          <w:rFonts w:ascii="Book Antiqua" w:hAnsi="Book Antiqua"/>
          <w:color w:val="000000"/>
        </w:rPr>
      </w:pPr>
      <w:r>
        <w:rPr>
          <w:rFonts w:ascii="Book Antiqua" w:hAnsi="Book Antiqua"/>
          <w:b/>
          <w:color w:val="000000"/>
        </w:rPr>
        <w:t>Data sharing statement</w:t>
      </w:r>
      <w:r>
        <w:rPr>
          <w:rFonts w:ascii="Book Antiqua" w:hAnsi="Book Antiqua" w:cs="TimesNewRomanPS-BoldItalicMT"/>
          <w:b/>
          <w:bCs/>
          <w:iCs/>
          <w:color w:val="000000"/>
        </w:rPr>
        <w:t>:</w:t>
      </w:r>
      <w:r>
        <w:rPr>
          <w:rFonts w:ascii="Book Antiqua" w:hAnsi="Book Antiqua" w:eastAsia="Times New Roman"/>
          <w:color w:val="000000"/>
        </w:rPr>
        <w:t xml:space="preserve"> </w:t>
      </w:r>
      <w:r>
        <w:rPr>
          <w:rFonts w:ascii="Book Antiqua" w:hAnsi="Book Antiqua"/>
          <w:bCs/>
          <w:iCs/>
          <w:color w:val="000000"/>
        </w:rPr>
        <w:t>No additional data are available.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January 10,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March 8,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b w:val="0"/>
          <w:bCs w:val="0"/>
          <w:color w:val="000000" w:themeColor="text1"/>
          <w14:textFill>
            <w14:solidFill>
              <w14:schemeClr w14:val="tx1"/>
            </w14:solidFill>
          </w14:textFill>
        </w:rPr>
        <w:t>June 3,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Gastroenterology and hepatology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Turkey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D, 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Alkhayyat M, United States; JAIN S, India</w:t>
      </w:r>
      <w:r>
        <w:rPr>
          <w:rFonts w:ascii="Book Antiqua" w:hAnsi="Book Antiqua" w:eastAsia="Book Antiqua" w:cs="Book Antiqua"/>
          <w:b/>
          <w:color w:val="000000" w:themeColor="text1"/>
          <w14:textFill>
            <w14:solidFill>
              <w14:schemeClr w14:val="tx1"/>
            </w14:solidFill>
          </w14:textFill>
        </w:rPr>
        <w:t xml:space="preserve"> A-Editor: </w:t>
      </w:r>
      <w:r>
        <w:rPr>
          <w:rFonts w:ascii="Book Antiqua" w:hAnsi="Book Antiqua" w:eastAsia="Book Antiqua" w:cs="Book Antiqua"/>
          <w:color w:val="000000" w:themeColor="text1"/>
          <w14:textFill>
            <w14:solidFill>
              <w14:schemeClr w14:val="tx1"/>
            </w14:solidFill>
          </w14:textFill>
        </w:rPr>
        <w:t>Nardi PD, Italy</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Liu JH</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 xml:space="preserve">Filipodia </w:t>
      </w:r>
      <w:r>
        <w:rPr>
          <w:rFonts w:ascii="Book Antiqua" w:hAnsi="Book Antiqua" w:eastAsia="Book Antiqua" w:cs="Book Antiqua"/>
          <w:b/>
          <w:color w:val="000000" w:themeColor="text1"/>
          <w14:textFill>
            <w14:solidFill>
              <w14:schemeClr w14:val="tx1"/>
            </w14:solidFill>
          </w14:textFill>
        </w:rPr>
        <w:t xml:space="preserve">P-Editor: </w:t>
      </w:r>
      <w:r>
        <w:rPr>
          <w:rFonts w:ascii="Book Antiqua" w:hAnsi="Book Antiqua" w:eastAsia="Book Antiqua" w:cs="Book Antiqua"/>
          <w:color w:val="000000" w:themeColor="text1"/>
          <w14:textFill>
            <w14:solidFill>
              <w14:schemeClr w14:val="tx1"/>
            </w14:solidFill>
          </w14:textFill>
        </w:rPr>
        <w:t>Liu JH</w:t>
      </w:r>
    </w:p>
    <w:p>
      <w:pPr>
        <w:spacing w:line="360" w:lineRule="auto"/>
        <w:jc w:val="both"/>
        <w:rPr>
          <w:rFonts w:ascii="Book Antiqua" w:hAnsi="Book Antiqua"/>
          <w:b/>
          <w:color w:val="000000" w:themeColor="text1"/>
          <w14:textFill>
            <w14:solidFill>
              <w14:schemeClr w14:val="tx1"/>
            </w14:solidFill>
          </w14:textFill>
        </w:rPr>
      </w:pPr>
    </w:p>
    <w:p>
      <w:pPr>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br w:type="page"/>
      </w:r>
    </w:p>
    <w:p>
      <w:pPr>
        <w:pBdr>
          <w:bottom w:val="single" w:color="auto" w:sz="4" w:space="1"/>
        </w:pBd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1 The demographic and laboratory characteristics of celiac patients and their siblings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8"/>
        <w:gridCol w:w="2835"/>
        <w:gridCol w:w="2410"/>
        <w:gridCol w:w="18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p>
        </w:tc>
        <w:tc>
          <w:tcPr>
            <w:tcW w:w="2835"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Celiac patients, </w:t>
            </w:r>
            <w:r>
              <w:rPr>
                <w:rFonts w:ascii="Book Antiqua" w:hAnsi="Book Antiqua"/>
                <w:b/>
                <w:i/>
                <w:color w:val="000000" w:themeColor="text1"/>
                <w14:textFill>
                  <w14:solidFill>
                    <w14:schemeClr w14:val="tx1"/>
                  </w14:solidFill>
                </w14:textFill>
              </w:rPr>
              <w:t>n</w:t>
            </w:r>
            <w:r>
              <w:rPr>
                <w:rFonts w:ascii="Book Antiqua" w:hAnsi="Book Antiqua"/>
                <w:b/>
                <w:color w:val="000000" w:themeColor="text1"/>
                <w14:textFill>
                  <w14:solidFill>
                    <w14:schemeClr w14:val="tx1"/>
                  </w14:solidFill>
                </w14:textFill>
              </w:rPr>
              <w:t xml:space="preserve"> = 57</w:t>
            </w:r>
          </w:p>
        </w:tc>
        <w:tc>
          <w:tcPr>
            <w:tcW w:w="2410"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Siblings, </w:t>
            </w:r>
            <w:r>
              <w:rPr>
                <w:rFonts w:ascii="Book Antiqua" w:hAnsi="Book Antiqua"/>
                <w:b/>
                <w:i/>
                <w:color w:val="000000" w:themeColor="text1"/>
                <w14:textFill>
                  <w14:solidFill>
                    <w14:schemeClr w14:val="tx1"/>
                  </w14:solidFill>
                </w14:textFill>
              </w:rPr>
              <w:t>n</w:t>
            </w:r>
            <w:r>
              <w:rPr>
                <w:rFonts w:ascii="Book Antiqua" w:hAnsi="Book Antiqua"/>
                <w:b/>
                <w:color w:val="000000" w:themeColor="text1"/>
                <w14:textFill>
                  <w14:solidFill>
                    <w14:schemeClr w14:val="tx1"/>
                  </w14:solidFill>
                </w14:textFill>
              </w:rPr>
              <w:t xml:space="preserve"> = 112</w:t>
            </w:r>
          </w:p>
        </w:tc>
        <w:tc>
          <w:tcPr>
            <w:tcW w:w="1837"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P</w:t>
            </w:r>
            <w:r>
              <w:rPr>
                <w:rFonts w:ascii="Book Antiqua" w:hAnsi="Book Antiqua"/>
                <w:b/>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Age (yr)</w:t>
            </w:r>
          </w:p>
        </w:tc>
        <w:tc>
          <w:tcPr>
            <w:tcW w:w="2835"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10.30 ± 3.87</w:t>
            </w:r>
          </w:p>
        </w:tc>
        <w:tc>
          <w:tcPr>
            <w:tcW w:w="2410"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9.90 ± 6.11</w:t>
            </w:r>
          </w:p>
        </w:tc>
        <w:tc>
          <w:tcPr>
            <w:tcW w:w="1837" w:type="dxa"/>
            <w:tcBorders>
              <w:top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Sex (female/male)</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33/24</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54/58</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0.234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Height (cm)</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132.71 ± 20.29</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130.27 ± 31.37</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Weight (kg)</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30.44 ± 12.82</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33.22 ± 19.18</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Hb (g/dL)</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11.65 ± 3.87</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12.71 ± 1.56</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tTG IgA (U/mL)</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108.65 ± 60.61</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17.24 ± 41.14</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268"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Total IgA (mg/dL)</w:t>
            </w:r>
          </w:p>
        </w:tc>
        <w:tc>
          <w:tcPr>
            <w:tcW w:w="2835"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155.43 ± 78.44</w:t>
            </w:r>
          </w:p>
        </w:tc>
        <w:tc>
          <w:tcPr>
            <w:tcW w:w="2410"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124.33 ± 71.47</w:t>
            </w:r>
          </w:p>
        </w:tc>
        <w:tc>
          <w:tcPr>
            <w:tcW w:w="1837" w:type="dxa"/>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0.014</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Hb: Hemoglobin; tTG: T</w:t>
      </w:r>
      <w:r>
        <w:rPr>
          <w:rFonts w:ascii="Book Antiqua" w:hAnsi="Book Antiqua" w:eastAsia="Book Antiqua" w:cs="Book Antiqua"/>
          <w:color w:val="000000" w:themeColor="text1"/>
          <w14:textFill>
            <w14:solidFill>
              <w14:schemeClr w14:val="tx1"/>
            </w14:solidFill>
          </w14:textFill>
        </w:rPr>
        <w:t>issue transglutaminase antibody.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2 The distribution of human leucocyte antigen genotypes of celiac patients and their siblings</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3823"/>
        <w:gridCol w:w="3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0"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HLA genotypes</w:t>
            </w:r>
          </w:p>
        </w:tc>
        <w:tc>
          <w:tcPr>
            <w:tcW w:w="3823"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Celiac patients, </w:t>
            </w:r>
            <w:r>
              <w:rPr>
                <w:rFonts w:ascii="Book Antiqua" w:hAnsi="Book Antiqua"/>
                <w:b/>
                <w:i/>
                <w:color w:val="000000" w:themeColor="text1"/>
                <w14:textFill>
                  <w14:solidFill>
                    <w14:schemeClr w14:val="tx1"/>
                  </w14:solidFill>
                </w14:textFill>
              </w:rPr>
              <w:t>n</w:t>
            </w:r>
            <w:r>
              <w:rPr>
                <w:rFonts w:ascii="Book Antiqua" w:hAnsi="Book Antiqua"/>
                <w:b/>
                <w:color w:val="000000" w:themeColor="text1"/>
                <w14:textFill>
                  <w14:solidFill>
                    <w14:schemeClr w14:val="tx1"/>
                  </w14:solidFill>
                </w14:textFill>
              </w:rPr>
              <w:t xml:space="preserve"> = 57 (100%)</w:t>
            </w:r>
          </w:p>
        </w:tc>
        <w:tc>
          <w:tcPr>
            <w:tcW w:w="3117" w:type="dxa"/>
            <w:tcBorders>
              <w:top w:val="single" w:color="auto" w:sz="4" w:space="0"/>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Siblings, </w:t>
            </w:r>
            <w:r>
              <w:rPr>
                <w:rFonts w:ascii="Book Antiqua" w:hAnsi="Book Antiqua"/>
                <w:b/>
                <w:i/>
                <w:color w:val="000000" w:themeColor="text1"/>
                <w14:textFill>
                  <w14:solidFill>
                    <w14:schemeClr w14:val="tx1"/>
                  </w14:solidFill>
                </w14:textFill>
              </w:rPr>
              <w:t>n</w:t>
            </w:r>
            <w:r>
              <w:rPr>
                <w:rFonts w:ascii="Book Antiqua" w:hAnsi="Book Antiqua"/>
                <w:b/>
                <w:color w:val="000000" w:themeColor="text1"/>
                <w14:textFill>
                  <w14:solidFill>
                    <w14:schemeClr w14:val="tx1"/>
                  </w14:solidFill>
                </w14:textFill>
              </w:rPr>
              <w:t xml:space="preserve"> = 112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0" w:type="dxa"/>
            <w:tcBorders>
              <w:top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HLA-DQ2</w:t>
            </w:r>
          </w:p>
        </w:tc>
        <w:tc>
          <w:tcPr>
            <w:tcW w:w="3823" w:type="dxa"/>
            <w:tcBorders>
              <w:top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 (57.9)</w:t>
            </w:r>
          </w:p>
        </w:tc>
        <w:tc>
          <w:tcPr>
            <w:tcW w:w="3117" w:type="dxa"/>
            <w:tcBorders>
              <w:top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68 (60.7)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410"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HLA-DQ2/DQ8</w:t>
            </w:r>
          </w:p>
        </w:tc>
        <w:tc>
          <w:tcPr>
            <w:tcW w:w="3823"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17 (29.8)</w:t>
            </w:r>
          </w:p>
        </w:tc>
        <w:tc>
          <w:tcPr>
            <w:tcW w:w="3117"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 (16.1)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0"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HLA-DQ8</w:t>
            </w:r>
          </w:p>
        </w:tc>
        <w:tc>
          <w:tcPr>
            <w:tcW w:w="3823"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 (10.5)</w:t>
            </w:r>
          </w:p>
        </w:tc>
        <w:tc>
          <w:tcPr>
            <w:tcW w:w="3117" w:type="dxa"/>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 (13.4)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0" w:type="dxa"/>
            <w:tcBorders>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Both negative</w:t>
            </w:r>
          </w:p>
        </w:tc>
        <w:tc>
          <w:tcPr>
            <w:tcW w:w="3823" w:type="dxa"/>
            <w:tcBorders>
              <w:bottom w:val="single" w:color="auto" w:sz="4" w:space="0"/>
            </w:tcBorders>
          </w:tcPr>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 (1.8)</w:t>
            </w:r>
          </w:p>
        </w:tc>
        <w:tc>
          <w:tcPr>
            <w:tcW w:w="3117" w:type="dxa"/>
            <w:tcBorders>
              <w:bottom w:val="single" w:color="auto" w:sz="4"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11 (9.8)</w:t>
            </w:r>
          </w:p>
        </w:tc>
      </w:tr>
    </w:tbl>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HLA: Human leucocyte antigen.</w:t>
      </w:r>
    </w:p>
    <w:p>
      <w:pPr>
        <w:spacing w:line="360" w:lineRule="auto"/>
        <w:jc w:val="both"/>
        <w:rPr>
          <w:rFonts w:ascii="Book Antiqua" w:hAnsi="Book Antiqua"/>
          <w:b/>
          <w:color w:val="000000" w:themeColor="text1"/>
          <w14:textFill>
            <w14:solidFill>
              <w14:schemeClr w14:val="tx1"/>
            </w14:solidFill>
          </w14:textFill>
        </w:rPr>
      </w:pPr>
    </w:p>
    <w:p>
      <w:pPr>
        <w:pBdr>
          <w:bottom w:val="single" w:color="auto" w:sz="4" w:space="1"/>
        </w:pBd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3 The laboratory and clinical data of siblings of celiac patients diagnosed with celiac disease</w:t>
      </w:r>
    </w:p>
    <w:tbl>
      <w:tblPr>
        <w:tblStyle w:val="9"/>
        <w:tblW w:w="955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1560"/>
        <w:gridCol w:w="2268"/>
        <w:gridCol w:w="850"/>
        <w:gridCol w:w="851"/>
        <w:gridCol w:w="850"/>
        <w:gridCol w:w="1276"/>
        <w:gridCol w:w="13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67"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c>
          <w:tcPr>
            <w:tcW w:w="1560"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Patient age at diagnosis (yr)</w:t>
            </w:r>
          </w:p>
        </w:tc>
        <w:tc>
          <w:tcPr>
            <w:tcW w:w="2268"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Symptoms</w:t>
            </w:r>
          </w:p>
        </w:tc>
        <w:tc>
          <w:tcPr>
            <w:tcW w:w="850"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Hb (g/dL)</w:t>
            </w:r>
          </w:p>
        </w:tc>
        <w:tc>
          <w:tcPr>
            <w:tcW w:w="85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tTG (U/mL)</w:t>
            </w:r>
          </w:p>
        </w:tc>
        <w:tc>
          <w:tcPr>
            <w:tcW w:w="850"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IgA (mg/dL)</w:t>
            </w:r>
          </w:p>
        </w:tc>
        <w:tc>
          <w:tcPr>
            <w:tcW w:w="1276"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HLA</w:t>
            </w:r>
          </w:p>
        </w:tc>
        <w:tc>
          <w:tcPr>
            <w:tcW w:w="1329"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Pathology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67"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w:t>
            </w:r>
          </w:p>
        </w:tc>
        <w:tc>
          <w:tcPr>
            <w:tcW w:w="1560"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6</w:t>
            </w:r>
          </w:p>
        </w:tc>
        <w:tc>
          <w:tcPr>
            <w:tcW w:w="2268"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Failure to thrive, anemia</w:t>
            </w:r>
          </w:p>
        </w:tc>
        <w:tc>
          <w:tcPr>
            <w:tcW w:w="850"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10.9</w:t>
            </w:r>
          </w:p>
        </w:tc>
        <w:tc>
          <w:tcPr>
            <w:tcW w:w="851"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140</w:t>
            </w:r>
          </w:p>
        </w:tc>
        <w:tc>
          <w:tcPr>
            <w:tcW w:w="850"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206</w:t>
            </w:r>
          </w:p>
        </w:tc>
        <w:tc>
          <w:tcPr>
            <w:tcW w:w="1276"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Borders>
              <w:top w:val="single" w:color="auto" w:sz="4" w:space="0"/>
            </w:tcBorders>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2</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8.5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13.4</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94</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87</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DQ8</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3</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18</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13.5</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105</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99</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4</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4.3</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 xml:space="preserve">Failure to thrive, anemia </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10.4</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46</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33</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5</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Failure to thrive, anemia</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7.7</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135</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254</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6</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5.5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Failure to thrive, anemia</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11.7</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35</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66</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7</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16.5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Anemia</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11.7</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41</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86</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8</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16</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13.3</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187</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190</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9</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14.5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14.3</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37</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179</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DQ2/DQ8</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12</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Anemia</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11.9</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46</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122</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DQ2/DQ8</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 xml:space="preserve">Failure to thrive </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13.1</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127</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148</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567"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12</w:t>
            </w:r>
          </w:p>
        </w:tc>
        <w:tc>
          <w:tcPr>
            <w:tcW w:w="156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10.5</w:t>
            </w:r>
          </w:p>
        </w:tc>
        <w:tc>
          <w:tcPr>
            <w:tcW w:w="2268"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 xml:space="preserve">Failure to thrive, anemia </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10.9</w:t>
            </w:r>
          </w:p>
        </w:tc>
        <w:tc>
          <w:tcPr>
            <w:tcW w:w="851"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34</w:t>
            </w:r>
          </w:p>
        </w:tc>
        <w:tc>
          <w:tcPr>
            <w:tcW w:w="850"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70</w:t>
            </w:r>
          </w:p>
        </w:tc>
        <w:tc>
          <w:tcPr>
            <w:tcW w:w="1276"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DQ2</w:t>
            </w:r>
          </w:p>
        </w:tc>
        <w:tc>
          <w:tcPr>
            <w:tcW w:w="1329" w:type="dxa"/>
          </w:tcPr>
          <w:p>
            <w:pPr>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Marsh 3b</w:t>
            </w:r>
          </w:p>
        </w:tc>
      </w:tr>
    </w:tbl>
    <w:p>
      <w:pPr>
        <w:spacing w:line="360" w:lineRule="auto"/>
        <w:jc w:val="both"/>
        <w:rPr>
          <w:rFonts w:ascii="Book Antiqua" w:hAnsi="Book Antiqua" w:eastAsia="Book Antiqua" w:cs="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themeColor="text1"/>
          <w14:textFill>
            <w14:solidFill>
              <w14:schemeClr w14:val="tx1"/>
            </w14:solidFill>
          </w14:textFill>
        </w:rPr>
        <w:t xml:space="preserve">HLA: Human leucocyte antigen; </w:t>
      </w:r>
      <w:r>
        <w:rPr>
          <w:rFonts w:ascii="Book Antiqua" w:hAnsi="Book Antiqua"/>
          <w:color w:val="000000" w:themeColor="text1"/>
          <w14:textFill>
            <w14:solidFill>
              <w14:schemeClr w14:val="tx1"/>
            </w14:solidFill>
          </w14:textFill>
        </w:rPr>
        <w:t>Hb: Hemoglobin; tTG: T</w:t>
      </w:r>
      <w:r>
        <w:rPr>
          <w:rFonts w:ascii="Book Antiqua" w:hAnsi="Book Antiqua" w:eastAsia="Book Antiqua" w:cs="Book Antiqua"/>
          <w:color w:val="000000" w:themeColor="text1"/>
          <w14:textFill>
            <w14:solidFill>
              <w14:schemeClr w14:val="tx1"/>
            </w14:solidFill>
          </w14:textFill>
        </w:rPr>
        <w:t>issue transglutaminase antibody.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themeColor="text1"/>
          <w14:textFill>
            <w14:solidFill>
              <w14:schemeClr w14:val="tx1"/>
            </w14:solidFill>
          </w14:textFill>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BoldItalicMT">
    <w:altName w:val="Times New Roman"/>
    <w:panose1 w:val="00000000000000000000"/>
    <w:charset w:val="00"/>
    <w:family w:val="roman"/>
    <w:pitch w:val="default"/>
    <w:sig w:usb0="00000000" w:usb1="00000000" w:usb2="00000001" w:usb3="00000000" w:csb0="000001B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90416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205"/>
    <w:rsid w:val="00011D99"/>
    <w:rsid w:val="00020E4B"/>
    <w:rsid w:val="00023963"/>
    <w:rsid w:val="000304A2"/>
    <w:rsid w:val="000316F7"/>
    <w:rsid w:val="00031A6C"/>
    <w:rsid w:val="00040633"/>
    <w:rsid w:val="0006336B"/>
    <w:rsid w:val="00076EF1"/>
    <w:rsid w:val="000C10B6"/>
    <w:rsid w:val="000D1E3A"/>
    <w:rsid w:val="000F1D9C"/>
    <w:rsid w:val="00106652"/>
    <w:rsid w:val="0013351E"/>
    <w:rsid w:val="00140148"/>
    <w:rsid w:val="00140CE6"/>
    <w:rsid w:val="00146535"/>
    <w:rsid w:val="00147660"/>
    <w:rsid w:val="00147B27"/>
    <w:rsid w:val="00154B00"/>
    <w:rsid w:val="0016267D"/>
    <w:rsid w:val="001639B0"/>
    <w:rsid w:val="0017504C"/>
    <w:rsid w:val="001846F8"/>
    <w:rsid w:val="001903D0"/>
    <w:rsid w:val="00190C75"/>
    <w:rsid w:val="001A1A23"/>
    <w:rsid w:val="001A4BB7"/>
    <w:rsid w:val="001B2AA0"/>
    <w:rsid w:val="001C450B"/>
    <w:rsid w:val="001C6C71"/>
    <w:rsid w:val="0020166E"/>
    <w:rsid w:val="0020568F"/>
    <w:rsid w:val="00213226"/>
    <w:rsid w:val="002235FC"/>
    <w:rsid w:val="0023497F"/>
    <w:rsid w:val="0023720F"/>
    <w:rsid w:val="00237B83"/>
    <w:rsid w:val="0025073B"/>
    <w:rsid w:val="00252DD8"/>
    <w:rsid w:val="00255318"/>
    <w:rsid w:val="002640A2"/>
    <w:rsid w:val="0028741E"/>
    <w:rsid w:val="0029448F"/>
    <w:rsid w:val="002A3851"/>
    <w:rsid w:val="002A4F95"/>
    <w:rsid w:val="002B271C"/>
    <w:rsid w:val="002B3F4D"/>
    <w:rsid w:val="002E08EC"/>
    <w:rsid w:val="002E23DD"/>
    <w:rsid w:val="002E3DCD"/>
    <w:rsid w:val="003040E5"/>
    <w:rsid w:val="00351BDE"/>
    <w:rsid w:val="00357F10"/>
    <w:rsid w:val="00372348"/>
    <w:rsid w:val="00375E41"/>
    <w:rsid w:val="003A0B42"/>
    <w:rsid w:val="003B0C0A"/>
    <w:rsid w:val="003C0947"/>
    <w:rsid w:val="003C16EB"/>
    <w:rsid w:val="003C1A5C"/>
    <w:rsid w:val="003F4C13"/>
    <w:rsid w:val="00400144"/>
    <w:rsid w:val="00403188"/>
    <w:rsid w:val="00421D9C"/>
    <w:rsid w:val="004231A2"/>
    <w:rsid w:val="004357F9"/>
    <w:rsid w:val="0045148C"/>
    <w:rsid w:val="00454A0B"/>
    <w:rsid w:val="004668F5"/>
    <w:rsid w:val="0049749F"/>
    <w:rsid w:val="004A05BC"/>
    <w:rsid w:val="004A57F8"/>
    <w:rsid w:val="004B30A4"/>
    <w:rsid w:val="004B4893"/>
    <w:rsid w:val="004B5756"/>
    <w:rsid w:val="004C3D4C"/>
    <w:rsid w:val="004C79DB"/>
    <w:rsid w:val="00511A2F"/>
    <w:rsid w:val="005145F7"/>
    <w:rsid w:val="00517CA6"/>
    <w:rsid w:val="005355B8"/>
    <w:rsid w:val="005513B6"/>
    <w:rsid w:val="00552643"/>
    <w:rsid w:val="00557F25"/>
    <w:rsid w:val="00577CA1"/>
    <w:rsid w:val="005B3C0E"/>
    <w:rsid w:val="005C0D5C"/>
    <w:rsid w:val="005C134A"/>
    <w:rsid w:val="005C73F1"/>
    <w:rsid w:val="005E4875"/>
    <w:rsid w:val="00607BC5"/>
    <w:rsid w:val="00611AF3"/>
    <w:rsid w:val="0061452A"/>
    <w:rsid w:val="006148CF"/>
    <w:rsid w:val="006302B6"/>
    <w:rsid w:val="00637C57"/>
    <w:rsid w:val="00675091"/>
    <w:rsid w:val="00675136"/>
    <w:rsid w:val="006912AB"/>
    <w:rsid w:val="006A7476"/>
    <w:rsid w:val="006E1CEB"/>
    <w:rsid w:val="006E7490"/>
    <w:rsid w:val="006F0906"/>
    <w:rsid w:val="006F2690"/>
    <w:rsid w:val="006F5803"/>
    <w:rsid w:val="006F61CC"/>
    <w:rsid w:val="006F78D7"/>
    <w:rsid w:val="0070049C"/>
    <w:rsid w:val="00701289"/>
    <w:rsid w:val="007102A7"/>
    <w:rsid w:val="00712EC4"/>
    <w:rsid w:val="007152F5"/>
    <w:rsid w:val="00753081"/>
    <w:rsid w:val="00782468"/>
    <w:rsid w:val="007C0B12"/>
    <w:rsid w:val="007C1F38"/>
    <w:rsid w:val="007C3E85"/>
    <w:rsid w:val="007D307F"/>
    <w:rsid w:val="007D5272"/>
    <w:rsid w:val="007E35F4"/>
    <w:rsid w:val="007E5C3F"/>
    <w:rsid w:val="00820394"/>
    <w:rsid w:val="00826DEB"/>
    <w:rsid w:val="00841EA7"/>
    <w:rsid w:val="00842759"/>
    <w:rsid w:val="00844C5A"/>
    <w:rsid w:val="00852AE1"/>
    <w:rsid w:val="00856AAC"/>
    <w:rsid w:val="00857A81"/>
    <w:rsid w:val="008663B0"/>
    <w:rsid w:val="00873DBF"/>
    <w:rsid w:val="0088491E"/>
    <w:rsid w:val="00895E3E"/>
    <w:rsid w:val="008A671C"/>
    <w:rsid w:val="008B50B1"/>
    <w:rsid w:val="008B6A32"/>
    <w:rsid w:val="008D712E"/>
    <w:rsid w:val="008E0442"/>
    <w:rsid w:val="008E4A44"/>
    <w:rsid w:val="008F3B23"/>
    <w:rsid w:val="00901568"/>
    <w:rsid w:val="0091401B"/>
    <w:rsid w:val="00950CB8"/>
    <w:rsid w:val="009723E4"/>
    <w:rsid w:val="00983099"/>
    <w:rsid w:val="0098682E"/>
    <w:rsid w:val="00994645"/>
    <w:rsid w:val="0099516A"/>
    <w:rsid w:val="00997692"/>
    <w:rsid w:val="009C2CA7"/>
    <w:rsid w:val="009D3AF3"/>
    <w:rsid w:val="009F2CA5"/>
    <w:rsid w:val="009F470E"/>
    <w:rsid w:val="00A11449"/>
    <w:rsid w:val="00A318FA"/>
    <w:rsid w:val="00A61336"/>
    <w:rsid w:val="00A76B33"/>
    <w:rsid w:val="00A77B3E"/>
    <w:rsid w:val="00A9458E"/>
    <w:rsid w:val="00A9614F"/>
    <w:rsid w:val="00AA0B6E"/>
    <w:rsid w:val="00AA1483"/>
    <w:rsid w:val="00AA74DF"/>
    <w:rsid w:val="00AB29EB"/>
    <w:rsid w:val="00AB5072"/>
    <w:rsid w:val="00AB5C67"/>
    <w:rsid w:val="00AC1E18"/>
    <w:rsid w:val="00AD6D90"/>
    <w:rsid w:val="00AE0579"/>
    <w:rsid w:val="00AE3A22"/>
    <w:rsid w:val="00B03C75"/>
    <w:rsid w:val="00B04F3E"/>
    <w:rsid w:val="00B15D7E"/>
    <w:rsid w:val="00B17CF6"/>
    <w:rsid w:val="00B322EA"/>
    <w:rsid w:val="00B33F48"/>
    <w:rsid w:val="00B346F2"/>
    <w:rsid w:val="00B35242"/>
    <w:rsid w:val="00B37655"/>
    <w:rsid w:val="00B44FA8"/>
    <w:rsid w:val="00B53F71"/>
    <w:rsid w:val="00B817C3"/>
    <w:rsid w:val="00B91ECC"/>
    <w:rsid w:val="00BA333E"/>
    <w:rsid w:val="00BB33E1"/>
    <w:rsid w:val="00BC52DF"/>
    <w:rsid w:val="00C04E6D"/>
    <w:rsid w:val="00C05CEB"/>
    <w:rsid w:val="00C160BF"/>
    <w:rsid w:val="00C43BDE"/>
    <w:rsid w:val="00C43FA7"/>
    <w:rsid w:val="00C6048F"/>
    <w:rsid w:val="00C62351"/>
    <w:rsid w:val="00C73435"/>
    <w:rsid w:val="00C738DC"/>
    <w:rsid w:val="00C75BF8"/>
    <w:rsid w:val="00C81319"/>
    <w:rsid w:val="00C82460"/>
    <w:rsid w:val="00C840F0"/>
    <w:rsid w:val="00C87C12"/>
    <w:rsid w:val="00C94B05"/>
    <w:rsid w:val="00C96C19"/>
    <w:rsid w:val="00CA2821"/>
    <w:rsid w:val="00CA2A55"/>
    <w:rsid w:val="00CB713D"/>
    <w:rsid w:val="00CC11E7"/>
    <w:rsid w:val="00CE4B41"/>
    <w:rsid w:val="00CF071C"/>
    <w:rsid w:val="00CF5260"/>
    <w:rsid w:val="00D177F5"/>
    <w:rsid w:val="00D2343B"/>
    <w:rsid w:val="00D304B3"/>
    <w:rsid w:val="00D36404"/>
    <w:rsid w:val="00D4217B"/>
    <w:rsid w:val="00D46E0C"/>
    <w:rsid w:val="00D51706"/>
    <w:rsid w:val="00D53CA2"/>
    <w:rsid w:val="00D6312E"/>
    <w:rsid w:val="00D66ED6"/>
    <w:rsid w:val="00D7709E"/>
    <w:rsid w:val="00D8128E"/>
    <w:rsid w:val="00D918C1"/>
    <w:rsid w:val="00D955C5"/>
    <w:rsid w:val="00DA168F"/>
    <w:rsid w:val="00DB544E"/>
    <w:rsid w:val="00DB778B"/>
    <w:rsid w:val="00DD1428"/>
    <w:rsid w:val="00DD498A"/>
    <w:rsid w:val="00DD54C6"/>
    <w:rsid w:val="00DD7FFC"/>
    <w:rsid w:val="00DE42F2"/>
    <w:rsid w:val="00DE6E90"/>
    <w:rsid w:val="00E111E4"/>
    <w:rsid w:val="00E15BC2"/>
    <w:rsid w:val="00E17B39"/>
    <w:rsid w:val="00E26EC1"/>
    <w:rsid w:val="00E40EF4"/>
    <w:rsid w:val="00E60391"/>
    <w:rsid w:val="00E61247"/>
    <w:rsid w:val="00E6144C"/>
    <w:rsid w:val="00E7245F"/>
    <w:rsid w:val="00E81B2D"/>
    <w:rsid w:val="00E91E5B"/>
    <w:rsid w:val="00E97BD9"/>
    <w:rsid w:val="00EA4B70"/>
    <w:rsid w:val="00EC5E04"/>
    <w:rsid w:val="00ED7BF9"/>
    <w:rsid w:val="00EE13C3"/>
    <w:rsid w:val="00EE7655"/>
    <w:rsid w:val="00EF6F77"/>
    <w:rsid w:val="00F01D45"/>
    <w:rsid w:val="00F3799F"/>
    <w:rsid w:val="00F42B0A"/>
    <w:rsid w:val="00F4735E"/>
    <w:rsid w:val="00F62278"/>
    <w:rsid w:val="00F62354"/>
    <w:rsid w:val="00F646E0"/>
    <w:rsid w:val="00F64BE4"/>
    <w:rsid w:val="00F657F8"/>
    <w:rsid w:val="00F904CE"/>
    <w:rsid w:val="00FA3DFA"/>
    <w:rsid w:val="00FB6518"/>
    <w:rsid w:val="00FC208F"/>
    <w:rsid w:val="00FD3131"/>
    <w:rsid w:val="00FD3AD2"/>
    <w:rsid w:val="00FF365A"/>
    <w:rsid w:val="3A5C3FC0"/>
    <w:rsid w:val="5CC1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Balloon Text"/>
    <w:basedOn w:val="1"/>
    <w:link w:val="16"/>
    <w:semiHidden/>
    <w:unhideWhenUsed/>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eastAsia="Times New Roman"/>
      <w:lang w:val="tr-TR" w:eastAsia="tr-TR"/>
    </w:rPr>
  </w:style>
  <w:style w:type="paragraph" w:styleId="7">
    <w:name w:val="annotation subject"/>
    <w:basedOn w:val="2"/>
    <w:next w:val="2"/>
    <w:link w:val="15"/>
    <w:semiHidden/>
    <w:unhideWhenUsed/>
    <w:uiPriority w:val="0"/>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5"/>
    <w:qFormat/>
    <w:uiPriority w:val="0"/>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0"/>
    <w:rPr>
      <w:sz w:val="24"/>
      <w:szCs w:val="24"/>
    </w:rPr>
  </w:style>
  <w:style w:type="character" w:customStyle="1" w:styleId="15">
    <w:name w:val="批注主题 字符"/>
    <w:basedOn w:val="14"/>
    <w:link w:val="7"/>
    <w:semiHidden/>
    <w:qFormat/>
    <w:uiPriority w:val="0"/>
    <w:rPr>
      <w:b/>
      <w:bCs/>
      <w:sz w:val="24"/>
      <w:szCs w:val="24"/>
    </w:rPr>
  </w:style>
  <w:style w:type="character" w:customStyle="1" w:styleId="16">
    <w:name w:val="批注框文本 字符"/>
    <w:basedOn w:val="10"/>
    <w:link w:val="3"/>
    <w:semiHidden/>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5630</Words>
  <Characters>32092</Characters>
  <Lines>267</Lines>
  <Paragraphs>75</Paragraphs>
  <TotalTime>0</TotalTime>
  <ScaleCrop>false</ScaleCrop>
  <LinksUpToDate>false</LinksUpToDate>
  <CharactersWithSpaces>37647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2022-06-03T01:15:00Z</dcterms:created>
  <dc:creator>Yasin Şahin</dc:creator>
  <cp:lastModifiedBy>千</cp:lastModifiedBy>
  <dcterms:modified xsi:type="dcterms:W3CDTF">2022-07-05T01:46:08Z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26B45FDEDE3E4B819FF5506493F5CF18</vt:lpwstr>
  </property>
</Properties>
</file>