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74902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Not all liver tumors are alike — an accidentally discovered primary hepatic leiomyosarcoma: A case report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Garrido I </w:t>
      </w:r>
      <w:r>
        <w:rPr>
          <w:rFonts w:ascii="Book Antiqua" w:hAnsi="Book Antiqua" w:eastAsia="Book Antiqua" w:cs="Book Antiqua"/>
          <w:i/>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An accidentally discovered primary hepatic leiomyosarcoma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lang w:val="pt-PT"/>
          <w14:textFill>
            <w14:solidFill>
              <w14:schemeClr w14:val="tx1"/>
            </w14:solidFill>
          </w14:textFill>
        </w:rPr>
      </w:pPr>
      <w:r>
        <w:rPr>
          <w:rFonts w:ascii="Book Antiqua" w:hAnsi="Book Antiqua" w:eastAsia="Book Antiqua" w:cs="Book Antiqua"/>
          <w:color w:val="000000" w:themeColor="text1"/>
          <w:lang w:val="pt-PT"/>
          <w14:textFill>
            <w14:solidFill>
              <w14:schemeClr w14:val="tx1"/>
            </w14:solidFill>
          </w14:textFill>
        </w:rPr>
        <w:t>Isabel Garrido, Patrícia Andrade, João Pacheco, Elisabete Rios, Guilherme Macedo</w:t>
      </w:r>
    </w:p>
    <w:p>
      <w:pPr>
        <w:spacing w:line="360" w:lineRule="auto"/>
        <w:jc w:val="both"/>
        <w:rPr>
          <w:color w:val="000000" w:themeColor="text1"/>
          <w:lang w:val="pt-PT"/>
          <w14:textFill>
            <w14:solidFill>
              <w14:schemeClr w14:val="tx1"/>
            </w14:solidFill>
          </w14:textFill>
        </w:rPr>
      </w:pPr>
    </w:p>
    <w:p>
      <w:pPr>
        <w:spacing w:line="360" w:lineRule="auto"/>
        <w:jc w:val="both"/>
        <w:rPr>
          <w:color w:val="000000" w:themeColor="text1"/>
          <w:lang w:val="pt-PT"/>
          <w14:textFill>
            <w14:solidFill>
              <w14:schemeClr w14:val="tx1"/>
            </w14:solidFill>
          </w14:textFill>
        </w:rPr>
      </w:pPr>
      <w:r>
        <w:rPr>
          <w:rFonts w:ascii="Book Antiqua" w:hAnsi="Book Antiqua" w:eastAsia="Book Antiqua" w:cs="Book Antiqua"/>
          <w:b/>
          <w:bCs/>
          <w:color w:val="000000" w:themeColor="text1"/>
          <w:lang w:val="pt-PT"/>
          <w14:textFill>
            <w14:solidFill>
              <w14:schemeClr w14:val="tx1"/>
            </w14:solidFill>
          </w14:textFill>
        </w:rPr>
        <w:t xml:space="preserve">Isabel Garrido, Patrícia Andrade, Guilherme Macedo, </w:t>
      </w:r>
      <w:r>
        <w:rPr>
          <w:rFonts w:ascii="Book Antiqua" w:hAnsi="Book Antiqua" w:eastAsia="Book Antiqua" w:cs="Book Antiqua"/>
          <w:color w:val="000000" w:themeColor="text1"/>
          <w:lang w:val="pt-PT"/>
          <w14:textFill>
            <w14:solidFill>
              <w14:schemeClr w14:val="tx1"/>
            </w14:solidFill>
          </w14:textFill>
        </w:rPr>
        <w:t>Gastroenterology and Hepatology Department, Centro Hospitalar Universitário de São João, Porto 4200-319, Portugal</w:t>
      </w:r>
    </w:p>
    <w:p>
      <w:pPr>
        <w:spacing w:line="360" w:lineRule="auto"/>
        <w:jc w:val="both"/>
        <w:rPr>
          <w:rFonts w:ascii="Book Antiqua" w:hAnsi="Book Antiqua" w:eastAsia="Book Antiqua" w:cs="Book Antiqua"/>
          <w:color w:val="000000" w:themeColor="text1"/>
          <w:lang w:val="pt-PT"/>
          <w14:textFill>
            <w14:solidFill>
              <w14:schemeClr w14:val="tx1"/>
            </w14:solidFill>
          </w14:textFill>
        </w:rPr>
      </w:pPr>
    </w:p>
    <w:p>
      <w:pPr>
        <w:spacing w:line="360" w:lineRule="auto"/>
        <w:jc w:val="both"/>
        <w:rPr>
          <w:rFonts w:ascii="Book Antiqua" w:hAnsi="Book Antiqua" w:eastAsia="Book Antiqua" w:cs="Book Antiqua"/>
          <w:b/>
          <w:bCs/>
          <w:color w:val="000000" w:themeColor="text1"/>
          <w:lang w:val="pt-PT"/>
          <w14:textFill>
            <w14:solidFill>
              <w14:schemeClr w14:val="tx1"/>
            </w14:solidFill>
          </w14:textFill>
        </w:rPr>
      </w:pPr>
      <w:r>
        <w:rPr>
          <w:rFonts w:ascii="Book Antiqua" w:hAnsi="Book Antiqua" w:eastAsia="Book Antiqua" w:cs="Book Antiqua"/>
          <w:b/>
          <w:bCs/>
          <w:color w:val="000000" w:themeColor="text1"/>
          <w:lang w:val="pt-PT"/>
          <w14:textFill>
            <w14:solidFill>
              <w14:schemeClr w14:val="tx1"/>
            </w14:solidFill>
          </w14:textFill>
        </w:rPr>
        <w:t>Isabel Garrido, Patrícia Andrade, Guilherme Macedo,</w:t>
      </w:r>
      <w:r>
        <w:rPr>
          <w:rFonts w:ascii="Book Antiqua" w:hAnsi="Book Antiqua" w:eastAsia="Book Antiqua" w:cs="Book Antiqua"/>
          <w:bCs/>
          <w:color w:val="000000" w:themeColor="text1"/>
          <w:lang w:val="pt-PT"/>
          <w14:textFill>
            <w14:solidFill>
              <w14:schemeClr w14:val="tx1"/>
            </w14:solidFill>
          </w14:textFill>
        </w:rPr>
        <w:t xml:space="preserve"> World Gastroenterology Organization Porto Training Center, Porto </w:t>
      </w:r>
      <w:r>
        <w:rPr>
          <w:rFonts w:ascii="Book Antiqua" w:hAnsi="Book Antiqua" w:eastAsia="Book Antiqua" w:cs="Book Antiqua"/>
          <w:color w:val="000000" w:themeColor="text1"/>
          <w:lang w:val="pt-PT"/>
          <w14:textFill>
            <w14:solidFill>
              <w14:schemeClr w14:val="tx1"/>
            </w14:solidFill>
          </w14:textFill>
        </w:rPr>
        <w:t>4200-319</w:t>
      </w:r>
      <w:r>
        <w:rPr>
          <w:rFonts w:ascii="Book Antiqua" w:hAnsi="Book Antiqua" w:eastAsia="Book Antiqua" w:cs="Book Antiqua"/>
          <w:bCs/>
          <w:color w:val="000000" w:themeColor="text1"/>
          <w:lang w:val="pt-PT"/>
          <w14:textFill>
            <w14:solidFill>
              <w14:schemeClr w14:val="tx1"/>
            </w14:solidFill>
          </w14:textFill>
        </w:rPr>
        <w:t>, Portugal</w:t>
      </w:r>
    </w:p>
    <w:p>
      <w:pPr>
        <w:spacing w:line="360" w:lineRule="auto"/>
        <w:jc w:val="both"/>
        <w:rPr>
          <w:color w:val="000000" w:themeColor="text1"/>
          <w:lang w:val="pt-PT"/>
          <w14:textFill>
            <w14:solidFill>
              <w14:schemeClr w14:val="tx1"/>
            </w14:solidFill>
          </w14:textFill>
        </w:rPr>
      </w:pPr>
    </w:p>
    <w:p>
      <w:pPr>
        <w:spacing w:line="360" w:lineRule="auto"/>
        <w:jc w:val="both"/>
        <w:rPr>
          <w:color w:val="000000" w:themeColor="text1"/>
          <w:lang w:val="pt-PT"/>
          <w14:textFill>
            <w14:solidFill>
              <w14:schemeClr w14:val="tx1"/>
            </w14:solidFill>
          </w14:textFill>
        </w:rPr>
      </w:pPr>
      <w:r>
        <w:rPr>
          <w:rFonts w:ascii="Book Antiqua" w:hAnsi="Book Antiqua" w:eastAsia="Book Antiqua" w:cs="Book Antiqua"/>
          <w:b/>
          <w:bCs/>
          <w:color w:val="000000" w:themeColor="text1"/>
          <w:lang w:val="pt-PT"/>
          <w14:textFill>
            <w14:solidFill>
              <w14:schemeClr w14:val="tx1"/>
            </w14:solidFill>
          </w14:textFill>
        </w:rPr>
        <w:t xml:space="preserve">João Pacheco, Elisabete Rios, </w:t>
      </w:r>
      <w:r>
        <w:rPr>
          <w:rFonts w:ascii="Book Antiqua" w:hAnsi="Book Antiqua" w:eastAsia="Book Antiqua" w:cs="Book Antiqua"/>
          <w:color w:val="000000" w:themeColor="text1"/>
          <w:lang w:val="pt-PT"/>
          <w14:textFill>
            <w14:solidFill>
              <w14:schemeClr w14:val="tx1"/>
            </w14:solidFill>
          </w14:textFill>
        </w:rPr>
        <w:t>Pathology Department, Centro Hospitalar Universitário de São João, Porto 4200-319, Portugal</w:t>
      </w:r>
    </w:p>
    <w:p>
      <w:pPr>
        <w:spacing w:line="360" w:lineRule="auto"/>
        <w:jc w:val="both"/>
        <w:rPr>
          <w:color w:val="000000" w:themeColor="text1"/>
          <w:lang w:val="pt-PT"/>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2"/>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Garrido I drafted the manuscript; Garrido I, Andrade P, Pacheco J, Rios E and Macedo G have revised and finalized the manuscript; All authors have approved the final version of the manuscript.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lang w:val="pt-PT"/>
          <w14:textFill>
            <w14:solidFill>
              <w14:schemeClr w14:val="tx1"/>
            </w14:solidFill>
          </w14:textFill>
        </w:rPr>
        <w:t xml:space="preserve">Corresponding author: Isabel Garrido, MD, Doctor, </w:t>
      </w:r>
      <w:r>
        <w:rPr>
          <w:rFonts w:ascii="Book Antiqua" w:hAnsi="Book Antiqua" w:eastAsia="Book Antiqua" w:cs="Book Antiqua"/>
          <w:color w:val="000000" w:themeColor="text1"/>
          <w:lang w:val="pt-PT"/>
          <w14:textFill>
            <w14:solidFill>
              <w14:schemeClr w14:val="tx1"/>
            </w14:solidFill>
          </w14:textFill>
        </w:rPr>
        <w:t xml:space="preserve">Gastroenterology and Hepatology Department, Centro Hospitalar Universitário de São João, Alameda Prof. Hernâni Monteiro, Porto 4200-319, Portugal. </w:t>
      </w:r>
      <w:r>
        <w:rPr>
          <w:rFonts w:ascii="Book Antiqua" w:hAnsi="Book Antiqua" w:eastAsia="Book Antiqua" w:cs="Book Antiqua"/>
          <w:color w:val="000000" w:themeColor="text1"/>
          <w14:textFill>
            <w14:solidFill>
              <w14:schemeClr w14:val="tx1"/>
            </w14:solidFill>
          </w14:textFill>
        </w:rPr>
        <w:t>isabelmng@hotmail.com</w:t>
      </w:r>
    </w:p>
    <w:p>
      <w:pPr>
        <w:spacing w:line="360" w:lineRule="auto"/>
        <w:jc w:val="both"/>
        <w:rPr>
          <w:rFonts w:ascii="Book Antiqua" w:hAnsi="Book Antiqua" w:eastAsia="Book Antiqua" w:cs="Book Antiqua"/>
          <w:b/>
          <w:bCs/>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January 10,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January 22, 2022</w:t>
      </w:r>
    </w:p>
    <w:p>
      <w:pPr>
        <w:spacing w:line="360" w:lineRule="auto"/>
        <w:jc w:val="both"/>
        <w:rPr>
          <w:rFonts w:ascii="Book Antiqua" w:hAnsi="Book Antiqua" w:cs="Book Antiqua"/>
          <w:b w:val="0"/>
          <w:bCs w:val="0"/>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b w:val="0"/>
          <w:bCs w:val="0"/>
          <w:color w:val="000000" w:themeColor="text1"/>
          <w14:textFill>
            <w14:solidFill>
              <w14:schemeClr w14:val="tx1"/>
            </w14:solidFill>
          </w14:textFill>
        </w:rPr>
        <w:t>March 6,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eastAsia="Book Antiqua" w:cs="Book Antiqua"/>
          <w:i w:val="0"/>
          <w:iCs w:val="0"/>
          <w:caps w:val="0"/>
          <w:color w:val="000000"/>
          <w:spacing w:val="0"/>
          <w:sz w:val="24"/>
          <w:szCs w:val="24"/>
          <w:shd w:val="clear" w:fill="FFFFFF"/>
        </w:rPr>
        <w:t>April 27, 2022</w:t>
      </w:r>
    </w:p>
    <w:p>
      <w:pPr>
        <w:spacing w:line="360" w:lineRule="auto"/>
        <w:jc w:val="both"/>
        <w:rPr>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Primary hepatic leiomyosarcoma is a very rare entity that originates from smooth muscle. Preoperative diagnosis requires a high degree of suspicion due to atypical clinical presentation and non-specific imaging features.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We report the case of a 42-year-old man, with no relevant past medical history, accidentally diagnosed with a nodular liver lesion on a routine abdominal ultrasound. Liver function tests and hematology parameters as well as tumor markers were normal. A contrast-enhanced abdominal computed tomography scan revealed a heterogenous hepatic lesion measuring 40 mm </w:t>
      </w:r>
      <w:r>
        <w:rPr>
          <w:rFonts w:ascii="Book Antiqua" w:hAnsi="Book Antiqua" w:eastAsia="Book Antiqua" w:cs="Book Antiqua"/>
          <w:color w:val="000000" w:themeColor="text1"/>
          <w14:textFill>
            <w14:solidFill>
              <w14:schemeClr w14:val="tx1"/>
            </w14:solidFill>
          </w14:textFill>
        </w:rPr>
        <w:sym w:font="Symbol" w:char="F0B4"/>
      </w:r>
      <w:r>
        <w:rPr>
          <w:rFonts w:ascii="Book Antiqua" w:hAnsi="Book Antiqua" w:eastAsia="Book Antiqua" w:cs="Book Antiqua"/>
          <w:color w:val="000000" w:themeColor="text1"/>
          <w14:textFill>
            <w14:solidFill>
              <w14:schemeClr w14:val="tx1"/>
            </w14:solidFill>
          </w14:textFill>
        </w:rPr>
        <w:t xml:space="preserve"> 30 mm, adjacent to the left branch of the portal vein and the round ligament. Due to the unclear diagnosis, the patient underwent surgical resection. Histopathological and immunohistochemical examinations confirmed complete (R0) resection of a hepatic leiomyosarcoma. The patient remains without any signs of tumor recurrence for more than 2 years.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report a rare case of accidentally diagnosed primary hepatic leiomyosarcoma originating from the portal vein or the round ligament. Although this tumor has aggressive metastatic potential, a tumor-free resection margin is essential to improve survival.</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Primary hepatic leiomyosarcoma; Portal vein; Round ligament; Surgical resection; Case report</w:t>
      </w:r>
    </w:p>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color w:val="000000" w:themeColor="text1"/>
          <w14:textFill>
            <w14:solidFill>
              <w14:schemeClr w14:val="tx1"/>
            </w14:solidFill>
          </w14:textFill>
        </w:rPr>
      </w:pP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b/>
          <w:bCs/>
          <w:lang w:val="en-US" w:eastAsia="zh-CN"/>
        </w:rPr>
        <w:t>Citation</w:t>
      </w:r>
      <w:r>
        <w:rPr>
          <w:rFonts w:hint="eastAsia" w:ascii="Book Antiqua" w:hAnsi="Book Antiqua"/>
          <w:b w:val="0"/>
          <w:bCs w:val="0"/>
          <w:lang w:val="en-US" w:eastAsia="zh-CN"/>
        </w:rPr>
        <w:t xml:space="preserve">: </w:t>
      </w:r>
      <w:r>
        <w:rPr>
          <w:rFonts w:ascii="Book Antiqua" w:hAnsi="Book Antiqua" w:eastAsia="Book Antiqua" w:cs="Book Antiqua"/>
          <w:color w:val="000000" w:themeColor="text1"/>
          <w14:textFill>
            <w14:solidFill>
              <w14:schemeClr w14:val="tx1"/>
            </w14:solidFill>
          </w14:textFill>
        </w:rPr>
        <w:t xml:space="preserve">Garrido I, Andrade P, Pacheco J, Rios E, Macedo G. Not all liver tumors are alike — an accidentally discovered primary hepatic leiomyosarcoma: A case report.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 </w:t>
      </w:r>
      <w:r>
        <w:rPr>
          <w:rFonts w:hint="eastAsia" w:ascii="Book Antiqua" w:hAnsi="Book Antiqua" w:eastAsia="Book Antiqua" w:cs="Book Antiqua"/>
          <w:color w:val="000000" w:themeColor="text1"/>
          <w14:textFill>
            <w14:solidFill>
              <w14:schemeClr w14:val="tx1"/>
            </w14:solidFill>
          </w14:textFill>
        </w:rPr>
        <w:t xml:space="preserve">14(4): </w:t>
      </w:r>
      <w:r>
        <w:rPr>
          <w:rFonts w:hint="eastAsia" w:ascii="Book Antiqua" w:hAnsi="Book Antiqua" w:eastAsia="宋体" w:cs="Book Antiqua"/>
          <w:color w:val="000000" w:themeColor="text1"/>
          <w:lang w:val="en-US" w:eastAsia="zh-CN"/>
          <w14:textFill>
            <w14:solidFill>
              <w14:schemeClr w14:val="tx1"/>
            </w14:solidFill>
          </w14:textFill>
        </w:rPr>
        <w:t>860</w:t>
      </w:r>
      <w:r>
        <w:rPr>
          <w:rFonts w:hint="eastAsia"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val="en-US" w:eastAsia="zh-CN"/>
          <w14:textFill>
            <w14:solidFill>
              <w14:schemeClr w14:val="tx1"/>
            </w14:solidFill>
          </w14:textFill>
        </w:rPr>
        <w:t>865</w:t>
      </w:r>
      <w:r>
        <w:rPr>
          <w:rFonts w:hint="eastAsia" w:ascii="Book Antiqua" w:hAnsi="Book Antiqua" w:eastAsia="Book Antiqua" w:cs="Book Antiqua"/>
          <w:color w:val="000000" w:themeColor="text1"/>
          <w14:textFill>
            <w14:solidFill>
              <w14:schemeClr w14:val="tx1"/>
            </w14:solidFill>
          </w14:textFill>
        </w:rPr>
        <w:t xml:space="preserve"> </w:t>
      </w: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URL</w:t>
      </w:r>
      <w:r>
        <w:rPr>
          <w:rFonts w:hint="eastAsia" w:ascii="Book Antiqua" w:hAnsi="Book Antiqua" w:eastAsia="Book Antiqua" w:cs="Book Antiqua"/>
          <w:color w:val="000000" w:themeColor="text1"/>
          <w14:textFill>
            <w14:solidFill>
              <w14:schemeClr w14:val="tx1"/>
            </w14:solidFill>
          </w14:textFill>
        </w:rPr>
        <w:t>: https://www.wjgnet.com/1948-5182/full/v14/i4/</w:t>
      </w:r>
      <w:r>
        <w:rPr>
          <w:rFonts w:hint="eastAsia" w:ascii="Book Antiqua" w:hAnsi="Book Antiqua" w:eastAsia="宋体" w:cs="Book Antiqua"/>
          <w:color w:val="000000" w:themeColor="text1"/>
          <w:lang w:val="en-US" w:eastAsia="zh-CN"/>
          <w14:textFill>
            <w14:solidFill>
              <w14:schemeClr w14:val="tx1"/>
            </w14:solidFill>
          </w14:textFill>
        </w:rPr>
        <w:t>860</w:t>
      </w:r>
      <w:r>
        <w:rPr>
          <w:rFonts w:hint="eastAsia" w:ascii="Book Antiqua" w:hAnsi="Book Antiqua" w:eastAsia="Book Antiqua" w:cs="Book Antiqua"/>
          <w:color w:val="000000" w:themeColor="text1"/>
          <w14:textFill>
            <w14:solidFill>
              <w14:schemeClr w14:val="tx1"/>
            </w14:solidFill>
          </w14:textFill>
        </w:rPr>
        <w:t xml:space="preserve">.htm </w:t>
      </w:r>
    </w:p>
    <w:p>
      <w:pPr>
        <w:spacing w:line="360" w:lineRule="auto"/>
        <w:jc w:val="both"/>
        <w:rPr>
          <w:rFonts w:hint="default" w:ascii="Book Antiqua" w:hAnsi="Book Antiqua" w:eastAsia="宋体" w:cs="Book Antiqua"/>
          <w:color w:val="000000" w:themeColor="text1"/>
          <w:lang w:val="en-US" w:eastAsia="zh-CN"/>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DOI</w:t>
      </w:r>
      <w:r>
        <w:rPr>
          <w:rFonts w:hint="eastAsia" w:ascii="Book Antiqua" w:hAnsi="Book Antiqua" w:eastAsia="Book Antiqua" w:cs="Book Antiqua"/>
          <w:color w:val="000000" w:themeColor="text1"/>
          <w14:textFill>
            <w14:solidFill>
              <w14:schemeClr w14:val="tx1"/>
            </w14:solidFill>
          </w14:textFill>
        </w:rPr>
        <w:t>: https://dx.doi.org/10.4254/wjh.v14.i4.</w:t>
      </w:r>
      <w:r>
        <w:rPr>
          <w:rFonts w:hint="eastAsia" w:ascii="Book Antiqua" w:hAnsi="Book Antiqua" w:eastAsia="宋体" w:cs="Book Antiqua"/>
          <w:color w:val="000000" w:themeColor="text1"/>
          <w:lang w:val="en-US" w:eastAsia="zh-CN"/>
          <w14:textFill>
            <w14:solidFill>
              <w14:schemeClr w14:val="tx1"/>
            </w14:solidFill>
          </w14:textFill>
        </w:rPr>
        <w:t>860</w:t>
      </w:r>
    </w:p>
    <w:p>
      <w:pPr>
        <w:spacing w:line="360" w:lineRule="auto"/>
        <w:jc w:val="both"/>
        <w:rPr>
          <w:color w:val="000000" w:themeColor="text1"/>
          <w14:textFill>
            <w14:solidFill>
              <w14:schemeClr w14:val="tx1"/>
            </w14:solidFill>
          </w14:textFill>
        </w:rPr>
      </w:pPr>
      <w:bookmarkStart w:id="0" w:name="_GoBack"/>
      <w:bookmarkEnd w:id="0"/>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Sarcomas comprise only 1%-2% of all primary liver malignancies, and leiomyosarcoma is even rarer. We report a rare case of primary hepatic leiomyosarcoma accidentally diagnosed and surgically treated. The diagnosis requires a high level of suspicion because the clinical scenario and cross-imaging are not specific. Thus, histological examination is the only way to reach the diagnosis. In our case, the tumor probably originated from the left branch of the portal vein or the round ligament. Radical hepatectomy is the cornerstone of treatment. However, this tumor has aggressive metastatic potential and is usually diagnosed in locally advanced or metastatic disease. Two years after surgical resection, our patient is alive and with no evidence of tumor recurrence, likely because the diagnosis was established at an early stage and the surgery achieved a tumor-free margin.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Sarcomas comprise only 1%-2% of all primary liver malignancies, and leiomyosarcoma is even rarer</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szCs w:val="30"/>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In the vast majority of cases of primary hepatic leiomyosarcoma, the tumor originates in the inferior vena cava. Clinical presentation and imaging features are non-specific and can mimic the most frequent primary liver tumors, namely hepatocellular carcinoma and intrahepatic cholangiocarcinoma. This tumor has aggressive metastatic potential and is usually diagnosed in a locally advanced or metastatic disease</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szCs w:val="30"/>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We report a rare case of primary hepatic leiomyosarcoma originating from the portal vein or the round ligament, accidentally diagnosed and surgically treated.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asymptomatic.</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42-year-old man was referred for gastroenterology consultation due to a nodular hepatic lesion identified in a routine abdominal ultrasound.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Healthy, with no specific diseases.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There was no family history of liver disease.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There were no relevant changes on physical examination.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Liver tests were normal. The metabolic, virological and autoimmune study was negative. Alpha-fetoprotein and cancer antigen 19-9 were also normal.</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contrast-enhanced abdominal computed tomography scan was performed, revealing a nodular hepatic lesion measuring 40 mm </w:t>
      </w:r>
      <w:r>
        <w:rPr>
          <w:rFonts w:ascii="Book Antiqua" w:hAnsi="Book Antiqua"/>
          <w:color w:val="000000" w:themeColor="text1"/>
          <w:lang w:val="pl-PL"/>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30 mm, adjacent to the left branch of the portal vein, in the transition from the right to the left lobe (Figure 1). The tumor was contrast-enhancing, with heterogeneous areas inside.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MULTIDISCIPLINARY EXPERT CONSULTATION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imaging characteristics did not allow for a categorical distinction between hydatid cyst or other etiology. Therefore, it was decided at the multidisciplinary team meeting to perform surgical resection.</w:t>
      </w:r>
    </w:p>
    <w:p>
      <w:pPr>
        <w:spacing w:line="360" w:lineRule="auto"/>
        <w:jc w:val="both"/>
        <w:rPr>
          <w:rFonts w:ascii="Book Antiqua" w:hAnsi="Book Antiqua" w:eastAsia="Book Antiqua" w:cs="Book Antiqua"/>
          <w:b/>
          <w:caps/>
          <w:color w:val="000000" w:themeColor="text1"/>
          <w:u w:val="single"/>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the explored laparoscopy, an exophytic lesion in segment IV was identified, involving the left branch of the portal vein and the round ligament; non-anatomic resection was performed without complications.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Histological examination showed complete resection of malignant mesenchymal neoplasia consisting of spindle cells with nuclei elongated to ovoid, with atypia and marked pleomorphism (Figure 2). In the immunohistochemical study, diffuse expression of actin and desmin was observed in neoplastic cells, in the absence of S100 expression. A chest-abdomen-pelvis computed tomography scan was performed in the postoperative period, with no evidence of residual or metastatic lesions. Moreover, this examination made it clear that it was a primary lesion. Thus, primary hepatic leiomyosarcoma was diagnosed with origin in the portal vein wall or the round ligament.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remained under clinical surveillance. Two years after surgery, he is asymptomatic, with no evidence of tumor recurrence.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Primary hepatic leiomyosarcoma is a rare type of liver sarcoma; so far, less than 100 cases have been reported in the literature. Its diagnosis requires a high level of suspicion because the clinical scenario and cross-imaging are not specific</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szCs w:val="30"/>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xml:space="preserve">. In fact, patients are often asymptomatic or their symptoms are non-specific. Furthermore, alpha-fetoprotein and other serological markers are usually normal. Thus, histological examination is the only way  to achieve the diagnosis, as in our case. </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Primary hepatic leiomyosarcoma can arise from intrahepatic vascular structures, bile ducts or the round ligament. In our case, the tumor probably originated from the left branch of the portal vein or the round ligament. The first description of leiomyosarcoma by Perl in 1871 involved a tumor of the inferior vena cava</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szCs w:val="30"/>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Indeed, l</w:t>
      </w:r>
      <w:r>
        <w:rPr>
          <w:rFonts w:ascii="Book Antiqua" w:hAnsi="Book Antiqua" w:eastAsia="Book Antiqua" w:cs="Book Antiqua"/>
          <w:color w:val="000000" w:themeColor="text1"/>
          <w:shd w:val="clear" w:color="auto" w:fill="FFFFFF"/>
          <w14:textFill>
            <w14:solidFill>
              <w14:schemeClr w14:val="tx1"/>
            </w14:solidFill>
          </w14:textFill>
        </w:rPr>
        <w:t xml:space="preserve">eiomyosarcoma of vascular origin often occurs in the inferior vena cava. On the other hand, </w:t>
      </w:r>
      <w:r>
        <w:rPr>
          <w:rFonts w:ascii="Book Antiqua" w:hAnsi="Book Antiqua" w:eastAsia="Book Antiqua" w:cs="Book Antiqua"/>
          <w:color w:val="000000" w:themeColor="text1"/>
          <w14:textFill>
            <w14:solidFill>
              <w14:schemeClr w14:val="tx1"/>
            </w14:solidFill>
          </w14:textFill>
        </w:rPr>
        <w:t>those arising from portal vein are extremely rare and only 6 cases have been reported in the literature (Table 1)</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szCs w:val="30"/>
          <w:vertAlign w:val="superscript"/>
          <w14:textFill>
            <w14:solidFill>
              <w14:schemeClr w14:val="tx1"/>
            </w14:solidFill>
          </w14:textFill>
        </w:rPr>
        <w:t>5-10]</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No risk factors have been identified yet, although the increasing incidence of the tumor has been noted among immunosuppressed patients</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szCs w:val="30"/>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xml:space="preserve">. Nevertheless, more studies are needed to investigate the underlying pathogenetic mechanisms of this uncommon entity. </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Due to the rarity of primary hepatic sarcomas in general and primary hepatic leiomyosarcoma in particular, the standard of care has not been defined. Radical R0 hepatectomy, in the form of wedge resection, segmentectomy, lobectomy or extended hepatectomy, is the cornerstone of successful management of primary hepatic leiomyosarcoma</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szCs w:val="30"/>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In our case, as the tumor was located in the liver, we were able to perform a surgical resection, obtaining a tumor-free margin. However, this tumor has aggressive metastatic potential and is usually diagnosed in locally advanced or metastatic disease. The role of adjuvant or neoadjuvant chemotherapy and radiotherapy regimens in these circumstances has not yet been established. Similarly, orthotopic liver transplantation remains controversial.</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Little is known about the natural history of the disease. However, survival rates are relatively low, as the tumor is usually diagnosed in advanced stages. Chi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szCs w:val="30"/>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xml:space="preserve"> reported a median overall survival of 19 mo (range 0-181 mo) with 1-, 2- and 5-year survival rates of 61.2%, 41.1% and 14.5%, respectively. The smaller size of the lesion and tumor-free resection margin were identified as independent predictors of improved survival. Two years after surgical resection, our patient is alive and with no evidence of tumor recurrence, probably because the diagnosis was established at an early stage and the surgery achieved a tumor-free margin.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Primary hepatic leiomyosarcoma is a rare malignant disease with a poor prognosis. The authors report a rare case of resected primary hepatic leiomyosarcoma originating from the portal vein or the round ligament. Although there is no standard treatment due to the rarity of this disease, we showed that liver resection with a tumor-free resection margin could be an effective treatment in the early stages. Gastroenterologists should be alert to this unusual entity as early diagnosis requires a high degree of suspicion due to atypical clinical presentation and non-specific imaging features. We emphasize the need for a global database for these rare tumors to promote a better understanding and standardized treatment of these patients.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Chi M</w:t>
      </w:r>
      <w:r>
        <w:rPr>
          <w:rFonts w:ascii="Book Antiqua" w:hAnsi="Book Antiqua" w:eastAsia="Book Antiqua" w:cs="Book Antiqua"/>
          <w:color w:val="000000" w:themeColor="text1"/>
          <w14:textFill>
            <w14:solidFill>
              <w14:schemeClr w14:val="tx1"/>
            </w14:solidFill>
          </w14:textFill>
        </w:rPr>
        <w:t xml:space="preserve">, Dudek AZ, Wind KP. Primary hepatic leiomyosarcoma in adults: analysis of prognostic factors. </w:t>
      </w:r>
      <w:r>
        <w:rPr>
          <w:rFonts w:ascii="Book Antiqua" w:hAnsi="Book Antiqua" w:eastAsia="Book Antiqua" w:cs="Book Antiqua"/>
          <w:i/>
          <w:iCs/>
          <w:color w:val="000000" w:themeColor="text1"/>
          <w14:textFill>
            <w14:solidFill>
              <w14:schemeClr w14:val="tx1"/>
            </w14:solidFill>
          </w14:textFill>
        </w:rPr>
        <w:t>Onkologie</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35</w:t>
      </w:r>
      <w:r>
        <w:rPr>
          <w:rFonts w:ascii="Book Antiqua" w:hAnsi="Book Antiqua" w:eastAsia="Book Antiqua" w:cs="Book Antiqua"/>
          <w:color w:val="000000" w:themeColor="text1"/>
          <w14:textFill>
            <w14:solidFill>
              <w14:schemeClr w14:val="tx1"/>
            </w14:solidFill>
          </w14:textFill>
        </w:rPr>
        <w:t>: 210-214 [PMID: 22488093 DOI: 10.1159/000337416]</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Shivathirthan N</w:t>
      </w:r>
      <w:r>
        <w:rPr>
          <w:rFonts w:ascii="Book Antiqua" w:hAnsi="Book Antiqua" w:eastAsia="Book Antiqua" w:cs="Book Antiqua"/>
          <w:color w:val="000000" w:themeColor="text1"/>
          <w14:textFill>
            <w14:solidFill>
              <w14:schemeClr w14:val="tx1"/>
            </w14:solidFill>
          </w14:textFill>
        </w:rPr>
        <w:t xml:space="preserve">, Kita J, Iso Y, Hachiya H, Kyunghwa P, Sawada T, Kubota K. Primary hepatic leiomyosarcoma: Case report and literature review. </w:t>
      </w:r>
      <w:r>
        <w:rPr>
          <w:rFonts w:ascii="Book Antiqua" w:hAnsi="Book Antiqua" w:eastAsia="Book Antiqua" w:cs="Book Antiqua"/>
          <w:i/>
          <w:iCs/>
          <w:color w:val="000000" w:themeColor="text1"/>
          <w14:textFill>
            <w14:solidFill>
              <w14:schemeClr w14:val="tx1"/>
            </w14:solidFill>
          </w14:textFill>
        </w:rPr>
        <w:t>World J Gastrointest Oncol</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148-152 [PMID: 22046492 DOI: 10.4251/wjgo.v3.i10.148]</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Hamed MO</w:t>
      </w:r>
      <w:r>
        <w:rPr>
          <w:rFonts w:ascii="Book Antiqua" w:hAnsi="Book Antiqua" w:eastAsia="Book Antiqua" w:cs="Book Antiqua"/>
          <w:color w:val="000000" w:themeColor="text1"/>
          <w14:textFill>
            <w14:solidFill>
              <w14:schemeClr w14:val="tx1"/>
            </w14:solidFill>
          </w14:textFill>
        </w:rPr>
        <w:t xml:space="preserve">, Roberts KJ, Merchant W, Lodge JP. Contemporary management and classification of hepatic leiomyosarcoma. </w:t>
      </w:r>
      <w:r>
        <w:rPr>
          <w:rFonts w:ascii="Book Antiqua" w:hAnsi="Book Antiqua" w:eastAsia="Book Antiqua" w:cs="Book Antiqua"/>
          <w:i/>
          <w:iCs/>
          <w:color w:val="000000" w:themeColor="text1"/>
          <w14:textFill>
            <w14:solidFill>
              <w14:schemeClr w14:val="tx1"/>
            </w14:solidFill>
          </w14:textFill>
        </w:rPr>
        <w:t>HPB (Oxford)</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362-367 [PMID: 25418451 DOI: 10.1111/hpb.12366]</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Halyo V</w:t>
      </w:r>
      <w:r>
        <w:rPr>
          <w:rFonts w:ascii="Book Antiqua" w:hAnsi="Book Antiqua" w:eastAsia="Book Antiqua" w:cs="Book Antiqua"/>
          <w:color w:val="000000" w:themeColor="text1"/>
          <w14:textFill>
            <w14:solidFill>
              <w14:schemeClr w14:val="tx1"/>
            </w14:solidFill>
          </w14:textFill>
        </w:rPr>
        <w:t xml:space="preserve">. Martin L. Perl (1927-2014). </w:t>
      </w:r>
      <w:r>
        <w:rPr>
          <w:rFonts w:ascii="Book Antiqua" w:hAnsi="Book Antiqua" w:eastAsia="Book Antiqua" w:cs="Book Antiqua"/>
          <w:i/>
          <w:iCs/>
          <w:color w:val="000000" w:themeColor="text1"/>
          <w14:textFill>
            <w14:solidFill>
              <w14:schemeClr w14:val="tx1"/>
            </w14:solidFill>
          </w14:textFill>
        </w:rPr>
        <w:t>Nature</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516</w:t>
      </w:r>
      <w:r>
        <w:rPr>
          <w:rFonts w:ascii="Book Antiqua" w:hAnsi="Book Antiqua" w:eastAsia="Book Antiqua" w:cs="Book Antiqua"/>
          <w:color w:val="000000" w:themeColor="text1"/>
          <w14:textFill>
            <w14:solidFill>
              <w14:schemeClr w14:val="tx1"/>
            </w14:solidFill>
          </w14:textFill>
        </w:rPr>
        <w:t>: 330 [PMID: 25519123 DOI: 10.1038/516330a]</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Wilson SR</w:t>
      </w:r>
      <w:r>
        <w:rPr>
          <w:rFonts w:ascii="Book Antiqua" w:hAnsi="Book Antiqua" w:eastAsia="Book Antiqua" w:cs="Book Antiqua"/>
          <w:color w:val="000000" w:themeColor="text1"/>
          <w14:textFill>
            <w14:solidFill>
              <w14:schemeClr w14:val="tx1"/>
            </w14:solidFill>
          </w14:textFill>
        </w:rPr>
        <w:t xml:space="preserve">, Hine AL. Leiomyosarcoma of the portal vein. </w:t>
      </w:r>
      <w:r>
        <w:rPr>
          <w:rFonts w:ascii="Book Antiqua" w:hAnsi="Book Antiqua" w:eastAsia="Book Antiqua" w:cs="Book Antiqua"/>
          <w:i/>
          <w:iCs/>
          <w:color w:val="000000" w:themeColor="text1"/>
          <w14:textFill>
            <w14:solidFill>
              <w14:schemeClr w14:val="tx1"/>
            </w14:solidFill>
          </w14:textFill>
        </w:rPr>
        <w:t>AJR Am J Roentgenol</w:t>
      </w:r>
      <w:r>
        <w:rPr>
          <w:rFonts w:ascii="Book Antiqua" w:hAnsi="Book Antiqua" w:eastAsia="Book Antiqua" w:cs="Book Antiqua"/>
          <w:color w:val="000000" w:themeColor="text1"/>
          <w14:textFill>
            <w14:solidFill>
              <w14:schemeClr w14:val="tx1"/>
            </w14:solidFill>
          </w14:textFill>
        </w:rPr>
        <w:t xml:space="preserve"> 1987; </w:t>
      </w:r>
      <w:r>
        <w:rPr>
          <w:rFonts w:ascii="Book Antiqua" w:hAnsi="Book Antiqua" w:eastAsia="Book Antiqua" w:cs="Book Antiqua"/>
          <w:b/>
          <w:bCs/>
          <w:color w:val="000000" w:themeColor="text1"/>
          <w14:textFill>
            <w14:solidFill>
              <w14:schemeClr w14:val="tx1"/>
            </w14:solidFill>
          </w14:textFill>
        </w:rPr>
        <w:t>149</w:t>
      </w:r>
      <w:r>
        <w:rPr>
          <w:rFonts w:ascii="Book Antiqua" w:hAnsi="Book Antiqua" w:eastAsia="Book Antiqua" w:cs="Book Antiqua"/>
          <w:color w:val="000000" w:themeColor="text1"/>
          <w14:textFill>
            <w14:solidFill>
              <w14:schemeClr w14:val="tx1"/>
            </w14:solidFill>
          </w14:textFill>
        </w:rPr>
        <w:t>: 183-184 [PMID: 3495979 DOI: 10.2214/ajr.149.1.183]</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Sundaresan M</w:t>
      </w:r>
      <w:r>
        <w:rPr>
          <w:rFonts w:ascii="Book Antiqua" w:hAnsi="Book Antiqua" w:eastAsia="Book Antiqua" w:cs="Book Antiqua"/>
          <w:color w:val="000000" w:themeColor="text1"/>
          <w14:textFill>
            <w14:solidFill>
              <w14:schemeClr w14:val="tx1"/>
            </w14:solidFill>
          </w14:textFill>
        </w:rPr>
        <w:t xml:space="preserve">, Kelly SB, Benjamin IS, Akosa AB. Primary hepatic vascular leiomyosarcoma of probable portal vein origin. </w:t>
      </w:r>
      <w:r>
        <w:rPr>
          <w:rFonts w:ascii="Book Antiqua" w:hAnsi="Book Antiqua" w:eastAsia="Book Antiqua" w:cs="Book Antiqua"/>
          <w:i/>
          <w:iCs/>
          <w:color w:val="000000" w:themeColor="text1"/>
          <w14:textFill>
            <w14:solidFill>
              <w14:schemeClr w14:val="tx1"/>
            </w14:solidFill>
          </w14:textFill>
        </w:rPr>
        <w:t>J Clin Pathol</w:t>
      </w:r>
      <w:r>
        <w:rPr>
          <w:rFonts w:ascii="Book Antiqua" w:hAnsi="Book Antiqua" w:eastAsia="Book Antiqua" w:cs="Book Antiqua"/>
          <w:color w:val="000000" w:themeColor="text1"/>
          <w14:textFill>
            <w14:solidFill>
              <w14:schemeClr w14:val="tx1"/>
            </w14:solidFill>
          </w14:textFill>
        </w:rPr>
        <w:t xml:space="preserve"> 1990; </w:t>
      </w:r>
      <w:r>
        <w:rPr>
          <w:rFonts w:ascii="Book Antiqua" w:hAnsi="Book Antiqua" w:eastAsia="Book Antiqua" w:cs="Book Antiqua"/>
          <w:b/>
          <w:bCs/>
          <w:color w:val="000000" w:themeColor="text1"/>
          <w14:textFill>
            <w14:solidFill>
              <w14:schemeClr w14:val="tx1"/>
            </w14:solidFill>
          </w14:textFill>
        </w:rPr>
        <w:t>43</w:t>
      </w:r>
      <w:r>
        <w:rPr>
          <w:rFonts w:ascii="Book Antiqua" w:hAnsi="Book Antiqua" w:eastAsia="Book Antiqua" w:cs="Book Antiqua"/>
          <w:color w:val="000000" w:themeColor="text1"/>
          <w14:textFill>
            <w14:solidFill>
              <w14:schemeClr w14:val="tx1"/>
            </w14:solidFill>
          </w14:textFill>
        </w:rPr>
        <w:t>: 1036 [PMID: 2266177 DOI: 10.1136/jcp.43.12.1036-a]</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Boudjema K</w:t>
      </w:r>
      <w:r>
        <w:rPr>
          <w:rFonts w:ascii="Book Antiqua" w:hAnsi="Book Antiqua" w:eastAsia="Book Antiqua" w:cs="Book Antiqua"/>
          <w:color w:val="000000" w:themeColor="text1"/>
          <w14:textFill>
            <w14:solidFill>
              <w14:schemeClr w14:val="tx1"/>
            </w14:solidFill>
          </w14:textFill>
        </w:rPr>
        <w:t xml:space="preserve">, Sulpice L, Levi Sandri GB, Meunier B. Portal vein leiomyosarcoma, an unusual cause of jaundice. </w:t>
      </w:r>
      <w:r>
        <w:rPr>
          <w:rFonts w:ascii="Book Antiqua" w:hAnsi="Book Antiqua" w:eastAsia="Book Antiqua" w:cs="Book Antiqua"/>
          <w:i/>
          <w:iCs/>
          <w:color w:val="000000" w:themeColor="text1"/>
          <w14:textFill>
            <w14:solidFill>
              <w14:schemeClr w14:val="tx1"/>
            </w14:solidFill>
          </w14:textFill>
        </w:rPr>
        <w:t>Dig Liver Dis</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46</w:t>
      </w:r>
      <w:r>
        <w:rPr>
          <w:rFonts w:ascii="Book Antiqua" w:hAnsi="Book Antiqua" w:eastAsia="Book Antiqua" w:cs="Book Antiqua"/>
          <w:color w:val="000000" w:themeColor="text1"/>
          <w14:textFill>
            <w14:solidFill>
              <w14:schemeClr w14:val="tx1"/>
            </w14:solidFill>
          </w14:textFill>
        </w:rPr>
        <w:t>: 1053-1054 [PMID: 25087678 DOI: 10.1016/j.dld.2014.07.001]</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Gohrbandt AE</w:t>
      </w:r>
      <w:r>
        <w:rPr>
          <w:rFonts w:ascii="Book Antiqua" w:hAnsi="Book Antiqua" w:eastAsia="Book Antiqua" w:cs="Book Antiqua"/>
          <w:color w:val="000000" w:themeColor="text1"/>
          <w14:textFill>
            <w14:solidFill>
              <w14:schemeClr w14:val="tx1"/>
            </w14:solidFill>
          </w14:textFill>
        </w:rPr>
        <w:t xml:space="preserve">, Hansen T, Ell C, Heinrich SS, Lang H. Portal vein leiomyosarcoma: a case report and review of the literature. </w:t>
      </w:r>
      <w:r>
        <w:rPr>
          <w:rFonts w:ascii="Book Antiqua" w:hAnsi="Book Antiqua" w:eastAsia="Book Antiqua" w:cs="Book Antiqua"/>
          <w:i/>
          <w:iCs/>
          <w:color w:val="000000" w:themeColor="text1"/>
          <w14:textFill>
            <w14:solidFill>
              <w14:schemeClr w14:val="tx1"/>
            </w14:solidFill>
          </w14:textFill>
        </w:rPr>
        <w:t>BMC Surg</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60 [PMID: 27580598 DOI: 10.1186/s12893-016-0174-x]</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Gaignard E</w:t>
      </w:r>
      <w:r>
        <w:rPr>
          <w:rFonts w:ascii="Book Antiqua" w:hAnsi="Book Antiqua" w:eastAsia="Book Antiqua" w:cs="Book Antiqua"/>
          <w:color w:val="000000" w:themeColor="text1"/>
          <w14:textFill>
            <w14:solidFill>
              <w14:schemeClr w14:val="tx1"/>
            </w14:solidFill>
          </w14:textFill>
        </w:rPr>
        <w:t xml:space="preserve">, Bergeat D, Stock N, Robin F, Boudjema K, Sulpice L, Rayar M, Meunier B. Portal vein leiomyosarcoma: A rare case of hepatic hilar tumor with review of the literature. </w:t>
      </w:r>
      <w:r>
        <w:rPr>
          <w:rFonts w:ascii="Book Antiqua" w:hAnsi="Book Antiqua" w:eastAsia="Book Antiqua" w:cs="Book Antiqua"/>
          <w:i/>
          <w:iCs/>
          <w:color w:val="000000" w:themeColor="text1"/>
          <w14:textFill>
            <w14:solidFill>
              <w14:schemeClr w14:val="tx1"/>
            </w14:solidFill>
          </w14:textFill>
        </w:rPr>
        <w:t>Indian J Cancer</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56</w:t>
      </w:r>
      <w:r>
        <w:rPr>
          <w:rFonts w:ascii="Book Antiqua" w:hAnsi="Book Antiqua" w:eastAsia="Book Antiqua" w:cs="Book Antiqua"/>
          <w:color w:val="000000" w:themeColor="text1"/>
          <w14:textFill>
            <w14:solidFill>
              <w14:schemeClr w14:val="tx1"/>
            </w14:solidFill>
          </w14:textFill>
        </w:rPr>
        <w:t>: 83-85 [PMID: 30950452 DOI: 10.4103/ijc.IJC_199_18]</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10 </w:t>
      </w:r>
      <w:r>
        <w:rPr>
          <w:rFonts w:ascii="Book Antiqua" w:hAnsi="Book Antiqua" w:eastAsia="Book Antiqua" w:cs="Book Antiqua"/>
          <w:b/>
          <w:bCs/>
          <w:color w:val="000000" w:themeColor="text1"/>
          <w14:textFill>
            <w14:solidFill>
              <w14:schemeClr w14:val="tx1"/>
            </w14:solidFill>
          </w14:textFill>
        </w:rPr>
        <w:t>Esposito F</w:t>
      </w:r>
      <w:r>
        <w:rPr>
          <w:rFonts w:ascii="Book Antiqua" w:hAnsi="Book Antiqua" w:eastAsia="Book Antiqua" w:cs="Book Antiqua"/>
          <w:color w:val="000000" w:themeColor="text1"/>
          <w14:textFill>
            <w14:solidFill>
              <w14:schemeClr w14:val="tx1"/>
            </w14:solidFill>
          </w14:textFill>
        </w:rPr>
        <w:t>, Lim C, Baranes L, Salloum C, Feray C, Calderaro J, Azoulay D. Primary leiomyosarcoma of the liver: Two new cases and a systematic review. </w:t>
      </w:r>
      <w:r>
        <w:rPr>
          <w:rFonts w:ascii="Book Antiqua" w:hAnsi="Book Antiqua" w:eastAsia="Book Antiqua" w:cs="Book Antiqua"/>
          <w:i/>
          <w:iCs/>
          <w:color w:val="000000" w:themeColor="text1"/>
          <w14:textFill>
            <w14:solidFill>
              <w14:schemeClr w14:val="tx1"/>
            </w14:solidFill>
          </w14:textFill>
        </w:rPr>
        <w:t>Ann Hepatobiliary Pancreat Surg</w:t>
      </w:r>
      <w:r>
        <w:rPr>
          <w:rFonts w:ascii="Book Antiqua" w:hAnsi="Book Antiqua" w:eastAsia="Book Antiqua" w:cs="Book Antiqua"/>
          <w:color w:val="000000" w:themeColor="text1"/>
          <w14:textFill>
            <w14:solidFill>
              <w14:schemeClr w14:val="tx1"/>
            </w14:solidFill>
          </w14:textFill>
        </w:rPr>
        <w:t> 2020; </w:t>
      </w:r>
      <w:r>
        <w:rPr>
          <w:rFonts w:ascii="Book Antiqua" w:hAnsi="Book Antiqua" w:eastAsia="Book Antiqua" w:cs="Book Antiqua"/>
          <w:b/>
          <w:bCs/>
          <w:color w:val="000000" w:themeColor="text1"/>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63-67 [PMID: 32181431 DOI: 10.14701/ahbps.2020.24.1.63]</w:t>
      </w: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Brichard B</w:t>
      </w:r>
      <w:r>
        <w:rPr>
          <w:rFonts w:ascii="Book Antiqua" w:hAnsi="Book Antiqua" w:eastAsia="Book Antiqua" w:cs="Book Antiqua"/>
          <w:color w:val="000000" w:themeColor="text1"/>
          <w14:textFill>
            <w14:solidFill>
              <w14:schemeClr w14:val="tx1"/>
            </w14:solidFill>
          </w14:textFill>
        </w:rPr>
        <w:t xml:space="preserve">, Smets F, Sokal E, Clapuyt P, Vermylen C, Cornu G, Rahier J, Otte JB. Unusual evolution of an Epstein-Barr virus-associated leiomyosarcoma occurring after liver transplantation. </w:t>
      </w:r>
      <w:r>
        <w:rPr>
          <w:rFonts w:ascii="Book Antiqua" w:hAnsi="Book Antiqua" w:eastAsia="Book Antiqua" w:cs="Book Antiqua"/>
          <w:i/>
          <w:iCs/>
          <w:color w:val="000000" w:themeColor="text1"/>
          <w14:textFill>
            <w14:solidFill>
              <w14:schemeClr w14:val="tx1"/>
            </w14:solidFill>
          </w14:textFill>
        </w:rPr>
        <w:t>Pediatr Transplant</w:t>
      </w:r>
      <w:r>
        <w:rPr>
          <w:rFonts w:ascii="Book Antiqua" w:hAnsi="Book Antiqua" w:eastAsia="Book Antiqua" w:cs="Book Antiqua"/>
          <w:color w:val="000000" w:themeColor="text1"/>
          <w14:textFill>
            <w14:solidFill>
              <w14:schemeClr w14:val="tx1"/>
            </w14:solidFill>
          </w14:textFill>
        </w:rPr>
        <w:t xml:space="preserve"> 2001; </w:t>
      </w:r>
      <w:r>
        <w:rPr>
          <w:rFonts w:ascii="Book Antiqua" w:hAnsi="Book Antiqua" w:eastAsia="Book Antiqua" w:cs="Book Antiqua"/>
          <w:b/>
          <w:bCs/>
          <w:color w:val="000000" w:themeColor="text1"/>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365-369 [PMID: 11560757 DOI: 10.1034/j.1399-3046.2001.00022.x]</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2"/>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Written informed consent was obtained from the patient for publication of this case report and any accompanying images.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2"/>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 xml:space="preserve">The authors have no disclosures to report.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eastAsia="Book Antiqua" w:cs="Book Antiqua"/>
          <w:color w:val="000000" w:themeColor="text1"/>
          <w14:textFill>
            <w14:solidFill>
              <w14:schemeClr w14:val="tx1"/>
            </w14:solidFill>
          </w14:textFill>
        </w:rPr>
        <w:t>The authors have read the CARE Checklist (2016), and the manuscript was prepared and revised according to the CARE Checklist (2016).</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January 10,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January 22, 2022</w:t>
      </w:r>
    </w:p>
    <w:p>
      <w:pPr>
        <w:spacing w:line="360" w:lineRule="auto"/>
        <w:jc w:val="both"/>
        <w:rPr>
          <w:rFonts w:ascii="Book Antiqua" w:hAnsi="Book Antiqua" w:cs="Book Antiqua"/>
          <w:b w:val="0"/>
          <w:bCs w:val="0"/>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b w:val="0"/>
          <w:bCs w:val="0"/>
          <w:color w:val="000000" w:themeColor="text1"/>
          <w14:textFill>
            <w14:solidFill>
              <w14:schemeClr w14:val="tx1"/>
            </w14:solidFill>
          </w14:textFill>
        </w:rPr>
        <w:t>March 6, 2022</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Gastroenterology and hepatology</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Portugal</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D</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E</w:t>
      </w:r>
    </w:p>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 xml:space="preserve">Gupta V, </w:t>
      </w:r>
      <w:r>
        <w:rPr>
          <w:rFonts w:ascii="Book Antiqua" w:hAnsi="Book Antiqua" w:eastAsia="Book Antiqua" w:cs="Book Antiqua"/>
          <w:color w:val="000000" w:themeColor="text1"/>
          <w14:textFill>
            <w14:solidFill>
              <w14:schemeClr w14:val="tx1"/>
            </w14:solidFill>
          </w14:textFill>
        </w:rPr>
        <w:tab/>
      </w:r>
      <w:r>
        <w:rPr>
          <w:rFonts w:ascii="Book Antiqua" w:hAnsi="Book Antiqua" w:eastAsia="Book Antiqua" w:cs="Book Antiqua"/>
          <w:color w:val="000000" w:themeColor="text1"/>
          <w14:textFill>
            <w14:solidFill>
              <w14:schemeClr w14:val="tx1"/>
            </w14:solidFill>
          </w14:textFill>
        </w:rPr>
        <w:t>India; Hien NX, Vietnam</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Gong ZM</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Filipodia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color w:val="000000" w:themeColor="text1"/>
          <w14:textFill>
            <w14:solidFill>
              <w14:schemeClr w14:val="tx1"/>
            </w14:solidFill>
          </w14:textFill>
        </w:rPr>
        <w:t>Gong ZM</w:t>
      </w: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spacing w:line="360" w:lineRule="auto"/>
        <w:jc w:val="both"/>
        <w:rPr>
          <w:color w:val="000000" w:themeColor="text1"/>
          <w14:textFill>
            <w14:solidFill>
              <w14:schemeClr w14:val="tx1"/>
            </w14:solidFill>
          </w14:textFill>
        </w:rPr>
      </w:pPr>
      <w:r>
        <w:rPr>
          <w:color w:val="000000" w:themeColor="text1"/>
          <w:lang w:eastAsia="zh-CN"/>
          <w14:textFill>
            <w14:solidFill>
              <w14:schemeClr w14:val="tx1"/>
            </w14:solidFill>
          </w14:textFill>
        </w:rPr>
        <w:drawing>
          <wp:inline distT="0" distB="0" distL="0" distR="0">
            <wp:extent cx="3860165" cy="25812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879180" cy="2593724"/>
                    </a:xfrm>
                    <a:prstGeom prst="rect">
                      <a:avLst/>
                    </a:prstGeom>
                    <a:noFill/>
                    <a:ln>
                      <a:noFill/>
                    </a:ln>
                  </pic:spPr>
                </pic:pic>
              </a:graphicData>
            </a:graphic>
          </wp:inline>
        </w:drawing>
      </w: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1 </w:t>
      </w:r>
      <w:r>
        <w:rPr>
          <w:rFonts w:ascii="Book Antiqua" w:hAnsi="Book Antiqua" w:eastAsia="Book Antiqua" w:cs="Book Antiqua"/>
          <w:b/>
          <w:color w:val="000000" w:themeColor="text1"/>
          <w14:textFill>
            <w14:solidFill>
              <w14:schemeClr w14:val="tx1"/>
            </w14:solidFill>
          </w14:textFill>
        </w:rPr>
        <w:t>Preoperative contrast-enhanced computed tomography scan demonstrated a heterogeneous mass in the liver adjacent to the left branch of the portal vein.</w:t>
      </w:r>
    </w:p>
    <w:p>
      <w:pPr>
        <w:spacing w:line="360" w:lineRule="auto"/>
        <w:jc w:val="both"/>
        <w:rPr>
          <w:rFonts w:ascii="Book Antiqua" w:hAnsi="Book Antiqua" w:eastAsia="Book Antiqua" w:cs="Book Antiqua"/>
          <w:b/>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r>
        <w:rPr>
          <w:color w:val="000000" w:themeColor="text1"/>
          <w:lang w:eastAsia="zh-CN"/>
          <w14:textFill>
            <w14:solidFill>
              <w14:schemeClr w14:val="tx1"/>
            </w14:solidFill>
          </w14:textFill>
        </w:rPr>
        <w:drawing>
          <wp:inline distT="0" distB="0" distL="0" distR="0">
            <wp:extent cx="7486650" cy="38557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18053" cy="3872185"/>
                    </a:xfrm>
                    <a:prstGeom prst="rect">
                      <a:avLst/>
                    </a:prstGeom>
                    <a:noFill/>
                    <a:ln>
                      <a:noFill/>
                    </a:ln>
                  </pic:spPr>
                </pic:pic>
              </a:graphicData>
            </a:graphic>
          </wp:inline>
        </w:drawing>
      </w:r>
    </w:p>
    <w:p>
      <w:pPr>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2 </w:t>
      </w:r>
      <w:r>
        <w:rPr>
          <w:rFonts w:ascii="Book Antiqua" w:hAnsi="Book Antiqua" w:eastAsia="Book Antiqua" w:cs="Book Antiqua"/>
          <w:b/>
          <w:color w:val="000000" w:themeColor="text1"/>
          <w14:textFill>
            <w14:solidFill>
              <w14:schemeClr w14:val="tx1"/>
            </w14:solidFill>
          </w14:textFill>
        </w:rPr>
        <w:t xml:space="preserve">Hepatic leiomyosarcoma.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 xml:space="preserve"> A well-circumscribed, white, solid mass of 4.3 cm exhibiting whorled features was seen on gross examination. B: Histologically, intersecting fascicles of spindle cells with elongate to ovoid nuclei displaying marked pleomorphism were observed [hematoxylin &amp; eosin (HE), 40 </w:t>
      </w:r>
      <w:r>
        <w:rPr>
          <w:rFonts w:ascii="Book Antiqua" w:hAnsi="Book Antiqua"/>
          <w:color w:val="000000" w:themeColor="text1"/>
          <w:lang w:val="pl-PL"/>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C: Mitotic figures, including atypical ones, were frequent (7 mitosis/10 high power field) (HE, 200 </w:t>
      </w:r>
      <w:r>
        <w:rPr>
          <w:rFonts w:ascii="Book Antiqua" w:hAnsi="Book Antiqua"/>
          <w:color w:val="000000" w:themeColor="text1"/>
          <w:lang w:val="pl-PL"/>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D: Foci of coagulative necrosis were observed (HE, 40 </w:t>
      </w:r>
      <w:r>
        <w:rPr>
          <w:rFonts w:ascii="Book Antiqua" w:hAnsi="Book Antiqua"/>
          <w:color w:val="000000" w:themeColor="text1"/>
          <w:lang w:val="pl-PL"/>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E and F: Tumor cells were diffusely positive for desmin (100 </w:t>
      </w:r>
      <w:r>
        <w:rPr>
          <w:rFonts w:ascii="Book Antiqua" w:hAnsi="Book Antiqua"/>
          <w:color w:val="000000" w:themeColor="text1"/>
          <w:lang w:val="pl-PL"/>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(E) and smooth muscle actin (100 </w:t>
      </w:r>
      <w:r>
        <w:rPr>
          <w:rFonts w:ascii="Book Antiqua" w:hAnsi="Book Antiqua"/>
          <w:color w:val="000000" w:themeColor="text1"/>
          <w:lang w:val="pl-PL"/>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(F), in the absence of S100, c-Kit and discovered on GIST-1 (not shown).</w:t>
      </w:r>
    </w:p>
    <w:p>
      <w:pPr>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br w:type="page"/>
      </w:r>
      <w:r>
        <w:rPr>
          <w:rFonts w:ascii="Book Antiqua" w:hAnsi="Book Antiqua" w:eastAsia="Book Antiqua" w:cs="Book Antiqua"/>
          <w:b/>
          <w:bCs/>
          <w:color w:val="000000" w:themeColor="text1"/>
          <w14:textFill>
            <w14:solidFill>
              <w14:schemeClr w14:val="tx1"/>
            </w14:solidFill>
          </w14:textFill>
        </w:rPr>
        <w:t>Table 1 Reported cases of leiomyosarcoma of the portal vein</w:t>
      </w:r>
    </w:p>
    <w:tbl>
      <w:tblPr>
        <w:tblStyle w:val="7"/>
        <w:tblW w:w="12674" w:type="dxa"/>
        <w:tblInd w:w="-35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656"/>
        <w:gridCol w:w="1598"/>
        <w:gridCol w:w="1852"/>
        <w:gridCol w:w="1866"/>
        <w:gridCol w:w="1974"/>
        <w:gridCol w:w="1987"/>
        <w:gridCol w:w="1741"/>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1542" w:type="dxa"/>
            <w:tcBorders>
              <w:top w:val="single" w:color="000000" w:themeColor="text1" w:sz="8" w:space="0"/>
              <w:bottom w:val="single" w:color="000000" w:themeColor="text1" w:sz="8" w:space="0"/>
            </w:tcBorders>
            <w:shd w:val="clear" w:color="auto" w:fill="auto"/>
            <w:tcMar>
              <w:top w:w="15" w:type="dxa"/>
              <w:left w:w="76" w:type="dxa"/>
              <w:bottom w:w="0" w:type="dxa"/>
              <w:right w:w="76" w:type="dxa"/>
            </w:tcMar>
          </w:tcPr>
          <w:p>
            <w:pPr>
              <w:jc w:val="both"/>
              <w:rPr>
                <w:rFonts w:ascii="Book Antiqua" w:hAnsi="Book Antiqua" w:eastAsia="宋体" w:cs="宋体"/>
                <w:b/>
                <w:color w:val="000000" w:themeColor="text1"/>
                <w:lang w:eastAsia="zh-CN"/>
                <w14:textFill>
                  <w14:solidFill>
                    <w14:schemeClr w14:val="tx1"/>
                  </w14:solidFill>
                </w14:textFill>
              </w:rPr>
            </w:pPr>
            <w:r>
              <w:rPr>
                <w:rFonts w:hint="eastAsia" w:ascii="Book Antiqua" w:hAnsi="Book Antiqua" w:eastAsia="宋体" w:cs="宋体"/>
                <w:b/>
                <w:color w:val="000000" w:themeColor="text1"/>
                <w:lang w:eastAsia="zh-CN"/>
                <w14:textFill>
                  <w14:solidFill>
                    <w14:schemeClr w14:val="tx1"/>
                  </w14:solidFill>
                </w14:textFill>
              </w:rPr>
              <w:t>R</w:t>
            </w:r>
            <w:r>
              <w:rPr>
                <w:rFonts w:ascii="Book Antiqua" w:hAnsi="Book Antiqua" w:eastAsia="宋体" w:cs="宋体"/>
                <w:b/>
                <w:color w:val="000000" w:themeColor="text1"/>
                <w:lang w:eastAsia="zh-CN"/>
                <w14:textFill>
                  <w14:solidFill>
                    <w14:schemeClr w14:val="tx1"/>
                  </w14:solidFill>
                </w14:textFill>
              </w:rPr>
              <w:t>ef.</w:t>
            </w:r>
          </w:p>
        </w:tc>
        <w:tc>
          <w:tcPr>
            <w:tcW w:w="1627" w:type="dxa"/>
            <w:tcBorders>
              <w:top w:val="single" w:color="000000" w:themeColor="text1" w:sz="8" w:space="0"/>
              <w:bottom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
                <w:bCs/>
                <w:color w:val="000000" w:themeColor="text1"/>
                <w:kern w:val="24"/>
                <w:lang w:eastAsia="zh-CN"/>
                <w14:textFill>
                  <w14:solidFill>
                    <w14:schemeClr w14:val="tx1"/>
                  </w14:solidFill>
                </w14:textFill>
              </w:rPr>
              <w:t xml:space="preserve">Wilson </w:t>
            </w:r>
            <w:r>
              <w:rPr>
                <w:rFonts w:ascii="Book Antiqua" w:hAnsi="Book Antiqua" w:eastAsia="宋体" w:cs="Calibri"/>
                <w:b/>
                <w:bCs/>
                <w:i/>
                <w:color w:val="000000" w:themeColor="text1"/>
                <w:kern w:val="24"/>
                <w:lang w:eastAsia="zh-CN"/>
                <w14:textFill>
                  <w14:solidFill>
                    <w14:schemeClr w14:val="tx1"/>
                  </w14:solidFill>
                </w14:textFill>
              </w:rPr>
              <w:t>et al</w:t>
            </w:r>
            <w:r>
              <w:rPr>
                <w:rFonts w:ascii="Book Antiqua" w:hAnsi="Book Antiqua" w:eastAsia="宋体" w:cs="Calibri"/>
                <w:b/>
                <w:bCs/>
                <w:color w:val="000000" w:themeColor="text1"/>
                <w:kern w:val="24"/>
                <w:position w:val="7"/>
                <w:vertAlign w:val="superscript"/>
                <w:lang w:eastAsia="zh-CN"/>
                <w14:textFill>
                  <w14:solidFill>
                    <w14:schemeClr w14:val="tx1"/>
                  </w14:solidFill>
                </w14:textFill>
              </w:rPr>
              <w:t>[5]</w:t>
            </w:r>
          </w:p>
        </w:tc>
        <w:tc>
          <w:tcPr>
            <w:tcW w:w="1873" w:type="dxa"/>
            <w:tcBorders>
              <w:top w:val="single" w:color="000000" w:themeColor="text1" w:sz="8" w:space="0"/>
              <w:bottom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
                <w:bCs/>
                <w:color w:val="000000" w:themeColor="text1"/>
                <w:kern w:val="24"/>
                <w:lang w:eastAsia="zh-CN"/>
                <w14:textFill>
                  <w14:solidFill>
                    <w14:schemeClr w14:val="tx1"/>
                  </w14:solidFill>
                </w14:textFill>
              </w:rPr>
              <w:t xml:space="preserve">Sundaresan </w:t>
            </w:r>
            <w:r>
              <w:rPr>
                <w:rFonts w:ascii="Book Antiqua" w:hAnsi="Book Antiqua" w:eastAsia="宋体" w:cs="Calibri"/>
                <w:b/>
                <w:bCs/>
                <w:i/>
                <w:color w:val="000000" w:themeColor="text1"/>
                <w:kern w:val="24"/>
                <w:lang w:eastAsia="zh-CN"/>
                <w14:textFill>
                  <w14:solidFill>
                    <w14:schemeClr w14:val="tx1"/>
                  </w14:solidFill>
                </w14:textFill>
              </w:rPr>
              <w:t>et al</w:t>
            </w:r>
            <w:r>
              <w:rPr>
                <w:rFonts w:ascii="Book Antiqua" w:hAnsi="Book Antiqua" w:eastAsia="宋体" w:cs="Calibri"/>
                <w:b/>
                <w:bCs/>
                <w:color w:val="000000" w:themeColor="text1"/>
                <w:kern w:val="24"/>
                <w:position w:val="7"/>
                <w:vertAlign w:val="superscript"/>
                <w:lang w:eastAsia="zh-CN"/>
                <w14:textFill>
                  <w14:solidFill>
                    <w14:schemeClr w14:val="tx1"/>
                  </w14:solidFill>
                </w14:textFill>
              </w:rPr>
              <w:t>[6]</w:t>
            </w:r>
          </w:p>
        </w:tc>
        <w:tc>
          <w:tcPr>
            <w:tcW w:w="1878" w:type="dxa"/>
            <w:tcBorders>
              <w:top w:val="single" w:color="000000" w:themeColor="text1" w:sz="8" w:space="0"/>
              <w:bottom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
                <w:bCs/>
                <w:color w:val="000000" w:themeColor="text1"/>
                <w:kern w:val="24"/>
                <w:lang w:eastAsia="zh-CN"/>
                <w14:textFill>
                  <w14:solidFill>
                    <w14:schemeClr w14:val="tx1"/>
                  </w14:solidFill>
                </w14:textFill>
              </w:rPr>
              <w:t xml:space="preserve">Boudjema </w:t>
            </w:r>
            <w:r>
              <w:rPr>
                <w:rFonts w:ascii="Book Antiqua" w:hAnsi="Book Antiqua" w:eastAsia="宋体" w:cs="Calibri"/>
                <w:b/>
                <w:bCs/>
                <w:i/>
                <w:color w:val="000000" w:themeColor="text1"/>
                <w:kern w:val="24"/>
                <w:lang w:eastAsia="zh-CN"/>
                <w14:textFill>
                  <w14:solidFill>
                    <w14:schemeClr w14:val="tx1"/>
                  </w14:solidFill>
                </w14:textFill>
              </w:rPr>
              <w:t>et al</w:t>
            </w:r>
            <w:r>
              <w:rPr>
                <w:rFonts w:ascii="Book Antiqua" w:hAnsi="Book Antiqua" w:eastAsia="宋体" w:cs="Calibri"/>
                <w:b/>
                <w:bCs/>
                <w:color w:val="000000" w:themeColor="text1"/>
                <w:kern w:val="24"/>
                <w:position w:val="7"/>
                <w:vertAlign w:val="superscript"/>
                <w:lang w:eastAsia="zh-CN"/>
                <w14:textFill>
                  <w14:solidFill>
                    <w14:schemeClr w14:val="tx1"/>
                  </w14:solidFill>
                </w14:textFill>
              </w:rPr>
              <w:t>[7]</w:t>
            </w:r>
          </w:p>
        </w:tc>
        <w:tc>
          <w:tcPr>
            <w:tcW w:w="1993" w:type="dxa"/>
            <w:tcBorders>
              <w:top w:val="single" w:color="000000" w:themeColor="text1" w:sz="8" w:space="0"/>
              <w:bottom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
                <w:bCs/>
                <w:color w:val="000000" w:themeColor="text1"/>
                <w:kern w:val="24"/>
                <w:lang w:eastAsia="zh-CN"/>
                <w14:textFill>
                  <w14:solidFill>
                    <w14:schemeClr w14:val="tx1"/>
                  </w14:solidFill>
                </w14:textFill>
              </w:rPr>
              <w:t xml:space="preserve">Gohrbandt </w:t>
            </w:r>
            <w:r>
              <w:rPr>
                <w:rFonts w:ascii="Book Antiqua" w:hAnsi="Book Antiqua" w:eastAsia="宋体" w:cs="Calibri"/>
                <w:b/>
                <w:bCs/>
                <w:i/>
                <w:color w:val="000000" w:themeColor="text1"/>
                <w:kern w:val="24"/>
                <w:lang w:eastAsia="zh-CN"/>
                <w14:textFill>
                  <w14:solidFill>
                    <w14:schemeClr w14:val="tx1"/>
                  </w14:solidFill>
                </w14:textFill>
              </w:rPr>
              <w:t>et al</w:t>
            </w:r>
            <w:r>
              <w:rPr>
                <w:rFonts w:ascii="Book Antiqua" w:hAnsi="Book Antiqua" w:eastAsia="宋体" w:cs="Calibri"/>
                <w:b/>
                <w:bCs/>
                <w:color w:val="000000" w:themeColor="text1"/>
                <w:kern w:val="24"/>
                <w:position w:val="7"/>
                <w:vertAlign w:val="superscript"/>
                <w:lang w:eastAsia="zh-CN"/>
                <w14:textFill>
                  <w14:solidFill>
                    <w14:schemeClr w14:val="tx1"/>
                  </w14:solidFill>
                </w14:textFill>
              </w:rPr>
              <w:t>[8]</w:t>
            </w:r>
          </w:p>
        </w:tc>
        <w:tc>
          <w:tcPr>
            <w:tcW w:w="2007" w:type="dxa"/>
            <w:tcBorders>
              <w:top w:val="single" w:color="000000" w:themeColor="text1" w:sz="8" w:space="0"/>
              <w:bottom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
                <w:bCs/>
                <w:color w:val="000000" w:themeColor="text1"/>
                <w:kern w:val="24"/>
                <w:lang w:eastAsia="zh-CN"/>
                <w14:textFill>
                  <w14:solidFill>
                    <w14:schemeClr w14:val="tx1"/>
                  </w14:solidFill>
                </w14:textFill>
              </w:rPr>
              <w:t xml:space="preserve">Gaignard </w:t>
            </w:r>
            <w:r>
              <w:rPr>
                <w:rFonts w:ascii="Book Antiqua" w:hAnsi="Book Antiqua" w:eastAsia="宋体" w:cs="Calibri"/>
                <w:b/>
                <w:bCs/>
                <w:i/>
                <w:color w:val="000000" w:themeColor="text1"/>
                <w:kern w:val="24"/>
                <w:lang w:eastAsia="zh-CN"/>
                <w14:textFill>
                  <w14:solidFill>
                    <w14:schemeClr w14:val="tx1"/>
                  </w14:solidFill>
                </w14:textFill>
              </w:rPr>
              <w:t>et al</w:t>
            </w:r>
            <w:r>
              <w:rPr>
                <w:rFonts w:ascii="Book Antiqua" w:hAnsi="Book Antiqua" w:eastAsia="宋体" w:cs="Calibri"/>
                <w:b/>
                <w:bCs/>
                <w:color w:val="000000" w:themeColor="text1"/>
                <w:kern w:val="24"/>
                <w:position w:val="7"/>
                <w:vertAlign w:val="superscript"/>
                <w:lang w:eastAsia="zh-CN"/>
                <w14:textFill>
                  <w14:solidFill>
                    <w14:schemeClr w14:val="tx1"/>
                  </w14:solidFill>
                </w14:textFill>
              </w:rPr>
              <w:t>[9]</w:t>
            </w:r>
          </w:p>
        </w:tc>
        <w:tc>
          <w:tcPr>
            <w:tcW w:w="1754" w:type="dxa"/>
            <w:tcBorders>
              <w:top w:val="single" w:color="000000" w:themeColor="text1" w:sz="8" w:space="0"/>
              <w:bottom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
                <w:bCs/>
                <w:color w:val="000000" w:themeColor="text1"/>
                <w:kern w:val="24"/>
                <w:lang w:eastAsia="zh-CN"/>
                <w14:textFill>
                  <w14:solidFill>
                    <w14:schemeClr w14:val="tx1"/>
                  </w14:solidFill>
                </w14:textFill>
              </w:rPr>
              <w:t xml:space="preserve">Esposito </w:t>
            </w:r>
            <w:r>
              <w:rPr>
                <w:rFonts w:ascii="Book Antiqua" w:hAnsi="Book Antiqua" w:eastAsia="宋体" w:cs="Calibri"/>
                <w:b/>
                <w:bCs/>
                <w:i/>
                <w:color w:val="000000" w:themeColor="text1"/>
                <w:kern w:val="24"/>
                <w:lang w:eastAsia="zh-CN"/>
                <w14:textFill>
                  <w14:solidFill>
                    <w14:schemeClr w14:val="tx1"/>
                  </w14:solidFill>
                </w14:textFill>
              </w:rPr>
              <w:t>et al</w:t>
            </w:r>
            <w:r>
              <w:rPr>
                <w:rFonts w:ascii="Book Antiqua" w:hAnsi="Book Antiqua" w:eastAsia="宋体" w:cs="Calibri"/>
                <w:b/>
                <w:bCs/>
                <w:color w:val="000000" w:themeColor="text1"/>
                <w:kern w:val="24"/>
                <w:position w:val="7"/>
                <w:vertAlign w:val="superscript"/>
                <w:lang w:eastAsia="zh-CN"/>
                <w14:textFill>
                  <w14:solidFill>
                    <w14:schemeClr w14:val="tx1"/>
                  </w14:solidFill>
                </w14:textFill>
              </w:rPr>
              <w:t>[10]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482" w:hRule="atLeast"/>
        </w:trPr>
        <w:tc>
          <w:tcPr>
            <w:tcW w:w="1542" w:type="dxa"/>
            <w:tcBorders>
              <w:top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Cs/>
                <w:color w:val="000000" w:themeColor="text1"/>
                <w:kern w:val="24"/>
                <w:lang w:eastAsia="zh-CN"/>
                <w14:textFill>
                  <w14:solidFill>
                    <w14:schemeClr w14:val="tx1"/>
                  </w14:solidFill>
                </w14:textFill>
              </w:rPr>
              <w:t>Patient characteristics</w:t>
            </w:r>
          </w:p>
        </w:tc>
        <w:tc>
          <w:tcPr>
            <w:tcW w:w="1627" w:type="dxa"/>
            <w:tcBorders>
              <w:top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Female, 28 yr</w:t>
            </w:r>
          </w:p>
        </w:tc>
        <w:tc>
          <w:tcPr>
            <w:tcW w:w="1873" w:type="dxa"/>
            <w:tcBorders>
              <w:top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Female, 67 yr</w:t>
            </w:r>
          </w:p>
        </w:tc>
        <w:tc>
          <w:tcPr>
            <w:tcW w:w="1878" w:type="dxa"/>
            <w:tcBorders>
              <w:top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Female, 44 yr</w:t>
            </w:r>
          </w:p>
        </w:tc>
        <w:tc>
          <w:tcPr>
            <w:tcW w:w="1993" w:type="dxa"/>
            <w:tcBorders>
              <w:top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Female, 71 yr</w:t>
            </w:r>
          </w:p>
        </w:tc>
        <w:tc>
          <w:tcPr>
            <w:tcW w:w="2007" w:type="dxa"/>
            <w:tcBorders>
              <w:top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 xml:space="preserve">Male, 53 yr </w:t>
            </w:r>
          </w:p>
        </w:tc>
        <w:tc>
          <w:tcPr>
            <w:tcW w:w="1754" w:type="dxa"/>
            <w:tcBorders>
              <w:top w:val="single" w:color="000000" w:themeColor="text1" w:sz="8" w:space="0"/>
            </w:tcBorders>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Male, 78 yr</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2257" w:hRule="atLeast"/>
        </w:trPr>
        <w:tc>
          <w:tcPr>
            <w:tcW w:w="1542"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Cs/>
                <w:color w:val="000000" w:themeColor="text1"/>
                <w:kern w:val="24"/>
                <w:lang w:eastAsia="zh-CN"/>
                <w14:textFill>
                  <w14:solidFill>
                    <w14:schemeClr w14:val="tx1"/>
                  </w14:solidFill>
                </w14:textFill>
              </w:rPr>
              <w:t>Treatment</w:t>
            </w:r>
          </w:p>
        </w:tc>
        <w:tc>
          <w:tcPr>
            <w:tcW w:w="1627"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Operated - not resected</w:t>
            </w:r>
          </w:p>
        </w:tc>
        <w:tc>
          <w:tcPr>
            <w:tcW w:w="1873"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Left hepatectomy (R2)</w:t>
            </w:r>
          </w:p>
        </w:tc>
        <w:tc>
          <w:tcPr>
            <w:tcW w:w="1878"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Whipple with portal and biliary confluence reconstruction (R0)</w:t>
            </w:r>
          </w:p>
        </w:tc>
        <w:tc>
          <w:tcPr>
            <w:tcW w:w="1993"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Right hepatectomy with portal and biliary reconstruction (R0)</w:t>
            </w:r>
          </w:p>
        </w:tc>
        <w:tc>
          <w:tcPr>
            <w:tcW w:w="2007"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Right hepatectomy with portal and biliary reconstruction (R0)</w:t>
            </w:r>
          </w:p>
        </w:tc>
        <w:tc>
          <w:tcPr>
            <w:tcW w:w="1754"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Left hepatectomy (R0)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0" w:type="dxa"/>
            <w:bottom w:w="0" w:type="dxa"/>
            <w:right w:w="0" w:type="dxa"/>
          </w:tblCellMar>
        </w:tblPrEx>
        <w:trPr>
          <w:trHeight w:val="1247" w:hRule="atLeast"/>
        </w:trPr>
        <w:tc>
          <w:tcPr>
            <w:tcW w:w="1542"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bCs/>
                <w:color w:val="000000" w:themeColor="text1"/>
                <w:kern w:val="24"/>
                <w:lang w:eastAsia="zh-CN"/>
                <w14:textFill>
                  <w14:solidFill>
                    <w14:schemeClr w14:val="tx1"/>
                  </w14:solidFill>
                </w14:textFill>
              </w:rPr>
              <w:t>Outcome</w:t>
            </w:r>
          </w:p>
        </w:tc>
        <w:tc>
          <w:tcPr>
            <w:tcW w:w="1627"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Not available</w:t>
            </w:r>
          </w:p>
        </w:tc>
        <w:tc>
          <w:tcPr>
            <w:tcW w:w="1873"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Not available</w:t>
            </w:r>
          </w:p>
        </w:tc>
        <w:tc>
          <w:tcPr>
            <w:tcW w:w="1878"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Recurrence 27 mo after surgery. Died, 47 mo after surgery</w:t>
            </w:r>
          </w:p>
        </w:tc>
        <w:tc>
          <w:tcPr>
            <w:tcW w:w="1993"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Recurrence 36 mo after surgery. Alive</w:t>
            </w:r>
          </w:p>
        </w:tc>
        <w:tc>
          <w:tcPr>
            <w:tcW w:w="2007"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No recurrence. Alive</w:t>
            </w:r>
          </w:p>
        </w:tc>
        <w:tc>
          <w:tcPr>
            <w:tcW w:w="1754" w:type="dxa"/>
            <w:shd w:val="clear" w:color="auto" w:fill="auto"/>
            <w:tcMar>
              <w:top w:w="15" w:type="dxa"/>
              <w:left w:w="76" w:type="dxa"/>
              <w:bottom w:w="0" w:type="dxa"/>
              <w:right w:w="76" w:type="dxa"/>
            </w:tcMar>
          </w:tcPr>
          <w:p>
            <w:pPr>
              <w:spacing w:after="160" w:line="360" w:lineRule="auto"/>
              <w:jc w:val="both"/>
              <w:rPr>
                <w:rFonts w:ascii="Book Antiqua" w:hAnsi="Book Antiqua" w:eastAsia="宋体" w:cs="Arial"/>
                <w:color w:val="000000" w:themeColor="text1"/>
                <w:sz w:val="36"/>
                <w:szCs w:val="36"/>
                <w:lang w:eastAsia="zh-CN"/>
                <w14:textFill>
                  <w14:solidFill>
                    <w14:schemeClr w14:val="tx1"/>
                  </w14:solidFill>
                </w14:textFill>
              </w:rPr>
            </w:pPr>
            <w:r>
              <w:rPr>
                <w:rFonts w:ascii="Book Antiqua" w:hAnsi="Book Antiqua" w:eastAsia="宋体" w:cs="Calibri"/>
                <w:color w:val="000000" w:themeColor="text1"/>
                <w:kern w:val="24"/>
                <w:lang w:eastAsia="zh-CN"/>
                <w14:textFill>
                  <w14:solidFill>
                    <w14:schemeClr w14:val="tx1"/>
                  </w14:solidFill>
                </w14:textFill>
              </w:rPr>
              <w:t>No recurrence. Alive</w:t>
            </w:r>
          </w:p>
        </w:tc>
      </w:tr>
    </w:tbl>
    <w:p>
      <w:pPr>
        <w:spacing w:line="360" w:lineRule="auto"/>
        <w:jc w:val="both"/>
        <w:rPr>
          <w:color w:val="000000" w:themeColor="text1"/>
          <w14:textFill>
            <w14:solidFill>
              <w14:schemeClr w14:val="tx1"/>
            </w14:solidFill>
          </w14:textFill>
        </w:rPr>
        <w:sectPr>
          <w:pgSz w:w="15840" w:h="12240" w:orient="landscape"/>
          <w:pgMar w:top="1440" w:right="1797" w:bottom="1440" w:left="1797"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jc w:val="both"/>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color w:val="000000" w:themeColor="text1"/>
          <w14:textFill>
            <w14:solidFill>
              <w14:schemeClr w14:val="tx1"/>
            </w14:solidFill>
          </w14:textFill>
        </w:rPr>
      </w:pPr>
    </w:p>
    <w:sectPr>
      <w:pgSz w:w="12240" w:h="15840"/>
      <w:pgMar w:top="1797" w:right="1440" w:bottom="1797"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2151005"/>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14</w:t>
        </w:r>
        <w:r>
          <w:rPr>
            <w:rFonts w:ascii="Book Antiqua" w:hAnsi="Book Antiqua"/>
            <w:sz w:val="24"/>
            <w:szCs w:val="24"/>
          </w:rPr>
          <w:fldChar w:fldCharType="end"/>
        </w:r>
        <w:r>
          <w:rPr>
            <w:rFonts w:ascii="Book Antiqua" w:hAnsi="Book Antiqua"/>
            <w:sz w:val="24"/>
            <w:szCs w:val="24"/>
          </w:rPr>
          <w:t xml:space="preserve"> / 14</w:t>
        </w:r>
      </w:p>
    </w:sdtContent>
  </w:sdt>
  <w:p>
    <w:pPr>
      <w:pStyle w:val="4"/>
    </w:pPr>
    <w: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FAC"/>
    <w:rsid w:val="00010713"/>
    <w:rsid w:val="0003093E"/>
    <w:rsid w:val="00031413"/>
    <w:rsid w:val="00034676"/>
    <w:rsid w:val="00042FE5"/>
    <w:rsid w:val="00043733"/>
    <w:rsid w:val="00076E30"/>
    <w:rsid w:val="000A6E2E"/>
    <w:rsid w:val="000C544D"/>
    <w:rsid w:val="000E3E27"/>
    <w:rsid w:val="00107053"/>
    <w:rsid w:val="001320FC"/>
    <w:rsid w:val="00134062"/>
    <w:rsid w:val="0014584F"/>
    <w:rsid w:val="00187030"/>
    <w:rsid w:val="00192F2C"/>
    <w:rsid w:val="001D7FEC"/>
    <w:rsid w:val="001F6280"/>
    <w:rsid w:val="00200A6E"/>
    <w:rsid w:val="0020264B"/>
    <w:rsid w:val="002040A3"/>
    <w:rsid w:val="00212DF5"/>
    <w:rsid w:val="0022330C"/>
    <w:rsid w:val="002469C1"/>
    <w:rsid w:val="00282ED1"/>
    <w:rsid w:val="002A3287"/>
    <w:rsid w:val="002A6EFA"/>
    <w:rsid w:val="002C2C3D"/>
    <w:rsid w:val="002C5E53"/>
    <w:rsid w:val="002D27E6"/>
    <w:rsid w:val="003430E0"/>
    <w:rsid w:val="00344771"/>
    <w:rsid w:val="00347AC7"/>
    <w:rsid w:val="0035590B"/>
    <w:rsid w:val="0039565F"/>
    <w:rsid w:val="00396C79"/>
    <w:rsid w:val="003A1895"/>
    <w:rsid w:val="003B7BB3"/>
    <w:rsid w:val="004508C0"/>
    <w:rsid w:val="00470801"/>
    <w:rsid w:val="00486628"/>
    <w:rsid w:val="00487F8F"/>
    <w:rsid w:val="004C0FBC"/>
    <w:rsid w:val="004E238B"/>
    <w:rsid w:val="004E3C4A"/>
    <w:rsid w:val="00516717"/>
    <w:rsid w:val="00533DCA"/>
    <w:rsid w:val="00545378"/>
    <w:rsid w:val="005765D0"/>
    <w:rsid w:val="00587481"/>
    <w:rsid w:val="00591A07"/>
    <w:rsid w:val="00591BF1"/>
    <w:rsid w:val="0059346B"/>
    <w:rsid w:val="005D7749"/>
    <w:rsid w:val="005E0DA3"/>
    <w:rsid w:val="005E1417"/>
    <w:rsid w:val="005F0802"/>
    <w:rsid w:val="00626157"/>
    <w:rsid w:val="00627891"/>
    <w:rsid w:val="006756EA"/>
    <w:rsid w:val="00685320"/>
    <w:rsid w:val="006D208B"/>
    <w:rsid w:val="006D5630"/>
    <w:rsid w:val="007173F9"/>
    <w:rsid w:val="00721F67"/>
    <w:rsid w:val="00737AB7"/>
    <w:rsid w:val="00746AAA"/>
    <w:rsid w:val="00763D5B"/>
    <w:rsid w:val="00765E9D"/>
    <w:rsid w:val="00767B51"/>
    <w:rsid w:val="00780D74"/>
    <w:rsid w:val="00795AB9"/>
    <w:rsid w:val="007B722A"/>
    <w:rsid w:val="007B7C8B"/>
    <w:rsid w:val="007D4764"/>
    <w:rsid w:val="007E16CA"/>
    <w:rsid w:val="007E5B2C"/>
    <w:rsid w:val="0080482F"/>
    <w:rsid w:val="00811C5A"/>
    <w:rsid w:val="00835AFE"/>
    <w:rsid w:val="008414D3"/>
    <w:rsid w:val="008476BA"/>
    <w:rsid w:val="008520B9"/>
    <w:rsid w:val="00874345"/>
    <w:rsid w:val="008834E0"/>
    <w:rsid w:val="00892709"/>
    <w:rsid w:val="008A4304"/>
    <w:rsid w:val="008B7651"/>
    <w:rsid w:val="008D0D96"/>
    <w:rsid w:val="008D2FAB"/>
    <w:rsid w:val="00900BA8"/>
    <w:rsid w:val="00923D76"/>
    <w:rsid w:val="00940A03"/>
    <w:rsid w:val="00941AD7"/>
    <w:rsid w:val="00945218"/>
    <w:rsid w:val="009571B9"/>
    <w:rsid w:val="00972E83"/>
    <w:rsid w:val="00974EE3"/>
    <w:rsid w:val="00976110"/>
    <w:rsid w:val="00991203"/>
    <w:rsid w:val="009C66E1"/>
    <w:rsid w:val="009F54AC"/>
    <w:rsid w:val="00A009FB"/>
    <w:rsid w:val="00A01F9B"/>
    <w:rsid w:val="00A14C7F"/>
    <w:rsid w:val="00A26888"/>
    <w:rsid w:val="00A44295"/>
    <w:rsid w:val="00A56154"/>
    <w:rsid w:val="00A56798"/>
    <w:rsid w:val="00A6065F"/>
    <w:rsid w:val="00A66F83"/>
    <w:rsid w:val="00A77B3E"/>
    <w:rsid w:val="00A85C1C"/>
    <w:rsid w:val="00A92A0C"/>
    <w:rsid w:val="00A942F0"/>
    <w:rsid w:val="00AB3FA3"/>
    <w:rsid w:val="00B02ABA"/>
    <w:rsid w:val="00B344DF"/>
    <w:rsid w:val="00B63482"/>
    <w:rsid w:val="00BA584B"/>
    <w:rsid w:val="00BB0103"/>
    <w:rsid w:val="00BB19C6"/>
    <w:rsid w:val="00BC170E"/>
    <w:rsid w:val="00BD043B"/>
    <w:rsid w:val="00BE7725"/>
    <w:rsid w:val="00BE7F11"/>
    <w:rsid w:val="00C21FA9"/>
    <w:rsid w:val="00C57AE1"/>
    <w:rsid w:val="00C876F6"/>
    <w:rsid w:val="00CA2444"/>
    <w:rsid w:val="00CA2A55"/>
    <w:rsid w:val="00CC3CBB"/>
    <w:rsid w:val="00CD38EA"/>
    <w:rsid w:val="00CE13D5"/>
    <w:rsid w:val="00D05B1E"/>
    <w:rsid w:val="00D1624C"/>
    <w:rsid w:val="00D36588"/>
    <w:rsid w:val="00D53373"/>
    <w:rsid w:val="00D549B7"/>
    <w:rsid w:val="00D765B7"/>
    <w:rsid w:val="00D76DDA"/>
    <w:rsid w:val="00DC1A9B"/>
    <w:rsid w:val="00DE03A1"/>
    <w:rsid w:val="00DE0A35"/>
    <w:rsid w:val="00DF7C27"/>
    <w:rsid w:val="00E26BE9"/>
    <w:rsid w:val="00E3034F"/>
    <w:rsid w:val="00ED0142"/>
    <w:rsid w:val="00EF0AA8"/>
    <w:rsid w:val="00EF2956"/>
    <w:rsid w:val="00F12AFA"/>
    <w:rsid w:val="00F2700B"/>
    <w:rsid w:val="00F76291"/>
    <w:rsid w:val="00F77510"/>
    <w:rsid w:val="00F83E7B"/>
    <w:rsid w:val="00FC1C3A"/>
    <w:rsid w:val="00FD2540"/>
    <w:rsid w:val="00FE4B55"/>
    <w:rsid w:val="04007A01"/>
    <w:rsid w:val="1994347B"/>
    <w:rsid w:val="6401034B"/>
    <w:rsid w:val="6B79537C"/>
    <w:rsid w:val="77986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uiPriority w:val="0"/>
  </w:style>
  <w:style w:type="paragraph" w:styleId="3">
    <w:name w:val="Balloon Text"/>
    <w:basedOn w:val="1"/>
    <w:link w:val="14"/>
    <w:semiHidden/>
    <w:unhideWhenUsed/>
    <w:qFormat/>
    <w:uiPriority w:val="0"/>
    <w:rPr>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6"/>
    <w:semiHidden/>
    <w:qFormat/>
    <w:uiPriority w:val="0"/>
    <w:rPr>
      <w:b/>
      <w:bCs/>
      <w:sz w:val="24"/>
      <w:szCs w:val="24"/>
    </w:rPr>
  </w:style>
  <w:style w:type="character" w:customStyle="1" w:styleId="14">
    <w:name w:val="批注框文本 字符"/>
    <w:basedOn w:val="8"/>
    <w:link w:val="3"/>
    <w:semiHidden/>
    <w:qFormat/>
    <w:uiPriority w:val="0"/>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F683A2-4DE9-4B21-A61C-35AFEC2B6394}">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2291</Words>
  <Characters>13614</Characters>
  <Lines>109</Lines>
  <Paragraphs>30</Paragraphs>
  <TotalTime>3</TotalTime>
  <ScaleCrop>false</ScaleCrop>
  <LinksUpToDate>false</LinksUpToDate>
  <CharactersWithSpaces>15780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2022-03-06T00:32:00Z</dcterms:created>
  <dc:creator>Isabel</dc:creator>
  <cp:lastModifiedBy>超级喜欢粉红色</cp:lastModifiedBy>
  <dcterms:modified xsi:type="dcterms:W3CDTF">2022-04-17T09:23:18Z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C1E32F185EAF484A935704A9C9058F59</vt:lpwstr>
  </property>
</Properties>
</file>