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79DD"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16FEF72"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75094</w:t>
      </w:r>
    </w:p>
    <w:p w14:paraId="4E41D24A"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E2D2D9C" w14:textId="77777777" w:rsidR="000F705E" w:rsidRDefault="000F705E">
      <w:pPr>
        <w:spacing w:line="360" w:lineRule="auto"/>
        <w:jc w:val="both"/>
        <w:rPr>
          <w:rFonts w:ascii="Book Antiqua" w:hAnsi="Book Antiqua"/>
        </w:rPr>
      </w:pPr>
    </w:p>
    <w:p w14:paraId="363B9383"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Spontaneous bacterial empyema in cirrhosis</w:t>
      </w:r>
      <w:r>
        <w:rPr>
          <w:rFonts w:ascii="Book Antiqua" w:hAnsi="Book Antiqua" w:cs="Book Antiqua"/>
          <w:b/>
          <w:color w:val="000000"/>
          <w:lang w:eastAsia="zh-CN"/>
        </w:rPr>
        <w:t>:</w:t>
      </w:r>
      <w:r>
        <w:rPr>
          <w:rFonts w:ascii="Book Antiqua" w:eastAsia="Book Antiqua" w:hAnsi="Book Antiqua" w:cs="Book Antiqua"/>
          <w:b/>
          <w:color w:val="000000"/>
        </w:rPr>
        <w:t xml:space="preserve"> A systematic review and meta-analysis</w:t>
      </w:r>
    </w:p>
    <w:p w14:paraId="2696DA43" w14:textId="77777777" w:rsidR="000F705E" w:rsidRDefault="000F705E">
      <w:pPr>
        <w:spacing w:line="360" w:lineRule="auto"/>
        <w:jc w:val="both"/>
        <w:rPr>
          <w:rFonts w:ascii="Book Antiqua" w:hAnsi="Book Antiqua"/>
        </w:rPr>
      </w:pPr>
    </w:p>
    <w:p w14:paraId="044015BC"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Reiche </w:t>
      </w:r>
      <w:r>
        <w:rPr>
          <w:rFonts w:ascii="Book Antiqua" w:hAnsi="Book Antiqua" w:cs="Book Antiqua"/>
          <w:color w:val="000000"/>
          <w:lang w:eastAsia="zh-CN"/>
        </w:rPr>
        <w:t xml:space="preserve">W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SBE in </w:t>
      </w:r>
      <w:r>
        <w:rPr>
          <w:rFonts w:ascii="Book Antiqua" w:hAnsi="Book Antiqua" w:cs="Book Antiqua"/>
          <w:color w:val="000000"/>
          <w:lang w:eastAsia="zh-CN"/>
        </w:rPr>
        <w:t>c</w:t>
      </w:r>
      <w:r>
        <w:rPr>
          <w:rFonts w:ascii="Book Antiqua" w:eastAsia="Book Antiqua" w:hAnsi="Book Antiqua" w:cs="Book Antiqua"/>
          <w:color w:val="000000"/>
        </w:rPr>
        <w:t>irrhosis</w:t>
      </w:r>
    </w:p>
    <w:p w14:paraId="298E7529" w14:textId="77777777" w:rsidR="000F705E" w:rsidRDefault="000F705E">
      <w:pPr>
        <w:spacing w:line="360" w:lineRule="auto"/>
        <w:jc w:val="both"/>
        <w:rPr>
          <w:rFonts w:ascii="Book Antiqua" w:hAnsi="Book Antiqua"/>
        </w:rPr>
      </w:pPr>
    </w:p>
    <w:p w14:paraId="593171A5"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William Reiche, Smit Deliwala, Saurabh Chandan, Babu P Mohan, Banreet Dhindsa, Daryl Ramai, Abhilash Perisetti, Rajani Rangray, Sandeep Mukherjee</w:t>
      </w:r>
    </w:p>
    <w:p w14:paraId="58E1B948" w14:textId="77777777" w:rsidR="000F705E" w:rsidRDefault="000F705E">
      <w:pPr>
        <w:spacing w:line="360" w:lineRule="auto"/>
        <w:jc w:val="both"/>
        <w:rPr>
          <w:rFonts w:ascii="Book Antiqua" w:hAnsi="Book Antiqua"/>
        </w:rPr>
      </w:pPr>
    </w:p>
    <w:p w14:paraId="668DE009"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William Reiche, </w:t>
      </w:r>
      <w:r>
        <w:rPr>
          <w:rFonts w:ascii="Book Antiqua" w:eastAsia="Book Antiqua" w:hAnsi="Book Antiqua" w:cs="Book Antiqua"/>
          <w:color w:val="000000"/>
        </w:rPr>
        <w:t>Department of Internal Medicine, CHI Creighton University Medical Center, Omaha, N</w:t>
      </w:r>
      <w:r>
        <w:rPr>
          <w:rFonts w:ascii="Book Antiqua" w:hAnsi="Book Antiqua" w:cs="Book Antiqua"/>
          <w:color w:val="000000"/>
          <w:lang w:eastAsia="zh-CN"/>
        </w:rPr>
        <w:t>E</w:t>
      </w:r>
      <w:r>
        <w:rPr>
          <w:rFonts w:ascii="Book Antiqua" w:eastAsia="Book Antiqua" w:hAnsi="Book Antiqua" w:cs="Book Antiqua"/>
          <w:color w:val="000000"/>
        </w:rPr>
        <w:t xml:space="preserve"> 68124, United States</w:t>
      </w:r>
    </w:p>
    <w:p w14:paraId="6BD8B426" w14:textId="77777777" w:rsidR="000F705E" w:rsidRDefault="000F705E">
      <w:pPr>
        <w:spacing w:line="360" w:lineRule="auto"/>
        <w:jc w:val="both"/>
        <w:rPr>
          <w:rFonts w:ascii="Book Antiqua" w:hAnsi="Book Antiqua"/>
        </w:rPr>
      </w:pPr>
    </w:p>
    <w:p w14:paraId="738411CF"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Smit Deliwala, </w:t>
      </w:r>
      <w:r>
        <w:rPr>
          <w:rFonts w:ascii="Book Antiqua" w:eastAsia="Book Antiqua" w:hAnsi="Book Antiqua" w:cs="Book Antiqua"/>
          <w:color w:val="000000"/>
        </w:rPr>
        <w:t>Department of Internal Medicine, Michigan State University at Hurley Medical Center, Flint, M</w:t>
      </w:r>
      <w:r>
        <w:rPr>
          <w:rFonts w:ascii="Book Antiqua" w:hAnsi="Book Antiqua" w:cs="Book Antiqua"/>
          <w:color w:val="000000"/>
          <w:lang w:eastAsia="zh-CN"/>
        </w:rPr>
        <w:t>I</w:t>
      </w:r>
      <w:r>
        <w:rPr>
          <w:rFonts w:ascii="Book Antiqua" w:eastAsia="Book Antiqua" w:hAnsi="Book Antiqua" w:cs="Book Antiqua"/>
          <w:color w:val="000000"/>
        </w:rPr>
        <w:t xml:space="preserve"> 48503, United States</w:t>
      </w:r>
    </w:p>
    <w:p w14:paraId="2CAC23B8" w14:textId="77777777" w:rsidR="000F705E" w:rsidRDefault="000F705E">
      <w:pPr>
        <w:spacing w:line="360" w:lineRule="auto"/>
        <w:jc w:val="both"/>
        <w:rPr>
          <w:rFonts w:ascii="Book Antiqua" w:hAnsi="Book Antiqua"/>
        </w:rPr>
      </w:pPr>
    </w:p>
    <w:p w14:paraId="62E30483"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Saurabh Chandan, Rajani Rangray, Sandeep Mukherjee, </w:t>
      </w:r>
      <w:r>
        <w:rPr>
          <w:rFonts w:ascii="Book Antiqua" w:eastAsia="Book Antiqua" w:hAnsi="Book Antiqua" w:cs="Book Antiqua"/>
          <w:color w:val="000000"/>
        </w:rPr>
        <w:t>Division of Gastroenterology and Hepatology, CHI Creighton University Medical Center, Omaha, N</w:t>
      </w:r>
      <w:r>
        <w:rPr>
          <w:rFonts w:ascii="Book Antiqua" w:hAnsi="Book Antiqua" w:cs="Book Antiqua"/>
          <w:color w:val="000000"/>
          <w:lang w:eastAsia="zh-CN"/>
        </w:rPr>
        <w:t>E</w:t>
      </w:r>
      <w:r>
        <w:rPr>
          <w:rFonts w:ascii="Book Antiqua" w:eastAsia="Book Antiqua" w:hAnsi="Book Antiqua" w:cs="Book Antiqua"/>
          <w:color w:val="000000"/>
        </w:rPr>
        <w:t xml:space="preserve"> 68124, United States</w:t>
      </w:r>
    </w:p>
    <w:p w14:paraId="3A30F80C" w14:textId="77777777" w:rsidR="000F705E" w:rsidRDefault="000F705E">
      <w:pPr>
        <w:spacing w:line="360" w:lineRule="auto"/>
        <w:jc w:val="both"/>
        <w:rPr>
          <w:rFonts w:ascii="Book Antiqua" w:hAnsi="Book Antiqua"/>
        </w:rPr>
      </w:pPr>
    </w:p>
    <w:p w14:paraId="03A8B1C4"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Babu P Mohan, Daryl Ramai, </w:t>
      </w:r>
      <w:r>
        <w:rPr>
          <w:rFonts w:ascii="Book Antiqua" w:eastAsia="Book Antiqua" w:hAnsi="Book Antiqua" w:cs="Book Antiqua"/>
          <w:color w:val="000000"/>
        </w:rPr>
        <w:t>Department of Gastroenterology, University of Utah, Salt Lake City, U</w:t>
      </w:r>
      <w:r>
        <w:rPr>
          <w:rFonts w:ascii="Book Antiqua" w:hAnsi="Book Antiqua" w:cs="Book Antiqua"/>
          <w:color w:val="000000"/>
          <w:lang w:eastAsia="zh-CN"/>
        </w:rPr>
        <w:t>T</w:t>
      </w:r>
      <w:r>
        <w:rPr>
          <w:rFonts w:ascii="Book Antiqua" w:eastAsia="Book Antiqua" w:hAnsi="Book Antiqua" w:cs="Book Antiqua"/>
          <w:color w:val="000000"/>
        </w:rPr>
        <w:t xml:space="preserve"> 84132, United States</w:t>
      </w:r>
    </w:p>
    <w:p w14:paraId="79B851AA" w14:textId="77777777" w:rsidR="000F705E" w:rsidRDefault="000F705E">
      <w:pPr>
        <w:spacing w:line="360" w:lineRule="auto"/>
        <w:jc w:val="both"/>
        <w:rPr>
          <w:rFonts w:ascii="Book Antiqua" w:hAnsi="Book Antiqua"/>
        </w:rPr>
      </w:pPr>
    </w:p>
    <w:p w14:paraId="2F21E011"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Banreet Dhindsa, </w:t>
      </w:r>
      <w:r>
        <w:rPr>
          <w:rFonts w:ascii="Book Antiqua" w:eastAsia="Book Antiqua" w:hAnsi="Book Antiqua" w:cs="Book Antiqua"/>
          <w:color w:val="000000"/>
        </w:rPr>
        <w:t>Division of Gastroenterology and Hepatology, University of Nebraska Medical Center, Omaha, N</w:t>
      </w:r>
      <w:r>
        <w:rPr>
          <w:rFonts w:ascii="Book Antiqua" w:hAnsi="Book Antiqua" w:cs="Book Antiqua"/>
          <w:color w:val="000000"/>
          <w:lang w:eastAsia="zh-CN"/>
        </w:rPr>
        <w:t>E</w:t>
      </w:r>
      <w:r>
        <w:rPr>
          <w:rFonts w:ascii="Book Antiqua" w:eastAsia="Book Antiqua" w:hAnsi="Book Antiqua" w:cs="Book Antiqua"/>
          <w:color w:val="000000"/>
        </w:rPr>
        <w:t xml:space="preserve"> 68198, United States</w:t>
      </w:r>
    </w:p>
    <w:p w14:paraId="419DC903" w14:textId="77777777" w:rsidR="000F705E" w:rsidRDefault="000F705E">
      <w:pPr>
        <w:spacing w:line="360" w:lineRule="auto"/>
        <w:jc w:val="both"/>
        <w:rPr>
          <w:rFonts w:ascii="Book Antiqua" w:hAnsi="Book Antiqua"/>
        </w:rPr>
      </w:pPr>
    </w:p>
    <w:p w14:paraId="5D3553F3"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Abhilash Perisetti, </w:t>
      </w:r>
      <w:r>
        <w:rPr>
          <w:rFonts w:ascii="Book Antiqua" w:eastAsia="Book Antiqua" w:hAnsi="Book Antiqua" w:cs="Book Antiqua"/>
          <w:color w:val="000000"/>
        </w:rPr>
        <w:t>Division of Gastroenterology, Parkview Health, Fort Wayne, I</w:t>
      </w:r>
      <w:r>
        <w:rPr>
          <w:rFonts w:ascii="Book Antiqua" w:hAnsi="Book Antiqua" w:cs="Book Antiqua"/>
          <w:color w:val="000000"/>
          <w:lang w:eastAsia="zh-CN"/>
        </w:rPr>
        <w:t>N</w:t>
      </w:r>
      <w:r>
        <w:rPr>
          <w:rFonts w:ascii="Book Antiqua" w:eastAsia="Book Antiqua" w:hAnsi="Book Antiqua" w:cs="Book Antiqua"/>
          <w:color w:val="000000"/>
        </w:rPr>
        <w:t xml:space="preserve"> 46845, United States</w:t>
      </w:r>
    </w:p>
    <w:p w14:paraId="61E285A4" w14:textId="77777777" w:rsidR="000F705E" w:rsidRDefault="000F705E">
      <w:pPr>
        <w:spacing w:line="360" w:lineRule="auto"/>
        <w:jc w:val="both"/>
        <w:rPr>
          <w:rFonts w:ascii="Book Antiqua" w:hAnsi="Book Antiqua"/>
        </w:rPr>
      </w:pPr>
    </w:p>
    <w:p w14:paraId="4A2DC1CA"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Reiche W acquisition of data, drafting the article, final approval; Deliwala S acquisition of data, analysis, interpretation of data, drafting the article; Chandan S conceptualization, study search, critical revision, final approval; Mohan B statistical analysis; Dhindsa B, Ramai D, Perisetti A data collection and study search; Rangray R and Mukherjee S critical revision, final approval</w:t>
      </w:r>
    </w:p>
    <w:p w14:paraId="58703AB9" w14:textId="77777777" w:rsidR="000F705E" w:rsidRDefault="000F705E">
      <w:pPr>
        <w:spacing w:line="360" w:lineRule="auto"/>
        <w:jc w:val="both"/>
        <w:rPr>
          <w:rFonts w:ascii="Book Antiqua" w:hAnsi="Book Antiqua"/>
        </w:rPr>
      </w:pPr>
    </w:p>
    <w:p w14:paraId="6489AAF7"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Corresponding author: William Reiche, DO, Doctor, </w:t>
      </w:r>
      <w:r>
        <w:rPr>
          <w:rFonts w:ascii="Book Antiqua" w:eastAsia="Book Antiqua" w:hAnsi="Book Antiqua" w:cs="Book Antiqua"/>
          <w:color w:val="000000"/>
        </w:rPr>
        <w:t>Department of Internal Medicine, CHI Creighton University Medical Center, 7500 Mercy R</w:t>
      </w:r>
      <w:r>
        <w:rPr>
          <w:rFonts w:ascii="Book Antiqua" w:hAnsi="Book Antiqua" w:cs="Book Antiqua"/>
          <w:color w:val="000000"/>
          <w:lang w:eastAsia="zh-CN"/>
        </w:rPr>
        <w:t>oa</w:t>
      </w:r>
      <w:r>
        <w:rPr>
          <w:rFonts w:ascii="Book Antiqua" w:eastAsia="Book Antiqua" w:hAnsi="Book Antiqua" w:cs="Book Antiqua"/>
          <w:color w:val="000000"/>
        </w:rPr>
        <w:t>d, Omaha, NE 68124, United States. reichewilliam@gmail.com</w:t>
      </w:r>
    </w:p>
    <w:p w14:paraId="1070A4D1" w14:textId="77777777" w:rsidR="000F705E" w:rsidRDefault="000F705E">
      <w:pPr>
        <w:spacing w:line="360" w:lineRule="auto"/>
        <w:jc w:val="both"/>
        <w:rPr>
          <w:rFonts w:ascii="Book Antiqua" w:hAnsi="Book Antiqua"/>
        </w:rPr>
      </w:pPr>
    </w:p>
    <w:p w14:paraId="4C6FACA8"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2022</w:t>
      </w:r>
    </w:p>
    <w:p w14:paraId="733F94DA" w14:textId="77777777" w:rsidR="000F705E" w:rsidRDefault="0081362D">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April 6, 2022</w:t>
      </w:r>
    </w:p>
    <w:p w14:paraId="693E57A5" w14:textId="77777777" w:rsidR="000F705E" w:rsidRDefault="0081362D">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12, 2022</w:t>
      </w:r>
    </w:p>
    <w:p w14:paraId="17B536E0" w14:textId="77777777" w:rsidR="000F705E" w:rsidRDefault="0081362D">
      <w:pPr>
        <w:spacing w:line="360" w:lineRule="auto"/>
        <w:jc w:val="both"/>
        <w:rPr>
          <w:rFonts w:ascii="Book Antiqua" w:hAnsi="Book Antiqua" w:cs="Book Antiqua"/>
          <w:bCs/>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1E06F25D" w14:textId="77777777" w:rsidR="000F705E" w:rsidRDefault="000F705E">
      <w:pPr>
        <w:spacing w:line="360" w:lineRule="auto"/>
        <w:jc w:val="both"/>
        <w:rPr>
          <w:rFonts w:ascii="Book Antiqua" w:hAnsi="Book Antiqua"/>
          <w:lang w:eastAsia="zh-CN"/>
        </w:rPr>
      </w:pPr>
    </w:p>
    <w:p w14:paraId="0B8C9C1A" w14:textId="77777777" w:rsidR="000F705E" w:rsidRDefault="000F705E">
      <w:pPr>
        <w:spacing w:line="360" w:lineRule="auto"/>
        <w:jc w:val="both"/>
        <w:rPr>
          <w:rFonts w:ascii="Book Antiqua" w:hAnsi="Book Antiqua"/>
          <w:lang w:eastAsia="zh-CN"/>
        </w:rPr>
      </w:pPr>
    </w:p>
    <w:p w14:paraId="2C4D3B68" w14:textId="77777777" w:rsidR="000F705E" w:rsidRDefault="000F705E">
      <w:pPr>
        <w:spacing w:line="360" w:lineRule="auto"/>
        <w:jc w:val="both"/>
        <w:rPr>
          <w:rFonts w:ascii="Book Antiqua" w:hAnsi="Book Antiqua"/>
          <w:lang w:eastAsia="zh-CN"/>
        </w:rPr>
      </w:pPr>
    </w:p>
    <w:p w14:paraId="29ECD3D5" w14:textId="77777777" w:rsidR="000F705E" w:rsidRDefault="000F705E">
      <w:pPr>
        <w:spacing w:line="360" w:lineRule="auto"/>
        <w:jc w:val="both"/>
        <w:rPr>
          <w:rFonts w:ascii="Book Antiqua" w:hAnsi="Book Antiqua"/>
        </w:rPr>
        <w:sectPr w:rsidR="000F705E">
          <w:footerReference w:type="default" r:id="rId6"/>
          <w:pgSz w:w="12240" w:h="15840"/>
          <w:pgMar w:top="1440" w:right="1440" w:bottom="1440" w:left="1440" w:header="720" w:footer="720" w:gutter="0"/>
          <w:cols w:space="720"/>
          <w:docGrid w:linePitch="360"/>
        </w:sectPr>
      </w:pPr>
    </w:p>
    <w:p w14:paraId="7D875E0E"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D302A75"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BACKGROUND</w:t>
      </w:r>
    </w:p>
    <w:p w14:paraId="4BD9AF95"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Spontaneous bacterial empyema (SBE) occurs when a hepatic hydrothorax becomes infected and runs a course similar to spontaneous bacterial peritonitis (SBP). It remains underdiagnosed as patients with cirrhosis do not routinely undergo diagnostic thoracentesis. Current understanding is limited by small cohorts, while studies reporting its association with ascites/SBP are conflicting. </w:t>
      </w:r>
    </w:p>
    <w:p w14:paraId="7931C23D" w14:textId="77777777" w:rsidR="000F705E" w:rsidRDefault="000F705E">
      <w:pPr>
        <w:spacing w:line="360" w:lineRule="auto"/>
        <w:jc w:val="both"/>
        <w:rPr>
          <w:rFonts w:ascii="Book Antiqua" w:hAnsi="Book Antiqua"/>
        </w:rPr>
      </w:pPr>
    </w:p>
    <w:p w14:paraId="04F59992"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AIM</w:t>
      </w:r>
    </w:p>
    <w:p w14:paraId="5D112FCF" w14:textId="77777777" w:rsidR="000F705E" w:rsidRDefault="0081362D">
      <w:pPr>
        <w:spacing w:line="360" w:lineRule="auto"/>
        <w:jc w:val="both"/>
        <w:rPr>
          <w:rFonts w:ascii="Book Antiqua" w:hAnsi="Book Antiqua"/>
        </w:rPr>
      </w:pPr>
      <w:r>
        <w:rPr>
          <w:rFonts w:ascii="Book Antiqua" w:hAnsi="Book Antiqua" w:cs="Book Antiqua"/>
          <w:color w:val="000000"/>
          <w:lang w:eastAsia="zh-CN"/>
        </w:rPr>
        <w:t>T</w:t>
      </w:r>
      <w:r>
        <w:rPr>
          <w:rFonts w:ascii="Book Antiqua" w:eastAsia="Book Antiqua" w:hAnsi="Book Antiqua" w:cs="Book Antiqua"/>
          <w:color w:val="000000"/>
        </w:rPr>
        <w:t xml:space="preserve">o explore the incidence of SBE, to determine its association with ascites, and to summarize what is known regarding treatment and outcomes for patients with SBE. </w:t>
      </w:r>
    </w:p>
    <w:p w14:paraId="7763F3C2" w14:textId="77777777" w:rsidR="000F705E" w:rsidRDefault="000F705E">
      <w:pPr>
        <w:spacing w:line="360" w:lineRule="auto"/>
        <w:jc w:val="both"/>
        <w:rPr>
          <w:rFonts w:ascii="Book Antiqua" w:hAnsi="Book Antiqua"/>
        </w:rPr>
      </w:pPr>
    </w:p>
    <w:p w14:paraId="508B5854"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METHODS</w:t>
      </w:r>
    </w:p>
    <w:p w14:paraId="0CC87C4A"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Major databases were searched until June 2021. Outcomes include the incidence of SBE in pleural effusions, SBP in peritoneal fluid, and SBE in patients without ascites within our cohort of patients with cirrhosis. We performed a meta-analysis using a random-effects model with pooled proportions and 95% confidence intervals (CI). We assessed heterogeneity using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and classic fail-safe to determine bias.</w:t>
      </w:r>
    </w:p>
    <w:p w14:paraId="0254DA55" w14:textId="77777777" w:rsidR="000F705E" w:rsidRDefault="000F705E">
      <w:pPr>
        <w:spacing w:line="360" w:lineRule="auto"/>
        <w:jc w:val="both"/>
        <w:rPr>
          <w:rFonts w:ascii="Book Antiqua" w:hAnsi="Book Antiqua"/>
        </w:rPr>
      </w:pPr>
    </w:p>
    <w:p w14:paraId="0C48B23E"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RESULTS</w:t>
      </w:r>
    </w:p>
    <w:p w14:paraId="5BEAB350"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Eight studies with 8899 cirrhosis patients were included. The median age ranged between 41.2 to 69.7 years. The majority of the patients were Child-Pugh B and C. Mean MELD score was 18.6 ± 8.09. A total of 1334 patients had pleural effusions and the pooled incidence of SBE was 15.6% (CI 12.6-19;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50). Amongst patients diagnosed with SBE, the most common locations included right (202), left (64), and bilateral (8). Amongst our cohort, a total of 2636 patients had ascites with a pooled incidence of SBP of 22.2% (CI 9.9-42.7;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97.8). The pooled incidence of SBE in patients with cirrhosis but without concomitant ascites was 9.5% (CI 3.6-22.8;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82.5).</w:t>
      </w:r>
    </w:p>
    <w:p w14:paraId="55EDFD23" w14:textId="77777777" w:rsidR="000F705E" w:rsidRDefault="000F705E">
      <w:pPr>
        <w:spacing w:line="360" w:lineRule="auto"/>
        <w:jc w:val="both"/>
        <w:rPr>
          <w:rFonts w:ascii="Book Antiqua" w:hAnsi="Book Antiqua"/>
        </w:rPr>
      </w:pPr>
    </w:p>
    <w:p w14:paraId="261506A7"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0FACED78"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SBE frequently occurs with concurrent ascites/SBP; our results suggest high incidence rates of SBE even in the absence of ascites. The pleura can be an unrecognized nidus and our findings support the use of diagnostic thoracentesis in patients with decompensated cirrhosis after exclusion of other causes of pleural effusion. Thoracentesis should be considered particularly in patients without ascites and when there is a high suspicion of infection. The need for diagnostic thoracentesis will continue to be important as rates of multi-drug resistant bacterial infections increase and antibiotic susceptibility information is required for adequate treatment.</w:t>
      </w:r>
    </w:p>
    <w:p w14:paraId="781EBBEE" w14:textId="77777777" w:rsidR="000F705E" w:rsidRDefault="000F705E">
      <w:pPr>
        <w:spacing w:line="360" w:lineRule="auto"/>
        <w:jc w:val="both"/>
        <w:rPr>
          <w:rFonts w:ascii="Book Antiqua" w:hAnsi="Book Antiqua"/>
        </w:rPr>
      </w:pPr>
    </w:p>
    <w:p w14:paraId="4E1C8129"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Spontaneous bacterial peritonitis; </w:t>
      </w:r>
      <w:r>
        <w:rPr>
          <w:rFonts w:ascii="Book Antiqua" w:hAnsi="Book Antiqua" w:cs="Book Antiqua"/>
          <w:color w:val="000000"/>
          <w:lang w:eastAsia="zh-CN"/>
        </w:rPr>
        <w:t>S</w:t>
      </w:r>
      <w:r>
        <w:rPr>
          <w:rFonts w:ascii="Book Antiqua" w:eastAsia="Book Antiqua" w:hAnsi="Book Antiqua" w:cs="Book Antiqua"/>
          <w:color w:val="000000"/>
        </w:rPr>
        <w:t xml:space="preserve">pontaneous bacterial peritonitis; </w:t>
      </w:r>
      <w:r>
        <w:rPr>
          <w:rFonts w:ascii="Book Antiqua" w:hAnsi="Book Antiqua" w:cs="Book Antiqua"/>
          <w:color w:val="000000"/>
          <w:lang w:eastAsia="zh-CN"/>
        </w:rPr>
        <w:t>P</w:t>
      </w:r>
      <w:r>
        <w:rPr>
          <w:rFonts w:ascii="Book Antiqua" w:eastAsia="Book Antiqua" w:hAnsi="Book Antiqua" w:cs="Book Antiqua"/>
          <w:color w:val="000000"/>
        </w:rPr>
        <w:t xml:space="preserve">ostparacentesis circulatory dysfunction; </w:t>
      </w:r>
      <w:r>
        <w:rPr>
          <w:rFonts w:ascii="Book Antiqua" w:hAnsi="Book Antiqua" w:cs="Book Antiqua"/>
          <w:color w:val="000000"/>
          <w:lang w:eastAsia="zh-CN"/>
        </w:rPr>
        <w:t>R</w:t>
      </w:r>
      <w:r>
        <w:rPr>
          <w:rFonts w:ascii="Book Antiqua" w:eastAsia="Book Antiqua" w:hAnsi="Book Antiqua" w:cs="Book Antiqua"/>
          <w:color w:val="000000"/>
        </w:rPr>
        <w:t xml:space="preserve">efractory ascites; </w:t>
      </w:r>
      <w:r>
        <w:rPr>
          <w:rFonts w:ascii="Book Antiqua" w:hAnsi="Book Antiqua" w:cs="Book Antiqua"/>
          <w:color w:val="000000"/>
          <w:lang w:eastAsia="zh-CN"/>
        </w:rPr>
        <w:t>H</w:t>
      </w:r>
      <w:r>
        <w:rPr>
          <w:rFonts w:ascii="Book Antiqua" w:eastAsia="Book Antiqua" w:hAnsi="Book Antiqua" w:cs="Book Antiqua"/>
          <w:color w:val="000000"/>
        </w:rPr>
        <w:t>epatic hydrothorax</w:t>
      </w:r>
    </w:p>
    <w:p w14:paraId="3693EAB8" w14:textId="2276AD3F" w:rsidR="000F705E" w:rsidRDefault="000F705E">
      <w:pPr>
        <w:spacing w:line="360" w:lineRule="auto"/>
        <w:jc w:val="both"/>
        <w:rPr>
          <w:rFonts w:ascii="Book Antiqua" w:hAnsi="Book Antiqua"/>
        </w:rPr>
      </w:pPr>
    </w:p>
    <w:p w14:paraId="5F827776" w14:textId="77777777" w:rsidR="00961694" w:rsidRDefault="00961694" w:rsidP="00961694">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DE11B1C" w14:textId="77777777" w:rsidR="00961694" w:rsidRDefault="00961694">
      <w:pPr>
        <w:spacing w:line="360" w:lineRule="auto"/>
        <w:jc w:val="both"/>
        <w:rPr>
          <w:rFonts w:ascii="Book Antiqua" w:hAnsi="Book Antiqua"/>
        </w:rPr>
      </w:pPr>
    </w:p>
    <w:p w14:paraId="33600C17" w14:textId="74110339" w:rsidR="004D7347" w:rsidRDefault="004D7347">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81362D">
        <w:rPr>
          <w:rFonts w:ascii="Book Antiqua" w:eastAsia="Book Antiqua" w:hAnsi="Book Antiqua" w:cs="Book Antiqua"/>
          <w:color w:val="000000"/>
        </w:rPr>
        <w:t xml:space="preserve">Reiche W, Deliwala S, Chandan S, Mohan BP, Dhindsa B, Ramai D, Perisetti A, Rangray R, Mukherjee S. Spontaneous bacterial empyema in cirrhosis: A systematic review and meta-analysis. </w:t>
      </w:r>
      <w:r w:rsidR="0081362D">
        <w:rPr>
          <w:rFonts w:ascii="Book Antiqua" w:eastAsia="Book Antiqua" w:hAnsi="Book Antiqua" w:cs="Book Antiqua"/>
          <w:i/>
          <w:iCs/>
          <w:color w:val="000000"/>
        </w:rPr>
        <w:t>World J Hepatol</w:t>
      </w:r>
      <w:r w:rsidR="0081362D">
        <w:rPr>
          <w:rFonts w:ascii="Book Antiqua" w:eastAsia="Book Antiqua" w:hAnsi="Book Antiqua" w:cs="Book Antiqua"/>
          <w:color w:val="000000"/>
        </w:rPr>
        <w:t xml:space="preserve"> 2022; </w:t>
      </w:r>
      <w:r w:rsidR="0081362D">
        <w:rPr>
          <w:rFonts w:ascii="Book Antiqua" w:eastAsia="Book Antiqua" w:hAnsi="Book Antiqua" w:cs="Book Antiqua" w:hint="eastAsia"/>
          <w:color w:val="000000"/>
        </w:rPr>
        <w:t xml:space="preserve">14(6): </w:t>
      </w:r>
      <w:r>
        <w:rPr>
          <w:rFonts w:ascii="Book Antiqua" w:eastAsia="Book Antiqua" w:hAnsi="Book Antiqua" w:cs="Book Antiqua"/>
          <w:color w:val="000000"/>
        </w:rPr>
        <w:t>1258</w:t>
      </w:r>
      <w:r w:rsidR="0081362D">
        <w:rPr>
          <w:rFonts w:ascii="Book Antiqua" w:eastAsia="Book Antiqua" w:hAnsi="Book Antiqua" w:cs="Book Antiqua" w:hint="eastAsia"/>
          <w:color w:val="000000"/>
        </w:rPr>
        <w:t>-</w:t>
      </w:r>
      <w:r>
        <w:rPr>
          <w:rFonts w:ascii="Book Antiqua" w:eastAsia="Book Antiqua" w:hAnsi="Book Antiqua" w:cs="Book Antiqua"/>
          <w:color w:val="000000"/>
        </w:rPr>
        <w:t>1268</w:t>
      </w:r>
      <w:r w:rsidR="0081362D">
        <w:rPr>
          <w:rFonts w:ascii="Book Antiqua" w:eastAsia="Book Antiqua" w:hAnsi="Book Antiqua" w:cs="Book Antiqua" w:hint="eastAsia"/>
          <w:color w:val="000000"/>
        </w:rPr>
        <w:t xml:space="preserve"> </w:t>
      </w:r>
    </w:p>
    <w:p w14:paraId="0B237F28" w14:textId="7DDCB163" w:rsidR="004D7347" w:rsidRDefault="0081362D">
      <w:pPr>
        <w:spacing w:line="360" w:lineRule="auto"/>
        <w:jc w:val="both"/>
        <w:rPr>
          <w:rFonts w:ascii="Book Antiqua" w:eastAsia="Book Antiqua" w:hAnsi="Book Antiqua" w:cs="Book Antiqua"/>
          <w:color w:val="000000"/>
        </w:rPr>
      </w:pPr>
      <w:r w:rsidRPr="004D7347">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7" w:history="1">
        <w:r w:rsidR="004D7347" w:rsidRPr="004D7347">
          <w:rPr>
            <w:rStyle w:val="ae"/>
            <w:rFonts w:ascii="Book Antiqua" w:eastAsia="Book Antiqua" w:hAnsi="Book Antiqua" w:cs="Book Antiqua" w:hint="eastAsia"/>
            <w:color w:val="auto"/>
            <w:u w:val="none"/>
          </w:rPr>
          <w:t>https://www.wjgnet.com/1948-5182/full/v14/i6/</w:t>
        </w:r>
        <w:r w:rsidR="004D7347" w:rsidRPr="004D7347">
          <w:rPr>
            <w:rStyle w:val="ae"/>
            <w:rFonts w:ascii="Book Antiqua" w:eastAsia="Book Antiqua" w:hAnsi="Book Antiqua" w:cs="Book Antiqua"/>
            <w:color w:val="auto"/>
            <w:u w:val="none"/>
          </w:rPr>
          <w:t>1258</w:t>
        </w:r>
        <w:r w:rsidR="004D7347" w:rsidRPr="004D7347">
          <w:rPr>
            <w:rStyle w:val="ae"/>
            <w:rFonts w:ascii="Book Antiqua" w:eastAsia="Book Antiqua" w:hAnsi="Book Antiqua" w:cs="Book Antiqua" w:hint="eastAsia"/>
            <w:color w:val="auto"/>
            <w:u w:val="none"/>
          </w:rPr>
          <w:t>.htm</w:t>
        </w:r>
      </w:hyperlink>
      <w:r w:rsidRPr="004D7347">
        <w:rPr>
          <w:rFonts w:ascii="Book Antiqua" w:eastAsia="Book Antiqua" w:hAnsi="Book Antiqua" w:cs="Book Antiqua" w:hint="eastAsia"/>
        </w:rPr>
        <w:t xml:space="preserve"> </w:t>
      </w:r>
    </w:p>
    <w:p w14:paraId="63A0731A" w14:textId="468B62C6" w:rsidR="000F705E" w:rsidRDefault="0081362D">
      <w:pPr>
        <w:spacing w:line="360" w:lineRule="auto"/>
        <w:jc w:val="both"/>
        <w:rPr>
          <w:rFonts w:ascii="Book Antiqua" w:eastAsia="Book Antiqua" w:hAnsi="Book Antiqua" w:cs="Book Antiqua"/>
          <w:color w:val="000000"/>
        </w:rPr>
      </w:pPr>
      <w:r w:rsidRPr="004D7347">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4D7347">
        <w:rPr>
          <w:rFonts w:ascii="Book Antiqua" w:eastAsia="Book Antiqua" w:hAnsi="Book Antiqua" w:cs="Book Antiqua"/>
          <w:color w:val="000000"/>
        </w:rPr>
        <w:t>1258</w:t>
      </w:r>
    </w:p>
    <w:p w14:paraId="1D6C999E" w14:textId="77777777" w:rsidR="000F705E" w:rsidRDefault="000F705E">
      <w:pPr>
        <w:spacing w:line="360" w:lineRule="auto"/>
        <w:jc w:val="both"/>
        <w:rPr>
          <w:rFonts w:ascii="Book Antiqua" w:hAnsi="Book Antiqua"/>
        </w:rPr>
      </w:pPr>
    </w:p>
    <w:p w14:paraId="6A4E0ED3" w14:textId="77777777" w:rsidR="000F705E" w:rsidRDefault="000F705E">
      <w:pPr>
        <w:spacing w:line="360" w:lineRule="auto"/>
        <w:jc w:val="both"/>
        <w:rPr>
          <w:rFonts w:ascii="Book Antiqua" w:hAnsi="Book Antiqua"/>
        </w:rPr>
      </w:pPr>
    </w:p>
    <w:p w14:paraId="4F9B98FB"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Identification of risk factors for developing spontaneous bacterial empyema and characterization of spontaneous bacterial empyema are lacking. This is a systematic review and meta-analysis describing spontaneous bacterial empyema and the relationship to ascites in patients with cirrhosis. We investigated the incidence of spontaneous bacterial empyema, the incidence of spontaneous bacterial peritonitis, and </w:t>
      </w:r>
      <w:r>
        <w:rPr>
          <w:rFonts w:ascii="Book Antiqua" w:eastAsia="Book Antiqua" w:hAnsi="Book Antiqua" w:cs="Book Antiqua"/>
          <w:color w:val="000000"/>
        </w:rPr>
        <w:lastRenderedPageBreak/>
        <w:t xml:space="preserve">the incidence of spontaneous bacterial empyema without ascites in a meta-analysis including eight studies. </w:t>
      </w:r>
    </w:p>
    <w:p w14:paraId="1F48B758" w14:textId="77777777" w:rsidR="000F705E" w:rsidRDefault="000F705E">
      <w:pPr>
        <w:spacing w:line="360" w:lineRule="auto"/>
        <w:jc w:val="both"/>
        <w:rPr>
          <w:rFonts w:ascii="Book Antiqua" w:hAnsi="Book Antiqua"/>
        </w:rPr>
      </w:pPr>
    </w:p>
    <w:p w14:paraId="43AE5C7F" w14:textId="77777777" w:rsidR="000F705E" w:rsidRDefault="0081362D">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131F5074"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Hepatic hydrothorax (HH) is one of the pulmonary complications observed in cirrhotic patients and attributed to portal hypertension which leads to a transudative effusion. The true prevalence of HH in cirrhotic patients is unclear but estimated to be at 10%. Infection of the HH (pleura and pleural fluid) is termed spontaneous bacterial empyema (SBE) and represents a distinct and underdiagnosed infectious etiology in patients with decompensated cirrhosis. This entity’s existence has frequently been debated; the true nature is uncertain</w:t>
      </w:r>
      <w:r>
        <w:rPr>
          <w:rFonts w:ascii="Book Antiqua" w:eastAsia="Book Antiqua" w:hAnsi="Book Antiqua" w:cs="Book Antiqua"/>
          <w:color w:val="000000"/>
          <w:vertAlign w:val="superscript"/>
        </w:rPr>
        <w:t>[1-4]</w:t>
      </w:r>
      <w:r>
        <w:rPr>
          <w:rFonts w:ascii="Book Antiqua" w:eastAsia="Book Antiqua" w:hAnsi="Book Antiqua" w:cs="Book Antiqua"/>
          <w:color w:val="000000"/>
        </w:rPr>
        <w:t>. Knowledge regarding this complication has been limited due to a lack of clinical studies. At the same time, several studies suggest SBE is not spontaneous but occurs due to ruptured pleuroperitoneal blebs, which cause diaphragm defects. The negative pressure created in the pleural cavity creates unidirectional flow into the pleural space where low protein ascitic fluid can accumulate and propagate infection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Conversely, other studies have found that SBE can develop without spontaneous bacterial peritonitis (SBP) and can even be diagnosed in patients without ascitic fluid, representing an overlooked infection nidus</w:t>
      </w:r>
      <w:r>
        <w:rPr>
          <w:rFonts w:ascii="Book Antiqua" w:eastAsia="Book Antiqua" w:hAnsi="Book Antiqua" w:cs="Book Antiqua"/>
          <w:color w:val="000000"/>
          <w:vertAlign w:val="superscript"/>
        </w:rPr>
        <w:t>[5-8]</w:t>
      </w:r>
      <w:r>
        <w:rPr>
          <w:rFonts w:ascii="Book Antiqua" w:eastAsia="Book Antiqua" w:hAnsi="Book Antiqua" w:cs="Book Antiqua"/>
          <w:color w:val="000000"/>
        </w:rPr>
        <w:t>. More robust data is needed within SBE to guide efficient clinical decision-making due to the significant burden on patients and healthcare resources</w:t>
      </w:r>
      <w:r>
        <w:rPr>
          <w:rFonts w:ascii="Book Antiqua" w:eastAsia="Book Antiqua" w:hAnsi="Book Antiqua" w:cs="Book Antiqua"/>
          <w:color w:val="000000"/>
          <w:vertAlign w:val="superscript"/>
        </w:rPr>
        <w:t>[9,10]</w:t>
      </w:r>
      <w:r>
        <w:rPr>
          <w:rFonts w:ascii="Book Antiqua" w:eastAsia="Book Antiqua" w:hAnsi="Book Antiqua" w:cs="Book Antiqua"/>
          <w:color w:val="000000"/>
        </w:rPr>
        <w:t>. Patients inflicted by pleural pathology can have prolonged stay with increased mortality</w:t>
      </w:r>
      <w:r>
        <w:rPr>
          <w:rFonts w:ascii="Book Antiqua" w:eastAsia="Book Antiqua" w:hAnsi="Book Antiqua" w:cs="Book Antiqua"/>
          <w:color w:val="000000"/>
          <w:vertAlign w:val="superscript"/>
        </w:rPr>
        <w:t>[7,11,12]</w:t>
      </w:r>
      <w:r>
        <w:rPr>
          <w:rFonts w:ascii="Book Antiqua" w:eastAsia="Book Antiqua" w:hAnsi="Book Antiqua" w:cs="Book Antiqua"/>
          <w:color w:val="000000"/>
        </w:rPr>
        <w:t>.</w:t>
      </w:r>
    </w:p>
    <w:p w14:paraId="335E1D3A" w14:textId="77777777" w:rsidR="000F705E" w:rsidRDefault="0081362D">
      <w:pPr>
        <w:spacing w:line="360" w:lineRule="auto"/>
        <w:ind w:firstLineChars="200" w:firstLine="480"/>
        <w:jc w:val="both"/>
        <w:rPr>
          <w:rFonts w:ascii="Book Antiqua" w:hAnsi="Book Antiqua"/>
        </w:rPr>
      </w:pPr>
      <w:r>
        <w:rPr>
          <w:rFonts w:ascii="Book Antiqua" w:eastAsia="Book Antiqua" w:hAnsi="Book Antiqua" w:cs="Book Antiqua"/>
          <w:color w:val="000000"/>
        </w:rPr>
        <w:t>The exudative nature of SBE is well established; however, risk factors for developing this condition are less clearly elucidated. Several studies have found that patients who develop HH or SBE are more likely to have lower levels of pleural fluid protein and a higher Child-Pugh or MELD score to support the diagnosis</w:t>
      </w:r>
      <w:r>
        <w:rPr>
          <w:rFonts w:ascii="Book Antiqua" w:eastAsia="Book Antiqua" w:hAnsi="Book Antiqua" w:cs="Book Antiqua"/>
          <w:color w:val="000000"/>
          <w:vertAlign w:val="superscript"/>
        </w:rPr>
        <w:t>[13,14]</w:t>
      </w:r>
      <w:r>
        <w:rPr>
          <w:rFonts w:ascii="Book Antiqua" w:eastAsia="Book Antiqua" w:hAnsi="Book Antiqua" w:cs="Book Antiqua"/>
          <w:color w:val="000000"/>
        </w:rPr>
        <w:t>. Additionally, the concurrence of hydrothorax and ascites remains unknown. We aim to fill the current understanding by performing a systematic review and incidence meta-analysis exploring the incidence of SBE and its association with ascites.</w:t>
      </w:r>
    </w:p>
    <w:p w14:paraId="3C93FE8E" w14:textId="77777777" w:rsidR="000F705E" w:rsidRDefault="000F705E">
      <w:pPr>
        <w:spacing w:line="360" w:lineRule="auto"/>
        <w:jc w:val="both"/>
        <w:rPr>
          <w:rFonts w:ascii="Book Antiqua" w:hAnsi="Book Antiqua"/>
        </w:rPr>
      </w:pPr>
    </w:p>
    <w:p w14:paraId="1499682D" w14:textId="77777777" w:rsidR="000F705E" w:rsidRDefault="0081362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C3E50FA"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Protocol</w:t>
      </w:r>
    </w:p>
    <w:p w14:paraId="5DB55D5C"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This review has been in accordance with the Preferred Reporting Items for Systematic Reviews and Meta-Analyses Statement (PRISMA) and Meta-analyses of Observational Studies in Epidemiology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reporting standards </w:t>
      </w:r>
      <w:r>
        <w:rPr>
          <w:rFonts w:ascii="Book Antiqua" w:hAnsi="Book Antiqua" w:cs="Book Antiqua"/>
          <w:color w:val="000000"/>
          <w:lang w:eastAsia="zh-CN"/>
        </w:rPr>
        <w:t>(</w:t>
      </w:r>
      <w:r>
        <w:rPr>
          <w:rFonts w:ascii="Book Antiqua" w:eastAsia="Book Antiqua" w:hAnsi="Book Antiqua" w:cs="Book Antiqua"/>
          <w:color w:val="000000"/>
        </w:rPr>
        <w:t xml:space="preserve">Supplementary </w:t>
      </w:r>
      <w:r>
        <w:rPr>
          <w:rFonts w:ascii="Book Antiqua" w:hAnsi="Book Antiqua" w:cs="Book Antiqua"/>
          <w:color w:val="000000"/>
          <w:lang w:eastAsia="zh-CN"/>
        </w:rPr>
        <w:t>T</w:t>
      </w:r>
      <w:r>
        <w:rPr>
          <w:rFonts w:ascii="Book Antiqua" w:eastAsia="Book Antiqua" w:hAnsi="Book Antiqua" w:cs="Book Antiqua"/>
          <w:color w:val="000000"/>
        </w:rPr>
        <w:t>ables 1 and 2</w:t>
      </w:r>
      <w:r>
        <w:rPr>
          <w:rFonts w:ascii="Book Antiqua" w:hAnsi="Book Antiqua" w:cs="Book Antiqua"/>
          <w:color w:val="000000"/>
          <w:lang w:eastAsia="zh-CN"/>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11CB8AC3" w14:textId="77777777" w:rsidR="000F705E" w:rsidRDefault="000F705E">
      <w:pPr>
        <w:spacing w:line="360" w:lineRule="auto"/>
        <w:jc w:val="both"/>
        <w:rPr>
          <w:rFonts w:ascii="Book Antiqua" w:hAnsi="Book Antiqua"/>
          <w:lang w:eastAsia="zh-CN"/>
        </w:rPr>
      </w:pPr>
    </w:p>
    <w:p w14:paraId="48970360"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Eligibility criteria, literature search, and search strategy</w:t>
      </w:r>
    </w:p>
    <w:p w14:paraId="64695DFA"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An expert librarian conducted a systematic literature search using a priori protocol to identify studies reporting the incidence, associations, and outcomes of SBE in patients with cirrhosis. The search strategies included “spontaneous bacterial empyema,” “SBE,” and “SBEM.” The search was run in June 2021 across multiple databases, including Ovid EBM Reviews, Ovid Embase (1974+), Ovid Medline (1946+ including epub ahead of print, in-process, and other non-indexed citations), Scopus (1970+), Web of Science (1975+), and PubMed. The search was restricted to articles in English and identified searches were exported to a reference manager (EndNote). We cross-checked reference lists of identified sources for additional relevant studies. Any discrepancy was resolved by a third reviewer (SC). Detailed search strategy presented as Supplementary </w:t>
      </w:r>
      <w:r>
        <w:rPr>
          <w:rFonts w:ascii="Book Antiqua" w:hAnsi="Book Antiqua" w:cs="Book Antiqua"/>
          <w:color w:val="000000"/>
          <w:lang w:eastAsia="zh-CN"/>
        </w:rPr>
        <w:t>material</w:t>
      </w:r>
      <w:r>
        <w:rPr>
          <w:rFonts w:ascii="Book Antiqua" w:eastAsia="Book Antiqua" w:hAnsi="Book Antiqua" w:cs="Book Antiqua"/>
          <w:color w:val="000000"/>
        </w:rPr>
        <w:t>.</w:t>
      </w:r>
    </w:p>
    <w:p w14:paraId="3947336F" w14:textId="77777777" w:rsidR="000F705E" w:rsidRDefault="000F705E">
      <w:pPr>
        <w:spacing w:line="360" w:lineRule="auto"/>
        <w:jc w:val="both"/>
        <w:rPr>
          <w:rFonts w:ascii="Book Antiqua" w:hAnsi="Book Antiqua"/>
          <w:lang w:eastAsia="zh-CN"/>
        </w:rPr>
      </w:pPr>
    </w:p>
    <w:p w14:paraId="7B8D0D93"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Study selection</w:t>
      </w:r>
    </w:p>
    <w:p w14:paraId="6D4EC1F3"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meta-analysis included studies that evaluated patients with SBE. SBE was defined as positive pleural fluid culture and polymorphonuclear leukocytes (PMN) count &gt; 250 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negative pleural fluid culture and PMN count &gt; 500 cells/mm</w:t>
      </w:r>
      <w:r>
        <w:rPr>
          <w:rFonts w:ascii="Book Antiqua" w:eastAsia="Book Antiqua" w:hAnsi="Book Antiqua" w:cs="Book Antiqua"/>
          <w:color w:val="000000"/>
          <w:vertAlign w:val="superscript"/>
        </w:rPr>
        <w:t>3</w:t>
      </w:r>
      <w:r>
        <w:rPr>
          <w:rFonts w:ascii="Book Antiqua" w:eastAsia="Book Antiqua" w:hAnsi="Book Antiqua" w:cs="Book Antiqua"/>
          <w:color w:val="000000"/>
        </w:rPr>
        <w:t>, without evidence of pneumonia/parapneumonic effusion on imaging</w:t>
      </w:r>
      <w:r>
        <w:rPr>
          <w:rFonts w:ascii="Book Antiqua" w:eastAsia="Book Antiqua" w:hAnsi="Book Antiqua" w:cs="Book Antiqua"/>
          <w:color w:val="000000"/>
          <w:vertAlign w:val="superscript"/>
        </w:rPr>
        <w:t>[5-7]</w:t>
      </w:r>
      <w:r>
        <w:rPr>
          <w:rFonts w:ascii="Book Antiqua" w:eastAsia="Book Antiqua" w:hAnsi="Book Antiqua" w:cs="Book Antiqua"/>
          <w:color w:val="000000"/>
        </w:rPr>
        <w:t>. Studies reporting performance in pediatric age groups (&lt;</w:t>
      </w:r>
      <w:r>
        <w:rPr>
          <w:rFonts w:ascii="Book Antiqua" w:hAnsi="Book Antiqua" w:cs="Book Antiqua"/>
          <w:color w:val="000000"/>
          <w:lang w:eastAsia="zh-CN"/>
        </w:rPr>
        <w:t xml:space="preserve"> </w:t>
      </w:r>
      <w:r>
        <w:rPr>
          <w:rFonts w:ascii="Book Antiqua" w:eastAsia="Book Antiqua" w:hAnsi="Book Antiqua" w:cs="Book Antiqua"/>
          <w:color w:val="000000"/>
        </w:rPr>
        <w:t>18 years), conference abstracts, case reports, and non-English studies were excluded. Studies were restricted to full-text. Two authors decided on the final selection (WR, SC). Details presented in PRISMA flow diagram, Figure 1.</w:t>
      </w:r>
    </w:p>
    <w:p w14:paraId="017389BB" w14:textId="77777777" w:rsidR="000F705E" w:rsidRDefault="000F705E">
      <w:pPr>
        <w:spacing w:line="360" w:lineRule="auto"/>
        <w:jc w:val="both"/>
        <w:rPr>
          <w:rFonts w:ascii="Book Antiqua" w:hAnsi="Book Antiqua"/>
          <w:lang w:eastAsia="zh-CN"/>
        </w:rPr>
      </w:pPr>
    </w:p>
    <w:p w14:paraId="4877878D"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 xml:space="preserve">Data extraction and quality assessment </w:t>
      </w:r>
    </w:p>
    <w:p w14:paraId="2C98040B"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Two reviewers (WR, SD) independently extracted eligible information into an a priori designed Google excel spreadsheet. The Qumseya scale for quality assessment of cohort </w:t>
      </w:r>
      <w:r>
        <w:rPr>
          <w:rFonts w:ascii="Book Antiqua" w:eastAsia="Book Antiqua" w:hAnsi="Book Antiqua" w:cs="Book Antiqua"/>
          <w:color w:val="000000"/>
        </w:rPr>
        <w:lastRenderedPageBreak/>
        <w:t>studies for systematic reviews and meta-analyses consisted of nine questions (Supplementary Figure 1). We assessed each study for its design, measurements, outcomes, and patient characteristics. Each risk of bias had a maximum score of 10. Studies with less than six were considered low, 6-7 were moderate, and &gt; 8 were deemed to be high quality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5EDFD470" w14:textId="77777777" w:rsidR="000F705E" w:rsidRDefault="000F705E">
      <w:pPr>
        <w:spacing w:line="360" w:lineRule="auto"/>
        <w:jc w:val="both"/>
        <w:rPr>
          <w:rFonts w:ascii="Book Antiqua" w:hAnsi="Book Antiqua"/>
          <w:lang w:eastAsia="zh-CN"/>
        </w:rPr>
      </w:pPr>
    </w:p>
    <w:p w14:paraId="4BE5C09A"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 xml:space="preserve">Outcomes </w:t>
      </w:r>
      <w:r>
        <w:rPr>
          <w:rFonts w:ascii="Book Antiqua" w:hAnsi="Book Antiqua" w:cs="Book Antiqua"/>
          <w:b/>
          <w:bCs/>
          <w:i/>
          <w:iCs/>
          <w:color w:val="000000"/>
          <w:lang w:eastAsia="zh-CN"/>
        </w:rPr>
        <w:t>a</w:t>
      </w:r>
      <w:r>
        <w:rPr>
          <w:rFonts w:ascii="Book Antiqua" w:eastAsia="Book Antiqua" w:hAnsi="Book Antiqua" w:cs="Book Antiqua"/>
          <w:b/>
          <w:bCs/>
          <w:i/>
          <w:iCs/>
          <w:color w:val="000000"/>
        </w:rPr>
        <w:t>ssessed</w:t>
      </w:r>
    </w:p>
    <w:p w14:paraId="481AADB6" w14:textId="77777777" w:rsidR="000F705E" w:rsidRDefault="0081362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w:t>
      </w:r>
      <w:r>
        <w:rPr>
          <w:rFonts w:ascii="Book Antiqua" w:eastAsia="Book Antiqua" w:hAnsi="Book Antiqua" w:cs="Book Antiqua"/>
          <w:color w:val="000000"/>
        </w:rPr>
        <w:t xml:space="preserve"> Incidence of SBE in patients with cirrhosis</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2</w:t>
      </w:r>
      <w:r>
        <w:rPr>
          <w:rFonts w:ascii="Book Antiqua" w:hAnsi="Book Antiqua" w:cs="Book Antiqua"/>
          <w:color w:val="000000"/>
          <w:lang w:eastAsia="zh-CN"/>
        </w:rPr>
        <w:t>)</w:t>
      </w:r>
      <w:r>
        <w:rPr>
          <w:rFonts w:ascii="Book Antiqua" w:eastAsia="Book Antiqua" w:hAnsi="Book Antiqua" w:cs="Book Antiqua"/>
          <w:color w:val="000000"/>
        </w:rPr>
        <w:t xml:space="preserve"> Incidence of SBP in patients with cirrhosis</w:t>
      </w:r>
      <w:r>
        <w:rPr>
          <w:rFonts w:ascii="Book Antiqua" w:hAnsi="Book Antiqua" w:cs="Book Antiqua"/>
          <w:color w:val="000000"/>
          <w:lang w:eastAsia="zh-CN"/>
        </w:rPr>
        <w:t>; (</w:t>
      </w:r>
      <w:r>
        <w:rPr>
          <w:rFonts w:ascii="Book Antiqua" w:eastAsia="Book Antiqua" w:hAnsi="Book Antiqua" w:cs="Book Antiqua"/>
          <w:color w:val="000000"/>
        </w:rPr>
        <w:t>3</w:t>
      </w:r>
      <w:r>
        <w:rPr>
          <w:rFonts w:ascii="Book Antiqua" w:hAnsi="Book Antiqua" w:cs="Book Antiqua"/>
          <w:color w:val="000000"/>
          <w:lang w:eastAsia="zh-CN"/>
        </w:rPr>
        <w:t>)</w:t>
      </w:r>
      <w:r>
        <w:rPr>
          <w:rFonts w:ascii="Book Antiqua" w:eastAsia="Book Antiqua" w:hAnsi="Book Antiqua" w:cs="Book Antiqua"/>
          <w:color w:val="000000"/>
        </w:rPr>
        <w:t xml:space="preserve"> Incidence of SBE in patients without concomitant ascites</w:t>
      </w:r>
      <w:r>
        <w:rPr>
          <w:rFonts w:ascii="Book Antiqua" w:hAnsi="Book Antiqua" w:cs="Book Antiqua"/>
          <w:color w:val="000000"/>
          <w:lang w:eastAsia="zh-CN"/>
        </w:rPr>
        <w:t>.</w:t>
      </w:r>
      <w:r>
        <w:rPr>
          <w:rFonts w:ascii="Book Antiqua" w:eastAsia="Book Antiqua" w:hAnsi="Book Antiqua" w:cs="Book Antiqua"/>
          <w:color w:val="000000"/>
        </w:rPr>
        <w:t xml:space="preserve"> </w:t>
      </w:r>
    </w:p>
    <w:p w14:paraId="4286E9D2" w14:textId="77777777" w:rsidR="000F705E" w:rsidRDefault="000F705E">
      <w:pPr>
        <w:spacing w:line="360" w:lineRule="auto"/>
        <w:jc w:val="both"/>
        <w:rPr>
          <w:rFonts w:ascii="Book Antiqua" w:hAnsi="Book Antiqua"/>
          <w:lang w:eastAsia="zh-CN"/>
        </w:rPr>
      </w:pPr>
    </w:p>
    <w:p w14:paraId="4CC4FACD"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 xml:space="preserve">Statistical analysis </w:t>
      </w:r>
    </w:p>
    <w:p w14:paraId="3BD65853"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Statistical analysis was performed using Comprehensive Meta-Analysis (CMA 3.0) software (Biostat, Englewood, NJ). Pooled estimates and corresponding 95% confidence intervals (CI) for dichotomous variables were calculated using the random-effects inverse variance method</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Heterogeneity was measured by Cochrane Q and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statistics, with values of &lt;</w:t>
      </w:r>
      <w:r>
        <w:rPr>
          <w:rFonts w:ascii="Book Antiqua" w:hAnsi="Book Antiqua" w:cs="Book Antiqua"/>
          <w:color w:val="000000"/>
          <w:lang w:eastAsia="zh-CN"/>
        </w:rPr>
        <w:t xml:space="preserve"> </w:t>
      </w:r>
      <w:r>
        <w:rPr>
          <w:rFonts w:ascii="Book Antiqua" w:eastAsia="Book Antiqua" w:hAnsi="Book Antiqua" w:cs="Book Antiqua"/>
          <w:color w:val="000000"/>
        </w:rPr>
        <w:t>30%, 31%-60%, 61%</w:t>
      </w:r>
      <w:r>
        <w:rPr>
          <w:rFonts w:ascii="Book Antiqua" w:hAnsi="Book Antiqua" w:cs="Book Antiqua"/>
          <w:color w:val="000000"/>
          <w:lang w:eastAsia="zh-CN"/>
        </w:rPr>
        <w:t>-</w:t>
      </w:r>
      <w:r>
        <w:rPr>
          <w:rFonts w:ascii="Book Antiqua" w:eastAsia="Book Antiqua" w:hAnsi="Book Antiqua" w:cs="Book Antiqua"/>
          <w:color w:val="000000"/>
        </w:rPr>
        <w:t>75%, and &gt; 75% suggesting low, moderate, substantial, and considerable heterogeneity, respectively</w:t>
      </w:r>
      <w:r>
        <w:rPr>
          <w:rFonts w:ascii="Book Antiqua" w:eastAsia="Book Antiqua" w:hAnsi="Book Antiqua" w:cs="Book Antiqua"/>
          <w:color w:val="000000"/>
          <w:vertAlign w:val="superscript"/>
        </w:rPr>
        <w:t>[18,19]</w:t>
      </w:r>
      <w:r>
        <w:rPr>
          <w:rFonts w:ascii="Book Antiqua" w:eastAsia="Book Antiqua" w:hAnsi="Book Antiqua" w:cs="Book Antiqua"/>
          <w:color w:val="000000"/>
        </w:rPr>
        <w:t>. A funnel plot combined with Egger’s tests was performed to assess publication bias. A p-value of 0.05 or less combined with asymmetry in the funnel plots was used to measure significant publication bias. If &lt; 0.05, the trim-and-fill computation was used to evaluate the effect of publication bias on the interpretation of the results. Three levels of impact were reported based on the concordance between the reported results and the actual estimate if there was no bias. The impact was reported as minimal if both versions were estimated to be the same, modest if the effect size changed substantially. Still, the final finding would remain the same and severe if the bias threatens the conclusion of the analysis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To evaluate an individual study's effect on the collective outcome, sensitivity analysis was completed. </w:t>
      </w:r>
    </w:p>
    <w:p w14:paraId="2907376E" w14:textId="77777777" w:rsidR="000F705E" w:rsidRDefault="000F705E">
      <w:pPr>
        <w:spacing w:line="360" w:lineRule="auto"/>
        <w:jc w:val="both"/>
        <w:rPr>
          <w:rFonts w:ascii="Book Antiqua" w:hAnsi="Book Antiqua"/>
        </w:rPr>
      </w:pPr>
    </w:p>
    <w:p w14:paraId="14E6312F" w14:textId="77777777" w:rsidR="000F705E" w:rsidRDefault="0081362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DF990B8"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Study characteristics</w:t>
      </w:r>
    </w:p>
    <w:p w14:paraId="4A31C8F9"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An initial search identified 155 publications after removing duplicates. After screening full-text articles, eight studies were eligible for qualitative and quantitative synthesis, as shown in Supplementary Figure 1. Study locations included Spain, Taiwan, Egypt, and Pakistan between 1988-2017. Among eight studies, 8899 patients (270 males and 110 females; not all studies reported sex); were included, with the median age between 41.2 to 69.7 years. Most of the patients were Child-Turcott Pugh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B and C, while the average MELD score was 18.6 ± 8.09. 202 cases were seen in the right pleural space, while 64 cases were seen in the left pleural space, eight cases of bilateral pleural effusions were reported. Study and baseline clinical characteristics have been summarized in Tables 1 and 2. </w:t>
      </w:r>
    </w:p>
    <w:p w14:paraId="72F7C209" w14:textId="77777777" w:rsidR="000F705E" w:rsidRDefault="000F705E">
      <w:pPr>
        <w:spacing w:line="360" w:lineRule="auto"/>
        <w:jc w:val="both"/>
        <w:rPr>
          <w:rFonts w:ascii="Book Antiqua" w:hAnsi="Book Antiqua"/>
          <w:lang w:eastAsia="zh-CN"/>
        </w:rPr>
      </w:pPr>
    </w:p>
    <w:p w14:paraId="25DBBB59"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 xml:space="preserve">Quality </w:t>
      </w:r>
      <w:r>
        <w:rPr>
          <w:rFonts w:ascii="Book Antiqua" w:hAnsi="Book Antiqua" w:cs="Book Antiqua"/>
          <w:b/>
          <w:bCs/>
          <w:i/>
          <w:iCs/>
          <w:color w:val="000000"/>
          <w:lang w:eastAsia="zh-CN"/>
        </w:rPr>
        <w:t>a</w:t>
      </w:r>
      <w:r>
        <w:rPr>
          <w:rFonts w:ascii="Book Antiqua" w:eastAsia="Book Antiqua" w:hAnsi="Book Antiqua" w:cs="Book Antiqua"/>
          <w:b/>
          <w:bCs/>
          <w:i/>
          <w:iCs/>
          <w:color w:val="000000"/>
        </w:rPr>
        <w:t>ssessment</w:t>
      </w:r>
    </w:p>
    <w:p w14:paraId="79AF0458"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Scores for methodological quality assessment are shown in Supplementary Figure 2. Amongst eight studies, one was prospective,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five retrospective,</w:t>
      </w:r>
      <w:r>
        <w:rPr>
          <w:rFonts w:ascii="Book Antiqua" w:eastAsia="Book Antiqua" w:hAnsi="Book Antiqua" w:cs="Book Antiqua"/>
          <w:color w:val="000000"/>
          <w:vertAlign w:val="superscript"/>
        </w:rPr>
        <w:t>[6,7,21-23]</w:t>
      </w:r>
      <w:r>
        <w:rPr>
          <w:rFonts w:ascii="Book Antiqua" w:eastAsia="Book Antiqua" w:hAnsi="Book Antiqua" w:cs="Book Antiqua"/>
          <w:color w:val="000000"/>
        </w:rPr>
        <w:t xml:space="preserve"> and two were cross-sectional</w:t>
      </w:r>
      <w:r>
        <w:rPr>
          <w:rFonts w:ascii="Book Antiqua" w:eastAsia="Book Antiqua" w:hAnsi="Book Antiqua" w:cs="Book Antiqua"/>
          <w:color w:val="000000"/>
          <w:vertAlign w:val="superscript"/>
        </w:rPr>
        <w:t>[5,24]</w:t>
      </w:r>
      <w:r>
        <w:rPr>
          <w:rFonts w:ascii="Book Antiqua" w:eastAsia="Book Antiqua" w:hAnsi="Book Antiqua" w:cs="Book Antiqua"/>
          <w:color w:val="000000"/>
        </w:rPr>
        <w:t xml:space="preserve">. All studies were performed in single-centers. </w:t>
      </w:r>
    </w:p>
    <w:p w14:paraId="4A469AF4" w14:textId="77777777" w:rsidR="000F705E" w:rsidRDefault="000F705E">
      <w:pPr>
        <w:spacing w:line="360" w:lineRule="auto"/>
        <w:jc w:val="both"/>
        <w:rPr>
          <w:rFonts w:ascii="Book Antiqua" w:hAnsi="Book Antiqua"/>
          <w:lang w:eastAsia="zh-CN"/>
        </w:rPr>
      </w:pPr>
    </w:p>
    <w:p w14:paraId="11B36D91"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 xml:space="preserve">Meta-analysis </w:t>
      </w:r>
      <w:r>
        <w:rPr>
          <w:rFonts w:ascii="Book Antiqua" w:hAnsi="Book Antiqua" w:cs="Book Antiqua"/>
          <w:b/>
          <w:bCs/>
          <w:i/>
          <w:iCs/>
          <w:color w:val="000000"/>
          <w:lang w:eastAsia="zh-CN"/>
        </w:rPr>
        <w:t>o</w:t>
      </w:r>
      <w:r>
        <w:rPr>
          <w:rFonts w:ascii="Book Antiqua" w:eastAsia="Book Antiqua" w:hAnsi="Book Antiqua" w:cs="Book Antiqua"/>
          <w:b/>
          <w:bCs/>
          <w:i/>
          <w:iCs/>
          <w:color w:val="000000"/>
        </w:rPr>
        <w:t>utcomes</w:t>
      </w:r>
    </w:p>
    <w:p w14:paraId="2B7F0EDF"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Incidence of SBE in patients with cirrhosis</w:t>
      </w:r>
      <w:r>
        <w:rPr>
          <w:rFonts w:ascii="Book Antiqua" w:hAnsi="Book Antiqua" w:cs="Book Antiqua"/>
          <w:b/>
          <w:bCs/>
          <w:color w:val="000000"/>
          <w:lang w:eastAsia="zh-CN"/>
        </w:rPr>
        <w:t xml:space="preserve">: </w:t>
      </w:r>
      <w:r>
        <w:rPr>
          <w:rFonts w:ascii="Book Antiqua" w:eastAsia="Book Antiqua" w:hAnsi="Book Antiqua" w:cs="Book Antiqua"/>
          <w:color w:val="000000"/>
        </w:rPr>
        <w:t>All eight studies reported the incidence of SBE in patients with cirrhosis</w:t>
      </w:r>
      <w:r>
        <w:rPr>
          <w:rFonts w:ascii="Book Antiqua" w:eastAsia="Book Antiqua" w:hAnsi="Book Antiqua" w:cs="Book Antiqua"/>
          <w:color w:val="000000"/>
          <w:vertAlign w:val="superscript"/>
        </w:rPr>
        <w:t>[5-8,21-24]</w:t>
      </w:r>
      <w:r>
        <w:rPr>
          <w:rFonts w:ascii="Book Antiqua" w:eastAsia="Book Antiqua" w:hAnsi="Book Antiqua" w:cs="Book Antiqua"/>
          <w:color w:val="000000"/>
        </w:rPr>
        <w:t xml:space="preserve">. A total of 1334 patients had pleural effusions, and the pooled incidence of SBE was 15.6% (CI, 12.6-19;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50%). The true effect size in 95% of all comparable populations falls in the interval 0.12-0.21</w:t>
      </w:r>
      <w:r>
        <w:rPr>
          <w:rFonts w:ascii="Book Antiqua" w:hAnsi="Book Antiqua" w:cs="Book Antiqua"/>
          <w:color w:val="000000"/>
          <w:lang w:eastAsia="zh-CN"/>
        </w:rPr>
        <w:t xml:space="preserve"> (</w:t>
      </w:r>
      <w:r>
        <w:rPr>
          <w:rFonts w:ascii="Book Antiqua" w:eastAsia="Book Antiqua" w:hAnsi="Book Antiqua" w:cs="Book Antiqua"/>
          <w:color w:val="000000"/>
        </w:rPr>
        <w:t>Figure 2</w:t>
      </w:r>
      <w:r>
        <w:rPr>
          <w:rFonts w:ascii="Book Antiqua" w:hAnsi="Book Antiqua" w:cs="Book Antiqua"/>
          <w:color w:val="000000"/>
          <w:lang w:eastAsia="zh-CN"/>
        </w:rPr>
        <w:t>)</w:t>
      </w:r>
      <w:r>
        <w:rPr>
          <w:rFonts w:ascii="Book Antiqua" w:eastAsia="Book Antiqua" w:hAnsi="Book Antiqua" w:cs="Book Antiqua"/>
          <w:color w:val="000000"/>
        </w:rPr>
        <w:t>.</w:t>
      </w:r>
    </w:p>
    <w:p w14:paraId="446A4785" w14:textId="77777777" w:rsidR="000F705E" w:rsidRDefault="000F705E">
      <w:pPr>
        <w:spacing w:line="360" w:lineRule="auto"/>
        <w:jc w:val="both"/>
        <w:rPr>
          <w:rFonts w:ascii="Book Antiqua" w:hAnsi="Book Antiqua"/>
          <w:lang w:eastAsia="zh-CN"/>
        </w:rPr>
      </w:pPr>
    </w:p>
    <w:p w14:paraId="3C46903C"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Incidence of SBP in patients with cirrhosis</w:t>
      </w:r>
      <w:r>
        <w:rPr>
          <w:rFonts w:ascii="Book Antiqua" w:hAnsi="Book Antiqua" w:cs="Book Antiqua"/>
          <w:b/>
          <w:bCs/>
          <w:color w:val="000000"/>
          <w:lang w:eastAsia="zh-CN"/>
        </w:rPr>
        <w:t xml:space="preserve">: </w:t>
      </w:r>
      <w:r>
        <w:rPr>
          <w:rFonts w:ascii="Book Antiqua" w:eastAsia="Book Antiqua" w:hAnsi="Book Antiqua" w:cs="Book Antiqua"/>
          <w:color w:val="000000"/>
        </w:rPr>
        <w:t>Seven studies reported ascites and incidence of SBP</w:t>
      </w:r>
      <w:r>
        <w:rPr>
          <w:rFonts w:ascii="Book Antiqua" w:eastAsia="Book Antiqua" w:hAnsi="Book Antiqua" w:cs="Book Antiqua"/>
          <w:color w:val="000000"/>
          <w:vertAlign w:val="superscript"/>
        </w:rPr>
        <w:t>[5-7,21-24]</w:t>
      </w:r>
      <w:r>
        <w:rPr>
          <w:rFonts w:ascii="Book Antiqua" w:eastAsia="Book Antiqua" w:hAnsi="Book Antiqua" w:cs="Book Antiqua"/>
          <w:color w:val="000000"/>
        </w:rPr>
        <w:t xml:space="preserve">. After pooling the results of 2636 patients, the incidence of SBP was 22.2% (CI, 9.9-42.7;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97.8%). The true effect size in 95% of all comparable populations falls in the interval 0.01-0.90</w:t>
      </w:r>
      <w:r>
        <w:rPr>
          <w:rFonts w:ascii="Book Antiqua" w:hAnsi="Book Antiqua" w:cs="Book Antiqua"/>
          <w:color w:val="000000"/>
          <w:lang w:eastAsia="zh-CN"/>
        </w:rPr>
        <w:t xml:space="preserve"> (</w:t>
      </w:r>
      <w:r>
        <w:rPr>
          <w:rFonts w:ascii="Book Antiqua" w:eastAsia="Book Antiqua" w:hAnsi="Book Antiqua" w:cs="Book Antiqua"/>
          <w:color w:val="000000"/>
        </w:rPr>
        <w:t xml:space="preserve">Figure </w:t>
      </w:r>
      <w:r>
        <w:rPr>
          <w:rFonts w:ascii="Book Antiqua" w:hAnsi="Book Antiqua" w:cs="Book Antiqua"/>
          <w:color w:val="000000"/>
          <w:lang w:eastAsia="zh-CN"/>
        </w:rPr>
        <w:t>3)</w:t>
      </w:r>
      <w:r>
        <w:rPr>
          <w:rFonts w:ascii="Book Antiqua" w:eastAsia="Book Antiqua" w:hAnsi="Book Antiqua" w:cs="Book Antiqua"/>
          <w:color w:val="000000"/>
        </w:rPr>
        <w:t xml:space="preserve">. </w:t>
      </w:r>
    </w:p>
    <w:p w14:paraId="7A181C3E" w14:textId="77777777" w:rsidR="000F705E" w:rsidRDefault="000F705E">
      <w:pPr>
        <w:spacing w:line="360" w:lineRule="auto"/>
        <w:jc w:val="both"/>
        <w:rPr>
          <w:rFonts w:ascii="Book Antiqua" w:hAnsi="Book Antiqua"/>
          <w:lang w:eastAsia="zh-CN"/>
        </w:rPr>
      </w:pPr>
    </w:p>
    <w:p w14:paraId="0A007D8C"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Incidence of SBE in patients without concomitant ascites</w:t>
      </w:r>
      <w:r>
        <w:rPr>
          <w:rFonts w:ascii="Book Antiqua" w:hAnsi="Book Antiqua" w:cs="Book Antiqua"/>
          <w:b/>
          <w:bCs/>
          <w:color w:val="000000"/>
          <w:lang w:eastAsia="zh-CN"/>
        </w:rPr>
        <w:t xml:space="preserve">: </w:t>
      </w:r>
      <w:r>
        <w:rPr>
          <w:rFonts w:ascii="Book Antiqua" w:eastAsia="Book Antiqua" w:hAnsi="Book Antiqua" w:cs="Book Antiqua"/>
          <w:color w:val="000000"/>
        </w:rPr>
        <w:t>Six studies reported SBE without concomitant ascites</w:t>
      </w:r>
      <w:r>
        <w:rPr>
          <w:rFonts w:ascii="Book Antiqua" w:eastAsia="Book Antiqua" w:hAnsi="Book Antiqua" w:cs="Book Antiqua"/>
          <w:color w:val="000000"/>
          <w:vertAlign w:val="superscript"/>
        </w:rPr>
        <w:t>[5-8,21,22]</w:t>
      </w:r>
      <w:r>
        <w:rPr>
          <w:rFonts w:ascii="Book Antiqua" w:eastAsia="Book Antiqua" w:hAnsi="Book Antiqua" w:cs="Book Antiqua"/>
          <w:color w:val="000000"/>
        </w:rPr>
        <w:t xml:space="preserve">. The pooled incidence of SBE in patients without </w:t>
      </w:r>
      <w:r>
        <w:rPr>
          <w:rFonts w:ascii="Book Antiqua" w:eastAsia="Book Antiqua" w:hAnsi="Book Antiqua" w:cs="Book Antiqua"/>
          <w:color w:val="000000"/>
        </w:rPr>
        <w:lastRenderedPageBreak/>
        <w:t xml:space="preserve">concomitant ascites was 9.5% (CI, 3.6-22.8; </w:t>
      </w:r>
      <w:r>
        <w:rPr>
          <w:rFonts w:ascii="Book Antiqua" w:eastAsia="Book Antiqua" w:hAnsi="Book Antiqua" w:cs="Book Antiqua"/>
          <w:i/>
          <w:color w:val="000000"/>
        </w:rPr>
        <w:t xml:space="preserve">P &lt; </w:t>
      </w:r>
      <w:r>
        <w:rPr>
          <w:rFonts w:ascii="Book Antiqua" w:eastAsia="Book Antiqua" w:hAnsi="Book Antiqua" w:cs="Book Antiqua"/>
          <w:color w:val="000000"/>
        </w:rPr>
        <w:t xml:space="preserve">0.001,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82.5 %). The true effect size in 95% of all comparable populations falls in the interval 0-0.76</w:t>
      </w:r>
      <w:r>
        <w:rPr>
          <w:rFonts w:ascii="Book Antiqua" w:hAnsi="Book Antiqua" w:cs="Book Antiqua"/>
          <w:color w:val="000000"/>
          <w:lang w:eastAsia="zh-CN"/>
        </w:rPr>
        <w:t xml:space="preserve"> (</w:t>
      </w:r>
      <w:r>
        <w:rPr>
          <w:rFonts w:ascii="Book Antiqua" w:eastAsia="Book Antiqua" w:hAnsi="Book Antiqua" w:cs="Book Antiqua"/>
          <w:color w:val="000000"/>
        </w:rPr>
        <w:t xml:space="preserve">Figure </w:t>
      </w:r>
      <w:r>
        <w:rPr>
          <w:rFonts w:ascii="Book Antiqua" w:hAnsi="Book Antiqua" w:cs="Book Antiqua"/>
          <w:color w:val="000000"/>
          <w:lang w:eastAsia="zh-CN"/>
        </w:rPr>
        <w:t>4)</w:t>
      </w:r>
      <w:r>
        <w:rPr>
          <w:rFonts w:ascii="Book Antiqua" w:eastAsia="Book Antiqua" w:hAnsi="Book Antiqua" w:cs="Book Antiqua"/>
          <w:color w:val="000000"/>
        </w:rPr>
        <w:t>.</w:t>
      </w:r>
    </w:p>
    <w:p w14:paraId="4FDD239F" w14:textId="77777777" w:rsidR="000F705E" w:rsidRDefault="000F705E">
      <w:pPr>
        <w:spacing w:line="360" w:lineRule="auto"/>
        <w:jc w:val="both"/>
        <w:rPr>
          <w:rFonts w:ascii="Book Antiqua" w:hAnsi="Book Antiqua"/>
          <w:lang w:eastAsia="zh-CN"/>
        </w:rPr>
      </w:pPr>
    </w:p>
    <w:p w14:paraId="71AC7AB4" w14:textId="77777777" w:rsidR="000F705E" w:rsidRDefault="0081362D">
      <w:pPr>
        <w:spacing w:line="360" w:lineRule="auto"/>
        <w:jc w:val="both"/>
        <w:rPr>
          <w:rFonts w:ascii="Book Antiqua" w:hAnsi="Book Antiqua"/>
        </w:rPr>
      </w:pPr>
      <w:r>
        <w:rPr>
          <w:rFonts w:ascii="Book Antiqua" w:eastAsia="Book Antiqua" w:hAnsi="Book Antiqua" w:cs="Book Antiqua"/>
          <w:b/>
          <w:bCs/>
          <w:i/>
          <w:iCs/>
          <w:color w:val="000000"/>
        </w:rPr>
        <w:t xml:space="preserve">Validation of meta-analysis results </w:t>
      </w:r>
    </w:p>
    <w:p w14:paraId="00EC3378"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 xml:space="preserve">Sensitivity </w:t>
      </w:r>
      <w:r>
        <w:rPr>
          <w:rFonts w:ascii="Book Antiqua" w:hAnsi="Book Antiqua" w:cs="Book Antiqua"/>
          <w:b/>
          <w:bCs/>
          <w:iCs/>
          <w:color w:val="000000"/>
          <w:lang w:eastAsia="zh-CN"/>
        </w:rPr>
        <w:t>a</w:t>
      </w:r>
      <w:r>
        <w:rPr>
          <w:rFonts w:ascii="Book Antiqua" w:eastAsia="Book Antiqua" w:hAnsi="Book Antiqua" w:cs="Book Antiqua"/>
          <w:b/>
          <w:bCs/>
          <w:iCs/>
          <w:color w:val="000000"/>
        </w:rPr>
        <w:t>nalysis</w:t>
      </w:r>
      <w:r>
        <w:rPr>
          <w:rFonts w:ascii="Book Antiqua" w:hAnsi="Book Antiqua" w:cs="Book Antiqua"/>
          <w:color w:val="000000"/>
          <w:lang w:eastAsia="zh-CN"/>
        </w:rPr>
        <w:t>:</w:t>
      </w:r>
      <w:r>
        <w:rPr>
          <w:rFonts w:ascii="Book Antiqua" w:eastAsia="Book Antiqua" w:hAnsi="Book Antiqua" w:cs="Book Antiqua"/>
          <w:color w:val="000000"/>
        </w:rPr>
        <w:t xml:space="preserve"> We completed a one-study removal sensitivity analysis to assess if one study had a dominant effect on the meta-analysis. Statistical significance and direction of findings for all outcomes remained unchanged. </w:t>
      </w:r>
    </w:p>
    <w:p w14:paraId="007F419D" w14:textId="77777777" w:rsidR="000F705E" w:rsidRDefault="000F705E">
      <w:pPr>
        <w:spacing w:line="360" w:lineRule="auto"/>
        <w:jc w:val="both"/>
        <w:rPr>
          <w:rFonts w:ascii="Book Antiqua" w:hAnsi="Book Antiqua"/>
          <w:lang w:eastAsia="zh-CN"/>
        </w:rPr>
      </w:pPr>
    </w:p>
    <w:p w14:paraId="2D04CE4C"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b/>
          <w:bCs/>
          <w:iCs/>
          <w:color w:val="000000"/>
        </w:rPr>
        <w:t>Heterogeneity</w:t>
      </w:r>
      <w:r>
        <w:rPr>
          <w:rFonts w:ascii="Book Antiqua" w:hAnsi="Book Antiqua" w:cs="Book Antiqua"/>
          <w:color w:val="000000"/>
          <w:lang w:eastAsia="zh-CN"/>
        </w:rPr>
        <w:t>:</w:t>
      </w:r>
      <w:r>
        <w:rPr>
          <w:rFonts w:ascii="Book Antiqua" w:eastAsia="Book Antiqua" w:hAnsi="Book Antiqua" w:cs="Book Antiqua"/>
          <w:color w:val="000000"/>
        </w:rPr>
        <w:t xml:space="preserve"> The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was consistently between 50</w:t>
      </w:r>
      <w:r>
        <w:rPr>
          <w:rFonts w:ascii="Book Antiqua" w:hAnsi="Book Antiqua" w:cs="Book Antiqua"/>
          <w:color w:val="000000"/>
          <w:lang w:eastAsia="zh-CN"/>
        </w:rPr>
        <w:t>%</w:t>
      </w:r>
      <w:r>
        <w:rPr>
          <w:rFonts w:ascii="Book Antiqua" w:eastAsia="Book Antiqua" w:hAnsi="Book Antiqua" w:cs="Book Antiqua"/>
          <w:color w:val="000000"/>
        </w:rPr>
        <w:t>-75% across most outcomes suggesting considerable heterogeneity of our sample.</w:t>
      </w:r>
    </w:p>
    <w:p w14:paraId="2C6B09AB" w14:textId="77777777" w:rsidR="000F705E" w:rsidRDefault="000F705E">
      <w:pPr>
        <w:spacing w:line="360" w:lineRule="auto"/>
        <w:jc w:val="both"/>
        <w:rPr>
          <w:rFonts w:ascii="Book Antiqua" w:hAnsi="Book Antiqua"/>
          <w:lang w:eastAsia="zh-CN"/>
        </w:rPr>
      </w:pPr>
    </w:p>
    <w:p w14:paraId="215EBE53" w14:textId="77777777" w:rsidR="000F705E" w:rsidRDefault="0081362D">
      <w:pPr>
        <w:spacing w:line="360" w:lineRule="auto"/>
        <w:jc w:val="both"/>
        <w:rPr>
          <w:rFonts w:ascii="Book Antiqua" w:hAnsi="Book Antiqua"/>
        </w:rPr>
      </w:pPr>
      <w:r>
        <w:rPr>
          <w:rFonts w:ascii="Book Antiqua" w:eastAsia="Book Antiqua" w:hAnsi="Book Antiqua" w:cs="Book Antiqua"/>
          <w:b/>
          <w:bCs/>
          <w:iCs/>
          <w:color w:val="000000"/>
        </w:rPr>
        <w:t>Publication bias</w:t>
      </w:r>
      <w:r>
        <w:rPr>
          <w:rFonts w:ascii="Book Antiqua" w:hAnsi="Book Antiqua" w:cs="Book Antiqua"/>
          <w:color w:val="000000"/>
          <w:lang w:eastAsia="zh-CN"/>
        </w:rPr>
        <w:t>:</w:t>
      </w:r>
      <w:r>
        <w:rPr>
          <w:rFonts w:ascii="Book Antiqua" w:eastAsia="Book Antiqua" w:hAnsi="Book Antiqua" w:cs="Book Antiqua"/>
          <w:color w:val="000000"/>
        </w:rPr>
        <w:t xml:space="preserve"> A publication bias analysis and estimated symmetry could not be completed because fewer than ten studies were included.</w:t>
      </w:r>
    </w:p>
    <w:p w14:paraId="4AB84623" w14:textId="77777777" w:rsidR="000F705E" w:rsidRDefault="000F705E">
      <w:pPr>
        <w:spacing w:line="360" w:lineRule="auto"/>
        <w:jc w:val="both"/>
        <w:rPr>
          <w:rFonts w:ascii="Book Antiqua" w:hAnsi="Book Antiqua"/>
        </w:rPr>
      </w:pPr>
    </w:p>
    <w:p w14:paraId="1A6795F4" w14:textId="77777777" w:rsidR="000F705E" w:rsidRDefault="0081362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2F07CB9"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To our knowledge, this is the first systematic review and meta-analysis exploring the incidence of SBE in patients with cirrhosis. The pleural space is a potential pocket for infection and often can be overlooked in cases of septic decompensation. SBE is recommended to be managed without a chest tube and requires the delivery of appropriate antibiotics and exclusion of pneumonia, placing importance on timely diagnostic thoracentesis. Our study includes one prospective, five retrospective, and two cross-sectional studies amongst four countries with 8899 patients and 1334 cases of pleural effusions. The criteria for diagnosis of SBE were consistent throughout most of the studies and the parameters for cell count and culture results were identical to widely accepted definitions of SBE</w:t>
      </w:r>
      <w:r>
        <w:rPr>
          <w:rFonts w:ascii="Book Antiqua" w:eastAsia="Book Antiqua" w:hAnsi="Book Antiqua" w:cs="Book Antiqua"/>
          <w:color w:val="000000"/>
          <w:vertAlign w:val="superscript"/>
        </w:rPr>
        <w:t>[25]</w:t>
      </w:r>
      <w:r>
        <w:rPr>
          <w:rFonts w:ascii="Book Antiqua" w:eastAsia="Book Antiqua" w:hAnsi="Book Antiqua" w:cs="Book Antiqua"/>
          <w:color w:val="000000"/>
        </w:rPr>
        <w:t>. Our results support the current understanding that SBE most commonly occurs in patients with ascites or concomitant SBP. Studies have been conflicting on its association with ascites/SBP. Our results uncovered SBE at 9.5%, which was previously unknown and demonstrates the high incidence. In our cohort, roughly 22% had ascites and SBP, suggesting that the high SBE rates near SBP incidence-</w:t>
      </w:r>
      <w:r>
        <w:rPr>
          <w:rFonts w:ascii="Book Antiqua" w:eastAsia="Book Antiqua" w:hAnsi="Book Antiqua" w:cs="Book Antiqua"/>
          <w:color w:val="000000"/>
        </w:rPr>
        <w:lastRenderedPageBreak/>
        <w:t xml:space="preserve">indicating that the pleural space is a potential space for infection and should be considered to complete a thorough evaluation. </w:t>
      </w:r>
    </w:p>
    <w:p w14:paraId="2EED78D6" w14:textId="77777777" w:rsidR="000F705E" w:rsidRDefault="0081362D">
      <w:pPr>
        <w:spacing w:line="360" w:lineRule="auto"/>
        <w:ind w:firstLineChars="200" w:firstLine="480"/>
        <w:jc w:val="both"/>
        <w:rPr>
          <w:rFonts w:ascii="Book Antiqua" w:hAnsi="Book Antiqua"/>
        </w:rPr>
      </w:pPr>
      <w:r>
        <w:rPr>
          <w:rFonts w:ascii="Book Antiqua" w:eastAsia="Book Antiqua" w:hAnsi="Book Antiqua" w:cs="Book Antiqua"/>
          <w:color w:val="000000"/>
        </w:rPr>
        <w:t>Just as the peritoneal fluid is susceptible to translocation and infection leading to SBP, the development of HH in the pleura is a risk factor for SBE. SBE without HH occurs at less than 3%, but it increases up to 30% with underlying HH. Although HH prevalence is 10%, this is likely underestimated, as patients with HH do not routinely undergo thoracentesis</w:t>
      </w:r>
      <w:r>
        <w:rPr>
          <w:rFonts w:ascii="Book Antiqua" w:eastAsia="Book Antiqua" w:hAnsi="Book Antiqua" w:cs="Book Antiqua"/>
          <w:color w:val="000000"/>
          <w:vertAlign w:val="superscript"/>
        </w:rPr>
        <w:t>[8,26]</w:t>
      </w:r>
      <w:r>
        <w:rPr>
          <w:rFonts w:ascii="Book Antiqua" w:eastAsia="Book Antiqua" w:hAnsi="Book Antiqua" w:cs="Book Antiqua"/>
          <w:color w:val="000000"/>
        </w:rPr>
        <w:t>. Indications for thoracentesis include patients with HH who develop fever, pleuritic pain, encephalopathy, or a sharp drop in renal function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Pleural fluid characteristics to diagnose HH include a total cell count of PMN &lt; 250/uL, total protein &lt;</w:t>
      </w:r>
      <w:r>
        <w:rPr>
          <w:rFonts w:ascii="Book Antiqua" w:hAnsi="Book Antiqua" w:cs="Book Antiqua"/>
          <w:color w:val="000000"/>
          <w:lang w:eastAsia="zh-CN"/>
        </w:rPr>
        <w:t xml:space="preserve"> </w:t>
      </w:r>
      <w:r>
        <w:rPr>
          <w:rFonts w:ascii="Book Antiqua" w:eastAsia="Book Antiqua" w:hAnsi="Book Antiqua" w:cs="Book Antiqua"/>
          <w:color w:val="000000"/>
        </w:rPr>
        <w:t>2.5 g/dL, albumin gradient &gt; 1.1g/dL, protein quotient &lt;</w:t>
      </w:r>
      <w:r>
        <w:rPr>
          <w:rFonts w:ascii="Book Antiqua" w:hAnsi="Book Antiqua" w:cs="Book Antiqua"/>
          <w:color w:val="000000"/>
          <w:lang w:eastAsia="zh-CN"/>
        </w:rPr>
        <w:t xml:space="preserve"> </w:t>
      </w:r>
      <w:r>
        <w:rPr>
          <w:rFonts w:ascii="Book Antiqua" w:eastAsia="Book Antiqua" w:hAnsi="Book Antiqua" w:cs="Book Antiqua"/>
          <w:color w:val="000000"/>
        </w:rPr>
        <w:t>0.5, or LDH gradient &lt;</w:t>
      </w:r>
      <w:r>
        <w:rPr>
          <w:rFonts w:ascii="Book Antiqua" w:hAnsi="Book Antiqua" w:cs="Book Antiqua"/>
          <w:color w:val="000000"/>
          <w:lang w:eastAsia="zh-CN"/>
        </w:rPr>
        <w:t xml:space="preserve"> </w:t>
      </w:r>
      <w:r>
        <w:rPr>
          <w:rFonts w:ascii="Book Antiqua" w:eastAsia="Book Antiqua" w:hAnsi="Book Antiqua" w:cs="Book Antiqua"/>
          <w:color w:val="000000"/>
        </w:rPr>
        <w:t>0.6. A PMN count &gt; 250/uL with a positive pathogen detected or &gt; 500/uL and a negative pathogen confirm SBE. Computed tomography (CT) can often be helpful in the setting of SBE to detect pleural abscesses that may require more immediate drainage. SBE development often occurs spontaneously or due to the flow of infected ascites from the peritoneal to pleural space. Infected ascites develops from a variety of mechanisms predominantly related to portal hypertension including (but not limited to) bacterial translocation from increased gastrointestinal permeability and bacterial overgrowth from intestinal dysmotility. SBE must be suspected in every patient with HH, as its symptomatology varies greatly. In our study, cohorts from Egypt and Spain mainly exhibited fever and dyspnea, while the remaining cohorts had cough, dyspnea, pleuritic pain, or tachypnea</w:t>
      </w:r>
      <w:r>
        <w:rPr>
          <w:rFonts w:ascii="Book Antiqua" w:eastAsia="Book Antiqua" w:hAnsi="Book Antiqua" w:cs="Book Antiqua"/>
          <w:color w:val="000000"/>
          <w:vertAlign w:val="superscript"/>
        </w:rPr>
        <w:t>[5,8,22-24]</w:t>
      </w:r>
      <w:r>
        <w:rPr>
          <w:rFonts w:ascii="Book Antiqua" w:eastAsia="Book Antiqua" w:hAnsi="Book Antiqua" w:cs="Book Antiqua"/>
          <w:color w:val="000000"/>
        </w:rPr>
        <w:t xml:space="preserve">. </w:t>
      </w:r>
    </w:p>
    <w:p w14:paraId="674162FC" w14:textId="77777777" w:rsidR="000F705E" w:rsidRDefault="0081362D">
      <w:pPr>
        <w:spacing w:line="360" w:lineRule="auto"/>
        <w:ind w:firstLineChars="200" w:firstLine="480"/>
        <w:jc w:val="both"/>
        <w:rPr>
          <w:rFonts w:ascii="Book Antiqua" w:hAnsi="Book Antiqua"/>
        </w:rPr>
      </w:pPr>
      <w:r>
        <w:rPr>
          <w:rFonts w:ascii="Book Antiqua" w:eastAsia="Book Antiqua" w:hAnsi="Book Antiqua" w:cs="Book Antiqua"/>
          <w:color w:val="000000"/>
        </w:rPr>
        <w:t>Amongst the included studies, sterile effusions were most common, while positive cultures commonly reported enteric organisms-</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Klebsiella pneumonia</w:t>
      </w:r>
      <w:r>
        <w:rPr>
          <w:rFonts w:ascii="Book Antiqua" w:eastAsia="Book Antiqua" w:hAnsi="Book Antiqua" w:cs="Book Antiqua"/>
          <w:color w:val="000000"/>
        </w:rPr>
        <w:t xml:space="preserve">,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on pleural studies. The distinction between SBE and empyema secondary to pneumonia is important as treatment differs greatly. 3rd generation cephalosporins such as cefotaxime and ceftriaxone were most used, followed by cefazolin, ampicillin/sulbactam, fluoroquinolones, and meropenem. Carbapenems should be used for possible extended-spectrum beta-lactamase-producing strains in high-risk patients. Aspiration and pigtail catheters were used in a minority of studies, </w:t>
      </w:r>
      <w:r>
        <w:rPr>
          <w:rFonts w:ascii="Book Antiqua" w:eastAsia="Book Antiqua" w:hAnsi="Book Antiqua" w:cs="Book Antiqua"/>
          <w:color w:val="000000"/>
        </w:rPr>
        <w:lastRenderedPageBreak/>
        <w:t>often in cases of frank pus and were not associated</w:t>
      </w:r>
      <w:r>
        <w:rPr>
          <w:rFonts w:ascii="Book Antiqua" w:eastAsia="Book Antiqua" w:hAnsi="Book Antiqua" w:cs="Book Antiqua"/>
          <w:color w:val="000000"/>
          <w:vertAlign w:val="superscript"/>
        </w:rPr>
        <w:t>[5,24]</w:t>
      </w:r>
      <w:r>
        <w:rPr>
          <w:rFonts w:ascii="Book Antiqua" w:eastAsia="Book Antiqua" w:hAnsi="Book Antiqua" w:cs="Book Antiqua"/>
          <w:color w:val="000000"/>
        </w:rPr>
        <w:t>. Repeat thoracentesis is not routinely performed and is only undertaken in non-responding cases. Albumin infusion at 1.5g/kg on day 1 and 1g/kg on day 3 has shown benefit in SBP and has been used in SBE; none in our included studies. Antibiotic duration based on SBP experience has been recommended; however, the evidence was based on a few cohorts and case-control studies</w:t>
      </w:r>
      <w:r>
        <w:rPr>
          <w:rFonts w:ascii="Book Antiqua" w:eastAsia="Book Antiqua" w:hAnsi="Book Antiqua" w:cs="Book Antiqua"/>
          <w:color w:val="000000"/>
          <w:vertAlign w:val="superscript"/>
        </w:rPr>
        <w:t>[27]</w:t>
      </w:r>
      <w:r>
        <w:rPr>
          <w:rFonts w:ascii="Book Antiqua" w:eastAsia="Book Antiqua" w:hAnsi="Book Antiqua" w:cs="Book Antiqua"/>
          <w:color w:val="000000"/>
        </w:rPr>
        <w:t>. In our meta-analysis, two studies reported a duration of seven to ten days followed by a control thoracentesis</w:t>
      </w:r>
      <w:r>
        <w:rPr>
          <w:rFonts w:ascii="Book Antiqua" w:eastAsia="Book Antiqua" w:hAnsi="Book Antiqua" w:cs="Book Antiqua"/>
          <w:color w:val="000000"/>
          <w:vertAlign w:val="superscript"/>
        </w:rPr>
        <w:t>[7,8]</w:t>
      </w:r>
      <w:r>
        <w:rPr>
          <w:rFonts w:ascii="Book Antiqua" w:eastAsia="Book Antiqua" w:hAnsi="Book Antiqua" w:cs="Book Antiqua"/>
          <w:color w:val="000000"/>
        </w:rPr>
        <w:t>. Antibiotic response varied; one included study found SBE resolved in 72% of patients; however, the need for aspiration and second-line antibiotic therapy is frequent. This same study found 43% of patients died before second line therapy could be initiated</w:t>
      </w:r>
      <w:r>
        <w:rPr>
          <w:rFonts w:ascii="Book Antiqua" w:eastAsia="Book Antiqua" w:hAnsi="Book Antiqua" w:cs="Book Antiqua"/>
          <w:color w:val="000000"/>
          <w:vertAlign w:val="superscript"/>
        </w:rPr>
        <w:t>[7]</w:t>
      </w:r>
      <w:r>
        <w:rPr>
          <w:rFonts w:ascii="Book Antiqua" w:eastAsia="Book Antiqua" w:hAnsi="Book Antiqua" w:cs="Book Antiqua"/>
          <w:color w:val="000000"/>
        </w:rPr>
        <w:t>. A chest tube was only used in one of the patients and this patient had biochemical analysis suggestive of empyema</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527F550F" w14:textId="77777777" w:rsidR="000F705E" w:rsidRDefault="0081362D">
      <w:pPr>
        <w:spacing w:line="360" w:lineRule="auto"/>
        <w:ind w:firstLineChars="200" w:firstLine="480"/>
        <w:jc w:val="both"/>
        <w:rPr>
          <w:rFonts w:ascii="Book Antiqua" w:hAnsi="Book Antiqua"/>
        </w:rPr>
      </w:pPr>
      <w:r>
        <w:rPr>
          <w:rFonts w:ascii="Book Antiqua" w:eastAsia="Book Antiqua" w:hAnsi="Book Antiqua" w:cs="Book Antiqua"/>
          <w:color w:val="000000"/>
        </w:rPr>
        <w:t>Just as hepatic hydrothorax is known to decrease survival, SBE is known to impact mortality negatively</w:t>
      </w:r>
      <w:r>
        <w:rPr>
          <w:rFonts w:ascii="Book Antiqua" w:eastAsia="Book Antiqua" w:hAnsi="Book Antiqua" w:cs="Book Antiqua"/>
          <w:color w:val="000000"/>
          <w:vertAlign w:val="superscript"/>
        </w:rPr>
        <w:t>[28]</w:t>
      </w:r>
      <w:r>
        <w:rPr>
          <w:rFonts w:ascii="Book Antiqua" w:eastAsia="Book Antiqua" w:hAnsi="Book Antiqua" w:cs="Book Antiqua"/>
          <w:color w:val="000000"/>
        </w:rPr>
        <w:t>. In our meta-analysis we found the mortality rate of SBE in patients receiving treatment ranged from 20</w:t>
      </w:r>
      <w:r>
        <w:rPr>
          <w:rFonts w:ascii="Book Antiqua" w:hAnsi="Book Antiqua" w:cs="Book Antiqua"/>
          <w:color w:val="000000"/>
          <w:lang w:eastAsia="zh-CN"/>
        </w:rPr>
        <w:t>%</w:t>
      </w:r>
      <w:r>
        <w:rPr>
          <w:rFonts w:ascii="Book Antiqua" w:eastAsia="Book Antiqua" w:hAnsi="Book Antiqua" w:cs="Book Antiqua"/>
          <w:color w:val="000000"/>
        </w:rPr>
        <w:t>-38%</w:t>
      </w:r>
      <w:r>
        <w:rPr>
          <w:rFonts w:ascii="Book Antiqua" w:eastAsia="Book Antiqua" w:hAnsi="Book Antiqua" w:cs="Book Antiqua"/>
          <w:color w:val="000000"/>
          <w:vertAlign w:val="superscript"/>
        </w:rPr>
        <w:t>[5,21]</w:t>
      </w:r>
      <w:r>
        <w:rPr>
          <w:rFonts w:ascii="Book Antiqua" w:eastAsia="Book Antiqua" w:hAnsi="Book Antiqua" w:cs="Book Antiqua"/>
          <w:color w:val="000000"/>
        </w:rPr>
        <w:t>. Compared to patients without SBE, patient with SBE have been shown to have a higher likelihood of death or liver transplantation at one year</w:t>
      </w:r>
      <w:r>
        <w:rPr>
          <w:rFonts w:ascii="Book Antiqua" w:eastAsia="Book Antiqua" w:hAnsi="Book Antiqua" w:cs="Book Antiqua"/>
          <w:color w:val="000000"/>
          <w:vertAlign w:val="superscript"/>
        </w:rPr>
        <w:t>[26]</w:t>
      </w:r>
      <w:r>
        <w:rPr>
          <w:rFonts w:ascii="Book Antiqua" w:eastAsia="Book Antiqua" w:hAnsi="Book Antiqua" w:cs="Book Antiqua"/>
          <w:color w:val="000000"/>
        </w:rPr>
        <w:t>. First-line treatment failure, odds ratio (OR) 7.56 followed by ICU admission (OR 5.53), and concomitant bacteremia (OR 4.32), concomitant SBP (OR 2.51), CPS (OR 1.59), and MELD-Na (OR 1.21) correlated to increased mortality</w:t>
      </w:r>
      <w:r>
        <w:rPr>
          <w:rFonts w:ascii="Book Antiqua" w:eastAsia="Book Antiqua" w:hAnsi="Book Antiqua" w:cs="Book Antiqua"/>
          <w:color w:val="000000"/>
          <w:vertAlign w:val="superscript"/>
        </w:rPr>
        <w:t>[7]</w:t>
      </w:r>
      <w:r>
        <w:rPr>
          <w:rFonts w:ascii="Book Antiqua" w:eastAsia="Book Antiqua" w:hAnsi="Book Antiqua" w:cs="Book Antiqua"/>
          <w:color w:val="000000"/>
        </w:rPr>
        <w:t>. MELD-Na has been shown to most accurately predict SBE associated hospital mortality with an area under the curve</w:t>
      </w:r>
      <w:r>
        <w:rPr>
          <w:rFonts w:ascii="Book Antiqua" w:hAnsi="Book Antiqua" w:cs="Book Antiqua"/>
          <w:color w:val="000000"/>
          <w:lang w:eastAsia="zh-CN"/>
        </w:rPr>
        <w:t xml:space="preserve"> </w:t>
      </w:r>
      <w:r>
        <w:rPr>
          <w:rFonts w:ascii="Book Antiqua" w:eastAsia="Book Antiqua" w:hAnsi="Book Antiqua" w:cs="Book Antiqua"/>
          <w:color w:val="000000"/>
        </w:rPr>
        <w:t>of 0.793, followed by serum sodium-0.778 and CPS-0.744. INR, pleural total protein, sex, creatinine, followed by diabetes mellitus, MELD-Na, MELD, bilirubin have been identified as predictors of dual SBP and SBE infection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Five patients underwent an orthotopic liver transplant (OLT) a few months after SBE and all were alive at follow-up five years after OLT</w:t>
      </w:r>
      <w:r>
        <w:rPr>
          <w:rFonts w:ascii="Book Antiqua" w:eastAsia="Book Antiqua" w:hAnsi="Book Antiqua" w:cs="Book Antiqua"/>
          <w:color w:val="000000"/>
          <w:vertAlign w:val="superscript"/>
        </w:rPr>
        <w:t>[8]</w:t>
      </w:r>
      <w:r>
        <w:rPr>
          <w:rFonts w:ascii="Book Antiqua" w:eastAsia="Book Antiqua" w:hAnsi="Book Antiqua" w:cs="Book Antiqua"/>
          <w:color w:val="000000"/>
        </w:rPr>
        <w:t>. HH management is based on therapeutic principles of treating ascites-diuretics, sodium restriction, and fluid removal in symptomatic cases. Transjugular intrahepatic portosystemic shunt (TIPS) has been beneficial in cases of recurrent HH by reducing portal hypertension pressures. Indwelling pleural catheters (IPCs) may be an option for patients who are not TIPS candidates. IPCs have been associated with fewer complications compared to chest tubes.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Chest tubes </w:t>
      </w:r>
      <w:r>
        <w:rPr>
          <w:rFonts w:ascii="Book Antiqua" w:eastAsia="Book Antiqua" w:hAnsi="Book Antiqua" w:cs="Book Antiqua"/>
          <w:color w:val="000000"/>
        </w:rPr>
        <w:lastRenderedPageBreak/>
        <w:t>have been associated with increased mortality unless pus has been demonstrated in the pleural space</w:t>
      </w:r>
      <w:r>
        <w:rPr>
          <w:rFonts w:ascii="Book Antiqua" w:eastAsia="Book Antiqua" w:hAnsi="Book Antiqua" w:cs="Book Antiqua"/>
          <w:color w:val="000000"/>
          <w:vertAlign w:val="superscript"/>
        </w:rPr>
        <w:t>[26,27]</w:t>
      </w:r>
      <w:r>
        <w:rPr>
          <w:rFonts w:ascii="Book Antiqua" w:eastAsia="Book Antiqua" w:hAnsi="Book Antiqua" w:cs="Book Antiqua"/>
          <w:color w:val="000000"/>
        </w:rPr>
        <w:t>. The development of SBE is significant for patients in the peri-transplantation period, as a few studies have suggested that independent SBE be considered an indication for liver transplantation evaluation and MELD exception points due to its impact on outcomes</w:t>
      </w:r>
      <w:r>
        <w:rPr>
          <w:rFonts w:ascii="Book Antiqua" w:eastAsia="Book Antiqua" w:hAnsi="Book Antiqua" w:cs="Book Antiqua"/>
          <w:color w:val="000000"/>
          <w:vertAlign w:val="superscript"/>
        </w:rPr>
        <w:t>[8,26,27]</w:t>
      </w:r>
      <w:r>
        <w:rPr>
          <w:rFonts w:ascii="Book Antiqua" w:eastAsia="Book Antiqua" w:hAnsi="Book Antiqua" w:cs="Book Antiqua"/>
          <w:color w:val="000000"/>
        </w:rPr>
        <w:t>.</w:t>
      </w:r>
    </w:p>
    <w:p w14:paraId="79EEEF6C" w14:textId="77777777" w:rsidR="000F705E" w:rsidRDefault="0081362D">
      <w:pPr>
        <w:spacing w:line="360" w:lineRule="auto"/>
        <w:ind w:firstLineChars="200" w:firstLine="480"/>
        <w:jc w:val="both"/>
        <w:rPr>
          <w:rFonts w:ascii="Book Antiqua" w:hAnsi="Book Antiqua"/>
        </w:rPr>
      </w:pPr>
      <w:r>
        <w:rPr>
          <w:rFonts w:ascii="Book Antiqua" w:eastAsia="Book Antiqua" w:hAnsi="Book Antiqua" w:cs="Book Antiqua"/>
          <w:color w:val="000000"/>
        </w:rPr>
        <w:t>A limitation for determining the incidence of SBE was the lack of studies and a small number of included patients</w:t>
      </w:r>
      <w:r>
        <w:rPr>
          <w:rFonts w:ascii="Book Antiqua" w:eastAsia="Book Antiqua" w:hAnsi="Book Antiqua" w:cs="Book Antiqua"/>
          <w:color w:val="000000"/>
          <w:vertAlign w:val="superscript"/>
        </w:rPr>
        <w:t>[8,22]</w:t>
      </w:r>
      <w:r>
        <w:rPr>
          <w:rFonts w:ascii="Book Antiqua" w:eastAsia="Book Antiqua" w:hAnsi="Book Antiqua" w:cs="Book Antiqua"/>
          <w:color w:val="000000"/>
        </w:rPr>
        <w:t>. Despite this, we used a newer quality assessment scale to elicit the performance characteristics of the included studies. Follow-up data, including mortality, antibiotic duration, and the number of successfully treated patients, were only reported in two studies</w:t>
      </w:r>
      <w:r>
        <w:rPr>
          <w:rFonts w:ascii="Book Antiqua" w:eastAsia="Book Antiqua" w:hAnsi="Book Antiqua" w:cs="Book Antiqua"/>
          <w:color w:val="000000"/>
          <w:vertAlign w:val="superscript"/>
        </w:rPr>
        <w:t>[7,8]</w:t>
      </w:r>
      <w:r>
        <w:rPr>
          <w:rFonts w:ascii="Book Antiqua" w:eastAsia="Book Antiqua" w:hAnsi="Book Antiqua" w:cs="Book Antiqua"/>
          <w:color w:val="000000"/>
        </w:rPr>
        <w:t>. Majority of included patients were Child-Pugh class B or C, while a majority lacked a MELD score. MELD and Child-Pugh scores were reported in two studies</w:t>
      </w:r>
      <w:r>
        <w:rPr>
          <w:rFonts w:ascii="Book Antiqua" w:eastAsia="Book Antiqua" w:hAnsi="Book Antiqua" w:cs="Book Antiqua"/>
          <w:color w:val="000000"/>
          <w:vertAlign w:val="superscript"/>
        </w:rPr>
        <w:t>[22,23]</w:t>
      </w:r>
      <w:r>
        <w:rPr>
          <w:rFonts w:ascii="Book Antiqua" w:eastAsia="Book Antiqua" w:hAnsi="Book Antiqua" w:cs="Book Antiqua"/>
          <w:color w:val="000000"/>
        </w:rPr>
        <w:t>. There was considerable heterogeneity in the included studies attributed to study location, patient selection, and characteristics. To illustrate the range of true effects, we additionally provided prediction intervals to our outcomes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lack of long-term results in our studies translates to our current limited understanding of this disease process and its impact on respiratory mechanisms and overall mortality. A publication bias was not provided due to fewer than ten studies. </w:t>
      </w:r>
    </w:p>
    <w:p w14:paraId="5E63ED4E" w14:textId="77777777" w:rsidR="000F705E" w:rsidRDefault="000F705E">
      <w:pPr>
        <w:spacing w:line="360" w:lineRule="auto"/>
        <w:jc w:val="both"/>
        <w:rPr>
          <w:rFonts w:ascii="Book Antiqua" w:hAnsi="Book Antiqua"/>
        </w:rPr>
      </w:pPr>
    </w:p>
    <w:p w14:paraId="3A93B8E8" w14:textId="77777777" w:rsidR="000F705E" w:rsidRDefault="0081362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0296184"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This study highlights the importance of considering SBE and HH in the differential for patients with cirrhosis who have pleural effusion. HH in the setting of cirrhosis is not routinely evaluated. The pleura can be an unrecognized nidus and our findings support the use of diagnostic thoracentesis in patients with decompensated cirrhosis after exclusion of other causes of pleural effusion. Thoracentesis should be considered particularly in patients without ascites and when there is a high suspicion of infection. It helps rule out empyema due to pneumonia and allows for targeted antibiotic therapy against enteric organisms. Additionally, as rates of multi-drug resistant (MDR) organisms increase globally, the need for organism identification for targeted treatment will become even more crucial, making timely thoracentesis of key importance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Future </w:t>
      </w:r>
      <w:r>
        <w:rPr>
          <w:rFonts w:ascii="Book Antiqua" w:eastAsia="Book Antiqua" w:hAnsi="Book Antiqua" w:cs="Book Antiqua"/>
          <w:color w:val="000000"/>
        </w:rPr>
        <w:lastRenderedPageBreak/>
        <w:t>observational and long-term studies will help elucidate further the mortality rates, optimal treatment route and duration, and risk factors for SBE.</w:t>
      </w:r>
      <w:r>
        <w:rPr>
          <w:rFonts w:ascii="Book Antiqua" w:eastAsia="Book Antiqua" w:hAnsi="Book Antiqua" w:cs="Book Antiqua"/>
          <w:color w:val="000000"/>
        </w:rPr>
        <w:br/>
      </w:r>
    </w:p>
    <w:p w14:paraId="5E8ED87F" w14:textId="77777777" w:rsidR="000F705E" w:rsidRDefault="0081362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9146E48" w14:textId="77777777" w:rsidR="000F705E" w:rsidRDefault="0081362D">
      <w:pPr>
        <w:spacing w:line="360" w:lineRule="auto"/>
        <w:jc w:val="both"/>
        <w:rPr>
          <w:rFonts w:ascii="Book Antiqua" w:hAnsi="Book Antiqua"/>
        </w:rPr>
      </w:pPr>
      <w:r>
        <w:rPr>
          <w:rFonts w:ascii="Book Antiqua" w:eastAsia="Book Antiqua" w:hAnsi="Book Antiqua" w:cs="Book Antiqua"/>
          <w:b/>
          <w:i/>
          <w:color w:val="000000"/>
        </w:rPr>
        <w:t>Research background</w:t>
      </w:r>
    </w:p>
    <w:p w14:paraId="0FD79A73"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Spontaneous bacterial empyema (SBE) is analogous to spontaneous bacterial peritonitis (SBP); however, much less is understood regarding its incidence rate, treatment strategies, and management. </w:t>
      </w:r>
    </w:p>
    <w:p w14:paraId="5D4CDC88" w14:textId="77777777" w:rsidR="000F705E" w:rsidRDefault="000F705E">
      <w:pPr>
        <w:spacing w:line="360" w:lineRule="auto"/>
        <w:jc w:val="both"/>
        <w:rPr>
          <w:rFonts w:ascii="Book Antiqua" w:hAnsi="Book Antiqua"/>
        </w:rPr>
      </w:pPr>
    </w:p>
    <w:p w14:paraId="68B5346E" w14:textId="77777777" w:rsidR="000F705E" w:rsidRDefault="0081362D">
      <w:pPr>
        <w:spacing w:line="360" w:lineRule="auto"/>
        <w:jc w:val="both"/>
        <w:rPr>
          <w:rFonts w:ascii="Book Antiqua" w:hAnsi="Book Antiqua"/>
        </w:rPr>
      </w:pPr>
      <w:r>
        <w:rPr>
          <w:rFonts w:ascii="Book Antiqua" w:eastAsia="Book Antiqua" w:hAnsi="Book Antiqua" w:cs="Book Antiqua"/>
          <w:b/>
          <w:i/>
          <w:color w:val="000000"/>
        </w:rPr>
        <w:t>Research motivation</w:t>
      </w:r>
    </w:p>
    <w:p w14:paraId="0AA956CD"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The current understanding of SBE is limited by small sample size and results regarding its association with ascites are conflicting. Previous studies have noted patients who have cirrhosis and SBE may have poorer outcomes therefore more information regarding its association with ascites/SBP, incidence, treatment, and effect on outcomes are needed.</w:t>
      </w:r>
    </w:p>
    <w:p w14:paraId="1D73AD19" w14:textId="77777777" w:rsidR="000F705E" w:rsidRDefault="000F705E">
      <w:pPr>
        <w:spacing w:line="360" w:lineRule="auto"/>
        <w:jc w:val="both"/>
        <w:rPr>
          <w:rFonts w:ascii="Book Antiqua" w:hAnsi="Book Antiqua"/>
        </w:rPr>
      </w:pPr>
    </w:p>
    <w:p w14:paraId="79C45B84" w14:textId="77777777" w:rsidR="000F705E" w:rsidRDefault="0081362D">
      <w:pPr>
        <w:spacing w:line="360" w:lineRule="auto"/>
        <w:jc w:val="both"/>
        <w:rPr>
          <w:rFonts w:ascii="Book Antiqua" w:hAnsi="Book Antiqua"/>
        </w:rPr>
      </w:pPr>
      <w:r>
        <w:rPr>
          <w:rFonts w:ascii="Book Antiqua" w:eastAsia="Book Antiqua" w:hAnsi="Book Antiqua" w:cs="Book Antiqua"/>
          <w:b/>
          <w:i/>
          <w:color w:val="000000"/>
        </w:rPr>
        <w:t>Research objectives</w:t>
      </w:r>
    </w:p>
    <w:p w14:paraId="7CF7C312" w14:textId="77777777" w:rsidR="000F705E" w:rsidRDefault="0081362D">
      <w:pPr>
        <w:spacing w:line="360" w:lineRule="auto"/>
        <w:jc w:val="both"/>
        <w:rPr>
          <w:rFonts w:ascii="Book Antiqua" w:hAnsi="Book Antiqua"/>
        </w:rPr>
      </w:pPr>
      <w:r>
        <w:rPr>
          <w:rFonts w:ascii="Book Antiqua" w:hAnsi="Book Antiqua" w:cs="Book Antiqua"/>
          <w:color w:val="000000"/>
          <w:lang w:eastAsia="zh-CN"/>
        </w:rPr>
        <w:t>To</w:t>
      </w:r>
      <w:r>
        <w:rPr>
          <w:rFonts w:ascii="Book Antiqua" w:eastAsia="Book Antiqua" w:hAnsi="Book Antiqua" w:cs="Book Antiqua"/>
          <w:color w:val="000000"/>
        </w:rPr>
        <w:t xml:space="preserve"> identif</w:t>
      </w:r>
      <w:r>
        <w:rPr>
          <w:rFonts w:ascii="Book Antiqua" w:hAnsi="Book Antiqua" w:cs="Book Antiqua"/>
          <w:color w:val="000000"/>
          <w:lang w:eastAsia="zh-CN"/>
        </w:rPr>
        <w:t>y</w:t>
      </w:r>
      <w:r>
        <w:rPr>
          <w:rFonts w:ascii="Book Antiqua" w:eastAsia="Book Antiqua" w:hAnsi="Book Antiqua" w:cs="Book Antiqua"/>
          <w:color w:val="000000"/>
        </w:rPr>
        <w:t xml:space="preserve"> the incidence of SBE in patients with cirrhosis, the incidence of SBP in patients with cirrhosis, and the incidence of SBE in patients without concomitant ascites. Additionally, we performed a systematic review of the treatment and outcomes of SBE. </w:t>
      </w:r>
    </w:p>
    <w:p w14:paraId="48038DF0" w14:textId="77777777" w:rsidR="000F705E" w:rsidRDefault="000F705E">
      <w:pPr>
        <w:spacing w:line="360" w:lineRule="auto"/>
        <w:jc w:val="both"/>
        <w:rPr>
          <w:rFonts w:ascii="Book Antiqua" w:hAnsi="Book Antiqua"/>
        </w:rPr>
      </w:pPr>
    </w:p>
    <w:p w14:paraId="4B690887" w14:textId="77777777" w:rsidR="000F705E" w:rsidRDefault="0081362D">
      <w:pPr>
        <w:spacing w:line="360" w:lineRule="auto"/>
        <w:jc w:val="both"/>
        <w:rPr>
          <w:rFonts w:ascii="Book Antiqua" w:hAnsi="Book Antiqua"/>
        </w:rPr>
      </w:pPr>
      <w:r>
        <w:rPr>
          <w:rFonts w:ascii="Book Antiqua" w:eastAsia="Book Antiqua" w:hAnsi="Book Antiqua" w:cs="Book Antiqua"/>
          <w:b/>
          <w:i/>
          <w:color w:val="000000"/>
        </w:rPr>
        <w:t>Research methods</w:t>
      </w:r>
    </w:p>
    <w:p w14:paraId="177902CE"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We performed a meta-analysis using a random-effects model with pooled proportions and 95% confidence intervals (CI). We assessed heterogeneity using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and classic fail-safe to determine bias.</w:t>
      </w:r>
    </w:p>
    <w:p w14:paraId="186D518F" w14:textId="77777777" w:rsidR="000F705E" w:rsidRDefault="000F705E">
      <w:pPr>
        <w:spacing w:line="360" w:lineRule="auto"/>
        <w:jc w:val="both"/>
        <w:rPr>
          <w:rFonts w:ascii="Book Antiqua" w:hAnsi="Book Antiqua"/>
        </w:rPr>
      </w:pPr>
    </w:p>
    <w:p w14:paraId="34DEA1AF" w14:textId="77777777" w:rsidR="000F705E" w:rsidRDefault="0081362D">
      <w:pPr>
        <w:spacing w:line="360" w:lineRule="auto"/>
        <w:jc w:val="both"/>
        <w:rPr>
          <w:rFonts w:ascii="Book Antiqua" w:hAnsi="Book Antiqua"/>
        </w:rPr>
      </w:pPr>
      <w:r>
        <w:rPr>
          <w:rFonts w:ascii="Book Antiqua" w:eastAsia="Book Antiqua" w:hAnsi="Book Antiqua" w:cs="Book Antiqua"/>
          <w:b/>
          <w:i/>
          <w:color w:val="000000"/>
        </w:rPr>
        <w:t>Research results</w:t>
      </w:r>
    </w:p>
    <w:p w14:paraId="5BED7C08"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A total of 1334 patients had pleural effusions and the pooled incidence of SBE was 15.6% (CI 12.6-19;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50). Amongst patients diagnosed with SBE, the most common locations included right (202), left (64), and bilateral (8). Amongst our cohort, a total of 2636 patients </w:t>
      </w:r>
      <w:r>
        <w:rPr>
          <w:rFonts w:ascii="Book Antiqua" w:eastAsia="Book Antiqua" w:hAnsi="Book Antiqua" w:cs="Book Antiqua"/>
          <w:color w:val="000000"/>
        </w:rPr>
        <w:lastRenderedPageBreak/>
        <w:t xml:space="preserve">had ascites with a pooled incidence of SBP of 22.2% (CI 9.9-42.7;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97.8). The pooled incidence of SBE in patients with cirrhosis but without concomitant ascites was 9.5% (CI 3.6-22.8;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82.5).</w:t>
      </w:r>
    </w:p>
    <w:p w14:paraId="40BC275B" w14:textId="77777777" w:rsidR="000F705E" w:rsidRDefault="000F705E">
      <w:pPr>
        <w:spacing w:line="360" w:lineRule="auto"/>
        <w:jc w:val="both"/>
        <w:rPr>
          <w:rFonts w:ascii="Book Antiqua" w:hAnsi="Book Antiqua"/>
        </w:rPr>
      </w:pPr>
    </w:p>
    <w:p w14:paraId="0D3EAFD8" w14:textId="77777777" w:rsidR="000F705E" w:rsidRDefault="0081362D">
      <w:pPr>
        <w:spacing w:line="360" w:lineRule="auto"/>
        <w:jc w:val="both"/>
        <w:rPr>
          <w:rFonts w:ascii="Book Antiqua" w:hAnsi="Book Antiqua"/>
        </w:rPr>
      </w:pPr>
      <w:r>
        <w:rPr>
          <w:rFonts w:ascii="Book Antiqua" w:eastAsia="Book Antiqua" w:hAnsi="Book Antiqua" w:cs="Book Antiqua"/>
          <w:b/>
          <w:i/>
          <w:color w:val="000000"/>
        </w:rPr>
        <w:t>Research conclusions</w:t>
      </w:r>
    </w:p>
    <w:p w14:paraId="38ECA685"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SBE frequently occurs with concurrent ascites/SBP; our results suggest high incidence rates of SBE even in the absence of ascites. The pleura can be an unrecognized nidus and our findings support the use of diagnostic thoracentesis in patients with decompensated cirrhosis after exclusion of other causes of pleural effusion. Thoracentesis should be considered particularly in patients without ascites and when there is a high suspicion of infection. The need for diagnostic thoracentesis will continue to be important as rates of multi-drug resistant bacterial infections increase and antibiotic susceptibility information is required for adequate treatment.</w:t>
      </w:r>
    </w:p>
    <w:p w14:paraId="69BD06DE" w14:textId="77777777" w:rsidR="000F705E" w:rsidRDefault="000F705E">
      <w:pPr>
        <w:spacing w:line="360" w:lineRule="auto"/>
        <w:jc w:val="both"/>
        <w:rPr>
          <w:rFonts w:ascii="Book Antiqua" w:hAnsi="Book Antiqua"/>
        </w:rPr>
      </w:pPr>
    </w:p>
    <w:p w14:paraId="13BD6897" w14:textId="77777777" w:rsidR="000F705E" w:rsidRDefault="0081362D">
      <w:pPr>
        <w:spacing w:line="360" w:lineRule="auto"/>
        <w:jc w:val="both"/>
        <w:rPr>
          <w:rFonts w:ascii="Book Antiqua" w:hAnsi="Book Antiqua"/>
        </w:rPr>
      </w:pPr>
      <w:r>
        <w:rPr>
          <w:rFonts w:ascii="Book Antiqua" w:eastAsia="Book Antiqua" w:hAnsi="Book Antiqua" w:cs="Book Antiqua"/>
          <w:b/>
          <w:i/>
          <w:color w:val="000000"/>
        </w:rPr>
        <w:t>Research perspectives</w:t>
      </w:r>
    </w:p>
    <w:p w14:paraId="64621895"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 xml:space="preserve">This study suggests the baseline incidence of SBE is high in patients with cirrhosis and diagnostic thoracentesis should be considered after underlying pulmonary and cardiac causes have been ruled out, especially when there is high concern for infection. High index of suspicion for SBE must be maintained especially in cirrhosis patients with pleural effusions and without underlying ascites. Timely treatment is warranted given high associated mortality of SBE. Future prospective studies are needed, as it remains unclear if long term prophylaxis against SBE is warranted in patients with decompensated cirrhosis. </w:t>
      </w:r>
    </w:p>
    <w:p w14:paraId="22560105" w14:textId="77777777" w:rsidR="000F705E" w:rsidRDefault="000F705E">
      <w:pPr>
        <w:spacing w:line="360" w:lineRule="auto"/>
        <w:jc w:val="both"/>
        <w:rPr>
          <w:rFonts w:ascii="Book Antiqua" w:hAnsi="Book Antiqua"/>
        </w:rPr>
      </w:pPr>
    </w:p>
    <w:p w14:paraId="5871DE14"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REFERENCES</w:t>
      </w:r>
    </w:p>
    <w:p w14:paraId="23618720"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Lai YK</w:t>
      </w:r>
      <w:r>
        <w:rPr>
          <w:rFonts w:ascii="Book Antiqua" w:eastAsia="Book Antiqua" w:hAnsi="Book Antiqua" w:cs="Book Antiqua"/>
          <w:color w:val="000000"/>
        </w:rPr>
        <w:t xml:space="preserve">, Eiger G, Fischer RA. Point: does spontaneous bacterial empyema occur? Yes.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1207-1208 [PMID: 25940245]</w:t>
      </w:r>
    </w:p>
    <w:p w14:paraId="6F8992A4"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Lai YK</w:t>
      </w:r>
      <w:r>
        <w:rPr>
          <w:rFonts w:ascii="Book Antiqua" w:eastAsia="Book Antiqua" w:hAnsi="Book Antiqua" w:cs="Book Antiqua"/>
          <w:color w:val="000000"/>
        </w:rPr>
        <w:t xml:space="preserve">, Eiger G, Fischer RA. Rebuttal from Dr Lai et al.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1210-1211 [PMID: 25940247 DOI: 10.1378/chest.15-0093]</w:t>
      </w:r>
    </w:p>
    <w:p w14:paraId="0BCB8A61"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Nguyen TA</w:t>
      </w:r>
      <w:r>
        <w:rPr>
          <w:rFonts w:ascii="Book Antiqua" w:eastAsia="Book Antiqua" w:hAnsi="Book Antiqua" w:cs="Book Antiqua"/>
          <w:color w:val="000000"/>
        </w:rPr>
        <w:t xml:space="preserve">, Liendo C, Owens MW. Counterpoint: does spontaneous bacterial empyema occur? No.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1208-1210 [PMID: 25940246 DOI: 10.1378/chest.15-0094]</w:t>
      </w:r>
    </w:p>
    <w:p w14:paraId="1A8854D3"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Nguyen TA</w:t>
      </w:r>
      <w:r>
        <w:rPr>
          <w:rFonts w:ascii="Book Antiqua" w:eastAsia="Book Antiqua" w:hAnsi="Book Antiqua" w:cs="Book Antiqua"/>
          <w:color w:val="000000"/>
        </w:rPr>
        <w:t xml:space="preserve">, Liendo C, Owens MW. Rebuttal from Dr Nguyen et al.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1211-1212 [PMID: 25940248 DOI: 10.1378/chest.15-0095]</w:t>
      </w:r>
    </w:p>
    <w:p w14:paraId="7B2AF538"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Makhlouf HA</w:t>
      </w:r>
      <w:r>
        <w:rPr>
          <w:rFonts w:ascii="Book Antiqua" w:eastAsia="Book Antiqua" w:hAnsi="Book Antiqua" w:cs="Book Antiqua"/>
          <w:color w:val="000000"/>
        </w:rPr>
        <w:t xml:space="preserve">, Morsy KH, Makhlouf NA, Eldin EN, Khairy M. Spontaneous bacterial empyema in patients with liver cirrhosis in Upper Egypt: prevalence and causative organisms.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274-279 [PMID: 26201642 DOI: 10.1007/s12072-012-9372-5]</w:t>
      </w:r>
    </w:p>
    <w:p w14:paraId="3A0E6BFE"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Abbasi A</w:t>
      </w:r>
      <w:r>
        <w:rPr>
          <w:rFonts w:ascii="Book Antiqua" w:eastAsia="Book Antiqua" w:hAnsi="Book Antiqua" w:cs="Book Antiqua"/>
          <w:color w:val="000000"/>
        </w:rPr>
        <w:t xml:space="preserve">, Bhutto AR, Alam MT, Aurangzaib M, Masroor M. Frequency of Hepatic Hydrothorax and its Association with Child Pugh Class in Liver Cirrhosis Patients. </w:t>
      </w:r>
      <w:r>
        <w:rPr>
          <w:rFonts w:ascii="Book Antiqua" w:eastAsia="Book Antiqua" w:hAnsi="Book Antiqua" w:cs="Book Antiqua"/>
          <w:i/>
          <w:iCs/>
          <w:color w:val="000000"/>
        </w:rPr>
        <w:t>J Coll Physicians Surg Pak</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566-569 [PMID: 27504545]</w:t>
      </w:r>
    </w:p>
    <w:p w14:paraId="5651B27C"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Shih CM, Chou JW, Liu YH, Hang LW, Hsia TC, Hsu WH, Tu CY. Outcome predictors of cirrhotic patients with spontaneous bacterial empyema.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417-424 [PMID: 21281436 DOI: 10.1111/j.1478-3231.2010.02447.x]</w:t>
      </w:r>
    </w:p>
    <w:p w14:paraId="17391644"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Xiol X</w:t>
      </w:r>
      <w:r>
        <w:rPr>
          <w:rFonts w:ascii="Book Antiqua" w:eastAsia="Book Antiqua" w:hAnsi="Book Antiqua" w:cs="Book Antiqua"/>
          <w:color w:val="000000"/>
        </w:rPr>
        <w:t xml:space="preserve">, Castellví JM, Guardiola J, Sesé E, Castellote J, Perelló A, Cervantes X, Iborra MJ. Spontaneous bacterial empyema in cirrhotic patients: a prospective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719-723 [PMID: 8666323 DOI: 10.1002/hep.510230410]</w:t>
      </w:r>
    </w:p>
    <w:p w14:paraId="0417F2AB"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Allen AM</w:t>
      </w:r>
      <w:r>
        <w:rPr>
          <w:rFonts w:ascii="Book Antiqua" w:eastAsia="Book Antiqua" w:hAnsi="Book Antiqua" w:cs="Book Antiqua"/>
          <w:color w:val="000000"/>
        </w:rPr>
        <w:t xml:space="preserve">, Kim WR, Moriarty JP, Shah ND, Larson JJ, Kamath PS. Time trends in the health care burden and mortality of acute on chronic liver failure in the United States.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2165-2172 [PMID: 27696493 DOI: 10.1002/hep.28812]</w:t>
      </w:r>
    </w:p>
    <w:p w14:paraId="25C533EF"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Kamath PS, Reddy KR. The Evolving Challenge of Infections in Cirrhosis.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2317-2330 [PMID: 34133861 DOI: 10.1056/NEJMra2021808]</w:t>
      </w:r>
    </w:p>
    <w:p w14:paraId="196618F1"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Arvaniti V</w:t>
      </w:r>
      <w:r>
        <w:rPr>
          <w:rFonts w:ascii="Book Antiqua" w:eastAsia="Book Antiqua" w:hAnsi="Book Antiqua" w:cs="Book Antiqua"/>
          <w:color w:val="000000"/>
        </w:rPr>
        <w:t xml:space="preserve">, D'Amico G, Fede G, Manousou P, Tsochatzis E, Pleguezuelo M, Burroughs AK. Infections in patients with cirrhosis increase mortality four-fold and should be used in determining prognosis.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1246-1256, 1256.e1-1256.e5 [PMID: 20558165 DOI: 10.1053/j.gastro.2010.06.019]</w:t>
      </w:r>
    </w:p>
    <w:p w14:paraId="7CD7831B"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O'Leary JG, Reddy KR, Wong F, Biggins SW, Patton H, Fallon MB, Garcia-Tsao G, Maliakkal B, Malik R, Subramanian RM, Thacker LR, Kamath PS; North American Consortium For The Study Of End-Stage Liver Disease (NACSELD). Survival </w:t>
      </w:r>
      <w:r>
        <w:rPr>
          <w:rFonts w:ascii="Book Antiqua" w:eastAsia="Book Antiqua" w:hAnsi="Book Antiqua" w:cs="Book Antiqua"/>
          <w:color w:val="000000"/>
        </w:rPr>
        <w:lastRenderedPageBreak/>
        <w:t xml:space="preserve">in infection-related acute-on-chronic liver failure is defined by extrahepatic organ failures.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250-256 [PMID: 24677131 DOI: 10.1002/hep.27077]</w:t>
      </w:r>
    </w:p>
    <w:p w14:paraId="72CD8D6E"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Sese E</w:t>
      </w:r>
      <w:r>
        <w:rPr>
          <w:rFonts w:ascii="Book Antiqua" w:eastAsia="Book Antiqua" w:hAnsi="Book Antiqua" w:cs="Book Antiqua"/>
          <w:color w:val="000000"/>
        </w:rPr>
        <w:t xml:space="preserve">, Xiol X, Castellote J, Rodríguez-Fariñas E, Tremosa G. Low complement levels and opsonic activity in hepatic hydrothorax: its relationship with spontaneous bacterial empyema.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36</w:t>
      </w:r>
      <w:r>
        <w:rPr>
          <w:rFonts w:ascii="Book Antiqua" w:eastAsia="Book Antiqua" w:hAnsi="Book Antiqua" w:cs="Book Antiqua"/>
          <w:color w:val="000000"/>
        </w:rPr>
        <w:t>: 75-77 [PMID: 12488714 DOI: 10.1097/00004836-200301000-00020]</w:t>
      </w:r>
    </w:p>
    <w:p w14:paraId="52B7A115"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Tu CY</w:t>
      </w:r>
      <w:r>
        <w:rPr>
          <w:rFonts w:ascii="Book Antiqua" w:eastAsia="Book Antiqua" w:hAnsi="Book Antiqua" w:cs="Book Antiqua"/>
          <w:color w:val="000000"/>
        </w:rPr>
        <w:t xml:space="preserve">, Chen CH. Spontaneous bacterial empyema. </w:t>
      </w:r>
      <w:r>
        <w:rPr>
          <w:rFonts w:ascii="Book Antiqua" w:eastAsia="Book Antiqua" w:hAnsi="Book Antiqua" w:cs="Book Antiqua"/>
          <w:i/>
          <w:iCs/>
          <w:color w:val="000000"/>
        </w:rPr>
        <w:t>Curr Opin Pulm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355-358 [PMID: 22450302 DOI: 10.1097/MCP.0b013e328352b50f]</w:t>
      </w:r>
    </w:p>
    <w:p w14:paraId="69AB80A9"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Liberati A, Tetzlaff J, Altman DG; PRISMA Group. Preferred reporting items for systematic reviews and meta-analyses: the PRISMA statement.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b2535 [PMID: 19622551 DOI: 10.1136/bmj.b2535]</w:t>
      </w:r>
    </w:p>
    <w:p w14:paraId="7373D205"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Qumseya BJ</w:t>
      </w:r>
      <w:r>
        <w:rPr>
          <w:rFonts w:ascii="Book Antiqua" w:eastAsia="Book Antiqua" w:hAnsi="Book Antiqua" w:cs="Book Antiqua"/>
          <w:color w:val="000000"/>
        </w:rPr>
        <w:t xml:space="preserve">. Quality assessment for systematic reviews and meta-analyses of cohort studies.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486-494.e1 [PMID: 33068610 DOI: 10.1016/j.gie.2020.10.007]</w:t>
      </w:r>
    </w:p>
    <w:p w14:paraId="3D4D08F8"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Quantifying heterogeneity in a meta-analysis.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1539-1558 [PMID: 12111919 DOI: 10.1002/sim.1186]</w:t>
      </w:r>
    </w:p>
    <w:p w14:paraId="4F5DF560"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Deeks JJ, Altman DG. Measuring inconsistency in meta-analyses.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327</w:t>
      </w:r>
      <w:r>
        <w:rPr>
          <w:rFonts w:ascii="Book Antiqua" w:eastAsia="Book Antiqua" w:hAnsi="Book Antiqua" w:cs="Book Antiqua"/>
          <w:color w:val="000000"/>
        </w:rPr>
        <w:t>: 557-560 [PMID: 12958120 DOI: 10.1136/bmj.327.7414.557]</w:t>
      </w:r>
    </w:p>
    <w:p w14:paraId="629B3133"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Duval S</w:t>
      </w:r>
      <w:r>
        <w:rPr>
          <w:rFonts w:ascii="Book Antiqua" w:eastAsia="Book Antiqua" w:hAnsi="Book Antiqua" w:cs="Book Antiqua"/>
          <w:color w:val="000000"/>
        </w:rPr>
        <w:t xml:space="preserve">, Tweedie R. Trim and fill: A simple funnel-plot-based method of testing and adjusting for publication bias in meta-analysis.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2000; </w:t>
      </w:r>
      <w:r>
        <w:rPr>
          <w:rFonts w:ascii="Book Antiqua" w:eastAsia="Book Antiqua" w:hAnsi="Book Antiqua" w:cs="Book Antiqua"/>
          <w:b/>
          <w:bCs/>
          <w:color w:val="000000"/>
        </w:rPr>
        <w:t>56</w:t>
      </w:r>
      <w:r>
        <w:rPr>
          <w:rFonts w:ascii="Book Antiqua" w:eastAsia="Book Antiqua" w:hAnsi="Book Antiqua" w:cs="Book Antiqua"/>
          <w:color w:val="000000"/>
        </w:rPr>
        <w:t>: 455-463 [PMID: 10877304 DOI: 10.1111/j.0006-341x.2000.00455.x]</w:t>
      </w:r>
    </w:p>
    <w:p w14:paraId="76BB5CBF"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Viechtbauer,</w:t>
      </w:r>
      <w:r>
        <w:rPr>
          <w:rFonts w:ascii="Book Antiqua" w:eastAsia="Book Antiqua" w:hAnsi="Book Antiqua" w:cs="Book Antiqua"/>
          <w:color w:val="000000"/>
        </w:rPr>
        <w:t xml:space="preserve"> W., Publication bias in meta-analysis: Prevention, assessment and adjustments. </w:t>
      </w:r>
      <w:r>
        <w:rPr>
          <w:rFonts w:ascii="Book Antiqua" w:eastAsia="Book Antiqua" w:hAnsi="Book Antiqua" w:cs="Book Antiqua"/>
          <w:i/>
          <w:color w:val="000000"/>
        </w:rPr>
        <w:t>Psychometrika</w:t>
      </w:r>
      <w:r>
        <w:rPr>
          <w:rFonts w:ascii="Book Antiqua" w:hAnsi="Book Antiqua" w:cs="Book Antiqua"/>
          <w:color w:val="000000"/>
          <w:lang w:eastAsia="zh-CN"/>
        </w:rPr>
        <w:t xml:space="preserve"> </w:t>
      </w:r>
      <w:r>
        <w:rPr>
          <w:rFonts w:ascii="Book Antiqua" w:eastAsia="Book Antiqua" w:hAnsi="Book Antiqua" w:cs="Book Antiqua"/>
          <w:color w:val="000000"/>
        </w:rPr>
        <w:t>2007</w:t>
      </w:r>
      <w:r>
        <w:rPr>
          <w:rFonts w:ascii="Book Antiqua" w:hAnsi="Book Antiqua" w:cs="Book Antiqua"/>
          <w:color w:val="000000"/>
          <w:lang w:eastAsia="zh-CN"/>
        </w:rPr>
        <w:t xml:space="preserve">; </w:t>
      </w:r>
      <w:r>
        <w:rPr>
          <w:rFonts w:ascii="Book Antiqua" w:eastAsia="Book Antiqua" w:hAnsi="Book Antiqua" w:cs="Book Antiqua"/>
          <w:b/>
          <w:color w:val="000000"/>
        </w:rPr>
        <w:t>72</w:t>
      </w:r>
      <w:r>
        <w:rPr>
          <w:rFonts w:ascii="Book Antiqua" w:eastAsia="Book Antiqua" w:hAnsi="Book Antiqua" w:cs="Book Antiqua"/>
          <w:color w:val="000000"/>
        </w:rPr>
        <w:t>: 269-271</w:t>
      </w:r>
      <w:r>
        <w:rPr>
          <w:rFonts w:ascii="Book Antiqua" w:hAnsi="Book Antiqua" w:cs="Book Antiqua"/>
          <w:color w:val="000000"/>
          <w:lang w:eastAsia="zh-CN"/>
        </w:rPr>
        <w:t xml:space="preserve"> </w:t>
      </w:r>
      <w:r>
        <w:rPr>
          <w:rFonts w:ascii="Book Antiqua" w:eastAsia="Book Antiqua" w:hAnsi="Book Antiqua" w:cs="Book Antiqua"/>
          <w:color w:val="000000"/>
        </w:rPr>
        <w:t>[DOI: 10.1007/s11336-006-1450-y]</w:t>
      </w:r>
    </w:p>
    <w:p w14:paraId="0CE208D2"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Chen TA</w:t>
      </w:r>
      <w:r>
        <w:rPr>
          <w:rFonts w:ascii="Book Antiqua" w:eastAsia="Book Antiqua" w:hAnsi="Book Antiqua" w:cs="Book Antiqua"/>
          <w:color w:val="000000"/>
        </w:rPr>
        <w:t xml:space="preserve">, Lo GH, Lai KH. Risk factors for spontaneous bacterial empyema in cirrhotic patients with hydrothorax.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2003; </w:t>
      </w:r>
      <w:r>
        <w:rPr>
          <w:rFonts w:ascii="Book Antiqua" w:eastAsia="Book Antiqua" w:hAnsi="Book Antiqua" w:cs="Book Antiqua"/>
          <w:b/>
          <w:bCs/>
          <w:color w:val="000000"/>
        </w:rPr>
        <w:t>66</w:t>
      </w:r>
      <w:r>
        <w:rPr>
          <w:rFonts w:ascii="Book Antiqua" w:eastAsia="Book Antiqua" w:hAnsi="Book Antiqua" w:cs="Book Antiqua"/>
          <w:color w:val="000000"/>
        </w:rPr>
        <w:t>: 579-586 [PMID: 14703274]</w:t>
      </w:r>
    </w:p>
    <w:p w14:paraId="56791676"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E Mansour</w:t>
      </w:r>
      <w:r>
        <w:rPr>
          <w:rFonts w:ascii="Book Antiqua" w:hAnsi="Book Antiqua" w:cs="Book Antiqua"/>
          <w:b/>
          <w:bCs/>
          <w:color w:val="000000"/>
          <w:lang w:eastAsia="zh-CN"/>
        </w:rPr>
        <w:t xml:space="preserve"> </w:t>
      </w:r>
      <w:r>
        <w:rPr>
          <w:rFonts w:ascii="Book Antiqua" w:eastAsia="Book Antiqua" w:hAnsi="Book Antiqua" w:cs="Book Antiqua"/>
          <w:b/>
          <w:color w:val="000000"/>
        </w:rPr>
        <w:t>A</w:t>
      </w:r>
      <w:r>
        <w:rPr>
          <w:rFonts w:ascii="Book Antiqua" w:eastAsia="Book Antiqua" w:hAnsi="Book Antiqua" w:cs="Book Antiqua"/>
          <w:color w:val="000000"/>
        </w:rPr>
        <w:t>, AA El-Rahman, T Besheer</w:t>
      </w:r>
      <w:r>
        <w:rPr>
          <w:rFonts w:ascii="Book Antiqua" w:hAnsi="Book Antiqua" w:cs="Book Antiqua"/>
          <w:color w:val="000000"/>
          <w:lang w:eastAsia="zh-CN"/>
        </w:rPr>
        <w:t>.</w:t>
      </w:r>
      <w:r>
        <w:rPr>
          <w:rFonts w:ascii="Book Antiqua" w:eastAsia="Book Antiqua" w:hAnsi="Book Antiqua" w:cs="Book Antiqua"/>
          <w:color w:val="000000"/>
        </w:rPr>
        <w:t xml:space="preserve"> Prevalence and risk factors for spontaneous bacterial pleuritis in cirrhotic patients with hydrothorax. </w:t>
      </w:r>
      <w:r>
        <w:rPr>
          <w:rFonts w:ascii="Book Antiqua" w:eastAsia="Book Antiqua" w:hAnsi="Book Antiqua" w:cs="Book Antiqua"/>
          <w:i/>
          <w:color w:val="000000"/>
        </w:rPr>
        <w:t>Egyptian Journal of Chest Diseases and Tuberculosis</w:t>
      </w:r>
      <w:r>
        <w:rPr>
          <w:rFonts w:ascii="Book Antiqua" w:hAnsi="Book Antiqua" w:cs="Book Antiqua"/>
          <w:color w:val="000000"/>
          <w:lang w:eastAsia="zh-CN"/>
        </w:rPr>
        <w:t xml:space="preserve"> </w:t>
      </w:r>
      <w:r>
        <w:rPr>
          <w:rFonts w:ascii="Book Antiqua" w:eastAsia="Book Antiqua" w:hAnsi="Book Antiqua" w:cs="Book Antiqua"/>
          <w:color w:val="000000"/>
        </w:rPr>
        <w:t>2013</w:t>
      </w:r>
      <w:r>
        <w:rPr>
          <w:rFonts w:ascii="Book Antiqua" w:hAnsi="Book Antiqua" w:cs="Book Antiqua"/>
          <w:color w:val="000000"/>
          <w:lang w:eastAsia="zh-CN"/>
        </w:rPr>
        <w:t xml:space="preserve">; </w:t>
      </w:r>
      <w:r>
        <w:rPr>
          <w:rFonts w:ascii="Book Antiqua" w:eastAsia="Book Antiqua" w:hAnsi="Book Antiqua" w:cs="Book Antiqua"/>
          <w:b/>
          <w:color w:val="000000"/>
        </w:rPr>
        <w:t>62</w:t>
      </w:r>
      <w:r>
        <w:rPr>
          <w:rFonts w:ascii="Book Antiqua" w:eastAsia="Book Antiqua" w:hAnsi="Book Antiqua" w:cs="Book Antiqua"/>
          <w:color w:val="000000"/>
        </w:rPr>
        <w:t>: 435-438</w:t>
      </w:r>
      <w:r>
        <w:rPr>
          <w:rFonts w:ascii="Book Antiqua" w:hAnsi="Book Antiqua" w:cs="Book Antiqua"/>
          <w:color w:val="000000"/>
          <w:lang w:eastAsia="zh-CN"/>
        </w:rPr>
        <w:t xml:space="preserve"> </w:t>
      </w:r>
      <w:r>
        <w:rPr>
          <w:rFonts w:ascii="Book Antiqua" w:eastAsia="Book Antiqua" w:hAnsi="Book Antiqua" w:cs="Book Antiqua"/>
          <w:color w:val="000000"/>
        </w:rPr>
        <w:t>[DOI: 10.1016/j.ejcdt.2013.05.004]</w:t>
      </w:r>
    </w:p>
    <w:p w14:paraId="7E5F9337"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Mohamed A</w:t>
      </w:r>
      <w:r>
        <w:rPr>
          <w:rFonts w:ascii="Book Antiqua" w:eastAsia="Book Antiqua" w:hAnsi="Book Antiqua" w:cs="Book Antiqua"/>
          <w:color w:val="000000"/>
        </w:rPr>
        <w:t xml:space="preserve">, Atef M, Alsebaey A, Musa Elhabshy M, Salama M. Combined spontaneous bacterial empyema and peritonitis in cirrhotic patients with ascites and hepatic hydrothorax.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104-107 [PMID: 28579346 DOI: 10.1016/j.ajg.2017.05.010]</w:t>
      </w:r>
    </w:p>
    <w:p w14:paraId="339FA9D4"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Emam</w:t>
      </w:r>
      <w:r>
        <w:rPr>
          <w:rFonts w:ascii="Book Antiqua" w:hAnsi="Book Antiqua" w:cs="Book Antiqua"/>
          <w:b/>
          <w:bCs/>
          <w:color w:val="000000"/>
          <w:lang w:eastAsia="zh-CN"/>
        </w:rPr>
        <w:t xml:space="preserve"> </w:t>
      </w:r>
      <w:r>
        <w:rPr>
          <w:rFonts w:ascii="Book Antiqua" w:eastAsia="Book Antiqua" w:hAnsi="Book Antiqua" w:cs="Book Antiqua"/>
          <w:b/>
          <w:color w:val="000000"/>
        </w:rPr>
        <w:t>M</w:t>
      </w:r>
      <w:r>
        <w:rPr>
          <w:rFonts w:ascii="Book Antiqua" w:eastAsia="Book Antiqua" w:hAnsi="Book Antiqua" w:cs="Book Antiqua"/>
          <w:color w:val="000000"/>
        </w:rPr>
        <w:t xml:space="preserve">. Study of Frequency of Spontaneous Bacterial Empyema in Cirrhotic Patients With Hepatic Hydrothorax. </w:t>
      </w:r>
      <w:r>
        <w:rPr>
          <w:rFonts w:ascii="Book Antiqua" w:eastAsia="Book Antiqua" w:hAnsi="Book Antiqua" w:cs="Book Antiqua"/>
          <w:i/>
          <w:color w:val="000000"/>
        </w:rPr>
        <w:t>Journal of Gastroenterology and Hepatology Research</w:t>
      </w:r>
      <w:r>
        <w:rPr>
          <w:rFonts w:ascii="Book Antiqua" w:hAnsi="Book Antiqua" w:cs="Book Antiqua"/>
          <w:color w:val="000000"/>
          <w:lang w:eastAsia="zh-CN"/>
        </w:rPr>
        <w:t xml:space="preserve"> </w:t>
      </w:r>
      <w:r>
        <w:rPr>
          <w:rFonts w:ascii="Book Antiqua" w:eastAsia="Book Antiqua" w:hAnsi="Book Antiqua" w:cs="Book Antiqua"/>
          <w:color w:val="000000"/>
        </w:rPr>
        <w:t>2015</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4</w:t>
      </w:r>
      <w:r>
        <w:rPr>
          <w:rFonts w:ascii="Book Antiqua" w:eastAsia="Book Antiqua" w:hAnsi="Book Antiqua" w:cs="Book Antiqua"/>
          <w:color w:val="000000"/>
        </w:rPr>
        <w:t>: 1569-1572</w:t>
      </w:r>
      <w:r>
        <w:rPr>
          <w:rFonts w:ascii="Book Antiqua" w:hAnsi="Book Antiqua" w:cs="Book Antiqua"/>
          <w:color w:val="000000"/>
          <w:lang w:eastAsia="zh-CN"/>
        </w:rPr>
        <w:t xml:space="preserve"> </w:t>
      </w:r>
      <w:r>
        <w:rPr>
          <w:rFonts w:ascii="Book Antiqua" w:eastAsia="Book Antiqua" w:hAnsi="Book Antiqua" w:cs="Book Antiqua"/>
          <w:color w:val="000000"/>
        </w:rPr>
        <w:t>[DOI: 10.17554/j.issn.2224-3992.2015.04.520]</w:t>
      </w:r>
    </w:p>
    <w:p w14:paraId="0F4305CE"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EASL Clinical Practice Guidelines for the management of patients with decompensated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406-460 [PMID: 29653741 DOI: 10.1016/j.jhep.2018.03.024]</w:t>
      </w:r>
    </w:p>
    <w:p w14:paraId="194276DF"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Jiménez-Gutiérrez JM</w:t>
      </w:r>
      <w:r>
        <w:rPr>
          <w:rFonts w:ascii="Book Antiqua" w:eastAsia="Book Antiqua" w:hAnsi="Book Antiqua" w:cs="Book Antiqua"/>
          <w:color w:val="000000"/>
        </w:rPr>
        <w:t xml:space="preserve">, García-Juárez I, Olivas-Martinez A, Ruiz I. One-year outcome of patients with cirrhosis who developed spontaneous bacterial empyema: A cohort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714-720 [PMID: 34738327 DOI: 10.1111/1751-2980.13066]</w:t>
      </w:r>
    </w:p>
    <w:p w14:paraId="25D703FB"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Al-Zoubi RK</w:t>
      </w:r>
      <w:r>
        <w:rPr>
          <w:rFonts w:ascii="Book Antiqua" w:eastAsia="Book Antiqua" w:hAnsi="Book Antiqua" w:cs="Book Antiqua"/>
          <w:color w:val="000000"/>
        </w:rPr>
        <w:t xml:space="preserve">, Abu Ghanimeh M, Gohar A, Salzman GA, Yousef O. Hepatic hydrothorax: clinical review and update on consensus guidelines. </w:t>
      </w:r>
      <w:r>
        <w:rPr>
          <w:rFonts w:ascii="Book Antiqua" w:eastAsia="Book Antiqua" w:hAnsi="Book Antiqua" w:cs="Book Antiqua"/>
          <w:i/>
          <w:iCs/>
          <w:color w:val="000000"/>
        </w:rPr>
        <w:t>Hosp Pract (1995)</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213-223 [PMID: 27580053 DOI: 10.1080/21548331.2016.1227685]</w:t>
      </w:r>
    </w:p>
    <w:p w14:paraId="44C08C26"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Matei D</w:t>
      </w:r>
      <w:r>
        <w:rPr>
          <w:rFonts w:ascii="Book Antiqua" w:eastAsia="Book Antiqua" w:hAnsi="Book Antiqua" w:cs="Book Antiqua"/>
          <w:color w:val="000000"/>
        </w:rPr>
        <w:t xml:space="preserve">, Craciun R, Crisan D, Procopet B, Mocan T, Pasca S, Zaharie R, Popovici B, Sparchez Z. Hepatic Hydrothorax-An Independent Decompensating Event Associated with Long-Term Mortality in Patients with Cirrhosis.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34441984 DOI: 10.3390/jcm10163688]</w:t>
      </w:r>
    </w:p>
    <w:p w14:paraId="29CD7116"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Avula A</w:t>
      </w:r>
      <w:r>
        <w:rPr>
          <w:rFonts w:ascii="Book Antiqua" w:eastAsia="Book Antiqua" w:hAnsi="Book Antiqua" w:cs="Book Antiqua"/>
          <w:color w:val="000000"/>
        </w:rPr>
        <w:t xml:space="preserve">, Acharya S, Anwar S, Narula N, Chalhoub M, Maroun R, Thapa S, Friedman Y. Indwelling Pleural Catheter (IPC) for the Management of Hepatic Hydrothorax: The Known and the Unknown. </w:t>
      </w:r>
      <w:r>
        <w:rPr>
          <w:rFonts w:ascii="Book Antiqua" w:eastAsia="Book Antiqua" w:hAnsi="Book Antiqua" w:cs="Book Antiqua"/>
          <w:i/>
          <w:iCs/>
          <w:color w:val="000000"/>
        </w:rPr>
        <w:t>J Bronchology Interv Pulmonol</w:t>
      </w:r>
      <w:r>
        <w:rPr>
          <w:rFonts w:ascii="Book Antiqua" w:eastAsia="Book Antiqua" w:hAnsi="Book Antiqua" w:cs="Book Antiqua"/>
          <w:color w:val="000000"/>
        </w:rPr>
        <w:t xml:space="preserve"> 2021 [PMID: 34753862 DOI: 10.1097/LBR.0000000000000823]</w:t>
      </w:r>
    </w:p>
    <w:p w14:paraId="49782651"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IntHout J</w:t>
      </w:r>
      <w:r>
        <w:rPr>
          <w:rFonts w:ascii="Book Antiqua" w:eastAsia="Book Antiqua" w:hAnsi="Book Antiqua" w:cs="Book Antiqua"/>
          <w:color w:val="000000"/>
        </w:rPr>
        <w:t xml:space="preserve">, Ioannidis JP, Rovers MM, Goeman JJ. Plea for routinely presenting prediction intervals in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e010247 [PMID: 27406637 DOI: 10.1136/bmjopen-2015-010247]</w:t>
      </w:r>
    </w:p>
    <w:p w14:paraId="2162DCA6" w14:textId="77777777" w:rsidR="000F705E" w:rsidRDefault="008136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Singh V, Caraceni P, Maiwall R, Alessandria C, Fernandez J, Soares EC, Kim DJ, Kim SE, Marino M, Vorobioff J, Barea RCR, Merli M, Elkrief L, Vargas V, Krag A, </w:t>
      </w:r>
      <w:r>
        <w:rPr>
          <w:rFonts w:ascii="Book Antiqua" w:eastAsia="Book Antiqua" w:hAnsi="Book Antiqua" w:cs="Book Antiqua"/>
          <w:color w:val="000000"/>
        </w:rPr>
        <w:lastRenderedPageBreak/>
        <w:t xml:space="preserve">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With Cirrhosis Worldwide.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1368-1380.e10 [PMID: 30552895 DOI: 10.1053/j.gastro.2018.12.005]</w:t>
      </w:r>
    </w:p>
    <w:p w14:paraId="68B7A35F" w14:textId="77777777" w:rsidR="000F705E" w:rsidRDefault="000F705E">
      <w:pPr>
        <w:spacing w:line="360" w:lineRule="auto"/>
        <w:jc w:val="both"/>
        <w:rPr>
          <w:rFonts w:ascii="Book Antiqua" w:hAnsi="Book Antiqua"/>
        </w:rPr>
      </w:pPr>
    </w:p>
    <w:p w14:paraId="68034FE5" w14:textId="77777777" w:rsidR="000F705E" w:rsidRDefault="000F705E">
      <w:pPr>
        <w:spacing w:line="360" w:lineRule="auto"/>
        <w:jc w:val="both"/>
        <w:rPr>
          <w:rFonts w:ascii="Book Antiqua" w:hAnsi="Book Antiqua"/>
        </w:rPr>
        <w:sectPr w:rsidR="000F705E">
          <w:pgSz w:w="12240" w:h="15840"/>
          <w:pgMar w:top="1440" w:right="1440" w:bottom="1440" w:left="1440" w:header="720" w:footer="720" w:gutter="0"/>
          <w:cols w:space="720"/>
          <w:docGrid w:linePitch="360"/>
        </w:sectPr>
      </w:pPr>
    </w:p>
    <w:p w14:paraId="621D02F8"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E07CAD3"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r>
        <w:rPr>
          <w:rFonts w:ascii="Book Antiqua" w:eastAsia="Book Antiqua" w:hAnsi="Book Antiqua" w:cs="Book Antiqua"/>
          <w:b/>
          <w:bCs/>
          <w:color w:val="000000"/>
        </w:rPr>
        <w:t xml:space="preserve"> </w:t>
      </w:r>
    </w:p>
    <w:p w14:paraId="5BFCB540" w14:textId="77777777" w:rsidR="000F705E" w:rsidRDefault="000F705E">
      <w:pPr>
        <w:spacing w:line="360" w:lineRule="auto"/>
        <w:jc w:val="both"/>
        <w:rPr>
          <w:rFonts w:ascii="Book Antiqua" w:hAnsi="Book Antiqua"/>
        </w:rPr>
      </w:pPr>
    </w:p>
    <w:p w14:paraId="08C245B9"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PRISMA 2009 Checklist statement was utilized and is located in the supplementary material uploaded content.</w:t>
      </w:r>
    </w:p>
    <w:p w14:paraId="1FF98C25" w14:textId="77777777" w:rsidR="000F705E" w:rsidRDefault="000F705E">
      <w:pPr>
        <w:spacing w:line="360" w:lineRule="auto"/>
        <w:jc w:val="both"/>
        <w:rPr>
          <w:rFonts w:ascii="Book Antiqua" w:hAnsi="Book Antiqua"/>
        </w:rPr>
      </w:pPr>
    </w:p>
    <w:p w14:paraId="43823B49" w14:textId="77777777" w:rsidR="000F705E" w:rsidRDefault="0081362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29432C" w14:textId="77777777" w:rsidR="000F705E" w:rsidRDefault="000F705E">
      <w:pPr>
        <w:spacing w:line="360" w:lineRule="auto"/>
        <w:jc w:val="both"/>
        <w:rPr>
          <w:rFonts w:ascii="Book Antiqua" w:hAnsi="Book Antiqua"/>
        </w:rPr>
      </w:pPr>
    </w:p>
    <w:p w14:paraId="2802DF27"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137B1DD" w14:textId="77777777" w:rsidR="000F705E" w:rsidRDefault="0081362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AF24D5" w14:textId="77777777" w:rsidR="000F705E" w:rsidRDefault="000F705E">
      <w:pPr>
        <w:spacing w:line="360" w:lineRule="auto"/>
        <w:jc w:val="both"/>
        <w:rPr>
          <w:rFonts w:ascii="Book Antiqua" w:hAnsi="Book Antiqua"/>
          <w:lang w:eastAsia="zh-CN"/>
        </w:rPr>
      </w:pPr>
    </w:p>
    <w:p w14:paraId="7A24C608"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58606; American Association for the Study of Liver Diseases, 259789.</w:t>
      </w:r>
    </w:p>
    <w:p w14:paraId="6FCE2C1F" w14:textId="77777777" w:rsidR="000F705E" w:rsidRDefault="000F705E">
      <w:pPr>
        <w:spacing w:line="360" w:lineRule="auto"/>
        <w:jc w:val="both"/>
        <w:rPr>
          <w:rFonts w:ascii="Book Antiqua" w:hAnsi="Book Antiqua"/>
        </w:rPr>
      </w:pPr>
    </w:p>
    <w:p w14:paraId="537F8DFB"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22, 2022</w:t>
      </w:r>
    </w:p>
    <w:p w14:paraId="5F76C59A"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2022</w:t>
      </w:r>
    </w:p>
    <w:p w14:paraId="6A87829A" w14:textId="77777777" w:rsidR="000F705E" w:rsidRDefault="0081362D">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12, 2022</w:t>
      </w:r>
    </w:p>
    <w:p w14:paraId="6BAA5018" w14:textId="77777777" w:rsidR="000F705E" w:rsidRDefault="000F705E">
      <w:pPr>
        <w:spacing w:line="360" w:lineRule="auto"/>
        <w:jc w:val="both"/>
        <w:rPr>
          <w:rFonts w:ascii="Book Antiqua" w:hAnsi="Book Antiqua"/>
          <w:lang w:eastAsia="zh-CN"/>
        </w:rPr>
      </w:pPr>
    </w:p>
    <w:p w14:paraId="7FCF961C" w14:textId="77777777" w:rsidR="000F705E" w:rsidRDefault="000F705E">
      <w:pPr>
        <w:spacing w:line="360" w:lineRule="auto"/>
        <w:jc w:val="both"/>
        <w:rPr>
          <w:rFonts w:ascii="Book Antiqua" w:hAnsi="Book Antiqua"/>
        </w:rPr>
      </w:pPr>
    </w:p>
    <w:p w14:paraId="59BEB7DE"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04A097B1"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FE82530" w14:textId="77777777" w:rsidR="000F705E" w:rsidRDefault="0081362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E76BA5"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Grade A (Excellent): 0</w:t>
      </w:r>
    </w:p>
    <w:p w14:paraId="74195E2C" w14:textId="77777777" w:rsidR="000F705E" w:rsidRDefault="0081362D">
      <w:pPr>
        <w:spacing w:line="360" w:lineRule="auto"/>
        <w:jc w:val="both"/>
        <w:rPr>
          <w:rFonts w:ascii="Book Antiqua" w:hAnsi="Book Antiqua"/>
          <w:lang w:eastAsia="zh-CN"/>
        </w:rPr>
      </w:pPr>
      <w:r>
        <w:rPr>
          <w:rFonts w:ascii="Book Antiqua" w:eastAsia="Book Antiqua" w:hAnsi="Book Antiqua" w:cs="Book Antiqua"/>
          <w:color w:val="000000"/>
        </w:rPr>
        <w:t>Grade B (Very good): B</w:t>
      </w:r>
      <w:r>
        <w:rPr>
          <w:rFonts w:ascii="Book Antiqua" w:hAnsi="Book Antiqua" w:cs="Book Antiqua" w:hint="eastAsia"/>
          <w:color w:val="000000"/>
          <w:lang w:eastAsia="zh-CN"/>
        </w:rPr>
        <w:t>, B</w:t>
      </w:r>
    </w:p>
    <w:p w14:paraId="0C3EB7E5" w14:textId="77777777" w:rsidR="000F705E" w:rsidRDefault="0081362D">
      <w:pPr>
        <w:spacing w:line="360" w:lineRule="auto"/>
        <w:jc w:val="both"/>
        <w:rPr>
          <w:rFonts w:ascii="Book Antiqua" w:hAnsi="Book Antiqua"/>
          <w:lang w:eastAsia="zh-CN"/>
        </w:rPr>
      </w:pPr>
      <w:r>
        <w:rPr>
          <w:rFonts w:ascii="Book Antiqua" w:eastAsia="Book Antiqua" w:hAnsi="Book Antiqua" w:cs="Book Antiqua"/>
          <w:color w:val="000000"/>
        </w:rPr>
        <w:lastRenderedPageBreak/>
        <w:t>Grade C (Good): C, C</w:t>
      </w:r>
      <w:r>
        <w:rPr>
          <w:rFonts w:ascii="Book Antiqua" w:hAnsi="Book Antiqua" w:cs="Book Antiqua" w:hint="eastAsia"/>
          <w:color w:val="000000"/>
          <w:lang w:eastAsia="zh-CN"/>
        </w:rPr>
        <w:t>, C, C</w:t>
      </w:r>
    </w:p>
    <w:p w14:paraId="5D21940C"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Grade D (Fair): 0</w:t>
      </w:r>
    </w:p>
    <w:p w14:paraId="6C39719D" w14:textId="77777777" w:rsidR="000F705E" w:rsidRDefault="0081362D">
      <w:pPr>
        <w:spacing w:line="360" w:lineRule="auto"/>
        <w:jc w:val="both"/>
        <w:rPr>
          <w:rFonts w:ascii="Book Antiqua" w:hAnsi="Book Antiqua"/>
        </w:rPr>
      </w:pPr>
      <w:r>
        <w:rPr>
          <w:rFonts w:ascii="Book Antiqua" w:eastAsia="Book Antiqua" w:hAnsi="Book Antiqua" w:cs="Book Antiqua"/>
          <w:color w:val="000000"/>
        </w:rPr>
        <w:t>Grade E (Poor): 0</w:t>
      </w:r>
    </w:p>
    <w:p w14:paraId="72C88B65" w14:textId="77777777" w:rsidR="000F705E" w:rsidRDefault="000F705E">
      <w:pPr>
        <w:spacing w:line="360" w:lineRule="auto"/>
        <w:jc w:val="both"/>
        <w:rPr>
          <w:rFonts w:ascii="Book Antiqua" w:hAnsi="Book Antiqua"/>
        </w:rPr>
      </w:pPr>
    </w:p>
    <w:p w14:paraId="1298892C" w14:textId="77777777" w:rsidR="000F705E" w:rsidRDefault="0081362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Ferrarese A, Italy; Garbuzenko DV, Russia; Manrai M, India</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hAnsi="Book Antiqua" w:cs="Book Antiqua"/>
          <w:color w:val="000000"/>
          <w:lang w:eastAsia="zh-CN"/>
        </w:rPr>
        <w:t>Wang LL</w:t>
      </w:r>
    </w:p>
    <w:p w14:paraId="00D30A9F" w14:textId="77777777" w:rsidR="000F705E" w:rsidRDefault="000F705E">
      <w:pPr>
        <w:spacing w:line="360" w:lineRule="auto"/>
        <w:jc w:val="both"/>
        <w:rPr>
          <w:rFonts w:ascii="Book Antiqua" w:hAnsi="Book Antiqua" w:cs="Book Antiqua"/>
          <w:b/>
          <w:color w:val="000000"/>
          <w:lang w:eastAsia="zh-CN"/>
        </w:rPr>
      </w:pPr>
    </w:p>
    <w:p w14:paraId="3B4B1AA1" w14:textId="77777777" w:rsidR="000F705E" w:rsidRDefault="000F705E">
      <w:pPr>
        <w:spacing w:line="360" w:lineRule="auto"/>
        <w:jc w:val="both"/>
        <w:rPr>
          <w:rFonts w:ascii="Book Antiqua" w:hAnsi="Book Antiqua" w:cs="Book Antiqua"/>
          <w:b/>
          <w:color w:val="000000"/>
          <w:lang w:eastAsia="zh-CN"/>
        </w:rPr>
      </w:pPr>
    </w:p>
    <w:p w14:paraId="4B49540D" w14:textId="77777777" w:rsidR="000F705E" w:rsidRDefault="0081362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14:paraId="572A598D" w14:textId="21DF82D5" w:rsidR="000F705E" w:rsidRDefault="000C5E9A">
      <w:pPr>
        <w:spacing w:line="360" w:lineRule="auto"/>
        <w:jc w:val="both"/>
        <w:rPr>
          <w:rFonts w:ascii="Book Antiqua" w:hAnsi="Book Antiqua" w:cs="Book Antiqua"/>
          <w:b/>
          <w:color w:val="000000"/>
          <w:lang w:eastAsia="zh-CN"/>
        </w:rPr>
      </w:pPr>
      <w:r>
        <w:rPr>
          <w:noProof/>
        </w:rPr>
        <w:drawing>
          <wp:inline distT="0" distB="0" distL="0" distR="0" wp14:anchorId="6074E068" wp14:editId="0DDE3D3A">
            <wp:extent cx="5791200" cy="4343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4343400"/>
                    </a:xfrm>
                    <a:prstGeom prst="rect">
                      <a:avLst/>
                    </a:prstGeom>
                    <a:noFill/>
                    <a:ln>
                      <a:noFill/>
                    </a:ln>
                  </pic:spPr>
                </pic:pic>
              </a:graphicData>
            </a:graphic>
          </wp:inline>
        </w:drawing>
      </w:r>
    </w:p>
    <w:p w14:paraId="0EBA6678" w14:textId="77777777" w:rsidR="000F705E" w:rsidRDefault="0081362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 Preferred reporting items for systematic reviews and meta-analyses statement flow diagram</w:t>
      </w:r>
    </w:p>
    <w:p w14:paraId="1FF9C0D1" w14:textId="77777777" w:rsidR="000F705E" w:rsidRDefault="000F705E">
      <w:pPr>
        <w:spacing w:line="360" w:lineRule="auto"/>
        <w:jc w:val="both"/>
        <w:rPr>
          <w:rFonts w:ascii="Book Antiqua" w:hAnsi="Book Antiqua" w:cs="Book Antiqua"/>
          <w:b/>
          <w:color w:val="000000"/>
          <w:lang w:eastAsia="zh-CN"/>
        </w:rPr>
      </w:pPr>
    </w:p>
    <w:p w14:paraId="4B66E6BF" w14:textId="77777777" w:rsidR="000F705E" w:rsidRDefault="0081362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45AEF88A" w14:textId="6CEBF9C5" w:rsidR="000F705E" w:rsidRDefault="000C5E9A">
      <w:pPr>
        <w:spacing w:line="360" w:lineRule="auto"/>
        <w:jc w:val="both"/>
        <w:rPr>
          <w:rFonts w:ascii="Book Antiqua" w:hAnsi="Book Antiqua" w:cs="Book Antiqua"/>
          <w:b/>
          <w:color w:val="000000"/>
          <w:lang w:eastAsia="zh-CN"/>
        </w:rPr>
      </w:pPr>
      <w:r>
        <w:rPr>
          <w:noProof/>
        </w:rPr>
        <w:lastRenderedPageBreak/>
        <w:drawing>
          <wp:inline distT="0" distB="0" distL="0" distR="0" wp14:anchorId="354D6FFE" wp14:editId="3D7D7808">
            <wp:extent cx="5943600" cy="3178175"/>
            <wp:effectExtent l="0" t="0" r="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78175"/>
                    </a:xfrm>
                    <a:prstGeom prst="rect">
                      <a:avLst/>
                    </a:prstGeom>
                    <a:noFill/>
                    <a:ln>
                      <a:noFill/>
                    </a:ln>
                  </pic:spPr>
                </pic:pic>
              </a:graphicData>
            </a:graphic>
          </wp:inline>
        </w:drawing>
      </w:r>
    </w:p>
    <w:p w14:paraId="6481A717" w14:textId="77777777" w:rsidR="000F705E" w:rsidRDefault="0081362D">
      <w:pPr>
        <w:spacing w:line="360" w:lineRule="auto"/>
        <w:jc w:val="both"/>
        <w:rPr>
          <w:rFonts w:ascii="Book Antiqua" w:hAnsi="Book Antiqua"/>
          <w:lang w:eastAsia="zh-CN"/>
        </w:rPr>
      </w:pPr>
      <w:r>
        <w:rPr>
          <w:rFonts w:ascii="Book Antiqua" w:hAnsi="Book Antiqua" w:cs="Book Antiqua"/>
          <w:b/>
          <w:color w:val="000000"/>
          <w:lang w:eastAsia="zh-CN"/>
        </w:rPr>
        <w:t xml:space="preserve">Figure 2 </w:t>
      </w:r>
      <w:r>
        <w:rPr>
          <w:rFonts w:ascii="Book Antiqua" w:eastAsia="Book Antiqua" w:hAnsi="Book Antiqua" w:cs="Book Antiqua"/>
          <w:b/>
          <w:bCs/>
          <w:color w:val="000000"/>
        </w:rPr>
        <w:t xml:space="preserve">Incidence of </w:t>
      </w:r>
      <w:r>
        <w:rPr>
          <w:rFonts w:ascii="Book Antiqua" w:hAnsi="Book Antiqua" w:cs="Book Antiqua"/>
          <w:b/>
          <w:bCs/>
          <w:color w:val="000000"/>
          <w:lang w:eastAsia="zh-CN"/>
        </w:rPr>
        <w:t>s</w:t>
      </w:r>
      <w:r>
        <w:rPr>
          <w:rFonts w:ascii="Book Antiqua" w:eastAsia="Book Antiqua" w:hAnsi="Book Antiqua" w:cs="Book Antiqua"/>
          <w:b/>
          <w:bCs/>
          <w:color w:val="000000"/>
        </w:rPr>
        <w:t>pontaneous bacterial empyema in patients with cirrhosis</w:t>
      </w:r>
      <w:r>
        <w:rPr>
          <w:rFonts w:ascii="Book Antiqua" w:hAnsi="Book Antiqua" w:cs="Book Antiqua"/>
          <w:b/>
          <w:bCs/>
          <w:color w:val="000000"/>
          <w:lang w:eastAsia="zh-CN"/>
        </w:rPr>
        <w:t>.</w:t>
      </w:r>
    </w:p>
    <w:p w14:paraId="5CF3F8D7" w14:textId="77777777" w:rsidR="000F705E" w:rsidRDefault="000F705E">
      <w:pPr>
        <w:spacing w:line="360" w:lineRule="auto"/>
        <w:jc w:val="both"/>
        <w:rPr>
          <w:rFonts w:ascii="Book Antiqua" w:hAnsi="Book Antiqua" w:cs="Book Antiqua"/>
          <w:b/>
          <w:color w:val="000000"/>
          <w:lang w:eastAsia="zh-CN"/>
        </w:rPr>
      </w:pPr>
    </w:p>
    <w:p w14:paraId="169E47FE" w14:textId="77777777" w:rsidR="000F705E" w:rsidRDefault="0081362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513CA6BA" w14:textId="56632676" w:rsidR="000F705E" w:rsidRDefault="00B711B0">
      <w:pPr>
        <w:spacing w:line="360" w:lineRule="auto"/>
        <w:jc w:val="both"/>
        <w:rPr>
          <w:rFonts w:ascii="Book Antiqua" w:hAnsi="Book Antiqua" w:cs="Book Antiqua"/>
          <w:b/>
          <w:color w:val="000000"/>
          <w:lang w:eastAsia="zh-CN"/>
        </w:rPr>
      </w:pPr>
      <w:r>
        <w:rPr>
          <w:noProof/>
        </w:rPr>
        <w:lastRenderedPageBreak/>
        <w:drawing>
          <wp:inline distT="0" distB="0" distL="0" distR="0" wp14:anchorId="35C9B0CF" wp14:editId="7A241C6B">
            <wp:extent cx="5753100" cy="28321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832100"/>
                    </a:xfrm>
                    <a:prstGeom prst="rect">
                      <a:avLst/>
                    </a:prstGeom>
                    <a:noFill/>
                    <a:ln>
                      <a:noFill/>
                    </a:ln>
                  </pic:spPr>
                </pic:pic>
              </a:graphicData>
            </a:graphic>
          </wp:inline>
        </w:drawing>
      </w:r>
    </w:p>
    <w:p w14:paraId="1ED5040A" w14:textId="77777777" w:rsidR="000F705E" w:rsidRDefault="0081362D">
      <w:pPr>
        <w:spacing w:line="360" w:lineRule="auto"/>
        <w:jc w:val="both"/>
        <w:rPr>
          <w:rFonts w:ascii="Book Antiqua" w:hAnsi="Book Antiqua"/>
          <w:lang w:eastAsia="zh-CN"/>
        </w:rPr>
      </w:pPr>
      <w:r>
        <w:rPr>
          <w:rFonts w:ascii="Book Antiqua" w:hAnsi="Book Antiqua" w:cs="Book Antiqua"/>
          <w:b/>
          <w:color w:val="000000"/>
          <w:lang w:eastAsia="zh-CN"/>
        </w:rPr>
        <w:t xml:space="preserve">Figure 3 </w:t>
      </w:r>
      <w:r>
        <w:rPr>
          <w:rFonts w:ascii="Book Antiqua" w:eastAsia="Book Antiqua" w:hAnsi="Book Antiqua" w:cs="Book Antiqua"/>
          <w:b/>
          <w:bCs/>
          <w:color w:val="000000"/>
        </w:rPr>
        <w:t>Incidence of spontaneous bacterial peritonitis in patients with cirrhosis</w:t>
      </w:r>
      <w:r>
        <w:rPr>
          <w:rFonts w:ascii="Book Antiqua" w:hAnsi="Book Antiqua" w:cs="Book Antiqua"/>
          <w:b/>
          <w:bCs/>
          <w:color w:val="000000"/>
          <w:lang w:eastAsia="zh-CN"/>
        </w:rPr>
        <w:t>.</w:t>
      </w:r>
    </w:p>
    <w:p w14:paraId="6D08BEA2" w14:textId="77777777" w:rsidR="000F705E" w:rsidRDefault="0081362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0386463D" w14:textId="602913EB" w:rsidR="000F705E" w:rsidRDefault="00EB7C75">
      <w:pPr>
        <w:spacing w:line="360" w:lineRule="auto"/>
        <w:jc w:val="both"/>
        <w:rPr>
          <w:rFonts w:ascii="Book Antiqua" w:hAnsi="Book Antiqua" w:cs="Book Antiqua"/>
          <w:b/>
          <w:color w:val="000000"/>
          <w:lang w:eastAsia="zh-CN"/>
        </w:rPr>
      </w:pPr>
      <w:r>
        <w:rPr>
          <w:noProof/>
        </w:rPr>
        <w:lastRenderedPageBreak/>
        <w:drawing>
          <wp:inline distT="0" distB="0" distL="0" distR="0" wp14:anchorId="5D054396" wp14:editId="36A7D87D">
            <wp:extent cx="5880100" cy="285750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0" cy="2857500"/>
                    </a:xfrm>
                    <a:prstGeom prst="rect">
                      <a:avLst/>
                    </a:prstGeom>
                    <a:noFill/>
                    <a:ln>
                      <a:noFill/>
                    </a:ln>
                  </pic:spPr>
                </pic:pic>
              </a:graphicData>
            </a:graphic>
          </wp:inline>
        </w:drawing>
      </w:r>
    </w:p>
    <w:p w14:paraId="51414F87" w14:textId="77777777" w:rsidR="000F705E" w:rsidRDefault="0081362D">
      <w:pPr>
        <w:spacing w:line="360" w:lineRule="auto"/>
        <w:jc w:val="both"/>
        <w:rPr>
          <w:rFonts w:ascii="Book Antiqua" w:hAnsi="Book Antiqua"/>
          <w:lang w:eastAsia="zh-CN"/>
        </w:rPr>
      </w:pPr>
      <w:r>
        <w:rPr>
          <w:rFonts w:ascii="Book Antiqua" w:hAnsi="Book Antiqua" w:cs="Book Antiqua"/>
          <w:b/>
          <w:color w:val="000000"/>
          <w:lang w:eastAsia="zh-CN"/>
        </w:rPr>
        <w:t xml:space="preserve">Figure 4 </w:t>
      </w:r>
      <w:r>
        <w:rPr>
          <w:rFonts w:ascii="Book Antiqua" w:eastAsia="Book Antiqua" w:hAnsi="Book Antiqua" w:cs="Book Antiqua"/>
          <w:b/>
          <w:bCs/>
          <w:color w:val="000000"/>
        </w:rPr>
        <w:t xml:space="preserve">Incidence of </w:t>
      </w:r>
      <w:r>
        <w:rPr>
          <w:rFonts w:ascii="Book Antiqua" w:hAnsi="Book Antiqua" w:cs="Book Antiqua"/>
          <w:b/>
          <w:bCs/>
          <w:color w:val="000000"/>
          <w:lang w:eastAsia="zh-CN"/>
        </w:rPr>
        <w:t>s</w:t>
      </w:r>
      <w:r>
        <w:rPr>
          <w:rFonts w:ascii="Book Antiqua" w:eastAsia="Book Antiqua" w:hAnsi="Book Antiqua" w:cs="Book Antiqua"/>
          <w:b/>
          <w:bCs/>
          <w:color w:val="000000"/>
        </w:rPr>
        <w:t>pontaneous bacterial empyema in patients without concomitant ascites</w:t>
      </w:r>
      <w:r>
        <w:rPr>
          <w:rFonts w:ascii="Book Antiqua" w:hAnsi="Book Antiqua" w:cs="Book Antiqua"/>
          <w:b/>
          <w:bCs/>
          <w:color w:val="000000"/>
          <w:lang w:eastAsia="zh-CN"/>
        </w:rPr>
        <w:t>.</w:t>
      </w:r>
    </w:p>
    <w:p w14:paraId="5194BED1" w14:textId="77777777" w:rsidR="000F705E" w:rsidRDefault="000F705E">
      <w:pPr>
        <w:spacing w:line="360" w:lineRule="auto"/>
        <w:jc w:val="both"/>
        <w:rPr>
          <w:rFonts w:ascii="Book Antiqua" w:hAnsi="Book Antiqua" w:cs="Book Antiqua"/>
          <w:b/>
          <w:color w:val="000000"/>
          <w:lang w:eastAsia="zh-CN"/>
        </w:rPr>
      </w:pPr>
    </w:p>
    <w:p w14:paraId="52692A6C" w14:textId="77777777" w:rsidR="000F705E" w:rsidRDefault="000F705E">
      <w:pPr>
        <w:spacing w:line="360" w:lineRule="auto"/>
        <w:jc w:val="both"/>
        <w:rPr>
          <w:rFonts w:ascii="Book Antiqua" w:hAnsi="Book Antiqua" w:cs="Book Antiqua"/>
          <w:b/>
          <w:color w:val="000000"/>
          <w:lang w:eastAsia="zh-CN"/>
        </w:rPr>
      </w:pPr>
    </w:p>
    <w:p w14:paraId="278D4A8D" w14:textId="77777777" w:rsidR="000F705E" w:rsidRDefault="000F705E">
      <w:pPr>
        <w:spacing w:line="360" w:lineRule="auto"/>
        <w:jc w:val="both"/>
        <w:rPr>
          <w:rFonts w:ascii="Book Antiqua" w:hAnsi="Book Antiqua" w:cs="Book Antiqua"/>
          <w:b/>
          <w:color w:val="000000"/>
          <w:lang w:eastAsia="zh-CN"/>
        </w:rPr>
      </w:pPr>
    </w:p>
    <w:p w14:paraId="7271CA7A" w14:textId="77777777" w:rsidR="000F705E" w:rsidRDefault="000F705E">
      <w:pPr>
        <w:spacing w:line="360" w:lineRule="auto"/>
        <w:jc w:val="both"/>
        <w:rPr>
          <w:rFonts w:ascii="Book Antiqua" w:hAnsi="Book Antiqua" w:cs="Book Antiqua"/>
          <w:b/>
          <w:color w:val="000000"/>
          <w:lang w:eastAsia="zh-CN"/>
        </w:rPr>
        <w:sectPr w:rsidR="000F705E">
          <w:pgSz w:w="12240" w:h="15840"/>
          <w:pgMar w:top="1440" w:right="1440" w:bottom="1440" w:left="1440" w:header="720" w:footer="720" w:gutter="0"/>
          <w:cols w:space="720"/>
          <w:docGrid w:linePitch="360"/>
        </w:sectPr>
      </w:pPr>
    </w:p>
    <w:p w14:paraId="1271A08F" w14:textId="77777777" w:rsidR="000F705E" w:rsidRDefault="0081362D">
      <w:pPr>
        <w:spacing w:line="360" w:lineRule="auto"/>
        <w:jc w:val="both"/>
        <w:rPr>
          <w:rFonts w:ascii="Book Antiqua" w:eastAsia="等线" w:hAnsi="Book Antiqua"/>
          <w:b/>
          <w:bCs/>
        </w:rPr>
      </w:pPr>
      <w:r>
        <w:rPr>
          <w:rFonts w:ascii="Book Antiqua" w:eastAsia="等线" w:hAnsi="Book Antiqua"/>
          <w:b/>
          <w:bCs/>
        </w:rPr>
        <w:lastRenderedPageBreak/>
        <w:t>Table 1 Study details</w:t>
      </w: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1117"/>
        <w:gridCol w:w="763"/>
        <w:gridCol w:w="829"/>
        <w:gridCol w:w="763"/>
        <w:gridCol w:w="904"/>
        <w:gridCol w:w="763"/>
        <w:gridCol w:w="664"/>
        <w:gridCol w:w="726"/>
        <w:gridCol w:w="680"/>
        <w:gridCol w:w="605"/>
        <w:gridCol w:w="605"/>
        <w:gridCol w:w="531"/>
        <w:gridCol w:w="763"/>
        <w:gridCol w:w="673"/>
        <w:gridCol w:w="814"/>
        <w:gridCol w:w="864"/>
      </w:tblGrid>
      <w:tr w:rsidR="000F705E" w14:paraId="3423F917" w14:textId="77777777">
        <w:trPr>
          <w:trHeight w:val="800"/>
        </w:trPr>
        <w:tc>
          <w:tcPr>
            <w:tcW w:w="350" w:type="pct"/>
            <w:tcBorders>
              <w:top w:val="single" w:sz="4" w:space="0" w:color="auto"/>
              <w:bottom w:val="single" w:sz="4" w:space="0" w:color="auto"/>
            </w:tcBorders>
          </w:tcPr>
          <w:p w14:paraId="2C2959B4"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Ref.</w:t>
            </w:r>
          </w:p>
        </w:tc>
        <w:tc>
          <w:tcPr>
            <w:tcW w:w="385" w:type="pct"/>
            <w:tcBorders>
              <w:top w:val="single" w:sz="4" w:space="0" w:color="auto"/>
              <w:bottom w:val="single" w:sz="4" w:space="0" w:color="auto"/>
            </w:tcBorders>
          </w:tcPr>
          <w:p w14:paraId="49631A5E"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Year, country, study type</w:t>
            </w:r>
          </w:p>
        </w:tc>
        <w:tc>
          <w:tcPr>
            <w:tcW w:w="315" w:type="pct"/>
            <w:tcBorders>
              <w:top w:val="single" w:sz="4" w:space="0" w:color="auto"/>
              <w:bottom w:val="single" w:sz="4" w:space="0" w:color="auto"/>
            </w:tcBorders>
          </w:tcPr>
          <w:p w14:paraId="79F76907"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Total patients</w:t>
            </w:r>
          </w:p>
        </w:tc>
        <w:tc>
          <w:tcPr>
            <w:tcW w:w="315" w:type="pct"/>
            <w:tcBorders>
              <w:top w:val="single" w:sz="4" w:space="0" w:color="auto"/>
              <w:bottom w:val="single" w:sz="4" w:space="0" w:color="auto"/>
            </w:tcBorders>
          </w:tcPr>
          <w:p w14:paraId="23852C6D"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Patients w/ PE</w:t>
            </w:r>
          </w:p>
        </w:tc>
        <w:tc>
          <w:tcPr>
            <w:tcW w:w="315" w:type="pct"/>
            <w:tcBorders>
              <w:top w:val="single" w:sz="4" w:space="0" w:color="auto"/>
              <w:bottom w:val="single" w:sz="4" w:space="0" w:color="auto"/>
            </w:tcBorders>
          </w:tcPr>
          <w:p w14:paraId="4706273E"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Patients w/ SBE</w:t>
            </w:r>
          </w:p>
        </w:tc>
        <w:tc>
          <w:tcPr>
            <w:tcW w:w="350" w:type="pct"/>
            <w:tcBorders>
              <w:top w:val="single" w:sz="4" w:space="0" w:color="auto"/>
              <w:bottom w:val="single" w:sz="4" w:space="0" w:color="auto"/>
            </w:tcBorders>
          </w:tcPr>
          <w:p w14:paraId="521C409A"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Patients w/ ascites</w:t>
            </w:r>
          </w:p>
        </w:tc>
        <w:tc>
          <w:tcPr>
            <w:tcW w:w="315" w:type="pct"/>
            <w:tcBorders>
              <w:top w:val="single" w:sz="4" w:space="0" w:color="auto"/>
              <w:bottom w:val="single" w:sz="4" w:space="0" w:color="auto"/>
            </w:tcBorders>
          </w:tcPr>
          <w:p w14:paraId="20E72DF0"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Patients with SBP</w:t>
            </w:r>
          </w:p>
        </w:tc>
        <w:tc>
          <w:tcPr>
            <w:tcW w:w="280" w:type="pct"/>
            <w:tcBorders>
              <w:top w:val="single" w:sz="4" w:space="0" w:color="auto"/>
              <w:bottom w:val="single" w:sz="4" w:space="0" w:color="auto"/>
            </w:tcBorders>
          </w:tcPr>
          <w:p w14:paraId="5FDA096E"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SBE w/o ascites</w:t>
            </w:r>
          </w:p>
        </w:tc>
        <w:tc>
          <w:tcPr>
            <w:tcW w:w="280" w:type="pct"/>
            <w:tcBorders>
              <w:top w:val="single" w:sz="4" w:space="0" w:color="auto"/>
              <w:bottom w:val="single" w:sz="4" w:space="0" w:color="auto"/>
            </w:tcBorders>
          </w:tcPr>
          <w:p w14:paraId="4AA8B879"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Age</w:t>
            </w:r>
          </w:p>
          <w:p w14:paraId="45B9C8EE"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(mean)</w:t>
            </w:r>
          </w:p>
          <w:p w14:paraId="035E3D8A" w14:textId="77777777" w:rsidR="000F705E" w:rsidRDefault="000F705E">
            <w:pPr>
              <w:spacing w:line="360" w:lineRule="auto"/>
              <w:jc w:val="both"/>
              <w:rPr>
                <w:rFonts w:ascii="Book Antiqua" w:eastAsia="Times New Roman" w:hAnsi="Book Antiqua" w:cs="Tahoma"/>
                <w:b/>
                <w:bCs/>
                <w:color w:val="000000"/>
              </w:rPr>
            </w:pPr>
          </w:p>
          <w:p w14:paraId="516B79E6" w14:textId="77777777" w:rsidR="000F705E" w:rsidRDefault="000F705E">
            <w:pPr>
              <w:spacing w:line="360" w:lineRule="auto"/>
              <w:jc w:val="both"/>
              <w:rPr>
                <w:rFonts w:ascii="Book Antiqua" w:eastAsia="Times New Roman" w:hAnsi="Book Antiqua" w:cs="Tahoma"/>
                <w:b/>
                <w:bCs/>
                <w:color w:val="000000"/>
              </w:rPr>
            </w:pPr>
          </w:p>
          <w:p w14:paraId="2330512F" w14:textId="77777777" w:rsidR="000F705E" w:rsidRDefault="000F705E">
            <w:pPr>
              <w:spacing w:line="360" w:lineRule="auto"/>
              <w:jc w:val="both"/>
              <w:rPr>
                <w:rFonts w:ascii="Book Antiqua" w:eastAsia="Times New Roman" w:hAnsi="Book Antiqua" w:cs="Tahoma"/>
                <w:b/>
                <w:bCs/>
                <w:color w:val="000000"/>
              </w:rPr>
            </w:pPr>
          </w:p>
          <w:p w14:paraId="0FA74FBE" w14:textId="77777777" w:rsidR="000F705E" w:rsidRDefault="000F705E">
            <w:pPr>
              <w:spacing w:line="360" w:lineRule="auto"/>
              <w:jc w:val="both"/>
              <w:rPr>
                <w:rFonts w:ascii="Book Antiqua" w:eastAsia="Times New Roman" w:hAnsi="Book Antiqua" w:cs="Tahoma"/>
                <w:b/>
                <w:bCs/>
                <w:color w:val="000000"/>
              </w:rPr>
            </w:pPr>
          </w:p>
          <w:p w14:paraId="20AAF36F" w14:textId="77777777" w:rsidR="000F705E" w:rsidRDefault="000F705E">
            <w:pPr>
              <w:spacing w:line="360" w:lineRule="auto"/>
              <w:jc w:val="both"/>
              <w:rPr>
                <w:rFonts w:ascii="Book Antiqua" w:eastAsia="Times New Roman" w:hAnsi="Book Antiqua" w:cs="Tahoma"/>
                <w:b/>
                <w:bCs/>
                <w:color w:val="000000"/>
              </w:rPr>
            </w:pPr>
          </w:p>
          <w:p w14:paraId="5949A0C5" w14:textId="77777777" w:rsidR="000F705E" w:rsidRDefault="000F705E">
            <w:pPr>
              <w:spacing w:line="360" w:lineRule="auto"/>
              <w:jc w:val="both"/>
              <w:rPr>
                <w:rFonts w:ascii="Book Antiqua" w:eastAsia="Times New Roman" w:hAnsi="Book Antiqua" w:cs="Tahoma"/>
                <w:b/>
                <w:bCs/>
                <w:color w:val="000000"/>
              </w:rPr>
            </w:pPr>
          </w:p>
        </w:tc>
        <w:tc>
          <w:tcPr>
            <w:tcW w:w="210" w:type="pct"/>
            <w:tcBorders>
              <w:top w:val="single" w:sz="4" w:space="0" w:color="auto"/>
              <w:bottom w:val="single" w:sz="4" w:space="0" w:color="auto"/>
            </w:tcBorders>
          </w:tcPr>
          <w:p w14:paraId="78A98F49"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Sex</w:t>
            </w:r>
          </w:p>
          <w:p w14:paraId="1BEAEF0A"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(m/f)</w:t>
            </w:r>
          </w:p>
        </w:tc>
        <w:tc>
          <w:tcPr>
            <w:tcW w:w="175" w:type="pct"/>
            <w:tcBorders>
              <w:top w:val="single" w:sz="4" w:space="0" w:color="auto"/>
              <w:bottom w:val="single" w:sz="4" w:space="0" w:color="auto"/>
            </w:tcBorders>
          </w:tcPr>
          <w:p w14:paraId="1EE10E81"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R PE</w:t>
            </w:r>
          </w:p>
        </w:tc>
        <w:tc>
          <w:tcPr>
            <w:tcW w:w="175" w:type="pct"/>
            <w:tcBorders>
              <w:top w:val="single" w:sz="4" w:space="0" w:color="auto"/>
              <w:bottom w:val="single" w:sz="4" w:space="0" w:color="auto"/>
            </w:tcBorders>
          </w:tcPr>
          <w:p w14:paraId="3AF6235C"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L PE</w:t>
            </w:r>
          </w:p>
        </w:tc>
        <w:tc>
          <w:tcPr>
            <w:tcW w:w="175" w:type="pct"/>
            <w:tcBorders>
              <w:top w:val="single" w:sz="4" w:space="0" w:color="auto"/>
              <w:bottom w:val="single" w:sz="4" w:space="0" w:color="auto"/>
            </w:tcBorders>
          </w:tcPr>
          <w:p w14:paraId="0FB7589E"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B/l PE</w:t>
            </w:r>
          </w:p>
        </w:tc>
        <w:tc>
          <w:tcPr>
            <w:tcW w:w="315" w:type="pct"/>
            <w:tcBorders>
              <w:top w:val="single" w:sz="4" w:space="0" w:color="auto"/>
              <w:bottom w:val="single" w:sz="4" w:space="0" w:color="auto"/>
            </w:tcBorders>
          </w:tcPr>
          <w:p w14:paraId="07CF50DC"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Treated patients</w:t>
            </w:r>
          </w:p>
        </w:tc>
        <w:tc>
          <w:tcPr>
            <w:tcW w:w="280" w:type="pct"/>
            <w:tcBorders>
              <w:top w:val="single" w:sz="4" w:space="0" w:color="auto"/>
              <w:bottom w:val="single" w:sz="4" w:space="0" w:color="auto"/>
            </w:tcBorders>
          </w:tcPr>
          <w:p w14:paraId="375DC8E3" w14:textId="77777777" w:rsidR="000F705E" w:rsidRDefault="0081362D">
            <w:pPr>
              <w:spacing w:line="360" w:lineRule="auto"/>
              <w:jc w:val="both"/>
              <w:rPr>
                <w:rFonts w:ascii="Book Antiqua" w:eastAsia="Times New Roman" w:hAnsi="Book Antiqua" w:cs="Tahoma"/>
                <w:b/>
                <w:bCs/>
                <w:color w:val="000000"/>
              </w:rPr>
            </w:pPr>
            <w:r>
              <w:rPr>
                <w:rFonts w:ascii="Book Antiqua" w:eastAsia="Times New Roman" w:hAnsi="Book Antiqua" w:cs="Tahoma"/>
                <w:b/>
                <w:bCs/>
                <w:color w:val="000000"/>
              </w:rPr>
              <w:t>MELD score</w:t>
            </w:r>
          </w:p>
        </w:tc>
        <w:tc>
          <w:tcPr>
            <w:tcW w:w="422" w:type="pct"/>
            <w:tcBorders>
              <w:top w:val="single" w:sz="4" w:space="0" w:color="auto"/>
              <w:bottom w:val="single" w:sz="4" w:space="0" w:color="auto"/>
            </w:tcBorders>
          </w:tcPr>
          <w:p w14:paraId="23F07273" w14:textId="77777777" w:rsidR="000F705E" w:rsidRDefault="0081362D">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CP score</w:t>
            </w:r>
          </w:p>
        </w:tc>
        <w:tc>
          <w:tcPr>
            <w:tcW w:w="347" w:type="pct"/>
            <w:tcBorders>
              <w:top w:val="single" w:sz="4" w:space="0" w:color="auto"/>
              <w:bottom w:val="single" w:sz="4" w:space="0" w:color="auto"/>
            </w:tcBorders>
          </w:tcPr>
          <w:p w14:paraId="5A637247" w14:textId="77777777" w:rsidR="000F705E" w:rsidRDefault="0081362D">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Mortality</w:t>
            </w:r>
          </w:p>
        </w:tc>
      </w:tr>
      <w:tr w:rsidR="000F705E" w14:paraId="58FC66F4" w14:textId="77777777">
        <w:trPr>
          <w:trHeight w:val="720"/>
        </w:trPr>
        <w:tc>
          <w:tcPr>
            <w:tcW w:w="350" w:type="pct"/>
            <w:tcBorders>
              <w:top w:val="single" w:sz="4" w:space="0" w:color="auto"/>
            </w:tcBorders>
          </w:tcPr>
          <w:p w14:paraId="6317C563"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t>Xiol</w:t>
            </w:r>
            <w:r>
              <w:rPr>
                <w:rFonts w:ascii="Book Antiqua" w:hAnsi="Book Antiqua" w:cs="Calibri"/>
                <w:color w:val="000000"/>
                <w:lang w:eastAsia="zh-CN"/>
              </w:rPr>
              <w:t xml:space="preserve"> </w:t>
            </w:r>
            <w:r>
              <w:rPr>
                <w:rFonts w:ascii="Book Antiqua" w:hAnsi="Book Antiqua" w:cs="Calibri"/>
                <w:i/>
                <w:color w:val="000000"/>
                <w:lang w:eastAsia="zh-CN"/>
              </w:rPr>
              <w:t>et al</w:t>
            </w:r>
            <w:r>
              <w:rPr>
                <w:rFonts w:ascii="Book Antiqua" w:hAnsi="Book Antiqua" w:cs="Calibri"/>
                <w:color w:val="000000"/>
                <w:vertAlign w:val="superscript"/>
                <w:lang w:eastAsia="zh-CN"/>
              </w:rPr>
              <w:t>[8]</w:t>
            </w:r>
            <w:r>
              <w:rPr>
                <w:rFonts w:ascii="Book Antiqua" w:hAnsi="Book Antiqua" w:cs="Calibri"/>
                <w:color w:val="000000"/>
                <w:lang w:eastAsia="zh-CN"/>
              </w:rPr>
              <w:t>, 1996</w:t>
            </w:r>
          </w:p>
        </w:tc>
        <w:tc>
          <w:tcPr>
            <w:tcW w:w="385" w:type="pct"/>
            <w:tcBorders>
              <w:top w:val="single" w:sz="4" w:space="0" w:color="auto"/>
            </w:tcBorders>
          </w:tcPr>
          <w:p w14:paraId="21FC6599"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1996, Spain, Prospective</w:t>
            </w:r>
          </w:p>
        </w:tc>
        <w:tc>
          <w:tcPr>
            <w:tcW w:w="315" w:type="pct"/>
            <w:tcBorders>
              <w:top w:val="single" w:sz="4" w:space="0" w:color="auto"/>
            </w:tcBorders>
          </w:tcPr>
          <w:p w14:paraId="6AD25102"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120</w:t>
            </w:r>
          </w:p>
        </w:tc>
        <w:tc>
          <w:tcPr>
            <w:tcW w:w="315" w:type="pct"/>
            <w:tcBorders>
              <w:top w:val="single" w:sz="4" w:space="0" w:color="auto"/>
            </w:tcBorders>
          </w:tcPr>
          <w:p w14:paraId="217A9CE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120/120</w:t>
            </w:r>
          </w:p>
        </w:tc>
        <w:tc>
          <w:tcPr>
            <w:tcW w:w="315" w:type="pct"/>
            <w:tcBorders>
              <w:top w:val="single" w:sz="4" w:space="0" w:color="auto"/>
            </w:tcBorders>
          </w:tcPr>
          <w:p w14:paraId="77E3432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16/120</w:t>
            </w:r>
          </w:p>
        </w:tc>
        <w:tc>
          <w:tcPr>
            <w:tcW w:w="350" w:type="pct"/>
            <w:tcBorders>
              <w:top w:val="single" w:sz="4" w:space="0" w:color="auto"/>
            </w:tcBorders>
          </w:tcPr>
          <w:p w14:paraId="64952B0D"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95/120</w:t>
            </w:r>
          </w:p>
        </w:tc>
        <w:tc>
          <w:tcPr>
            <w:tcW w:w="315" w:type="pct"/>
            <w:tcBorders>
              <w:top w:val="single" w:sz="4" w:space="0" w:color="auto"/>
            </w:tcBorders>
          </w:tcPr>
          <w:p w14:paraId="49A18EED"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14/18</w:t>
            </w:r>
          </w:p>
        </w:tc>
        <w:tc>
          <w:tcPr>
            <w:tcW w:w="280" w:type="pct"/>
            <w:tcBorders>
              <w:top w:val="single" w:sz="4" w:space="0" w:color="auto"/>
            </w:tcBorders>
          </w:tcPr>
          <w:p w14:paraId="55F507F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xml:space="preserve"> 6/24</w:t>
            </w:r>
            <w:r>
              <w:rPr>
                <w:rFonts w:ascii="Book Antiqua" w:eastAsia="Times New Roman" w:hAnsi="Book Antiqua" w:cs="Tahoma"/>
                <w:color w:val="FFFFFF"/>
              </w:rPr>
              <w:t>/</w:t>
            </w:r>
          </w:p>
        </w:tc>
        <w:tc>
          <w:tcPr>
            <w:tcW w:w="280" w:type="pct"/>
            <w:tcBorders>
              <w:top w:val="single" w:sz="4" w:space="0" w:color="auto"/>
            </w:tcBorders>
          </w:tcPr>
          <w:p w14:paraId="343E8D55" w14:textId="77777777" w:rsidR="000F705E" w:rsidRDefault="000F705E">
            <w:pPr>
              <w:spacing w:line="360" w:lineRule="auto"/>
              <w:jc w:val="both"/>
              <w:rPr>
                <w:rFonts w:ascii="Book Antiqua" w:eastAsia="Times New Roman" w:hAnsi="Book Antiqua" w:cs="Tahoma"/>
                <w:color w:val="000000"/>
              </w:rPr>
            </w:pPr>
          </w:p>
        </w:tc>
        <w:tc>
          <w:tcPr>
            <w:tcW w:w="210" w:type="pct"/>
            <w:tcBorders>
              <w:top w:val="single" w:sz="4" w:space="0" w:color="auto"/>
            </w:tcBorders>
          </w:tcPr>
          <w:p w14:paraId="5EC0B51E" w14:textId="77777777" w:rsidR="000F705E" w:rsidRDefault="000F705E">
            <w:pPr>
              <w:spacing w:line="360" w:lineRule="auto"/>
              <w:jc w:val="both"/>
              <w:rPr>
                <w:rFonts w:ascii="Book Antiqua" w:eastAsia="Times New Roman" w:hAnsi="Book Antiqua" w:cs="Tahoma"/>
                <w:color w:val="000000"/>
              </w:rPr>
            </w:pPr>
          </w:p>
        </w:tc>
        <w:tc>
          <w:tcPr>
            <w:tcW w:w="175" w:type="pct"/>
            <w:tcBorders>
              <w:top w:val="single" w:sz="4" w:space="0" w:color="auto"/>
            </w:tcBorders>
          </w:tcPr>
          <w:p w14:paraId="21F1256E" w14:textId="77777777" w:rsidR="000F705E" w:rsidRDefault="000F705E">
            <w:pPr>
              <w:spacing w:line="360" w:lineRule="auto"/>
              <w:jc w:val="both"/>
              <w:rPr>
                <w:rFonts w:ascii="Book Antiqua" w:eastAsia="Times New Roman" w:hAnsi="Book Antiqua" w:cs="Tahoma"/>
                <w:color w:val="000000"/>
              </w:rPr>
            </w:pPr>
          </w:p>
        </w:tc>
        <w:tc>
          <w:tcPr>
            <w:tcW w:w="175" w:type="pct"/>
            <w:tcBorders>
              <w:top w:val="single" w:sz="4" w:space="0" w:color="auto"/>
            </w:tcBorders>
          </w:tcPr>
          <w:p w14:paraId="3B35A528" w14:textId="77777777" w:rsidR="000F705E" w:rsidRDefault="000F705E">
            <w:pPr>
              <w:spacing w:line="360" w:lineRule="auto"/>
              <w:jc w:val="both"/>
              <w:rPr>
                <w:rFonts w:ascii="Book Antiqua" w:eastAsia="Times New Roman" w:hAnsi="Book Antiqua" w:cs="Tahoma"/>
                <w:color w:val="000000"/>
              </w:rPr>
            </w:pPr>
          </w:p>
        </w:tc>
        <w:tc>
          <w:tcPr>
            <w:tcW w:w="175" w:type="pct"/>
            <w:tcBorders>
              <w:top w:val="single" w:sz="4" w:space="0" w:color="auto"/>
            </w:tcBorders>
          </w:tcPr>
          <w:p w14:paraId="140DD237" w14:textId="77777777" w:rsidR="000F705E" w:rsidRDefault="000F705E">
            <w:pPr>
              <w:spacing w:line="360" w:lineRule="auto"/>
              <w:jc w:val="both"/>
              <w:rPr>
                <w:rFonts w:ascii="Book Antiqua" w:eastAsia="Times New Roman" w:hAnsi="Book Antiqua" w:cs="Tahoma"/>
                <w:color w:val="000000"/>
              </w:rPr>
            </w:pPr>
          </w:p>
        </w:tc>
        <w:tc>
          <w:tcPr>
            <w:tcW w:w="315" w:type="pct"/>
            <w:tcBorders>
              <w:top w:val="single" w:sz="4" w:space="0" w:color="auto"/>
            </w:tcBorders>
          </w:tcPr>
          <w:p w14:paraId="714643EC"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19/24</w:t>
            </w:r>
          </w:p>
        </w:tc>
        <w:tc>
          <w:tcPr>
            <w:tcW w:w="280" w:type="pct"/>
            <w:tcBorders>
              <w:top w:val="single" w:sz="4" w:space="0" w:color="auto"/>
            </w:tcBorders>
          </w:tcPr>
          <w:p w14:paraId="2FA89A90" w14:textId="77777777" w:rsidR="000F705E" w:rsidRDefault="000F705E">
            <w:pPr>
              <w:spacing w:line="360" w:lineRule="auto"/>
              <w:jc w:val="both"/>
              <w:rPr>
                <w:rFonts w:ascii="Book Antiqua" w:eastAsia="Times New Roman" w:hAnsi="Book Antiqua" w:cs="Tahoma"/>
                <w:color w:val="000000"/>
              </w:rPr>
            </w:pPr>
          </w:p>
        </w:tc>
        <w:tc>
          <w:tcPr>
            <w:tcW w:w="422" w:type="pct"/>
            <w:tcBorders>
              <w:top w:val="single" w:sz="4" w:space="0" w:color="auto"/>
            </w:tcBorders>
          </w:tcPr>
          <w:p w14:paraId="723E5A74"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10.67 (1.20)</w:t>
            </w:r>
          </w:p>
        </w:tc>
        <w:tc>
          <w:tcPr>
            <w:tcW w:w="347" w:type="pct"/>
            <w:tcBorders>
              <w:top w:val="single" w:sz="4" w:space="0" w:color="auto"/>
            </w:tcBorders>
          </w:tcPr>
          <w:p w14:paraId="5D2113AB" w14:textId="77777777" w:rsidR="000F705E" w:rsidRDefault="000F705E">
            <w:pPr>
              <w:spacing w:line="360" w:lineRule="auto"/>
              <w:jc w:val="both"/>
              <w:rPr>
                <w:rFonts w:ascii="Book Antiqua" w:eastAsia="Times New Roman" w:hAnsi="Book Antiqua" w:cs="Calibri"/>
                <w:color w:val="000000"/>
              </w:rPr>
            </w:pPr>
          </w:p>
        </w:tc>
      </w:tr>
      <w:tr w:rsidR="000F705E" w14:paraId="74932AE0" w14:textId="77777777">
        <w:trPr>
          <w:trHeight w:val="640"/>
        </w:trPr>
        <w:tc>
          <w:tcPr>
            <w:tcW w:w="350" w:type="pct"/>
          </w:tcPr>
          <w:p w14:paraId="660684B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t xml:space="preserve">Chen </w:t>
            </w:r>
            <w:r>
              <w:rPr>
                <w:rFonts w:ascii="Book Antiqua" w:eastAsia="Times New Roman" w:hAnsi="Book Antiqua" w:cs="Calibri"/>
                <w:i/>
                <w:iCs/>
                <w:color w:val="000000"/>
              </w:rPr>
              <w:t>et al</w:t>
            </w:r>
            <w:r>
              <w:rPr>
                <w:rFonts w:ascii="Book Antiqua" w:eastAsia="Times New Roman" w:hAnsi="Book Antiqua" w:cs="Calibri"/>
                <w:color w:val="000000"/>
                <w:vertAlign w:val="superscript"/>
              </w:rPr>
              <w:t>[21]</w:t>
            </w:r>
            <w:r>
              <w:rPr>
                <w:rFonts w:ascii="Book Antiqua" w:eastAsia="Times New Roman" w:hAnsi="Book Antiqua" w:cs="Calibri"/>
                <w:color w:val="000000"/>
              </w:rPr>
              <w:t>, 2003</w:t>
            </w:r>
          </w:p>
        </w:tc>
        <w:tc>
          <w:tcPr>
            <w:tcW w:w="385" w:type="pct"/>
          </w:tcPr>
          <w:p w14:paraId="231D6347"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xml:space="preserve">2003, Taiwan, Prospective </w:t>
            </w:r>
          </w:p>
        </w:tc>
        <w:tc>
          <w:tcPr>
            <w:tcW w:w="315" w:type="pct"/>
          </w:tcPr>
          <w:p w14:paraId="397660A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862</w:t>
            </w:r>
          </w:p>
        </w:tc>
        <w:tc>
          <w:tcPr>
            <w:tcW w:w="315" w:type="pct"/>
          </w:tcPr>
          <w:p w14:paraId="0D65BF0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132/862</w:t>
            </w:r>
          </w:p>
        </w:tc>
        <w:tc>
          <w:tcPr>
            <w:tcW w:w="315" w:type="pct"/>
          </w:tcPr>
          <w:p w14:paraId="135F4944"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17/132</w:t>
            </w:r>
          </w:p>
        </w:tc>
        <w:tc>
          <w:tcPr>
            <w:tcW w:w="350" w:type="pct"/>
          </w:tcPr>
          <w:p w14:paraId="498A6CA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451/862</w:t>
            </w:r>
          </w:p>
        </w:tc>
        <w:tc>
          <w:tcPr>
            <w:tcW w:w="315" w:type="pct"/>
          </w:tcPr>
          <w:p w14:paraId="5E76156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104/451</w:t>
            </w:r>
          </w:p>
        </w:tc>
        <w:tc>
          <w:tcPr>
            <w:tcW w:w="280" w:type="pct"/>
          </w:tcPr>
          <w:p w14:paraId="73211EF5"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2/411</w:t>
            </w:r>
          </w:p>
        </w:tc>
        <w:tc>
          <w:tcPr>
            <w:tcW w:w="280" w:type="pct"/>
          </w:tcPr>
          <w:p w14:paraId="58ADA2D3"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53.7 (13.2) [17n]</w:t>
            </w:r>
          </w:p>
        </w:tc>
        <w:tc>
          <w:tcPr>
            <w:tcW w:w="210" w:type="pct"/>
          </w:tcPr>
          <w:p w14:paraId="184C626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13/4</w:t>
            </w:r>
          </w:p>
          <w:p w14:paraId="4566E207"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[17n]</w:t>
            </w:r>
          </w:p>
        </w:tc>
        <w:tc>
          <w:tcPr>
            <w:tcW w:w="175" w:type="pct"/>
          </w:tcPr>
          <w:p w14:paraId="16FA08A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17/17</w:t>
            </w:r>
          </w:p>
        </w:tc>
        <w:tc>
          <w:tcPr>
            <w:tcW w:w="175" w:type="pct"/>
          </w:tcPr>
          <w:p w14:paraId="1129B30D" w14:textId="77777777" w:rsidR="000F705E" w:rsidRDefault="000F705E">
            <w:pPr>
              <w:spacing w:line="360" w:lineRule="auto"/>
              <w:jc w:val="both"/>
              <w:rPr>
                <w:rFonts w:ascii="Book Antiqua" w:eastAsia="Times New Roman" w:hAnsi="Book Antiqua" w:cs="Tahoma"/>
                <w:color w:val="000000"/>
              </w:rPr>
            </w:pPr>
          </w:p>
        </w:tc>
        <w:tc>
          <w:tcPr>
            <w:tcW w:w="175" w:type="pct"/>
          </w:tcPr>
          <w:p w14:paraId="07C6B3CC" w14:textId="77777777" w:rsidR="000F705E" w:rsidRDefault="000F705E">
            <w:pPr>
              <w:spacing w:line="360" w:lineRule="auto"/>
              <w:jc w:val="both"/>
              <w:rPr>
                <w:rFonts w:ascii="Book Antiqua" w:eastAsia="Times New Roman" w:hAnsi="Book Antiqua" w:cs="Tahoma"/>
                <w:color w:val="000000"/>
              </w:rPr>
            </w:pPr>
          </w:p>
        </w:tc>
        <w:tc>
          <w:tcPr>
            <w:tcW w:w="315" w:type="pct"/>
          </w:tcPr>
          <w:p w14:paraId="6CEC43D1" w14:textId="77777777" w:rsidR="000F705E" w:rsidRDefault="000F705E">
            <w:pPr>
              <w:spacing w:line="360" w:lineRule="auto"/>
              <w:jc w:val="both"/>
              <w:rPr>
                <w:rFonts w:ascii="Book Antiqua" w:eastAsia="Times New Roman" w:hAnsi="Book Antiqua" w:cs="Tahoma"/>
                <w:color w:val="000000"/>
              </w:rPr>
            </w:pPr>
          </w:p>
        </w:tc>
        <w:tc>
          <w:tcPr>
            <w:tcW w:w="280" w:type="pct"/>
          </w:tcPr>
          <w:p w14:paraId="3EF2974C" w14:textId="77777777" w:rsidR="000F705E" w:rsidRDefault="000F705E">
            <w:pPr>
              <w:spacing w:line="360" w:lineRule="auto"/>
              <w:jc w:val="both"/>
              <w:rPr>
                <w:rFonts w:ascii="Book Antiqua" w:eastAsia="Times New Roman" w:hAnsi="Book Antiqua" w:cs="Tahoma"/>
                <w:color w:val="000000"/>
              </w:rPr>
            </w:pPr>
          </w:p>
        </w:tc>
        <w:tc>
          <w:tcPr>
            <w:tcW w:w="422" w:type="pct"/>
          </w:tcPr>
          <w:p w14:paraId="7BA30783"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11.5 (1.6) [17n]</w:t>
            </w:r>
          </w:p>
        </w:tc>
        <w:tc>
          <w:tcPr>
            <w:tcW w:w="347" w:type="pct"/>
          </w:tcPr>
          <w:p w14:paraId="386422AD" w14:textId="77777777" w:rsidR="000F705E" w:rsidRDefault="000F705E">
            <w:pPr>
              <w:spacing w:line="360" w:lineRule="auto"/>
              <w:jc w:val="both"/>
              <w:rPr>
                <w:rFonts w:ascii="Book Antiqua" w:eastAsia="Times New Roman" w:hAnsi="Book Antiqua" w:cs="Calibri"/>
                <w:color w:val="000000"/>
              </w:rPr>
            </w:pPr>
          </w:p>
        </w:tc>
      </w:tr>
      <w:tr w:rsidR="000F705E" w14:paraId="3844E103" w14:textId="77777777">
        <w:trPr>
          <w:trHeight w:val="660"/>
        </w:trPr>
        <w:tc>
          <w:tcPr>
            <w:tcW w:w="350" w:type="pct"/>
          </w:tcPr>
          <w:p w14:paraId="4CE0C005"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lastRenderedPageBreak/>
              <w:t xml:space="preserve">Chen </w:t>
            </w:r>
            <w:r>
              <w:rPr>
                <w:rFonts w:ascii="Book Antiqua" w:eastAsia="Times New Roman" w:hAnsi="Book Antiqua" w:cs="Calibri"/>
                <w:i/>
                <w:iCs/>
                <w:color w:val="000000"/>
              </w:rPr>
              <w:t>et al</w:t>
            </w:r>
            <w:r>
              <w:rPr>
                <w:rFonts w:ascii="Book Antiqua" w:eastAsia="Times New Roman" w:hAnsi="Book Antiqua" w:cs="Calibri"/>
                <w:color w:val="000000"/>
                <w:vertAlign w:val="superscript"/>
              </w:rPr>
              <w:t>[7]</w:t>
            </w:r>
            <w:r>
              <w:rPr>
                <w:rFonts w:ascii="Book Antiqua" w:eastAsia="Times New Roman" w:hAnsi="Book Antiqua" w:cs="Calibri"/>
                <w:color w:val="000000"/>
              </w:rPr>
              <w:t>, 2011</w:t>
            </w:r>
          </w:p>
        </w:tc>
        <w:tc>
          <w:tcPr>
            <w:tcW w:w="385" w:type="pct"/>
          </w:tcPr>
          <w:p w14:paraId="65336857"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xml:space="preserve">2011, Taiwan, Retrospective </w:t>
            </w:r>
          </w:p>
        </w:tc>
        <w:tc>
          <w:tcPr>
            <w:tcW w:w="315" w:type="pct"/>
          </w:tcPr>
          <w:p w14:paraId="0036BA5C"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3390</w:t>
            </w:r>
          </w:p>
        </w:tc>
        <w:tc>
          <w:tcPr>
            <w:tcW w:w="315" w:type="pct"/>
          </w:tcPr>
          <w:p w14:paraId="4E980C59"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508/3390</w:t>
            </w:r>
          </w:p>
        </w:tc>
        <w:tc>
          <w:tcPr>
            <w:tcW w:w="315" w:type="pct"/>
          </w:tcPr>
          <w:p w14:paraId="3A1EA3A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81/508</w:t>
            </w:r>
          </w:p>
        </w:tc>
        <w:tc>
          <w:tcPr>
            <w:tcW w:w="350" w:type="pct"/>
          </w:tcPr>
          <w:p w14:paraId="44780B9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1729/3390</w:t>
            </w:r>
          </w:p>
        </w:tc>
        <w:tc>
          <w:tcPr>
            <w:tcW w:w="315" w:type="pct"/>
          </w:tcPr>
          <w:p w14:paraId="4C60765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44/1729</w:t>
            </w:r>
          </w:p>
        </w:tc>
        <w:tc>
          <w:tcPr>
            <w:tcW w:w="280" w:type="pct"/>
          </w:tcPr>
          <w:p w14:paraId="2BA9D2E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14/81</w:t>
            </w:r>
          </w:p>
        </w:tc>
        <w:tc>
          <w:tcPr>
            <w:tcW w:w="280" w:type="pct"/>
          </w:tcPr>
          <w:p w14:paraId="2D0DEC0C"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60.0 (12.8) [81n]</w:t>
            </w:r>
          </w:p>
        </w:tc>
        <w:tc>
          <w:tcPr>
            <w:tcW w:w="210" w:type="pct"/>
          </w:tcPr>
          <w:p w14:paraId="0A255E4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55/26 [81n]</w:t>
            </w:r>
          </w:p>
        </w:tc>
        <w:tc>
          <w:tcPr>
            <w:tcW w:w="175" w:type="pct"/>
          </w:tcPr>
          <w:p w14:paraId="569F96EC"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60/81</w:t>
            </w:r>
          </w:p>
        </w:tc>
        <w:tc>
          <w:tcPr>
            <w:tcW w:w="175" w:type="pct"/>
          </w:tcPr>
          <w:p w14:paraId="436DCB9A"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21/81</w:t>
            </w:r>
          </w:p>
        </w:tc>
        <w:tc>
          <w:tcPr>
            <w:tcW w:w="175" w:type="pct"/>
          </w:tcPr>
          <w:p w14:paraId="6628B40D" w14:textId="77777777" w:rsidR="000F705E" w:rsidRDefault="000F705E">
            <w:pPr>
              <w:spacing w:line="360" w:lineRule="auto"/>
              <w:jc w:val="both"/>
              <w:rPr>
                <w:rFonts w:ascii="Book Antiqua" w:eastAsia="Times New Roman" w:hAnsi="Book Antiqua" w:cs="Tahoma"/>
                <w:color w:val="000000"/>
              </w:rPr>
            </w:pPr>
          </w:p>
        </w:tc>
        <w:tc>
          <w:tcPr>
            <w:tcW w:w="315" w:type="pct"/>
          </w:tcPr>
          <w:p w14:paraId="42904026"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58/81</w:t>
            </w:r>
          </w:p>
        </w:tc>
        <w:tc>
          <w:tcPr>
            <w:tcW w:w="280" w:type="pct"/>
          </w:tcPr>
          <w:p w14:paraId="32F9BB16"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20.5 (8.0)</w:t>
            </w:r>
          </w:p>
        </w:tc>
        <w:tc>
          <w:tcPr>
            <w:tcW w:w="422" w:type="pct"/>
          </w:tcPr>
          <w:p w14:paraId="318B0732"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9.7 (2.1)</w:t>
            </w:r>
          </w:p>
        </w:tc>
        <w:tc>
          <w:tcPr>
            <w:tcW w:w="347" w:type="pct"/>
          </w:tcPr>
          <w:p w14:paraId="3D9FD897"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31/81</w:t>
            </w:r>
          </w:p>
        </w:tc>
      </w:tr>
      <w:tr w:rsidR="000F705E" w14:paraId="141D0338" w14:textId="77777777">
        <w:trPr>
          <w:trHeight w:val="610"/>
        </w:trPr>
        <w:tc>
          <w:tcPr>
            <w:tcW w:w="350" w:type="pct"/>
          </w:tcPr>
          <w:p w14:paraId="457906DB"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t xml:space="preserve">Makhlouf </w:t>
            </w:r>
            <w:r>
              <w:rPr>
                <w:rFonts w:ascii="Book Antiqua" w:eastAsia="Times New Roman" w:hAnsi="Book Antiqua" w:cs="Calibri"/>
                <w:i/>
                <w:iCs/>
                <w:color w:val="000000"/>
              </w:rPr>
              <w:t>et al</w:t>
            </w:r>
            <w:r>
              <w:rPr>
                <w:rFonts w:ascii="Book Antiqua" w:eastAsia="Times New Roman" w:hAnsi="Book Antiqua" w:cs="Calibri"/>
                <w:color w:val="000000"/>
                <w:vertAlign w:val="superscript"/>
              </w:rPr>
              <w:t>[5]</w:t>
            </w:r>
            <w:r>
              <w:rPr>
                <w:rFonts w:ascii="Book Antiqua" w:eastAsia="Times New Roman" w:hAnsi="Book Antiqua" w:cs="Calibri"/>
                <w:color w:val="000000"/>
              </w:rPr>
              <w:t>, 2013</w:t>
            </w:r>
          </w:p>
        </w:tc>
        <w:tc>
          <w:tcPr>
            <w:tcW w:w="385" w:type="pct"/>
          </w:tcPr>
          <w:p w14:paraId="4F08E66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xml:space="preserve">2012, Egypt, Prospective </w:t>
            </w:r>
          </w:p>
        </w:tc>
        <w:tc>
          <w:tcPr>
            <w:tcW w:w="315" w:type="pct"/>
          </w:tcPr>
          <w:p w14:paraId="237D193A"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901</w:t>
            </w:r>
          </w:p>
        </w:tc>
        <w:tc>
          <w:tcPr>
            <w:tcW w:w="315" w:type="pct"/>
          </w:tcPr>
          <w:p w14:paraId="113D84F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61/901</w:t>
            </w:r>
          </w:p>
        </w:tc>
        <w:tc>
          <w:tcPr>
            <w:tcW w:w="315" w:type="pct"/>
          </w:tcPr>
          <w:p w14:paraId="0021ADE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16/61</w:t>
            </w:r>
          </w:p>
        </w:tc>
        <w:tc>
          <w:tcPr>
            <w:tcW w:w="350" w:type="pct"/>
          </w:tcPr>
          <w:p w14:paraId="2718372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45/901</w:t>
            </w:r>
          </w:p>
        </w:tc>
        <w:tc>
          <w:tcPr>
            <w:tcW w:w="315" w:type="pct"/>
          </w:tcPr>
          <w:p w14:paraId="67099A28"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9/45</w:t>
            </w:r>
            <w:r>
              <w:rPr>
                <w:rFonts w:ascii="Book Antiqua" w:eastAsia="Times New Roman" w:hAnsi="Book Antiqua" w:cs="Tahoma"/>
                <w:color w:val="FFFFFF"/>
              </w:rPr>
              <w:t>'</w:t>
            </w:r>
          </w:p>
        </w:tc>
        <w:tc>
          <w:tcPr>
            <w:tcW w:w="280" w:type="pct"/>
          </w:tcPr>
          <w:p w14:paraId="766BCC77"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4/16</w:t>
            </w:r>
            <w:r>
              <w:rPr>
                <w:rFonts w:ascii="Book Antiqua" w:eastAsia="Times New Roman" w:hAnsi="Book Antiqua" w:cs="Tahoma"/>
                <w:color w:val="FFFFFF"/>
              </w:rPr>
              <w:t>'</w:t>
            </w:r>
          </w:p>
        </w:tc>
        <w:tc>
          <w:tcPr>
            <w:tcW w:w="280" w:type="pct"/>
          </w:tcPr>
          <w:p w14:paraId="208FEC9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51.1 (11.00) [16n]</w:t>
            </w:r>
          </w:p>
        </w:tc>
        <w:tc>
          <w:tcPr>
            <w:tcW w:w="210" w:type="pct"/>
          </w:tcPr>
          <w:p w14:paraId="4C73298D"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15/1 [16n]</w:t>
            </w:r>
          </w:p>
        </w:tc>
        <w:tc>
          <w:tcPr>
            <w:tcW w:w="175" w:type="pct"/>
          </w:tcPr>
          <w:p w14:paraId="790DECD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53/61</w:t>
            </w:r>
          </w:p>
        </w:tc>
        <w:tc>
          <w:tcPr>
            <w:tcW w:w="175" w:type="pct"/>
          </w:tcPr>
          <w:p w14:paraId="2645215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5/61</w:t>
            </w:r>
          </w:p>
        </w:tc>
        <w:tc>
          <w:tcPr>
            <w:tcW w:w="175" w:type="pct"/>
          </w:tcPr>
          <w:p w14:paraId="451E04D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3/61</w:t>
            </w:r>
          </w:p>
        </w:tc>
        <w:tc>
          <w:tcPr>
            <w:tcW w:w="315" w:type="pct"/>
          </w:tcPr>
          <w:p w14:paraId="2BAB8E75" w14:textId="77777777" w:rsidR="000F705E" w:rsidRDefault="000F705E">
            <w:pPr>
              <w:spacing w:line="360" w:lineRule="auto"/>
              <w:jc w:val="both"/>
              <w:rPr>
                <w:rFonts w:ascii="Book Antiqua" w:eastAsia="Times New Roman" w:hAnsi="Book Antiqua" w:cs="Tahoma"/>
                <w:color w:val="000000"/>
              </w:rPr>
            </w:pPr>
          </w:p>
        </w:tc>
        <w:tc>
          <w:tcPr>
            <w:tcW w:w="280" w:type="pct"/>
          </w:tcPr>
          <w:p w14:paraId="6F84F1BF" w14:textId="77777777" w:rsidR="000F705E" w:rsidRDefault="000F705E">
            <w:pPr>
              <w:spacing w:line="360" w:lineRule="auto"/>
              <w:jc w:val="both"/>
              <w:rPr>
                <w:rFonts w:ascii="Book Antiqua" w:eastAsia="Times New Roman" w:hAnsi="Book Antiqua" w:cs="Tahoma"/>
                <w:color w:val="000000"/>
              </w:rPr>
            </w:pPr>
          </w:p>
        </w:tc>
        <w:tc>
          <w:tcPr>
            <w:tcW w:w="422" w:type="pct"/>
          </w:tcPr>
          <w:p w14:paraId="5A3B2505"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0 [CP A], 1 [CP B], 15 [CP C]//11.8 (1.3)</w:t>
            </w:r>
          </w:p>
        </w:tc>
        <w:tc>
          <w:tcPr>
            <w:tcW w:w="347" w:type="pct"/>
          </w:tcPr>
          <w:p w14:paraId="2A081BBE"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4/16</w:t>
            </w:r>
          </w:p>
        </w:tc>
      </w:tr>
      <w:tr w:rsidR="000F705E" w14:paraId="62B9E62D" w14:textId="77777777">
        <w:trPr>
          <w:trHeight w:val="690"/>
        </w:trPr>
        <w:tc>
          <w:tcPr>
            <w:tcW w:w="350" w:type="pct"/>
          </w:tcPr>
          <w:p w14:paraId="381141DA"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t xml:space="preserve">Mansour </w:t>
            </w:r>
            <w:r>
              <w:rPr>
                <w:rFonts w:ascii="Book Antiqua" w:eastAsia="Times New Roman" w:hAnsi="Book Antiqua" w:cs="Calibri"/>
                <w:i/>
                <w:iCs/>
                <w:color w:val="000000"/>
              </w:rPr>
              <w:t>et al</w:t>
            </w:r>
            <w:r>
              <w:rPr>
                <w:rFonts w:ascii="Book Antiqua" w:eastAsia="Times New Roman" w:hAnsi="Book Antiqua" w:cs="Calibri"/>
                <w:color w:val="000000"/>
                <w:vertAlign w:val="superscript"/>
              </w:rPr>
              <w:t>[22]</w:t>
            </w:r>
            <w:r>
              <w:rPr>
                <w:rFonts w:ascii="Book Antiqua" w:eastAsia="Times New Roman" w:hAnsi="Book Antiqua" w:cs="Calibri"/>
                <w:color w:val="000000"/>
              </w:rPr>
              <w:t>, 2013</w:t>
            </w:r>
          </w:p>
        </w:tc>
        <w:tc>
          <w:tcPr>
            <w:tcW w:w="385" w:type="pct"/>
          </w:tcPr>
          <w:p w14:paraId="09181F1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2013, Egypt, Prospective</w:t>
            </w:r>
          </w:p>
        </w:tc>
        <w:tc>
          <w:tcPr>
            <w:tcW w:w="315" w:type="pct"/>
          </w:tcPr>
          <w:p w14:paraId="7D6E69FB"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98</w:t>
            </w:r>
          </w:p>
        </w:tc>
        <w:tc>
          <w:tcPr>
            <w:tcW w:w="315" w:type="pct"/>
          </w:tcPr>
          <w:p w14:paraId="0FE4C935"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98/98</w:t>
            </w:r>
          </w:p>
        </w:tc>
        <w:tc>
          <w:tcPr>
            <w:tcW w:w="315" w:type="pct"/>
          </w:tcPr>
          <w:p w14:paraId="5707B604"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14/98</w:t>
            </w:r>
          </w:p>
        </w:tc>
        <w:tc>
          <w:tcPr>
            <w:tcW w:w="350" w:type="pct"/>
          </w:tcPr>
          <w:p w14:paraId="5DDEA765"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94/98</w:t>
            </w:r>
          </w:p>
        </w:tc>
        <w:tc>
          <w:tcPr>
            <w:tcW w:w="315" w:type="pct"/>
          </w:tcPr>
          <w:p w14:paraId="41C8B5C4"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16/94</w:t>
            </w:r>
          </w:p>
        </w:tc>
        <w:tc>
          <w:tcPr>
            <w:tcW w:w="280" w:type="pct"/>
          </w:tcPr>
          <w:p w14:paraId="4BF2058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1/14</w:t>
            </w:r>
            <w:r>
              <w:rPr>
                <w:rFonts w:ascii="Book Antiqua" w:eastAsia="Times New Roman" w:hAnsi="Book Antiqua" w:cs="Tahoma"/>
                <w:color w:val="FFFFFF"/>
              </w:rPr>
              <w:t>'</w:t>
            </w:r>
          </w:p>
        </w:tc>
        <w:tc>
          <w:tcPr>
            <w:tcW w:w="280" w:type="pct"/>
          </w:tcPr>
          <w:p w14:paraId="1ECA15E2"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69.7 (16.5) [14n]</w:t>
            </w:r>
          </w:p>
        </w:tc>
        <w:tc>
          <w:tcPr>
            <w:tcW w:w="210" w:type="pct"/>
          </w:tcPr>
          <w:p w14:paraId="49B647C8"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8/6 [14n]</w:t>
            </w:r>
          </w:p>
        </w:tc>
        <w:tc>
          <w:tcPr>
            <w:tcW w:w="175" w:type="pct"/>
          </w:tcPr>
          <w:p w14:paraId="70ECA4D6"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12/14</w:t>
            </w:r>
          </w:p>
        </w:tc>
        <w:tc>
          <w:tcPr>
            <w:tcW w:w="175" w:type="pct"/>
          </w:tcPr>
          <w:p w14:paraId="417C9623"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1/14</w:t>
            </w:r>
          </w:p>
        </w:tc>
        <w:tc>
          <w:tcPr>
            <w:tcW w:w="175" w:type="pct"/>
          </w:tcPr>
          <w:p w14:paraId="639881D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1/14</w:t>
            </w:r>
          </w:p>
        </w:tc>
        <w:tc>
          <w:tcPr>
            <w:tcW w:w="315" w:type="pct"/>
          </w:tcPr>
          <w:p w14:paraId="6CBB3AF3" w14:textId="77777777" w:rsidR="000F705E" w:rsidRDefault="000F705E">
            <w:pPr>
              <w:spacing w:line="360" w:lineRule="auto"/>
              <w:jc w:val="both"/>
              <w:rPr>
                <w:rFonts w:ascii="Book Antiqua" w:eastAsia="Times New Roman" w:hAnsi="Book Antiqua" w:cs="Tahoma"/>
                <w:color w:val="000000"/>
              </w:rPr>
            </w:pPr>
          </w:p>
        </w:tc>
        <w:tc>
          <w:tcPr>
            <w:tcW w:w="280" w:type="pct"/>
          </w:tcPr>
          <w:p w14:paraId="65D16E8A"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27.2 (5.7)</w:t>
            </w:r>
          </w:p>
        </w:tc>
        <w:tc>
          <w:tcPr>
            <w:tcW w:w="422" w:type="pct"/>
          </w:tcPr>
          <w:p w14:paraId="2E8AA47D" w14:textId="77777777" w:rsidR="000F705E" w:rsidRDefault="000F705E">
            <w:pPr>
              <w:spacing w:line="360" w:lineRule="auto"/>
              <w:jc w:val="both"/>
              <w:rPr>
                <w:rFonts w:ascii="Book Antiqua" w:eastAsia="Times New Roman" w:hAnsi="Book Antiqua" w:cs="Calibri"/>
                <w:color w:val="000000"/>
              </w:rPr>
            </w:pPr>
          </w:p>
        </w:tc>
        <w:tc>
          <w:tcPr>
            <w:tcW w:w="347" w:type="pct"/>
          </w:tcPr>
          <w:p w14:paraId="17D508A8" w14:textId="77777777" w:rsidR="000F705E" w:rsidRDefault="000F705E">
            <w:pPr>
              <w:spacing w:line="360" w:lineRule="auto"/>
              <w:jc w:val="both"/>
              <w:rPr>
                <w:rFonts w:ascii="Book Antiqua" w:eastAsia="Times New Roman" w:hAnsi="Book Antiqua" w:cs="Calibri"/>
                <w:color w:val="000000"/>
              </w:rPr>
            </w:pPr>
          </w:p>
        </w:tc>
      </w:tr>
      <w:tr w:rsidR="000F705E" w14:paraId="1173778E" w14:textId="77777777">
        <w:trPr>
          <w:trHeight w:val="670"/>
        </w:trPr>
        <w:tc>
          <w:tcPr>
            <w:tcW w:w="350" w:type="pct"/>
          </w:tcPr>
          <w:p w14:paraId="10C041B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t xml:space="preserve">Emam </w:t>
            </w:r>
            <w:r>
              <w:rPr>
                <w:rFonts w:ascii="Book Antiqua" w:eastAsia="Times New Roman" w:hAnsi="Book Antiqua" w:cs="Calibri"/>
                <w:i/>
                <w:iCs/>
                <w:color w:val="000000"/>
              </w:rPr>
              <w:t xml:space="preserve">et </w:t>
            </w:r>
            <w:r>
              <w:rPr>
                <w:rFonts w:ascii="Book Antiqua" w:eastAsia="Times New Roman" w:hAnsi="Book Antiqua" w:cs="Calibri"/>
                <w:i/>
                <w:iCs/>
                <w:color w:val="000000"/>
              </w:rPr>
              <w:lastRenderedPageBreak/>
              <w:t>al</w:t>
            </w:r>
            <w:r>
              <w:rPr>
                <w:rFonts w:ascii="Book Antiqua" w:eastAsia="Times New Roman" w:hAnsi="Book Antiqua" w:cs="Calibri"/>
                <w:color w:val="000000"/>
                <w:vertAlign w:val="superscript"/>
              </w:rPr>
              <w:t>[24]</w:t>
            </w:r>
            <w:r>
              <w:rPr>
                <w:rFonts w:ascii="Book Antiqua" w:eastAsia="Times New Roman" w:hAnsi="Book Antiqua" w:cs="Calibri"/>
                <w:color w:val="000000"/>
              </w:rPr>
              <w:t>, 2015</w:t>
            </w:r>
          </w:p>
        </w:tc>
        <w:tc>
          <w:tcPr>
            <w:tcW w:w="385" w:type="pct"/>
          </w:tcPr>
          <w:p w14:paraId="3AA4C1A6"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lastRenderedPageBreak/>
              <w:t xml:space="preserve">2015, Egypt, </w:t>
            </w:r>
            <w:r>
              <w:rPr>
                <w:rFonts w:ascii="Book Antiqua" w:eastAsia="Times New Roman" w:hAnsi="Book Antiqua" w:cs="Tahoma"/>
                <w:color w:val="000000"/>
              </w:rPr>
              <w:lastRenderedPageBreak/>
              <w:t xml:space="preserve">Prospective </w:t>
            </w:r>
          </w:p>
        </w:tc>
        <w:tc>
          <w:tcPr>
            <w:tcW w:w="315" w:type="pct"/>
          </w:tcPr>
          <w:p w14:paraId="5DA5C66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lastRenderedPageBreak/>
              <w:t>322</w:t>
            </w:r>
          </w:p>
        </w:tc>
        <w:tc>
          <w:tcPr>
            <w:tcW w:w="315" w:type="pct"/>
          </w:tcPr>
          <w:p w14:paraId="3BBA74F4"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322/322</w:t>
            </w:r>
          </w:p>
        </w:tc>
        <w:tc>
          <w:tcPr>
            <w:tcW w:w="315" w:type="pct"/>
          </w:tcPr>
          <w:p w14:paraId="7B258C4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46/322</w:t>
            </w:r>
          </w:p>
        </w:tc>
        <w:tc>
          <w:tcPr>
            <w:tcW w:w="350" w:type="pct"/>
          </w:tcPr>
          <w:p w14:paraId="6A847A1B"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w:t>
            </w:r>
          </w:p>
        </w:tc>
        <w:tc>
          <w:tcPr>
            <w:tcW w:w="315" w:type="pct"/>
          </w:tcPr>
          <w:p w14:paraId="774D3BB1"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108/322</w:t>
            </w:r>
          </w:p>
        </w:tc>
        <w:tc>
          <w:tcPr>
            <w:tcW w:w="280" w:type="pct"/>
          </w:tcPr>
          <w:p w14:paraId="68F7E5F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0/46</w:t>
            </w:r>
          </w:p>
        </w:tc>
        <w:tc>
          <w:tcPr>
            <w:tcW w:w="280" w:type="pct"/>
          </w:tcPr>
          <w:p w14:paraId="093F224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xml:space="preserve">56.76 </w:t>
            </w:r>
            <w:r>
              <w:rPr>
                <w:rFonts w:ascii="Book Antiqua" w:eastAsia="Times New Roman" w:hAnsi="Book Antiqua" w:cs="Tahoma"/>
                <w:color w:val="000000"/>
              </w:rPr>
              <w:lastRenderedPageBreak/>
              <w:t>(6.23) [46n]</w:t>
            </w:r>
          </w:p>
        </w:tc>
        <w:tc>
          <w:tcPr>
            <w:tcW w:w="210" w:type="pct"/>
          </w:tcPr>
          <w:p w14:paraId="5613ECCA"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lastRenderedPageBreak/>
              <w:t xml:space="preserve">30/16 </w:t>
            </w:r>
            <w:r>
              <w:rPr>
                <w:rFonts w:ascii="Book Antiqua" w:eastAsia="Times New Roman" w:hAnsi="Book Antiqua" w:cs="Tahoma"/>
                <w:color w:val="000000"/>
              </w:rPr>
              <w:lastRenderedPageBreak/>
              <w:t>[46n]</w:t>
            </w:r>
          </w:p>
        </w:tc>
        <w:tc>
          <w:tcPr>
            <w:tcW w:w="175" w:type="pct"/>
          </w:tcPr>
          <w:p w14:paraId="556FF525"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lastRenderedPageBreak/>
              <w:t>42/46</w:t>
            </w:r>
          </w:p>
        </w:tc>
        <w:tc>
          <w:tcPr>
            <w:tcW w:w="175" w:type="pct"/>
          </w:tcPr>
          <w:p w14:paraId="431C7EA2"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2/46</w:t>
            </w:r>
          </w:p>
        </w:tc>
        <w:tc>
          <w:tcPr>
            <w:tcW w:w="175" w:type="pct"/>
          </w:tcPr>
          <w:p w14:paraId="3732DFCC"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2/46</w:t>
            </w:r>
          </w:p>
        </w:tc>
        <w:tc>
          <w:tcPr>
            <w:tcW w:w="315" w:type="pct"/>
          </w:tcPr>
          <w:p w14:paraId="35C071DF" w14:textId="77777777" w:rsidR="000F705E" w:rsidRDefault="000F705E">
            <w:pPr>
              <w:spacing w:line="360" w:lineRule="auto"/>
              <w:jc w:val="both"/>
              <w:rPr>
                <w:rFonts w:ascii="Book Antiqua" w:eastAsia="Times New Roman" w:hAnsi="Book Antiqua" w:cs="Tahoma"/>
                <w:color w:val="000000"/>
              </w:rPr>
            </w:pPr>
          </w:p>
        </w:tc>
        <w:tc>
          <w:tcPr>
            <w:tcW w:w="280" w:type="pct"/>
          </w:tcPr>
          <w:p w14:paraId="32DD4CE8" w14:textId="77777777" w:rsidR="000F705E" w:rsidRDefault="000F705E">
            <w:pPr>
              <w:spacing w:line="360" w:lineRule="auto"/>
              <w:jc w:val="both"/>
              <w:rPr>
                <w:rFonts w:ascii="Book Antiqua" w:eastAsia="Times New Roman" w:hAnsi="Book Antiqua" w:cs="Tahoma"/>
                <w:color w:val="000000"/>
              </w:rPr>
            </w:pPr>
          </w:p>
        </w:tc>
        <w:tc>
          <w:tcPr>
            <w:tcW w:w="422" w:type="pct"/>
          </w:tcPr>
          <w:p w14:paraId="6EDC3266"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0 [CP A], 4 </w:t>
            </w:r>
            <w:r>
              <w:rPr>
                <w:rFonts w:ascii="Book Antiqua" w:eastAsia="Times New Roman" w:hAnsi="Book Antiqua" w:cs="Calibri"/>
                <w:color w:val="000000"/>
              </w:rPr>
              <w:lastRenderedPageBreak/>
              <w:t>[CP B], 42 {CP C]</w:t>
            </w:r>
          </w:p>
        </w:tc>
        <w:tc>
          <w:tcPr>
            <w:tcW w:w="347" w:type="pct"/>
          </w:tcPr>
          <w:p w14:paraId="10867642" w14:textId="77777777" w:rsidR="000F705E" w:rsidRDefault="000F705E">
            <w:pPr>
              <w:spacing w:line="360" w:lineRule="auto"/>
              <w:jc w:val="both"/>
              <w:rPr>
                <w:rFonts w:ascii="Book Antiqua" w:eastAsia="Times New Roman" w:hAnsi="Book Antiqua" w:cs="Calibri"/>
                <w:color w:val="000000"/>
              </w:rPr>
            </w:pPr>
          </w:p>
        </w:tc>
      </w:tr>
      <w:tr w:rsidR="000F705E" w14:paraId="2D14E1D1" w14:textId="77777777">
        <w:trPr>
          <w:trHeight w:val="630"/>
        </w:trPr>
        <w:tc>
          <w:tcPr>
            <w:tcW w:w="350" w:type="pct"/>
          </w:tcPr>
          <w:p w14:paraId="15BE3132"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t xml:space="preserve">Abbasi </w:t>
            </w:r>
            <w:r>
              <w:rPr>
                <w:rFonts w:ascii="Book Antiqua" w:eastAsia="Times New Roman" w:hAnsi="Book Antiqua" w:cs="Calibri"/>
                <w:i/>
                <w:iCs/>
                <w:color w:val="000000"/>
              </w:rPr>
              <w:t>et al</w:t>
            </w:r>
            <w:r>
              <w:rPr>
                <w:rFonts w:ascii="Book Antiqua" w:eastAsia="Times New Roman" w:hAnsi="Book Antiqua" w:cs="Calibri"/>
                <w:color w:val="000000"/>
                <w:vertAlign w:val="superscript"/>
              </w:rPr>
              <w:t>[6]</w:t>
            </w:r>
            <w:r>
              <w:rPr>
                <w:rFonts w:ascii="Book Antiqua" w:eastAsia="Times New Roman" w:hAnsi="Book Antiqua" w:cs="Calibri"/>
                <w:color w:val="000000"/>
              </w:rPr>
              <w:t>, 2016</w:t>
            </w:r>
          </w:p>
        </w:tc>
        <w:tc>
          <w:tcPr>
            <w:tcW w:w="385" w:type="pct"/>
          </w:tcPr>
          <w:p w14:paraId="3C71FDE4"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xml:space="preserve">2016, Pakistan, Prospective </w:t>
            </w:r>
          </w:p>
        </w:tc>
        <w:tc>
          <w:tcPr>
            <w:tcW w:w="315" w:type="pct"/>
          </w:tcPr>
          <w:p w14:paraId="7C25EC8A"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206</w:t>
            </w:r>
          </w:p>
        </w:tc>
        <w:tc>
          <w:tcPr>
            <w:tcW w:w="315" w:type="pct"/>
          </w:tcPr>
          <w:p w14:paraId="55F06CBB"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23/206</w:t>
            </w:r>
          </w:p>
        </w:tc>
        <w:tc>
          <w:tcPr>
            <w:tcW w:w="315" w:type="pct"/>
          </w:tcPr>
          <w:p w14:paraId="038832DB"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7/23</w:t>
            </w:r>
            <w:r>
              <w:rPr>
                <w:rFonts w:ascii="Book Antiqua" w:eastAsia="Times New Roman" w:hAnsi="Book Antiqua" w:cs="Tahoma"/>
                <w:color w:val="FFFFFF"/>
              </w:rPr>
              <w:t>'</w:t>
            </w:r>
          </w:p>
        </w:tc>
        <w:tc>
          <w:tcPr>
            <w:tcW w:w="350" w:type="pct"/>
          </w:tcPr>
          <w:p w14:paraId="1B13A4C6"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152/206</w:t>
            </w:r>
          </w:p>
        </w:tc>
        <w:tc>
          <w:tcPr>
            <w:tcW w:w="315" w:type="pct"/>
          </w:tcPr>
          <w:p w14:paraId="5BA4EFA8"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w:t>
            </w:r>
          </w:p>
        </w:tc>
        <w:tc>
          <w:tcPr>
            <w:tcW w:w="280" w:type="pct"/>
          </w:tcPr>
          <w:p w14:paraId="618AF4EB"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5/23</w:t>
            </w:r>
            <w:r>
              <w:rPr>
                <w:rFonts w:ascii="Book Antiqua" w:eastAsia="Times New Roman" w:hAnsi="Book Antiqua" w:cs="Tahoma"/>
                <w:color w:val="FFFFFF"/>
              </w:rPr>
              <w:t>'</w:t>
            </w:r>
          </w:p>
        </w:tc>
        <w:tc>
          <w:tcPr>
            <w:tcW w:w="280" w:type="pct"/>
          </w:tcPr>
          <w:p w14:paraId="2AE2C300"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41.25 (13.593) [206n]</w:t>
            </w:r>
          </w:p>
        </w:tc>
        <w:tc>
          <w:tcPr>
            <w:tcW w:w="210" w:type="pct"/>
          </w:tcPr>
          <w:p w14:paraId="585F927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149/57 [206n]</w:t>
            </w:r>
          </w:p>
        </w:tc>
        <w:tc>
          <w:tcPr>
            <w:tcW w:w="175" w:type="pct"/>
          </w:tcPr>
          <w:p w14:paraId="6583CE27"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18/23</w:t>
            </w:r>
          </w:p>
        </w:tc>
        <w:tc>
          <w:tcPr>
            <w:tcW w:w="175" w:type="pct"/>
          </w:tcPr>
          <w:p w14:paraId="0C889AF8"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3/23</w:t>
            </w:r>
          </w:p>
        </w:tc>
        <w:tc>
          <w:tcPr>
            <w:tcW w:w="175" w:type="pct"/>
          </w:tcPr>
          <w:p w14:paraId="6FADC5AD"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2/23</w:t>
            </w:r>
          </w:p>
        </w:tc>
        <w:tc>
          <w:tcPr>
            <w:tcW w:w="315" w:type="pct"/>
          </w:tcPr>
          <w:p w14:paraId="788576C7" w14:textId="77777777" w:rsidR="000F705E" w:rsidRDefault="000F705E">
            <w:pPr>
              <w:spacing w:line="360" w:lineRule="auto"/>
              <w:jc w:val="both"/>
              <w:rPr>
                <w:rFonts w:ascii="Book Antiqua" w:eastAsia="Times New Roman" w:hAnsi="Book Antiqua" w:cs="Tahoma"/>
                <w:color w:val="000000"/>
              </w:rPr>
            </w:pPr>
          </w:p>
        </w:tc>
        <w:tc>
          <w:tcPr>
            <w:tcW w:w="280" w:type="pct"/>
          </w:tcPr>
          <w:p w14:paraId="332AB717" w14:textId="77777777" w:rsidR="000F705E" w:rsidRDefault="000F705E">
            <w:pPr>
              <w:spacing w:line="360" w:lineRule="auto"/>
              <w:jc w:val="both"/>
              <w:rPr>
                <w:rFonts w:ascii="Book Antiqua" w:eastAsia="Times New Roman" w:hAnsi="Book Antiqua" w:cs="Tahoma"/>
                <w:color w:val="000000"/>
              </w:rPr>
            </w:pPr>
          </w:p>
        </w:tc>
        <w:tc>
          <w:tcPr>
            <w:tcW w:w="422" w:type="pct"/>
          </w:tcPr>
          <w:p w14:paraId="08BEBE82"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62 [CP A], 61 [CP B], 83 [CP C]</w:t>
            </w:r>
          </w:p>
        </w:tc>
        <w:tc>
          <w:tcPr>
            <w:tcW w:w="347" w:type="pct"/>
          </w:tcPr>
          <w:p w14:paraId="189F29D7" w14:textId="77777777" w:rsidR="000F705E" w:rsidRDefault="000F705E">
            <w:pPr>
              <w:spacing w:line="360" w:lineRule="auto"/>
              <w:jc w:val="both"/>
              <w:rPr>
                <w:rFonts w:ascii="Book Antiqua" w:eastAsia="Times New Roman" w:hAnsi="Book Antiqua" w:cs="Calibri"/>
                <w:color w:val="000000"/>
              </w:rPr>
            </w:pPr>
          </w:p>
        </w:tc>
      </w:tr>
      <w:tr w:rsidR="000F705E" w14:paraId="25EEED66" w14:textId="77777777">
        <w:trPr>
          <w:trHeight w:val="780"/>
        </w:trPr>
        <w:tc>
          <w:tcPr>
            <w:tcW w:w="350" w:type="pct"/>
            <w:tcBorders>
              <w:bottom w:val="single" w:sz="4" w:space="0" w:color="auto"/>
            </w:tcBorders>
          </w:tcPr>
          <w:p w14:paraId="1527D80F"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Calibri"/>
                <w:color w:val="000000"/>
              </w:rPr>
              <w:t xml:space="preserve">Mohamed </w:t>
            </w:r>
            <w:r>
              <w:rPr>
                <w:rFonts w:ascii="Book Antiqua" w:eastAsia="Times New Roman" w:hAnsi="Book Antiqua" w:cs="Calibri"/>
                <w:i/>
                <w:iCs/>
                <w:color w:val="000000"/>
              </w:rPr>
              <w:t>et al</w:t>
            </w:r>
            <w:r>
              <w:rPr>
                <w:rFonts w:ascii="Book Antiqua" w:eastAsia="Times New Roman" w:hAnsi="Book Antiqua" w:cs="Calibri"/>
                <w:color w:val="000000"/>
                <w:vertAlign w:val="superscript"/>
              </w:rPr>
              <w:t>[23]</w:t>
            </w:r>
            <w:r>
              <w:rPr>
                <w:rFonts w:ascii="Book Antiqua" w:eastAsia="Times New Roman" w:hAnsi="Book Antiqua" w:cs="Calibri"/>
                <w:color w:val="000000"/>
              </w:rPr>
              <w:t>, 2017</w:t>
            </w:r>
          </w:p>
        </w:tc>
        <w:tc>
          <w:tcPr>
            <w:tcW w:w="385" w:type="pct"/>
            <w:tcBorders>
              <w:bottom w:val="single" w:sz="4" w:space="0" w:color="auto"/>
            </w:tcBorders>
          </w:tcPr>
          <w:p w14:paraId="349875B7"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2017, Egypt, Prospective</w:t>
            </w:r>
          </w:p>
        </w:tc>
        <w:tc>
          <w:tcPr>
            <w:tcW w:w="315" w:type="pct"/>
            <w:tcBorders>
              <w:bottom w:val="single" w:sz="4" w:space="0" w:color="auto"/>
            </w:tcBorders>
          </w:tcPr>
          <w:p w14:paraId="57E8C525"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3000</w:t>
            </w:r>
          </w:p>
        </w:tc>
        <w:tc>
          <w:tcPr>
            <w:tcW w:w="315" w:type="pct"/>
            <w:tcBorders>
              <w:bottom w:val="single" w:sz="4" w:space="0" w:color="auto"/>
            </w:tcBorders>
          </w:tcPr>
          <w:p w14:paraId="17E00A37"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70/3000</w:t>
            </w:r>
          </w:p>
        </w:tc>
        <w:tc>
          <w:tcPr>
            <w:tcW w:w="315" w:type="pct"/>
            <w:tcBorders>
              <w:bottom w:val="single" w:sz="4" w:space="0" w:color="auto"/>
            </w:tcBorders>
          </w:tcPr>
          <w:p w14:paraId="08F4976E"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5/70</w:t>
            </w:r>
            <w:r>
              <w:rPr>
                <w:rFonts w:ascii="Book Antiqua" w:eastAsia="Times New Roman" w:hAnsi="Book Antiqua" w:cs="Tahoma"/>
                <w:color w:val="FFFFFF"/>
              </w:rPr>
              <w:t>'</w:t>
            </w:r>
          </w:p>
        </w:tc>
        <w:tc>
          <w:tcPr>
            <w:tcW w:w="350" w:type="pct"/>
            <w:tcBorders>
              <w:bottom w:val="single" w:sz="4" w:space="0" w:color="auto"/>
            </w:tcBorders>
          </w:tcPr>
          <w:p w14:paraId="2A621A53"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70/3000</w:t>
            </w:r>
          </w:p>
        </w:tc>
        <w:tc>
          <w:tcPr>
            <w:tcW w:w="315" w:type="pct"/>
            <w:tcBorders>
              <w:bottom w:val="single" w:sz="4" w:space="0" w:color="auto"/>
            </w:tcBorders>
          </w:tcPr>
          <w:p w14:paraId="1098A0F2"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17/70</w:t>
            </w:r>
          </w:p>
        </w:tc>
        <w:tc>
          <w:tcPr>
            <w:tcW w:w="280" w:type="pct"/>
            <w:tcBorders>
              <w:bottom w:val="single" w:sz="4" w:space="0" w:color="auto"/>
            </w:tcBorders>
          </w:tcPr>
          <w:p w14:paraId="4A631FA2" w14:textId="77777777" w:rsidR="000F705E" w:rsidRDefault="0081362D">
            <w:pPr>
              <w:spacing w:line="360" w:lineRule="auto"/>
              <w:jc w:val="both"/>
              <w:rPr>
                <w:rFonts w:ascii="Book Antiqua" w:eastAsia="Times New Roman" w:hAnsi="Book Antiqua" w:cs="Tahoma"/>
                <w:color w:val="000000"/>
              </w:rPr>
            </w:pPr>
            <w:r>
              <w:rPr>
                <w:rFonts w:ascii="Book Antiqua" w:eastAsia="Times New Roman" w:hAnsi="Book Antiqua" w:cs="Tahoma"/>
                <w:color w:val="000000"/>
              </w:rPr>
              <w:t> </w:t>
            </w:r>
          </w:p>
        </w:tc>
        <w:tc>
          <w:tcPr>
            <w:tcW w:w="280" w:type="pct"/>
            <w:tcBorders>
              <w:bottom w:val="single" w:sz="4" w:space="0" w:color="auto"/>
            </w:tcBorders>
          </w:tcPr>
          <w:p w14:paraId="57C15AC6" w14:textId="77777777" w:rsidR="000F705E" w:rsidRDefault="000F705E">
            <w:pPr>
              <w:spacing w:line="360" w:lineRule="auto"/>
              <w:jc w:val="both"/>
              <w:rPr>
                <w:rFonts w:ascii="Book Antiqua" w:eastAsia="Times New Roman" w:hAnsi="Book Antiqua" w:cs="Tahoma"/>
                <w:color w:val="000000"/>
              </w:rPr>
            </w:pPr>
          </w:p>
        </w:tc>
        <w:tc>
          <w:tcPr>
            <w:tcW w:w="210" w:type="pct"/>
            <w:tcBorders>
              <w:bottom w:val="single" w:sz="4" w:space="0" w:color="auto"/>
            </w:tcBorders>
          </w:tcPr>
          <w:p w14:paraId="2FC43E5D" w14:textId="77777777" w:rsidR="000F705E" w:rsidRDefault="000F705E">
            <w:pPr>
              <w:spacing w:line="360" w:lineRule="auto"/>
              <w:jc w:val="both"/>
              <w:rPr>
                <w:rFonts w:ascii="Book Antiqua" w:eastAsia="Times New Roman" w:hAnsi="Book Antiqua" w:cs="Tahoma"/>
                <w:color w:val="000000"/>
              </w:rPr>
            </w:pPr>
          </w:p>
        </w:tc>
        <w:tc>
          <w:tcPr>
            <w:tcW w:w="175" w:type="pct"/>
            <w:tcBorders>
              <w:bottom w:val="single" w:sz="4" w:space="0" w:color="auto"/>
            </w:tcBorders>
          </w:tcPr>
          <w:p w14:paraId="169946DC" w14:textId="77777777" w:rsidR="000F705E" w:rsidRDefault="000F705E">
            <w:pPr>
              <w:spacing w:line="360" w:lineRule="auto"/>
              <w:jc w:val="both"/>
              <w:rPr>
                <w:rFonts w:ascii="Book Antiqua" w:eastAsia="Times New Roman" w:hAnsi="Book Antiqua" w:cs="Tahoma"/>
                <w:color w:val="000000"/>
              </w:rPr>
            </w:pPr>
          </w:p>
        </w:tc>
        <w:tc>
          <w:tcPr>
            <w:tcW w:w="175" w:type="pct"/>
            <w:tcBorders>
              <w:bottom w:val="single" w:sz="4" w:space="0" w:color="auto"/>
            </w:tcBorders>
          </w:tcPr>
          <w:p w14:paraId="11402DEE" w14:textId="77777777" w:rsidR="000F705E" w:rsidRDefault="000F705E">
            <w:pPr>
              <w:spacing w:line="360" w:lineRule="auto"/>
              <w:jc w:val="both"/>
              <w:rPr>
                <w:rFonts w:ascii="Book Antiqua" w:eastAsia="Times New Roman" w:hAnsi="Book Antiqua" w:cs="Tahoma"/>
                <w:color w:val="000000"/>
              </w:rPr>
            </w:pPr>
          </w:p>
        </w:tc>
        <w:tc>
          <w:tcPr>
            <w:tcW w:w="175" w:type="pct"/>
            <w:tcBorders>
              <w:bottom w:val="single" w:sz="4" w:space="0" w:color="auto"/>
            </w:tcBorders>
          </w:tcPr>
          <w:p w14:paraId="662ECC4A" w14:textId="77777777" w:rsidR="000F705E" w:rsidRDefault="000F705E">
            <w:pPr>
              <w:spacing w:line="360" w:lineRule="auto"/>
              <w:jc w:val="both"/>
              <w:rPr>
                <w:rFonts w:ascii="Book Antiqua" w:eastAsia="Times New Roman" w:hAnsi="Book Antiqua" w:cs="Tahoma"/>
                <w:color w:val="000000"/>
              </w:rPr>
            </w:pPr>
          </w:p>
        </w:tc>
        <w:tc>
          <w:tcPr>
            <w:tcW w:w="315" w:type="pct"/>
            <w:tcBorders>
              <w:bottom w:val="single" w:sz="4" w:space="0" w:color="auto"/>
            </w:tcBorders>
          </w:tcPr>
          <w:p w14:paraId="2C602201" w14:textId="77777777" w:rsidR="000F705E" w:rsidRDefault="000F705E">
            <w:pPr>
              <w:spacing w:line="360" w:lineRule="auto"/>
              <w:jc w:val="both"/>
              <w:rPr>
                <w:rFonts w:ascii="Book Antiqua" w:eastAsia="Times New Roman" w:hAnsi="Book Antiqua" w:cs="Tahoma"/>
                <w:color w:val="000000"/>
              </w:rPr>
            </w:pPr>
          </w:p>
        </w:tc>
        <w:tc>
          <w:tcPr>
            <w:tcW w:w="280" w:type="pct"/>
            <w:tcBorders>
              <w:bottom w:val="single" w:sz="4" w:space="0" w:color="auto"/>
            </w:tcBorders>
          </w:tcPr>
          <w:p w14:paraId="7F054226" w14:textId="77777777" w:rsidR="000F705E" w:rsidRDefault="000F705E">
            <w:pPr>
              <w:spacing w:line="360" w:lineRule="auto"/>
              <w:jc w:val="both"/>
              <w:rPr>
                <w:rFonts w:ascii="Book Antiqua" w:eastAsia="Times New Roman" w:hAnsi="Book Antiqua" w:cs="Tahoma"/>
                <w:color w:val="000000"/>
              </w:rPr>
            </w:pPr>
          </w:p>
        </w:tc>
        <w:tc>
          <w:tcPr>
            <w:tcW w:w="422" w:type="pct"/>
            <w:tcBorders>
              <w:bottom w:val="single" w:sz="4" w:space="0" w:color="auto"/>
            </w:tcBorders>
          </w:tcPr>
          <w:p w14:paraId="07C79814" w14:textId="77777777" w:rsidR="000F705E" w:rsidRDefault="000F705E">
            <w:pPr>
              <w:spacing w:line="360" w:lineRule="auto"/>
              <w:jc w:val="both"/>
              <w:rPr>
                <w:rFonts w:ascii="Book Antiqua" w:eastAsia="Times New Roman" w:hAnsi="Book Antiqua" w:cs="Calibri"/>
                <w:color w:val="000000"/>
              </w:rPr>
            </w:pPr>
          </w:p>
        </w:tc>
        <w:tc>
          <w:tcPr>
            <w:tcW w:w="347" w:type="pct"/>
            <w:tcBorders>
              <w:bottom w:val="single" w:sz="4" w:space="0" w:color="auto"/>
            </w:tcBorders>
          </w:tcPr>
          <w:p w14:paraId="0F21FCE1" w14:textId="77777777" w:rsidR="000F705E" w:rsidRDefault="000F705E">
            <w:pPr>
              <w:spacing w:line="360" w:lineRule="auto"/>
              <w:jc w:val="both"/>
              <w:rPr>
                <w:rFonts w:ascii="Book Antiqua" w:eastAsia="Times New Roman" w:hAnsi="Book Antiqua" w:cs="Calibri"/>
                <w:color w:val="000000"/>
              </w:rPr>
            </w:pPr>
          </w:p>
        </w:tc>
      </w:tr>
    </w:tbl>
    <w:p w14:paraId="5A163B98" w14:textId="77777777" w:rsidR="000F705E" w:rsidRDefault="0081362D">
      <w:pPr>
        <w:spacing w:line="360" w:lineRule="auto"/>
        <w:jc w:val="both"/>
        <w:rPr>
          <w:rFonts w:ascii="Book Antiqua" w:eastAsia="等线" w:hAnsi="Book Antiqua"/>
          <w:lang w:eastAsia="zh-CN"/>
        </w:rPr>
      </w:pPr>
      <w:r>
        <w:rPr>
          <w:rFonts w:ascii="Book Antiqua" w:eastAsia="等线" w:hAnsi="Book Antiqua"/>
        </w:rPr>
        <w:t xml:space="preserve">PE: </w:t>
      </w:r>
      <w:r>
        <w:rPr>
          <w:rFonts w:ascii="Book Antiqua" w:eastAsia="等线" w:hAnsi="Book Antiqua" w:hint="eastAsia"/>
          <w:lang w:eastAsia="zh-CN"/>
        </w:rPr>
        <w:t>P</w:t>
      </w:r>
      <w:r>
        <w:rPr>
          <w:rFonts w:ascii="Book Antiqua" w:eastAsia="等线" w:hAnsi="Book Antiqua"/>
        </w:rPr>
        <w:t xml:space="preserve">leural effusion; SBE: </w:t>
      </w:r>
      <w:r>
        <w:rPr>
          <w:rFonts w:ascii="Book Antiqua" w:eastAsia="等线" w:hAnsi="Book Antiqua" w:hint="eastAsia"/>
          <w:lang w:eastAsia="zh-CN"/>
        </w:rPr>
        <w:t>S</w:t>
      </w:r>
      <w:r>
        <w:rPr>
          <w:rFonts w:ascii="Book Antiqua" w:eastAsia="等线" w:hAnsi="Book Antiqua"/>
        </w:rPr>
        <w:t xml:space="preserve">pontaneous bacterial empyema; SBP: </w:t>
      </w:r>
      <w:r>
        <w:rPr>
          <w:rFonts w:ascii="Book Antiqua" w:eastAsia="等线" w:hAnsi="Book Antiqua" w:hint="eastAsia"/>
          <w:lang w:eastAsia="zh-CN"/>
        </w:rPr>
        <w:t>S</w:t>
      </w:r>
      <w:r>
        <w:rPr>
          <w:rFonts w:ascii="Book Antiqua" w:eastAsia="等线" w:hAnsi="Book Antiqua"/>
        </w:rPr>
        <w:t xml:space="preserve">pontaneous bacterial peritonitis; R: </w:t>
      </w:r>
      <w:r>
        <w:rPr>
          <w:rFonts w:ascii="Book Antiqua" w:eastAsia="等线" w:hAnsi="Book Antiqua" w:hint="eastAsia"/>
          <w:lang w:eastAsia="zh-CN"/>
        </w:rPr>
        <w:t>R</w:t>
      </w:r>
      <w:r>
        <w:rPr>
          <w:rFonts w:ascii="Book Antiqua" w:eastAsia="等线" w:hAnsi="Book Antiqua"/>
        </w:rPr>
        <w:t xml:space="preserve">ight; L: </w:t>
      </w:r>
      <w:r>
        <w:rPr>
          <w:rFonts w:ascii="Book Antiqua" w:eastAsia="等线" w:hAnsi="Book Antiqua" w:hint="eastAsia"/>
          <w:lang w:eastAsia="zh-CN"/>
        </w:rPr>
        <w:t>L</w:t>
      </w:r>
      <w:r>
        <w:rPr>
          <w:rFonts w:ascii="Book Antiqua" w:eastAsia="等线" w:hAnsi="Book Antiqua"/>
        </w:rPr>
        <w:t xml:space="preserve">eft; B/l: </w:t>
      </w:r>
      <w:r>
        <w:rPr>
          <w:rFonts w:ascii="Book Antiqua" w:eastAsia="等线" w:hAnsi="Book Antiqua" w:hint="eastAsia"/>
          <w:lang w:eastAsia="zh-CN"/>
        </w:rPr>
        <w:t>B</w:t>
      </w:r>
      <w:r>
        <w:rPr>
          <w:rFonts w:ascii="Book Antiqua" w:eastAsia="等线" w:hAnsi="Book Antiqua"/>
        </w:rPr>
        <w:t xml:space="preserve">ilateral; Treated patients: </w:t>
      </w:r>
      <w:r>
        <w:rPr>
          <w:rFonts w:ascii="Book Antiqua" w:eastAsia="等线" w:hAnsi="Book Antiqua" w:hint="eastAsia"/>
          <w:lang w:eastAsia="zh-CN"/>
        </w:rPr>
        <w:t>S</w:t>
      </w:r>
      <w:r>
        <w:rPr>
          <w:rFonts w:ascii="Book Antiqua" w:eastAsia="等线" w:hAnsi="Book Antiqua"/>
        </w:rPr>
        <w:t>uccessfully treated patients; MELD: Model for end-stage liver disease; CP: Child-</w:t>
      </w:r>
      <w:r>
        <w:rPr>
          <w:rFonts w:ascii="Book Antiqua" w:eastAsia="等线" w:hAnsi="Book Antiqua" w:hint="eastAsia"/>
          <w:lang w:eastAsia="zh-CN"/>
        </w:rPr>
        <w:t>p</w:t>
      </w:r>
      <w:r>
        <w:rPr>
          <w:rFonts w:ascii="Book Antiqua" w:eastAsia="等线" w:hAnsi="Book Antiqua"/>
        </w:rPr>
        <w:t>ugh</w:t>
      </w:r>
      <w:r>
        <w:rPr>
          <w:rFonts w:ascii="Book Antiqua" w:eastAsia="等线" w:hAnsi="Book Antiqua" w:hint="eastAsia"/>
          <w:lang w:eastAsia="zh-CN"/>
        </w:rPr>
        <w:t>.</w:t>
      </w:r>
    </w:p>
    <w:p w14:paraId="21F91262" w14:textId="77777777" w:rsidR="000F705E" w:rsidRDefault="000F705E">
      <w:pPr>
        <w:spacing w:line="360" w:lineRule="auto"/>
        <w:jc w:val="both"/>
        <w:rPr>
          <w:rFonts w:ascii="Book Antiqua" w:eastAsia="等线" w:hAnsi="Book Antiqua"/>
          <w:lang w:eastAsia="zh-CN"/>
        </w:rPr>
      </w:pPr>
    </w:p>
    <w:p w14:paraId="6B42FD1C" w14:textId="77777777" w:rsidR="000F705E" w:rsidRDefault="0081362D">
      <w:pPr>
        <w:spacing w:line="360" w:lineRule="auto"/>
        <w:jc w:val="both"/>
        <w:rPr>
          <w:rFonts w:ascii="Book Antiqua" w:eastAsia="等线" w:hAnsi="Book Antiqua"/>
        </w:rPr>
      </w:pPr>
      <w:r>
        <w:rPr>
          <w:rFonts w:ascii="Book Antiqua" w:eastAsia="等线" w:hAnsi="Book Antiqua"/>
        </w:rPr>
        <w:br w:type="page"/>
      </w:r>
    </w:p>
    <w:p w14:paraId="03F50E44" w14:textId="77777777" w:rsidR="000F705E" w:rsidRDefault="0081362D">
      <w:pPr>
        <w:spacing w:line="360" w:lineRule="auto"/>
        <w:jc w:val="both"/>
        <w:rPr>
          <w:rFonts w:ascii="Book Antiqua" w:eastAsia="等线" w:hAnsi="Book Antiqua"/>
          <w:b/>
          <w:bCs/>
          <w:lang w:eastAsia="zh-CN"/>
        </w:rPr>
      </w:pPr>
      <w:r>
        <w:rPr>
          <w:rFonts w:ascii="Book Antiqua" w:eastAsia="等线" w:hAnsi="Book Antiqua"/>
          <w:b/>
          <w:bCs/>
        </w:rPr>
        <w:lastRenderedPageBreak/>
        <w:t>Table 2 Spontaneous bacterial empyema diagnostic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47"/>
        <w:gridCol w:w="1461"/>
        <w:gridCol w:w="1581"/>
        <w:gridCol w:w="1618"/>
        <w:gridCol w:w="1008"/>
        <w:gridCol w:w="1008"/>
        <w:gridCol w:w="1188"/>
        <w:gridCol w:w="1975"/>
      </w:tblGrid>
      <w:tr w:rsidR="000F705E" w14:paraId="0BFC79F0" w14:textId="77777777">
        <w:trPr>
          <w:trHeight w:val="590"/>
        </w:trPr>
        <w:tc>
          <w:tcPr>
            <w:tcW w:w="670" w:type="pct"/>
            <w:tcBorders>
              <w:top w:val="single" w:sz="4" w:space="0" w:color="auto"/>
              <w:left w:val="nil"/>
              <w:bottom w:val="single" w:sz="4" w:space="0" w:color="auto"/>
              <w:right w:val="nil"/>
            </w:tcBorders>
            <w:shd w:val="clear" w:color="auto" w:fill="auto"/>
            <w:noWrap/>
            <w:vAlign w:val="center"/>
          </w:tcPr>
          <w:p w14:paraId="6B30FA2D" w14:textId="77777777" w:rsidR="000F705E" w:rsidRDefault="0081362D">
            <w:pPr>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Ref.</w:t>
            </w:r>
          </w:p>
        </w:tc>
        <w:tc>
          <w:tcPr>
            <w:tcW w:w="509" w:type="pct"/>
            <w:tcBorders>
              <w:top w:val="single" w:sz="4" w:space="0" w:color="auto"/>
              <w:left w:val="nil"/>
              <w:bottom w:val="single" w:sz="4" w:space="0" w:color="auto"/>
              <w:right w:val="nil"/>
            </w:tcBorders>
            <w:shd w:val="clear" w:color="auto" w:fill="auto"/>
            <w:noWrap/>
            <w:vAlign w:val="center"/>
          </w:tcPr>
          <w:p w14:paraId="50FA8862"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Xiol </w:t>
            </w:r>
            <w:r>
              <w:rPr>
                <w:rFonts w:ascii="Book Antiqua" w:hAnsi="Book Antiqua" w:cs="Calibri"/>
                <w:b/>
                <w:i/>
                <w:color w:val="000000"/>
                <w:lang w:eastAsia="zh-CN"/>
              </w:rPr>
              <w:t>et al</w:t>
            </w:r>
            <w:r>
              <w:rPr>
                <w:rFonts w:ascii="Book Antiqua" w:hAnsi="Book Antiqua" w:cs="Calibri"/>
                <w:b/>
                <w:color w:val="000000"/>
                <w:vertAlign w:val="superscript"/>
                <w:lang w:eastAsia="zh-CN"/>
              </w:rPr>
              <w:t>[8]</w:t>
            </w:r>
            <w:r>
              <w:rPr>
                <w:rFonts w:ascii="Book Antiqua" w:hAnsi="Book Antiqua" w:cs="Calibri"/>
                <w:b/>
                <w:color w:val="000000"/>
                <w:lang w:eastAsia="zh-CN"/>
              </w:rPr>
              <w:t>, 1996</w:t>
            </w:r>
          </w:p>
        </w:tc>
        <w:tc>
          <w:tcPr>
            <w:tcW w:w="552" w:type="pct"/>
            <w:tcBorders>
              <w:top w:val="single" w:sz="4" w:space="0" w:color="auto"/>
              <w:left w:val="nil"/>
              <w:bottom w:val="single" w:sz="4" w:space="0" w:color="auto"/>
              <w:right w:val="nil"/>
            </w:tcBorders>
            <w:shd w:val="clear" w:color="auto" w:fill="auto"/>
            <w:noWrap/>
            <w:vAlign w:val="center"/>
          </w:tcPr>
          <w:p w14:paraId="364EF124"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Chen </w:t>
            </w:r>
            <w:r>
              <w:rPr>
                <w:rFonts w:ascii="Book Antiqua" w:eastAsia="Times New Roman" w:hAnsi="Book Antiqua" w:cs="Calibri"/>
                <w:b/>
                <w:i/>
                <w:iCs/>
                <w:color w:val="000000"/>
              </w:rPr>
              <w:t>et al</w:t>
            </w:r>
            <w:r>
              <w:rPr>
                <w:rFonts w:ascii="Book Antiqua" w:eastAsia="Times New Roman" w:hAnsi="Book Antiqua" w:cs="Calibri"/>
                <w:b/>
                <w:color w:val="000000"/>
                <w:vertAlign w:val="superscript"/>
              </w:rPr>
              <w:t>[21]</w:t>
            </w:r>
            <w:r>
              <w:rPr>
                <w:rFonts w:ascii="Book Antiqua" w:eastAsia="Times New Roman" w:hAnsi="Book Antiqua" w:cs="Calibri"/>
                <w:b/>
                <w:color w:val="000000"/>
              </w:rPr>
              <w:t>, 2003</w:t>
            </w:r>
          </w:p>
        </w:tc>
        <w:tc>
          <w:tcPr>
            <w:tcW w:w="632" w:type="pct"/>
            <w:tcBorders>
              <w:top w:val="single" w:sz="4" w:space="0" w:color="auto"/>
              <w:left w:val="nil"/>
              <w:bottom w:val="single" w:sz="4" w:space="0" w:color="auto"/>
              <w:right w:val="nil"/>
            </w:tcBorders>
            <w:shd w:val="clear" w:color="auto" w:fill="auto"/>
            <w:noWrap/>
            <w:vAlign w:val="center"/>
          </w:tcPr>
          <w:p w14:paraId="0D85CE3E"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Chen </w:t>
            </w:r>
            <w:r>
              <w:rPr>
                <w:rFonts w:ascii="Book Antiqua" w:eastAsia="Times New Roman" w:hAnsi="Book Antiqua" w:cs="Calibri"/>
                <w:b/>
                <w:i/>
                <w:iCs/>
                <w:color w:val="000000"/>
              </w:rPr>
              <w:t>et al</w:t>
            </w:r>
            <w:r>
              <w:rPr>
                <w:rFonts w:ascii="Book Antiqua" w:eastAsia="Times New Roman" w:hAnsi="Book Antiqua" w:cs="Calibri"/>
                <w:b/>
                <w:color w:val="000000"/>
                <w:vertAlign w:val="superscript"/>
              </w:rPr>
              <w:t>[7]</w:t>
            </w:r>
            <w:r>
              <w:rPr>
                <w:rFonts w:ascii="Book Antiqua" w:eastAsia="Times New Roman" w:hAnsi="Book Antiqua" w:cs="Calibri"/>
                <w:b/>
                <w:color w:val="000000"/>
              </w:rPr>
              <w:t>, 2011</w:t>
            </w:r>
          </w:p>
        </w:tc>
        <w:tc>
          <w:tcPr>
            <w:tcW w:w="611" w:type="pct"/>
            <w:tcBorders>
              <w:top w:val="single" w:sz="4" w:space="0" w:color="auto"/>
              <w:left w:val="nil"/>
              <w:bottom w:val="single" w:sz="4" w:space="0" w:color="auto"/>
              <w:right w:val="nil"/>
            </w:tcBorders>
            <w:shd w:val="clear" w:color="auto" w:fill="auto"/>
            <w:noWrap/>
            <w:vAlign w:val="center"/>
          </w:tcPr>
          <w:p w14:paraId="6145E408" w14:textId="77777777" w:rsidR="000F705E" w:rsidRDefault="000F705E">
            <w:pPr>
              <w:spacing w:line="360" w:lineRule="auto"/>
              <w:jc w:val="both"/>
              <w:rPr>
                <w:rFonts w:ascii="Book Antiqua" w:eastAsia="Times New Roman" w:hAnsi="Book Antiqua" w:cs="Calibri"/>
                <w:b/>
                <w:color w:val="000000"/>
              </w:rPr>
            </w:pPr>
          </w:p>
          <w:p w14:paraId="5149F9FF"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Makhlouf </w:t>
            </w:r>
            <w:r>
              <w:rPr>
                <w:rFonts w:ascii="Book Antiqua" w:eastAsia="Times New Roman" w:hAnsi="Book Antiqua" w:cs="Calibri"/>
                <w:b/>
                <w:i/>
                <w:iCs/>
                <w:color w:val="000000"/>
              </w:rPr>
              <w:t>et al</w:t>
            </w:r>
            <w:r>
              <w:rPr>
                <w:rFonts w:ascii="Book Antiqua" w:eastAsia="Times New Roman" w:hAnsi="Book Antiqua" w:cs="Calibri"/>
                <w:b/>
                <w:color w:val="000000"/>
                <w:vertAlign w:val="superscript"/>
              </w:rPr>
              <w:t>[5]</w:t>
            </w:r>
            <w:r>
              <w:rPr>
                <w:rFonts w:ascii="Book Antiqua" w:eastAsia="Times New Roman" w:hAnsi="Book Antiqua" w:cs="Calibri"/>
                <w:b/>
                <w:color w:val="000000"/>
              </w:rPr>
              <w:t>, 2013</w:t>
            </w:r>
          </w:p>
        </w:tc>
        <w:tc>
          <w:tcPr>
            <w:tcW w:w="416" w:type="pct"/>
            <w:tcBorders>
              <w:top w:val="single" w:sz="4" w:space="0" w:color="auto"/>
              <w:left w:val="nil"/>
              <w:bottom w:val="single" w:sz="4" w:space="0" w:color="auto"/>
              <w:right w:val="nil"/>
            </w:tcBorders>
            <w:shd w:val="clear" w:color="auto" w:fill="auto"/>
          </w:tcPr>
          <w:p w14:paraId="1E08857A" w14:textId="77777777" w:rsidR="000F705E" w:rsidRDefault="000F705E">
            <w:pPr>
              <w:spacing w:line="360" w:lineRule="auto"/>
              <w:jc w:val="both"/>
              <w:rPr>
                <w:rFonts w:ascii="Book Antiqua" w:eastAsia="Times New Roman" w:hAnsi="Book Antiqua" w:cs="Calibri"/>
                <w:b/>
                <w:color w:val="000000"/>
              </w:rPr>
            </w:pPr>
          </w:p>
          <w:p w14:paraId="47F56AFE"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Mansour </w:t>
            </w:r>
            <w:r>
              <w:rPr>
                <w:rFonts w:ascii="Book Antiqua" w:eastAsia="Times New Roman" w:hAnsi="Book Antiqua" w:cs="Calibri"/>
                <w:b/>
                <w:i/>
                <w:iCs/>
                <w:color w:val="000000"/>
              </w:rPr>
              <w:t>et al</w:t>
            </w:r>
            <w:r>
              <w:rPr>
                <w:rFonts w:ascii="Book Antiqua" w:eastAsia="Times New Roman" w:hAnsi="Book Antiqua" w:cs="Calibri"/>
                <w:b/>
                <w:color w:val="000000"/>
                <w:vertAlign w:val="superscript"/>
              </w:rPr>
              <w:t>[22]</w:t>
            </w:r>
            <w:r>
              <w:rPr>
                <w:rFonts w:ascii="Book Antiqua" w:eastAsia="Times New Roman" w:hAnsi="Book Antiqua" w:cs="Calibri"/>
                <w:b/>
                <w:color w:val="000000"/>
              </w:rPr>
              <w:t>, 2013</w:t>
            </w:r>
          </w:p>
        </w:tc>
        <w:tc>
          <w:tcPr>
            <w:tcW w:w="381" w:type="pct"/>
            <w:tcBorders>
              <w:top w:val="single" w:sz="4" w:space="0" w:color="auto"/>
              <w:left w:val="nil"/>
              <w:bottom w:val="single" w:sz="4" w:space="0" w:color="auto"/>
              <w:right w:val="nil"/>
            </w:tcBorders>
            <w:shd w:val="clear" w:color="auto" w:fill="auto"/>
          </w:tcPr>
          <w:p w14:paraId="2D166BAA" w14:textId="77777777" w:rsidR="000F705E" w:rsidRDefault="000F705E">
            <w:pPr>
              <w:spacing w:line="360" w:lineRule="auto"/>
              <w:jc w:val="both"/>
              <w:rPr>
                <w:rFonts w:ascii="Book Antiqua" w:eastAsia="Times New Roman" w:hAnsi="Book Antiqua" w:cs="Calibri"/>
                <w:b/>
                <w:color w:val="000000"/>
              </w:rPr>
            </w:pPr>
          </w:p>
          <w:p w14:paraId="502D26FB"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Emam </w:t>
            </w:r>
            <w:r>
              <w:rPr>
                <w:rFonts w:ascii="Book Antiqua" w:eastAsia="Times New Roman" w:hAnsi="Book Antiqua" w:cs="Calibri"/>
                <w:b/>
                <w:i/>
                <w:iCs/>
                <w:color w:val="000000"/>
              </w:rPr>
              <w:t>et al</w:t>
            </w:r>
            <w:r>
              <w:rPr>
                <w:rFonts w:ascii="Book Antiqua" w:eastAsia="Times New Roman" w:hAnsi="Book Antiqua" w:cs="Calibri"/>
                <w:b/>
                <w:color w:val="000000"/>
                <w:vertAlign w:val="superscript"/>
              </w:rPr>
              <w:t>[24]</w:t>
            </w:r>
            <w:r>
              <w:rPr>
                <w:rFonts w:ascii="Book Antiqua" w:eastAsia="Times New Roman" w:hAnsi="Book Antiqua" w:cs="Calibri"/>
                <w:b/>
                <w:color w:val="000000"/>
              </w:rPr>
              <w:t>, 2015</w:t>
            </w:r>
          </w:p>
        </w:tc>
        <w:tc>
          <w:tcPr>
            <w:tcW w:w="484" w:type="pct"/>
            <w:tcBorders>
              <w:top w:val="single" w:sz="4" w:space="0" w:color="auto"/>
              <w:left w:val="nil"/>
              <w:bottom w:val="single" w:sz="4" w:space="0" w:color="auto"/>
              <w:right w:val="nil"/>
            </w:tcBorders>
            <w:shd w:val="clear" w:color="auto" w:fill="auto"/>
          </w:tcPr>
          <w:p w14:paraId="6F3D5D4C" w14:textId="77777777" w:rsidR="000F705E" w:rsidRDefault="000F705E">
            <w:pPr>
              <w:spacing w:line="360" w:lineRule="auto"/>
              <w:jc w:val="both"/>
              <w:rPr>
                <w:rFonts w:ascii="Book Antiqua" w:eastAsia="Times New Roman" w:hAnsi="Book Antiqua" w:cs="Calibri"/>
                <w:b/>
                <w:color w:val="000000"/>
              </w:rPr>
            </w:pPr>
          </w:p>
          <w:p w14:paraId="20311EF4"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Abbasi </w:t>
            </w:r>
            <w:r>
              <w:rPr>
                <w:rFonts w:ascii="Book Antiqua" w:eastAsia="Times New Roman" w:hAnsi="Book Antiqua" w:cs="Calibri"/>
                <w:b/>
                <w:i/>
                <w:iCs/>
                <w:color w:val="000000"/>
              </w:rPr>
              <w:t>et al</w:t>
            </w:r>
            <w:r>
              <w:rPr>
                <w:rFonts w:ascii="Book Antiqua" w:eastAsia="Times New Roman" w:hAnsi="Book Antiqua" w:cs="Calibri"/>
                <w:b/>
                <w:color w:val="000000"/>
                <w:vertAlign w:val="superscript"/>
              </w:rPr>
              <w:t>[6]</w:t>
            </w:r>
            <w:r>
              <w:rPr>
                <w:rFonts w:ascii="Book Antiqua" w:eastAsia="Times New Roman" w:hAnsi="Book Antiqua" w:cs="Calibri"/>
                <w:b/>
                <w:color w:val="000000"/>
              </w:rPr>
              <w:t>, 2016</w:t>
            </w:r>
          </w:p>
        </w:tc>
        <w:tc>
          <w:tcPr>
            <w:tcW w:w="746" w:type="pct"/>
            <w:tcBorders>
              <w:top w:val="single" w:sz="4" w:space="0" w:color="auto"/>
              <w:left w:val="nil"/>
              <w:bottom w:val="single" w:sz="4" w:space="0" w:color="auto"/>
              <w:right w:val="nil"/>
            </w:tcBorders>
            <w:shd w:val="clear" w:color="auto" w:fill="auto"/>
          </w:tcPr>
          <w:p w14:paraId="177D3150" w14:textId="77777777" w:rsidR="000F705E" w:rsidRDefault="000F705E">
            <w:pPr>
              <w:spacing w:line="360" w:lineRule="auto"/>
              <w:jc w:val="both"/>
              <w:rPr>
                <w:rFonts w:ascii="Book Antiqua" w:eastAsia="Times New Roman" w:hAnsi="Book Antiqua" w:cs="Calibri"/>
                <w:b/>
                <w:color w:val="000000"/>
              </w:rPr>
            </w:pPr>
          </w:p>
          <w:p w14:paraId="38D98628" w14:textId="77777777" w:rsidR="000F705E" w:rsidRDefault="0081362D">
            <w:pPr>
              <w:spacing w:line="360" w:lineRule="auto"/>
              <w:jc w:val="both"/>
              <w:rPr>
                <w:rFonts w:ascii="Book Antiqua" w:eastAsia="Times New Roman" w:hAnsi="Book Antiqua" w:cs="Calibri"/>
                <w:b/>
                <w:color w:val="000000"/>
              </w:rPr>
            </w:pPr>
            <w:r>
              <w:rPr>
                <w:rFonts w:ascii="Book Antiqua" w:eastAsia="Times New Roman" w:hAnsi="Book Antiqua" w:cs="Calibri"/>
                <w:b/>
                <w:color w:val="000000"/>
              </w:rPr>
              <w:t xml:space="preserve">Mohamed </w:t>
            </w:r>
            <w:r>
              <w:rPr>
                <w:rFonts w:ascii="Book Antiqua" w:eastAsia="Times New Roman" w:hAnsi="Book Antiqua" w:cs="Calibri"/>
                <w:b/>
                <w:i/>
                <w:iCs/>
                <w:color w:val="000000"/>
              </w:rPr>
              <w:t>et al</w:t>
            </w:r>
            <w:r>
              <w:rPr>
                <w:rFonts w:ascii="Book Antiqua" w:eastAsia="Times New Roman" w:hAnsi="Book Antiqua" w:cs="Calibri"/>
                <w:b/>
                <w:color w:val="000000"/>
                <w:vertAlign w:val="superscript"/>
              </w:rPr>
              <w:t>[23]</w:t>
            </w:r>
            <w:r>
              <w:rPr>
                <w:rFonts w:ascii="Book Antiqua" w:eastAsia="Times New Roman" w:hAnsi="Book Antiqua" w:cs="Calibri"/>
                <w:b/>
                <w:color w:val="000000"/>
              </w:rPr>
              <w:t>, 2017</w:t>
            </w:r>
          </w:p>
        </w:tc>
      </w:tr>
      <w:tr w:rsidR="000F705E" w14:paraId="1CBB1085" w14:textId="77777777">
        <w:trPr>
          <w:trHeight w:val="1220"/>
        </w:trPr>
        <w:tc>
          <w:tcPr>
            <w:tcW w:w="670" w:type="pct"/>
            <w:tcBorders>
              <w:top w:val="single" w:sz="4" w:space="0" w:color="auto"/>
              <w:left w:val="nil"/>
              <w:bottom w:val="nil"/>
              <w:right w:val="nil"/>
            </w:tcBorders>
            <w:shd w:val="clear" w:color="auto" w:fill="auto"/>
            <w:noWrap/>
          </w:tcPr>
          <w:p w14:paraId="6FDE91A6" w14:textId="77777777" w:rsidR="000F705E" w:rsidRDefault="0081362D">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Year, country, study type</w:t>
            </w:r>
          </w:p>
        </w:tc>
        <w:tc>
          <w:tcPr>
            <w:tcW w:w="509" w:type="pct"/>
            <w:tcBorders>
              <w:top w:val="single" w:sz="4" w:space="0" w:color="auto"/>
              <w:left w:val="nil"/>
              <w:bottom w:val="nil"/>
              <w:right w:val="nil"/>
            </w:tcBorders>
            <w:shd w:val="clear" w:color="auto" w:fill="auto"/>
            <w:noWrap/>
          </w:tcPr>
          <w:p w14:paraId="4886869D"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Spain, Prospective</w:t>
            </w:r>
          </w:p>
        </w:tc>
        <w:tc>
          <w:tcPr>
            <w:tcW w:w="552" w:type="pct"/>
            <w:tcBorders>
              <w:top w:val="single" w:sz="4" w:space="0" w:color="auto"/>
              <w:left w:val="nil"/>
              <w:bottom w:val="nil"/>
              <w:right w:val="nil"/>
            </w:tcBorders>
            <w:shd w:val="clear" w:color="auto" w:fill="auto"/>
            <w:noWrap/>
          </w:tcPr>
          <w:p w14:paraId="6BE711DE"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Taiwan, Prospective</w:t>
            </w:r>
          </w:p>
        </w:tc>
        <w:tc>
          <w:tcPr>
            <w:tcW w:w="632" w:type="pct"/>
            <w:tcBorders>
              <w:top w:val="single" w:sz="4" w:space="0" w:color="auto"/>
              <w:left w:val="nil"/>
              <w:bottom w:val="nil"/>
              <w:right w:val="nil"/>
            </w:tcBorders>
            <w:shd w:val="clear" w:color="auto" w:fill="auto"/>
            <w:noWrap/>
          </w:tcPr>
          <w:p w14:paraId="1AA573E0"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Taiwan, Retrospective</w:t>
            </w:r>
          </w:p>
        </w:tc>
        <w:tc>
          <w:tcPr>
            <w:tcW w:w="611" w:type="pct"/>
            <w:tcBorders>
              <w:top w:val="single" w:sz="4" w:space="0" w:color="auto"/>
              <w:left w:val="nil"/>
              <w:bottom w:val="nil"/>
              <w:right w:val="nil"/>
            </w:tcBorders>
            <w:shd w:val="clear" w:color="auto" w:fill="auto"/>
            <w:noWrap/>
          </w:tcPr>
          <w:p w14:paraId="585B2686"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Egypt, Prospective</w:t>
            </w:r>
          </w:p>
        </w:tc>
        <w:tc>
          <w:tcPr>
            <w:tcW w:w="416" w:type="pct"/>
            <w:tcBorders>
              <w:top w:val="single" w:sz="4" w:space="0" w:color="auto"/>
              <w:left w:val="nil"/>
              <w:bottom w:val="nil"/>
              <w:right w:val="nil"/>
            </w:tcBorders>
            <w:shd w:val="clear" w:color="auto" w:fill="auto"/>
          </w:tcPr>
          <w:p w14:paraId="3BE1CDD4"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Egypt, Prospective</w:t>
            </w:r>
          </w:p>
        </w:tc>
        <w:tc>
          <w:tcPr>
            <w:tcW w:w="381" w:type="pct"/>
            <w:tcBorders>
              <w:top w:val="single" w:sz="4" w:space="0" w:color="auto"/>
              <w:left w:val="nil"/>
              <w:bottom w:val="nil"/>
              <w:right w:val="nil"/>
            </w:tcBorders>
            <w:shd w:val="clear" w:color="auto" w:fill="auto"/>
          </w:tcPr>
          <w:p w14:paraId="60A20E1D"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Egypt, Prospective</w:t>
            </w:r>
          </w:p>
        </w:tc>
        <w:tc>
          <w:tcPr>
            <w:tcW w:w="484" w:type="pct"/>
            <w:tcBorders>
              <w:top w:val="single" w:sz="4" w:space="0" w:color="auto"/>
              <w:left w:val="nil"/>
              <w:bottom w:val="nil"/>
              <w:right w:val="nil"/>
            </w:tcBorders>
            <w:shd w:val="clear" w:color="auto" w:fill="auto"/>
          </w:tcPr>
          <w:p w14:paraId="44044F0B"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Pakistan, Prospective</w:t>
            </w:r>
          </w:p>
        </w:tc>
        <w:tc>
          <w:tcPr>
            <w:tcW w:w="746" w:type="pct"/>
            <w:tcBorders>
              <w:top w:val="single" w:sz="4" w:space="0" w:color="auto"/>
              <w:left w:val="nil"/>
              <w:bottom w:val="nil"/>
              <w:right w:val="nil"/>
            </w:tcBorders>
            <w:shd w:val="clear" w:color="auto" w:fill="auto"/>
          </w:tcPr>
          <w:p w14:paraId="74593109"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Egypt, Prospective</w:t>
            </w:r>
          </w:p>
        </w:tc>
      </w:tr>
      <w:tr w:rsidR="000F705E" w14:paraId="0A16B7FA" w14:textId="77777777">
        <w:trPr>
          <w:trHeight w:val="4950"/>
        </w:trPr>
        <w:tc>
          <w:tcPr>
            <w:tcW w:w="670" w:type="pct"/>
            <w:tcBorders>
              <w:top w:val="nil"/>
              <w:left w:val="nil"/>
              <w:bottom w:val="single" w:sz="4" w:space="0" w:color="auto"/>
              <w:right w:val="nil"/>
            </w:tcBorders>
            <w:shd w:val="clear" w:color="auto" w:fill="auto"/>
            <w:noWrap/>
          </w:tcPr>
          <w:p w14:paraId="4F7587AC" w14:textId="77777777" w:rsidR="000F705E" w:rsidRDefault="0081362D">
            <w:pPr>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SBE-diagnostic criteria</w:t>
            </w:r>
          </w:p>
        </w:tc>
        <w:tc>
          <w:tcPr>
            <w:tcW w:w="509" w:type="pct"/>
            <w:tcBorders>
              <w:top w:val="nil"/>
              <w:left w:val="nil"/>
              <w:bottom w:val="single" w:sz="4" w:space="0" w:color="auto"/>
              <w:right w:val="nil"/>
            </w:tcBorders>
            <w:shd w:val="clear" w:color="auto" w:fill="auto"/>
          </w:tcPr>
          <w:p w14:paraId="6AE2A4A7"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t>Positive PF culture and a PMN cell count &gt; 250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or negative PF culture, compatibl</w:t>
            </w:r>
            <w:r>
              <w:rPr>
                <w:rFonts w:ascii="Book Antiqua" w:eastAsia="Times New Roman" w:hAnsi="Book Antiqua" w:cs="Calibri"/>
                <w:color w:val="000000"/>
              </w:rPr>
              <w:lastRenderedPageBreak/>
              <w:t>e clinical course, and a PF PMN &gt; 500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Exclusion of parapneumonic infections: no image of pneumonia on CXR or CT and evidence of pleural effusion </w:t>
            </w:r>
            <w:r>
              <w:rPr>
                <w:rFonts w:ascii="Book Antiqua" w:eastAsia="Times New Roman" w:hAnsi="Book Antiqua" w:cs="Calibri"/>
                <w:color w:val="000000"/>
              </w:rPr>
              <w:lastRenderedPageBreak/>
              <w:t>before the infectious episode or PF transudate characteristics during infection</w:t>
            </w:r>
          </w:p>
        </w:tc>
        <w:tc>
          <w:tcPr>
            <w:tcW w:w="552" w:type="pct"/>
            <w:tcBorders>
              <w:top w:val="nil"/>
              <w:left w:val="nil"/>
              <w:bottom w:val="single" w:sz="4" w:space="0" w:color="auto"/>
              <w:right w:val="nil"/>
            </w:tcBorders>
            <w:shd w:val="clear" w:color="auto" w:fill="auto"/>
          </w:tcPr>
          <w:p w14:paraId="13D38C56"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 xml:space="preserve"> Positive PF culture and a PMN cell count &gt; 250 cells/mm</w:t>
            </w:r>
            <w:r>
              <w:rPr>
                <w:rFonts w:ascii="Book Antiqua" w:eastAsia="Times New Roman" w:hAnsi="Book Antiqua" w:cs="Calibri"/>
                <w:color w:val="000000"/>
                <w:vertAlign w:val="superscript"/>
              </w:rPr>
              <w:t xml:space="preserve">3 </w:t>
            </w:r>
            <w:r>
              <w:rPr>
                <w:rFonts w:ascii="Book Antiqua" w:eastAsia="Times New Roman" w:hAnsi="Book Antiqua" w:cs="Calibri"/>
                <w:color w:val="000000"/>
              </w:rPr>
              <w:t>or PMN cell count &gt; 500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no pneumonia on CXR or </w:t>
            </w:r>
            <w:r>
              <w:rPr>
                <w:rFonts w:ascii="Book Antiqua" w:eastAsia="Times New Roman" w:hAnsi="Book Antiqua" w:cs="Calibri"/>
                <w:color w:val="000000"/>
              </w:rPr>
              <w:lastRenderedPageBreak/>
              <w:t>CT; PF transudate characteristics during infection or evidence of pleural effusion before the infected episode</w:t>
            </w:r>
          </w:p>
        </w:tc>
        <w:tc>
          <w:tcPr>
            <w:tcW w:w="632" w:type="pct"/>
            <w:tcBorders>
              <w:top w:val="nil"/>
              <w:left w:val="nil"/>
              <w:bottom w:val="single" w:sz="4" w:space="0" w:color="auto"/>
              <w:right w:val="nil"/>
            </w:tcBorders>
            <w:shd w:val="clear" w:color="auto" w:fill="auto"/>
          </w:tcPr>
          <w:p w14:paraId="35BB87D9"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Positive PF culture and a PMN cell count &gt; 250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or, negative PF culture, PMN cell count &gt; 500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no evidence of </w:t>
            </w:r>
            <w:r>
              <w:rPr>
                <w:rFonts w:ascii="Book Antiqua" w:eastAsia="Times New Roman" w:hAnsi="Book Antiqua" w:cs="Calibri"/>
                <w:color w:val="000000"/>
              </w:rPr>
              <w:lastRenderedPageBreak/>
              <w:t>pneumonia on CXR or CT and evidence of pleural effusion before the infectious episode or PF transudate characteristics during infection</w:t>
            </w:r>
          </w:p>
        </w:tc>
        <w:tc>
          <w:tcPr>
            <w:tcW w:w="611" w:type="pct"/>
            <w:tcBorders>
              <w:top w:val="nil"/>
              <w:left w:val="nil"/>
              <w:bottom w:val="single" w:sz="4" w:space="0" w:color="auto"/>
              <w:right w:val="nil"/>
            </w:tcBorders>
            <w:shd w:val="clear" w:color="auto" w:fill="auto"/>
          </w:tcPr>
          <w:p w14:paraId="76576A0B"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Positive PF culture and a PMN count of 250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or, if a negative culture, a PF PMN count of &gt; 500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and the </w:t>
            </w:r>
            <w:r>
              <w:rPr>
                <w:rFonts w:ascii="Book Antiqua" w:eastAsia="Times New Roman" w:hAnsi="Book Antiqua" w:cs="Calibri"/>
                <w:color w:val="000000"/>
              </w:rPr>
              <w:lastRenderedPageBreak/>
              <w:t>absence of pneumonia or a contiguous infection process on CXR</w:t>
            </w:r>
          </w:p>
        </w:tc>
        <w:tc>
          <w:tcPr>
            <w:tcW w:w="416" w:type="pct"/>
            <w:tcBorders>
              <w:top w:val="nil"/>
              <w:left w:val="nil"/>
              <w:bottom w:val="single" w:sz="4" w:space="0" w:color="auto"/>
              <w:right w:val="nil"/>
            </w:tcBorders>
            <w:shd w:val="clear" w:color="auto" w:fill="auto"/>
          </w:tcPr>
          <w:p w14:paraId="128C1C83"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Positive PF culture or, if negative, a PF PMN count &gt; 500 cells/µL withou</w:t>
            </w:r>
            <w:r>
              <w:rPr>
                <w:rFonts w:ascii="Book Antiqua" w:eastAsia="Times New Roman" w:hAnsi="Book Antiqua" w:cs="Calibri"/>
                <w:color w:val="000000"/>
              </w:rPr>
              <w:lastRenderedPageBreak/>
              <w:t>t radiographic evidence of pneumonia</w:t>
            </w:r>
          </w:p>
        </w:tc>
        <w:tc>
          <w:tcPr>
            <w:tcW w:w="381" w:type="pct"/>
            <w:tcBorders>
              <w:top w:val="nil"/>
              <w:left w:val="nil"/>
              <w:bottom w:val="single" w:sz="4" w:space="0" w:color="auto"/>
              <w:right w:val="nil"/>
            </w:tcBorders>
            <w:shd w:val="clear" w:color="auto" w:fill="auto"/>
          </w:tcPr>
          <w:p w14:paraId="242E9273"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Positive PF culture or, if negative, a PF PMN count &gt; 500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withou</w:t>
            </w:r>
            <w:r>
              <w:rPr>
                <w:rFonts w:ascii="Book Antiqua" w:eastAsia="Times New Roman" w:hAnsi="Book Antiqua" w:cs="Calibri"/>
                <w:color w:val="000000"/>
              </w:rPr>
              <w:lastRenderedPageBreak/>
              <w:t>t radiographic evidence of pneumonia or a contiguous infection process on CXR</w:t>
            </w:r>
          </w:p>
        </w:tc>
        <w:tc>
          <w:tcPr>
            <w:tcW w:w="484" w:type="pct"/>
            <w:tcBorders>
              <w:top w:val="nil"/>
              <w:left w:val="nil"/>
              <w:bottom w:val="single" w:sz="4" w:space="0" w:color="auto"/>
              <w:right w:val="nil"/>
            </w:tcBorders>
            <w:shd w:val="clear" w:color="auto" w:fill="auto"/>
          </w:tcPr>
          <w:p w14:paraId="29B51CD9" w14:textId="77777777" w:rsidR="000F705E" w:rsidRDefault="0081362D">
            <w:pPr>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 xml:space="preserve">PF with PMN cell count &gt; 500 cells/mm or positive culture with PMN cell </w:t>
            </w:r>
            <w:r>
              <w:rPr>
                <w:rFonts w:ascii="Book Antiqua" w:eastAsia="Times New Roman" w:hAnsi="Book Antiqua" w:cs="Calibri"/>
                <w:color w:val="000000"/>
              </w:rPr>
              <w:lastRenderedPageBreak/>
              <w:t>count &gt; 250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with exclusion of a parapneumonic effusion</w:t>
            </w:r>
          </w:p>
        </w:tc>
        <w:tc>
          <w:tcPr>
            <w:tcW w:w="746" w:type="pct"/>
            <w:tcBorders>
              <w:top w:val="nil"/>
              <w:left w:val="nil"/>
              <w:bottom w:val="single" w:sz="4" w:space="0" w:color="auto"/>
              <w:right w:val="nil"/>
            </w:tcBorders>
            <w:shd w:val="clear" w:color="auto" w:fill="auto"/>
          </w:tcPr>
          <w:p w14:paraId="242066DB" w14:textId="77777777" w:rsidR="000F705E" w:rsidRDefault="0081362D">
            <w:pPr>
              <w:spacing w:line="360" w:lineRule="auto"/>
              <w:jc w:val="both"/>
              <w:rPr>
                <w:rFonts w:ascii="Book Antiqua" w:hAnsi="Book Antiqua" w:cs="Calibri"/>
                <w:color w:val="000000"/>
                <w:lang w:eastAsia="zh-CN"/>
              </w:rPr>
            </w:pPr>
            <w:r>
              <w:rPr>
                <w:rFonts w:ascii="Book Antiqua" w:eastAsia="Times New Roman" w:hAnsi="Book Antiqua" w:cs="Calibri"/>
                <w:color w:val="000000"/>
              </w:rPr>
              <w:lastRenderedPageBreak/>
              <w:t>Positive PF culture and PMN count &gt; 250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or negative PF culture and PMN count &gt; 500 cells/mm</w:t>
            </w:r>
            <w:r>
              <w:rPr>
                <w:rFonts w:ascii="Book Antiqua" w:eastAsia="Times New Roman" w:hAnsi="Book Antiqua" w:cs="Calibri"/>
                <w:color w:val="000000"/>
                <w:vertAlign w:val="superscript"/>
              </w:rPr>
              <w:t>3</w:t>
            </w:r>
            <w:r>
              <w:rPr>
                <w:rFonts w:ascii="Book Antiqua" w:eastAsia="Times New Roman" w:hAnsi="Book Antiqua" w:cs="Calibri"/>
                <w:color w:val="000000"/>
              </w:rPr>
              <w:t xml:space="preserve">; no evidence of pneumonia/parapneumonic effusion was </w:t>
            </w:r>
            <w:r>
              <w:rPr>
                <w:rFonts w:ascii="Book Antiqua" w:eastAsia="Times New Roman" w:hAnsi="Book Antiqua" w:cs="Calibri"/>
                <w:color w:val="000000"/>
              </w:rPr>
              <w:lastRenderedPageBreak/>
              <w:t>observed on CXR or CT</w:t>
            </w:r>
          </w:p>
        </w:tc>
      </w:tr>
    </w:tbl>
    <w:p w14:paraId="249CB230" w14:textId="77777777" w:rsidR="000F705E" w:rsidRDefault="0081362D">
      <w:pPr>
        <w:spacing w:line="360" w:lineRule="auto"/>
        <w:jc w:val="both"/>
        <w:rPr>
          <w:rFonts w:ascii="Book Antiqua" w:hAnsi="Book Antiqua"/>
          <w:lang w:eastAsia="zh-CN"/>
        </w:rPr>
      </w:pPr>
      <w:r>
        <w:rPr>
          <w:rFonts w:ascii="Book Antiqua" w:eastAsia="Times New Roman" w:hAnsi="Book Antiqua" w:cs="Calibri"/>
          <w:color w:val="000000"/>
        </w:rPr>
        <w:lastRenderedPageBreak/>
        <w:t>SBE</w:t>
      </w:r>
      <w:r>
        <w:rPr>
          <w:rFonts w:ascii="Book Antiqua" w:hAnsi="Book Antiqua" w:cs="Calibri" w:hint="eastAsia"/>
          <w:color w:val="000000"/>
          <w:lang w:eastAsia="zh-CN"/>
        </w:rPr>
        <w:t>: S</w:t>
      </w:r>
      <w:r>
        <w:rPr>
          <w:rFonts w:ascii="Book Antiqua" w:eastAsia="Times New Roman" w:hAnsi="Book Antiqua" w:cs="Calibri"/>
          <w:color w:val="000000"/>
        </w:rPr>
        <w:t>pontaneous bacterial empyema; SBP</w:t>
      </w:r>
      <w:r>
        <w:rPr>
          <w:rFonts w:ascii="Book Antiqua" w:hAnsi="Book Antiqua" w:cs="Calibri" w:hint="eastAsia"/>
          <w:color w:val="000000"/>
          <w:lang w:eastAsia="zh-CN"/>
        </w:rPr>
        <w:t>: S</w:t>
      </w:r>
      <w:r>
        <w:rPr>
          <w:rFonts w:ascii="Book Antiqua" w:eastAsia="Times New Roman" w:hAnsi="Book Antiqua" w:cs="Calibri"/>
          <w:color w:val="000000"/>
        </w:rPr>
        <w:t>pontaneous bacterial peritonitis; PF</w:t>
      </w:r>
      <w:r>
        <w:rPr>
          <w:rFonts w:ascii="Book Antiqua" w:hAnsi="Book Antiqua" w:cs="Calibri" w:hint="eastAsia"/>
          <w:color w:val="000000"/>
          <w:lang w:eastAsia="zh-CN"/>
        </w:rPr>
        <w:t>: P</w:t>
      </w:r>
      <w:r>
        <w:rPr>
          <w:rFonts w:ascii="Book Antiqua" w:eastAsia="Times New Roman" w:hAnsi="Book Antiqua" w:cs="Calibri"/>
          <w:color w:val="000000"/>
        </w:rPr>
        <w:t>leural fluid; PMN</w:t>
      </w:r>
      <w:r>
        <w:rPr>
          <w:rFonts w:ascii="Book Antiqua" w:hAnsi="Book Antiqua" w:cs="Calibri" w:hint="eastAsia"/>
          <w:color w:val="000000"/>
          <w:lang w:eastAsia="zh-CN"/>
        </w:rPr>
        <w:t>: P</w:t>
      </w:r>
      <w:r>
        <w:rPr>
          <w:rFonts w:ascii="Book Antiqua" w:eastAsia="Times New Roman" w:hAnsi="Book Antiqua" w:cs="Calibri"/>
          <w:color w:val="000000"/>
        </w:rPr>
        <w:t>olymorphonuclear leukocyte</w:t>
      </w:r>
      <w:r>
        <w:rPr>
          <w:rFonts w:ascii="Book Antiqua" w:hAnsi="Book Antiqua" w:cs="Calibri" w:hint="eastAsia"/>
          <w:color w:val="000000"/>
          <w:lang w:eastAsia="zh-CN"/>
        </w:rPr>
        <w:t>;</w:t>
      </w:r>
      <w:r>
        <w:rPr>
          <w:rFonts w:ascii="Book Antiqua" w:eastAsia="Times New Roman" w:hAnsi="Book Antiqua" w:cs="Calibri"/>
          <w:color w:val="000000"/>
        </w:rPr>
        <w:t xml:space="preserve"> CXR</w:t>
      </w:r>
      <w:r>
        <w:rPr>
          <w:rFonts w:ascii="Book Antiqua" w:hAnsi="Book Antiqua" w:cs="Calibri" w:hint="eastAsia"/>
          <w:color w:val="000000"/>
          <w:lang w:eastAsia="zh-CN"/>
        </w:rPr>
        <w:t>: C</w:t>
      </w:r>
      <w:r>
        <w:rPr>
          <w:rFonts w:ascii="Book Antiqua" w:eastAsia="Times New Roman" w:hAnsi="Book Antiqua" w:cs="Calibri"/>
          <w:color w:val="000000"/>
        </w:rPr>
        <w:t>hest x ray; CT</w:t>
      </w:r>
      <w:r>
        <w:rPr>
          <w:rFonts w:ascii="Book Antiqua" w:hAnsi="Book Antiqua" w:cs="Calibri" w:hint="eastAsia"/>
          <w:color w:val="000000"/>
          <w:lang w:eastAsia="zh-CN"/>
        </w:rPr>
        <w:t>: C</w:t>
      </w:r>
      <w:r>
        <w:rPr>
          <w:rFonts w:ascii="Book Antiqua" w:eastAsia="Times New Roman" w:hAnsi="Book Antiqua" w:cs="Calibri"/>
          <w:color w:val="000000"/>
        </w:rPr>
        <w:t>omputerized tomography</w:t>
      </w:r>
      <w:r>
        <w:rPr>
          <w:rFonts w:ascii="Book Antiqua" w:hAnsi="Book Antiqua" w:cs="Calibri" w:hint="eastAsia"/>
          <w:color w:val="000000"/>
          <w:lang w:eastAsia="zh-CN"/>
        </w:rPr>
        <w:t>.</w:t>
      </w:r>
    </w:p>
    <w:p w14:paraId="2A6C900A" w14:textId="2E673D44" w:rsidR="00E50B09" w:rsidRDefault="00E50B09">
      <w:pPr>
        <w:spacing w:line="360" w:lineRule="auto"/>
        <w:jc w:val="both"/>
        <w:rPr>
          <w:rFonts w:ascii="Book Antiqua" w:hAnsi="Book Antiqua"/>
          <w:lang w:eastAsia="zh-CN"/>
        </w:rPr>
      </w:pPr>
    </w:p>
    <w:p w14:paraId="49A6278E" w14:textId="77777777" w:rsidR="00E50B09" w:rsidRDefault="00E50B09">
      <w:pPr>
        <w:rPr>
          <w:rFonts w:ascii="Book Antiqua" w:hAnsi="Book Antiqua"/>
          <w:lang w:eastAsia="zh-CN"/>
        </w:rPr>
      </w:pPr>
      <w:r>
        <w:rPr>
          <w:rFonts w:ascii="Book Antiqua" w:hAnsi="Book Antiqua"/>
          <w:lang w:eastAsia="zh-CN"/>
        </w:rPr>
        <w:br w:type="page"/>
      </w:r>
    </w:p>
    <w:p w14:paraId="3A1AB524" w14:textId="77777777" w:rsidR="00E50B09" w:rsidRDefault="00E50B09" w:rsidP="00E50B09">
      <w:pPr>
        <w:snapToGrid w:val="0"/>
        <w:rPr>
          <w:rFonts w:ascii="Book Antiqua" w:hAnsi="Book Antiqua"/>
        </w:rPr>
      </w:pPr>
    </w:p>
    <w:p w14:paraId="2DA3EFA9" w14:textId="77777777" w:rsidR="00E50B09" w:rsidRDefault="00E50B09" w:rsidP="00E50B09">
      <w:pPr>
        <w:snapToGrid w:val="0"/>
        <w:ind w:leftChars="100" w:left="240"/>
        <w:jc w:val="center"/>
        <w:rPr>
          <w:rFonts w:ascii="Book Antiqua" w:hAnsi="Book Antiqua"/>
        </w:rPr>
      </w:pPr>
      <w:r>
        <w:rPr>
          <w:rFonts w:ascii="Book Antiqua" w:hAnsi="Book Antiqua"/>
          <w:noProof/>
        </w:rPr>
        <w:drawing>
          <wp:inline distT="0" distB="0" distL="0" distR="0" wp14:anchorId="312453E0" wp14:editId="59B28D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52DE81C" w14:textId="77777777" w:rsidR="00E50B09" w:rsidRDefault="00E50B09" w:rsidP="00E50B09">
      <w:pPr>
        <w:snapToGrid w:val="0"/>
        <w:ind w:leftChars="100" w:left="240"/>
        <w:jc w:val="center"/>
        <w:rPr>
          <w:rFonts w:ascii="Book Antiqua" w:hAnsi="Book Antiqua"/>
        </w:rPr>
      </w:pPr>
    </w:p>
    <w:p w14:paraId="4D2E391C" w14:textId="77777777" w:rsidR="00E50B09" w:rsidRDefault="00E50B09" w:rsidP="00E50B0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151D732" w14:textId="77777777" w:rsidR="00E50B09" w:rsidRDefault="00E50B09" w:rsidP="00E50B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B93B7B" w14:textId="77777777" w:rsidR="00E50B09" w:rsidRDefault="00E50B09" w:rsidP="00E50B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2BBEDE" w14:textId="77777777" w:rsidR="00E50B09" w:rsidRDefault="00E50B09" w:rsidP="00E50B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462024" w14:textId="77777777" w:rsidR="00E50B09" w:rsidRDefault="00E50B09" w:rsidP="00E50B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4BE896" w14:textId="77777777" w:rsidR="00E50B09" w:rsidRDefault="00E50B09" w:rsidP="00E50B0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1267E5C" w14:textId="77777777" w:rsidR="00E50B09" w:rsidRDefault="00E50B09" w:rsidP="00E50B09">
      <w:pPr>
        <w:snapToGrid w:val="0"/>
        <w:ind w:leftChars="100" w:left="240"/>
        <w:jc w:val="center"/>
        <w:rPr>
          <w:rFonts w:ascii="Book Antiqua" w:hAnsi="Book Antiqua"/>
        </w:rPr>
      </w:pPr>
    </w:p>
    <w:p w14:paraId="2CCA6E48" w14:textId="77777777" w:rsidR="00E50B09" w:rsidRDefault="00E50B09" w:rsidP="00E50B09">
      <w:pPr>
        <w:snapToGrid w:val="0"/>
        <w:ind w:leftChars="100" w:left="240"/>
        <w:jc w:val="center"/>
        <w:rPr>
          <w:rFonts w:ascii="Book Antiqua" w:hAnsi="Book Antiqua"/>
        </w:rPr>
      </w:pPr>
    </w:p>
    <w:p w14:paraId="6CF59858" w14:textId="77777777" w:rsidR="00E50B09" w:rsidRDefault="00E50B09" w:rsidP="00E50B09">
      <w:pPr>
        <w:snapToGrid w:val="0"/>
        <w:ind w:leftChars="100" w:left="240"/>
        <w:jc w:val="center"/>
        <w:rPr>
          <w:rFonts w:ascii="Book Antiqua" w:hAnsi="Book Antiqua"/>
        </w:rPr>
      </w:pPr>
    </w:p>
    <w:p w14:paraId="24E26028" w14:textId="77777777" w:rsidR="00E50B09" w:rsidRDefault="00E50B09" w:rsidP="00E50B09">
      <w:pPr>
        <w:snapToGrid w:val="0"/>
        <w:ind w:leftChars="100" w:left="240"/>
        <w:jc w:val="center"/>
        <w:rPr>
          <w:rFonts w:ascii="Book Antiqua" w:hAnsi="Book Antiqua"/>
        </w:rPr>
      </w:pPr>
      <w:r>
        <w:rPr>
          <w:rFonts w:ascii="Book Antiqua" w:hAnsi="Book Antiqua"/>
          <w:noProof/>
        </w:rPr>
        <w:drawing>
          <wp:inline distT="0" distB="0" distL="0" distR="0" wp14:anchorId="31E821EE" wp14:editId="316A7C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91F5B7" w14:textId="77777777" w:rsidR="00E50B09" w:rsidRDefault="00E50B09" w:rsidP="00E50B09">
      <w:pPr>
        <w:snapToGrid w:val="0"/>
        <w:rPr>
          <w:rFonts w:ascii="Book Antiqua" w:hAnsi="Book Antiqua"/>
        </w:rPr>
      </w:pPr>
    </w:p>
    <w:p w14:paraId="158C5808" w14:textId="77777777" w:rsidR="00E50B09" w:rsidRDefault="00E50B09" w:rsidP="00E50B09">
      <w:pPr>
        <w:snapToGrid w:val="0"/>
        <w:ind w:leftChars="100" w:left="240"/>
        <w:jc w:val="right"/>
        <w:rPr>
          <w:rFonts w:ascii="Book Antiqua" w:hAnsi="Book Antiqua"/>
          <w:color w:val="000000" w:themeColor="text1"/>
        </w:rPr>
      </w:pPr>
    </w:p>
    <w:p w14:paraId="4419E99F" w14:textId="77777777" w:rsidR="00E50B09" w:rsidRDefault="00E50B09" w:rsidP="00E50B0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7F745ED6" w14:textId="77777777" w:rsidR="000F705E" w:rsidRPr="00E50B09" w:rsidRDefault="000F705E">
      <w:pPr>
        <w:spacing w:line="360" w:lineRule="auto"/>
        <w:jc w:val="both"/>
        <w:rPr>
          <w:rFonts w:ascii="Book Antiqua" w:hAnsi="Book Antiqua"/>
          <w:lang w:eastAsia="zh-CN"/>
        </w:rPr>
      </w:pPr>
    </w:p>
    <w:sectPr w:rsidR="000F705E" w:rsidRPr="00E50B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B193" w14:textId="77777777" w:rsidR="0024170F" w:rsidRDefault="0024170F">
      <w:r>
        <w:separator/>
      </w:r>
    </w:p>
  </w:endnote>
  <w:endnote w:type="continuationSeparator" w:id="0">
    <w:p w14:paraId="0600DBB8" w14:textId="77777777" w:rsidR="0024170F" w:rsidRDefault="0024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680C" w14:textId="77777777" w:rsidR="000F705E" w:rsidRDefault="0081362D">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21F6" w14:textId="77777777" w:rsidR="0024170F" w:rsidRDefault="0024170F">
      <w:r>
        <w:separator/>
      </w:r>
    </w:p>
  </w:footnote>
  <w:footnote w:type="continuationSeparator" w:id="0">
    <w:p w14:paraId="17BEB705" w14:textId="77777777" w:rsidR="0024170F" w:rsidRDefault="00241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033C2"/>
    <w:rsid w:val="000424FD"/>
    <w:rsid w:val="000C5E9A"/>
    <w:rsid w:val="000F705E"/>
    <w:rsid w:val="001902C1"/>
    <w:rsid w:val="001947DD"/>
    <w:rsid w:val="001A053D"/>
    <w:rsid w:val="001B200C"/>
    <w:rsid w:val="001E1FAC"/>
    <w:rsid w:val="00230D57"/>
    <w:rsid w:val="0024170F"/>
    <w:rsid w:val="002B12EC"/>
    <w:rsid w:val="00313A44"/>
    <w:rsid w:val="003903F7"/>
    <w:rsid w:val="003E2ED9"/>
    <w:rsid w:val="003F61C4"/>
    <w:rsid w:val="00413F95"/>
    <w:rsid w:val="00464E58"/>
    <w:rsid w:val="00471757"/>
    <w:rsid w:val="004823F8"/>
    <w:rsid w:val="00484F09"/>
    <w:rsid w:val="004D7347"/>
    <w:rsid w:val="00573525"/>
    <w:rsid w:val="005C3026"/>
    <w:rsid w:val="00615676"/>
    <w:rsid w:val="00635142"/>
    <w:rsid w:val="006B5658"/>
    <w:rsid w:val="006E3ECA"/>
    <w:rsid w:val="006F22FE"/>
    <w:rsid w:val="00785426"/>
    <w:rsid w:val="007D29AE"/>
    <w:rsid w:val="007D3D56"/>
    <w:rsid w:val="007D6EC8"/>
    <w:rsid w:val="0081362D"/>
    <w:rsid w:val="00814AA2"/>
    <w:rsid w:val="00816217"/>
    <w:rsid w:val="00882643"/>
    <w:rsid w:val="008A1EA0"/>
    <w:rsid w:val="008C3359"/>
    <w:rsid w:val="008C61DB"/>
    <w:rsid w:val="008D5F18"/>
    <w:rsid w:val="0095700B"/>
    <w:rsid w:val="00961694"/>
    <w:rsid w:val="009D4541"/>
    <w:rsid w:val="009E2CE0"/>
    <w:rsid w:val="00A270A9"/>
    <w:rsid w:val="00A6127B"/>
    <w:rsid w:val="00A637DD"/>
    <w:rsid w:val="00A77B3E"/>
    <w:rsid w:val="00AA4C33"/>
    <w:rsid w:val="00AB659A"/>
    <w:rsid w:val="00B064CF"/>
    <w:rsid w:val="00B20F8D"/>
    <w:rsid w:val="00B24EAA"/>
    <w:rsid w:val="00B711B0"/>
    <w:rsid w:val="00BA5716"/>
    <w:rsid w:val="00BD57CA"/>
    <w:rsid w:val="00C92842"/>
    <w:rsid w:val="00C97C7F"/>
    <w:rsid w:val="00CA2A55"/>
    <w:rsid w:val="00CB6AED"/>
    <w:rsid w:val="00CC14BE"/>
    <w:rsid w:val="00D0477D"/>
    <w:rsid w:val="00D46B08"/>
    <w:rsid w:val="00D77E24"/>
    <w:rsid w:val="00D80C61"/>
    <w:rsid w:val="00DB7C15"/>
    <w:rsid w:val="00DD43F2"/>
    <w:rsid w:val="00E063AD"/>
    <w:rsid w:val="00E3687A"/>
    <w:rsid w:val="00E40AE7"/>
    <w:rsid w:val="00E46668"/>
    <w:rsid w:val="00E50B09"/>
    <w:rsid w:val="00E670C5"/>
    <w:rsid w:val="00EB7C75"/>
    <w:rsid w:val="00EF2B6A"/>
    <w:rsid w:val="00EF3634"/>
    <w:rsid w:val="00F76273"/>
    <w:rsid w:val="00F81FA1"/>
    <w:rsid w:val="00F86ACF"/>
    <w:rsid w:val="00FA0537"/>
    <w:rsid w:val="3D4F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A44F4"/>
  <w15:docId w15:val="{4F470CD2-60E7-463B-AA6D-C2BCDB8A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rPr>
      <w:sz w:val="18"/>
      <w:szCs w:val="18"/>
    </w:rPr>
  </w:style>
  <w:style w:type="character" w:customStyle="1" w:styleId="q4iawc">
    <w:name w:val="q4iawc"/>
    <w:basedOn w:val="a0"/>
  </w:style>
  <w:style w:type="paragraph" w:customStyle="1" w:styleId="1">
    <w:name w:val="修订1"/>
    <w:hidden/>
    <w:uiPriority w:val="99"/>
    <w:semiHidden/>
    <w:qFormat/>
    <w:rPr>
      <w:sz w:val="24"/>
      <w:szCs w:val="24"/>
      <w:lang w:eastAsia="en-US"/>
    </w:rPr>
  </w:style>
  <w:style w:type="table" w:customStyle="1" w:styleId="TableGridLight1">
    <w:name w:val="Table Grid Light1"/>
    <w:basedOn w:val="a1"/>
    <w:uiPriority w:val="40"/>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Hyperlink"/>
    <w:basedOn w:val="a0"/>
    <w:unhideWhenUsed/>
    <w:rsid w:val="004D7347"/>
    <w:rPr>
      <w:color w:val="0000FF" w:themeColor="hyperlink"/>
      <w:u w:val="single"/>
    </w:rPr>
  </w:style>
  <w:style w:type="character" w:styleId="af">
    <w:name w:val="Unresolved Mention"/>
    <w:basedOn w:val="a0"/>
    <w:uiPriority w:val="99"/>
    <w:semiHidden/>
    <w:unhideWhenUsed/>
    <w:rsid w:val="004D7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8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8-5182/full/v14/i6/1258.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5759</Words>
  <Characters>32831</Characters>
  <Application>Microsoft Office Word</Application>
  <DocSecurity>0</DocSecurity>
  <Lines>273</Lines>
  <Paragraphs>77</Paragraphs>
  <ScaleCrop>false</ScaleCrop>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Chandan</dc:creator>
  <cp:lastModifiedBy>wdm</cp:lastModifiedBy>
  <cp:revision>9</cp:revision>
  <dcterms:created xsi:type="dcterms:W3CDTF">2022-05-12T20:16:00Z</dcterms:created>
  <dcterms:modified xsi:type="dcterms:W3CDTF">2022-06-23T11:12:00Z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0BB2F83012CD46EF902089AF538E99FA</vt:lpwstr>
  </property>
</Properties>
</file>