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75214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Ectopic Cushing's syndrome in a patient with metastatic Merkel cell carcinoma: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Ishay A </w:t>
      </w:r>
      <w:r>
        <w:rPr>
          <w:rFonts w:ascii="Book Antiqua" w:hAnsi="Book Antiqua" w:eastAsia="Book Antiqua" w:cs="Book Antiqua"/>
          <w:i/>
          <w:color w:val="000000"/>
        </w:rPr>
        <w:t>et al</w:t>
      </w:r>
      <w:r>
        <w:rPr>
          <w:rFonts w:ascii="Book Antiqua" w:hAnsi="Book Antiqua" w:eastAsia="Book Antiqua" w:cs="Book Antiqua"/>
          <w:color w:val="000000"/>
        </w:rPr>
        <w:t>. Merkle cell carcinoma and Cushing syndrome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Avraham Ishay, Elia Touma, Olga Vornicova, Roni Dodiuk-Gad, Tal Goldman, Naiel Bisharat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Avraham Ishay, </w:t>
      </w:r>
      <w:r>
        <w:rPr>
          <w:rFonts w:ascii="Book Antiqua" w:hAnsi="Book Antiqua" w:eastAsia="Book Antiqua" w:cs="Book Antiqua"/>
          <w:color w:val="000000"/>
        </w:rPr>
        <w:t>Endocrine and Diabetes Unit, Emek Medical Center, Afula 18134, Israel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Avraham Ishay, Roni Dodiuk-Gad, Naiel Bisharat, </w:t>
      </w:r>
      <w:r>
        <w:rPr>
          <w:rFonts w:ascii="Book Antiqua" w:hAnsi="Book Antiqua" w:eastAsia="Book Antiqua" w:cs="Book Antiqua"/>
          <w:color w:val="000000"/>
        </w:rPr>
        <w:t>Ruth and Bruce Rappaport Faculty of Medicine, Technion-Israel Institute of Technology, Haifa 3200003, Israel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Elia Touma, </w:t>
      </w:r>
      <w:r>
        <w:rPr>
          <w:rFonts w:ascii="Book Antiqua" w:hAnsi="Book Antiqua" w:eastAsia="Book Antiqua" w:cs="Book Antiqua"/>
          <w:color w:val="000000"/>
        </w:rPr>
        <w:t>Department of Internal Medicine D, Emek Medical Center, Afula 18134, Israel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Olga Vornicova, </w:t>
      </w:r>
      <w:r>
        <w:rPr>
          <w:rFonts w:ascii="Book Antiqua" w:hAnsi="Book Antiqua" w:eastAsia="Book Antiqua" w:cs="Book Antiqua"/>
          <w:color w:val="000000"/>
        </w:rPr>
        <w:t>Department of Oncology, Emek Medical Center, Afula 18134, Israel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Roni Dodiuk-Gad, </w:t>
      </w:r>
      <w:r>
        <w:rPr>
          <w:rFonts w:ascii="Book Antiqua" w:hAnsi="Book Antiqua" w:eastAsia="Book Antiqua" w:cs="Book Antiqua"/>
          <w:color w:val="000000"/>
        </w:rPr>
        <w:t>Department of Dermatology, Emek Medical Center, Afula 18134, Israel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Tal Goldman, </w:t>
      </w:r>
      <w:r>
        <w:rPr>
          <w:rFonts w:ascii="Book Antiqua" w:hAnsi="Book Antiqua" w:eastAsia="Book Antiqua" w:cs="Book Antiqua"/>
          <w:color w:val="000000"/>
        </w:rPr>
        <w:t>Department of Pathology, Emek Medical Center, Afula 18134, Israel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Naiel Bisharat, </w:t>
      </w:r>
      <w:r>
        <w:rPr>
          <w:rFonts w:ascii="Book Antiqua" w:hAnsi="Book Antiqua" w:eastAsia="Book Antiqua" w:cs="Book Antiqua"/>
          <w:color w:val="000000"/>
        </w:rPr>
        <w:t>Department of Medicine D, Emek Medical Center, Afula 18134, Israel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Ishay A and Touma E were the patient's physicians, wrote the manuscript, and reviewed the literature; Vornicova O, Dodiuk Gad, and Bisharat N were involved in the patient treatment and contributed to manuscript drafting; Goldman T was the pathologist and prepared and interpreted the pathology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Avraham Ishay, MD, Chief Physician, Senior Lecturer, </w:t>
      </w:r>
      <w:r>
        <w:rPr>
          <w:rFonts w:ascii="Book Antiqua" w:hAnsi="Book Antiqua" w:eastAsia="Book Antiqua" w:cs="Book Antiqua"/>
          <w:color w:val="000000"/>
        </w:rPr>
        <w:t>Endocrine and Diabetes Unit, Emek Medical Center, Rabin Ave 21, Afula 18134, Israel. ishay_av@clalit.co.il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21,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April 3,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June 13,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August 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Ectopic Cushing syndrome (ECS) is a rare condition commonly associated with neuroendocrine tumors (NET), mainly bronchial carcinoids. The association of paraneoplastic syndrome with Merkle cell carcinoma (MCC) is limited to individual case reports.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In this article we report an unusual and striking presentation of ECS in a patient with known metastatic MCC. An elderly patient presented with new onset severe hypertension, hyperglycemia and hypokalemia, muscle wasting, and peripheral edema. A diagnosis of adrenocorticotropic hormone dependent, non-pituitary, Cushing syndrome was established. Medical therapy inhibiting adrenal function was promptly started but unfortunately the patient survived only a few days after diagnosis.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occurrence of an aggressive form of ECS in patients with NET should be recognized as an ominous event. To our knowledge, the association of this complication in a patient with MCC had not been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Merkle cell carcinoma; Paraneoplastic syndrome; Ectopic Cushing's syndrome; Neuroendocrine tumor; Hypercortisolism; Skin cancer;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Ishay A, Touma E, Vornicova O, Dodiuk-Gad R, Goldman T, Bisharat N. Ectopic Cushing's syndrome in a patient with metastatic Merkel cell carcinoma: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10(22):</w:t>
      </w:r>
      <w:r>
        <w:rPr>
          <w:rFonts w:hint="eastAsia" w:ascii="Book Antiqua" w:hAnsi="Book Antiqua" w:eastAsia="宋体" w:cs="Book Antiqua"/>
          <w:color w:val="000000"/>
          <w:lang w:val="en-US" w:eastAsia="zh-CN"/>
        </w:rPr>
        <w:t xml:space="preserve"> </w:t>
      </w:r>
      <w:r>
        <w:rPr>
          <w:rFonts w:hint="default" w:ascii="Book Antiqua" w:hAnsi="Book Antiqua" w:eastAsia="Book Antiqua" w:cs="Book Antiqua"/>
          <w:i w:val="0"/>
          <w:iCs w:val="0"/>
          <w:color w:val="000000"/>
          <w:kern w:val="0"/>
          <w:sz w:val="24"/>
          <w:szCs w:val="24"/>
          <w:u w:val="none"/>
          <w:lang w:val="en-US" w:eastAsia="zh-CN" w:bidi="ar"/>
        </w:rPr>
        <w:t>7989-7993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7989</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7989</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Merkel cell carcinoma (MCC) is an uncommon but highly aggressive skin cancer with neuroendocrine features. Its incidence and mortality are increasing. We describe an elderly patient with a 2-year history of metastatic MCC, with no apparent cutaneous lesion at diagnosis, who presented with uncontrolled hypertension, diabetes mellitus, and hypokalemia. A diagnosis of ectopic Cushing syndrome was established. The occurrence of ectopic Cushing syndrome in patients with neuroendocrine tumor is a major cause of poor prognosis. To our knowledge, this is the first reported case of ectopic Cushing syndrome linked to the rapid progression of a metastatic MCC.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Merkel cell carcinoma (MCC) is an uncommon but highly aggressive skin cancer with neuroendocrine features</w:t>
      </w:r>
      <w:r>
        <w:rPr>
          <w:rFonts w:ascii="Book Antiqua" w:hAnsi="Book Antiqua" w:eastAsia="Book Antiqua" w:cs="Book Antiqua"/>
          <w:color w:val="000000"/>
          <w:vertAlign w:val="superscript"/>
        </w:rPr>
        <w:t>[1]</w:t>
      </w:r>
      <w:r>
        <w:rPr>
          <w:rFonts w:ascii="Book Antiqua" w:hAnsi="Book Antiqua" w:eastAsia="Book Antiqua" w:cs="Book Antiqua"/>
          <w:color w:val="000000"/>
        </w:rPr>
        <w:t>. It was first described by Toker in 1972 as "trabecular carcinoma of the skin"</w:t>
      </w:r>
      <w:r>
        <w:rPr>
          <w:rFonts w:ascii="Book Antiqua" w:hAnsi="Book Antiqua" w:eastAsia="Book Antiqua" w:cs="Book Antiqua"/>
          <w:color w:val="000000"/>
          <w:vertAlign w:val="superscript"/>
        </w:rPr>
        <w:t>[2]</w:t>
      </w:r>
      <w:r>
        <w:rPr>
          <w:rFonts w:ascii="Book Antiqua" w:hAnsi="Book Antiqua" w:eastAsia="Book Antiqua" w:cs="Book Antiqua"/>
          <w:color w:val="000000"/>
        </w:rPr>
        <w:t>. Evidence suggests that its incidence and mortality are increasing across the world</w:t>
      </w:r>
      <w:r>
        <w:rPr>
          <w:rFonts w:ascii="Book Antiqua" w:hAnsi="Book Antiqua" w:eastAsia="Book Antiqua" w:cs="Book Antiqua"/>
          <w:color w:val="000000"/>
          <w:vertAlign w:val="superscript"/>
        </w:rPr>
        <w:t>[3]</w:t>
      </w:r>
      <w:r>
        <w:rPr>
          <w:rFonts w:ascii="Book Antiqua" w:hAnsi="Book Antiqua" w:eastAsia="Book Antiqua" w:cs="Book Antiqua"/>
          <w:color w:val="000000"/>
        </w:rPr>
        <w:t>. Ectopic Cushing syndrome (ECS) is a rare condition due to ectopic production</w:t>
      </w:r>
      <w:r>
        <w:rPr>
          <w:rFonts w:ascii="Book Antiqua" w:hAnsi="Book Antiqua" w:eastAsia="Book Antiqua" w:cs="Book Antiqua"/>
        </w:rPr>
        <w:t xml:space="preserve"> of adrenocorticotropic hormone by non-pituitary tumors. The adrenocorticotropic hormone producing neoplasms usually originate from neuroendocrine tumors (NET) and can present as benign indolent tumors or aggressive metastatic tumors with a poor prognosis</w:t>
      </w:r>
      <w:r>
        <w:rPr>
          <w:rFonts w:ascii="Book Antiqua" w:hAnsi="Book Antiqua" w:eastAsia="Book Antiqua" w:cs="Book Antiqua"/>
          <w:vertAlign w:val="superscript"/>
        </w:rPr>
        <w:t>[4]</w:t>
      </w:r>
      <w:r>
        <w:rPr>
          <w:rFonts w:ascii="Book Antiqua" w:hAnsi="Book Antiqua" w:eastAsia="Book Antiqua" w:cs="Book Antiqua"/>
        </w:rPr>
        <w:t xml:space="preserve">. Although in the past elevated </w:t>
      </w:r>
      <w:bookmarkStart w:id="0" w:name="_Hlk103109946"/>
      <w:r>
        <w:rPr>
          <w:rFonts w:ascii="Book Antiqua" w:hAnsi="Book Antiqua" w:eastAsia="Book Antiqua" w:cs="Book Antiqua"/>
        </w:rPr>
        <w:t>adrenocorticopic hormone</w:t>
      </w:r>
      <w:bookmarkEnd w:id="0"/>
      <w:r>
        <w:rPr>
          <w:rFonts w:ascii="Book Antiqua" w:hAnsi="Book Antiqua" w:eastAsia="Book Antiqua" w:cs="Book Antiqua"/>
        </w:rPr>
        <w:t xml:space="preserve"> levels in plasma and tumoral tissue were demonstrated in patients with MCC</w:t>
      </w:r>
      <w:r>
        <w:rPr>
          <w:rFonts w:ascii="Book Antiqua" w:hAnsi="Book Antiqua" w:eastAsia="Book Antiqua" w:cs="Book Antiqua"/>
          <w:vertAlign w:val="superscript"/>
        </w:rPr>
        <w:t>[5,6]</w:t>
      </w:r>
      <w:r>
        <w:rPr>
          <w:rFonts w:ascii="Book Antiqua" w:hAnsi="Book Antiqua" w:eastAsia="Book Antiqua" w:cs="Book Antiqua"/>
        </w:rPr>
        <w:t xml:space="preserve">, there are no reports of </w:t>
      </w:r>
      <w:bookmarkStart w:id="1" w:name="_Hlk103110468"/>
      <w:r>
        <w:rPr>
          <w:rFonts w:ascii="Book Antiqua" w:hAnsi="Book Antiqua" w:eastAsia="Book Antiqua" w:cs="Book Antiqua"/>
        </w:rPr>
        <w:t xml:space="preserve">adrenocorticopic </w:t>
      </w:r>
      <w:bookmarkEnd w:id="1"/>
      <w:r>
        <w:rPr>
          <w:rFonts w:ascii="Book Antiqua" w:hAnsi="Book Antiqua" w:eastAsia="Book Antiqua" w:cs="Book Antiqua"/>
        </w:rPr>
        <w:t>hormone pro</w:t>
      </w:r>
      <w:r>
        <w:rPr>
          <w:rFonts w:ascii="Book Antiqua" w:hAnsi="Book Antiqua" w:eastAsia="Book Antiqua" w:cs="Book Antiqua"/>
          <w:color w:val="000000"/>
        </w:rPr>
        <w:t xml:space="preserve">ducing MCC that fulfill the diagnostic criteria for ECS. We describe a patient with metastatic MCC who developed an aggressive form of ECS.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An 82-year-old man with a 2-year history of MCC was referred for evaluation and treatment of uncontrolled high blood pressure and new onset hyperglycemia.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In 2018, a cervical lymphadenopathy biopsy showed metastatic MCC with no apparent primary cutaneous lesion (Figure 1). Multiple bone metastases were demonstrated by an </w:t>
      </w:r>
      <w:r>
        <w:rPr>
          <w:rFonts w:ascii="Book Antiqua" w:hAnsi="Book Antiqua" w:eastAsia="Book Antiqua" w:cs="Book Antiqua"/>
          <w:color w:val="000000"/>
          <w:vertAlign w:val="superscript"/>
        </w:rPr>
        <w:t>18</w:t>
      </w:r>
      <w:r>
        <w:rPr>
          <w:rFonts w:ascii="Book Antiqua" w:hAnsi="Book Antiqua" w:eastAsia="Book Antiqua" w:cs="Book Antiqua"/>
          <w:color w:val="000000"/>
        </w:rPr>
        <w:t>F (18-fluorodeoxyglucose) PET/CT scan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FDG-PET/CT). No pathological uptake was seen in the lungs. The patient achieved good response to avelumab initially as disclosed by a significant reduction of uptake intensity in cervical lymph nodes and in the skeleton on a subsequent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FDG-PET/CT scan. But thereafter, the disease progressed despite adjuvant radiotherapy and systemic therapy including etoposide, carboplatin, and topotecan. Indeed, a further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FDG-PET/CT scan showed intensification of the uptake in bones, and new metastases in mediastinal lymph nodes and multiple cutaneous lesions. Noticeably, no disease was present in the lungs.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patient’s history was significant for multiple surgical treatments for squamous cell carcinoma and basal cell carcinoma of the skin.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Multiple surgical treatments for squamous cell carcinoma and basal cell carcinoma of the skin.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revealed high blood pressure (198/100), and a 4 cm-sized purplish-blue tumor in his central chest (Figure 2), bilateral axillary lymphadenopathy, and bilateral lower extremities pitting edema. The clinical phenotype was dominated by weight loss and muscle wasting.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Initial blood work revealed a glucose level of 241 mg/dL with hypokalemia (2.7 nmol/L).</w:t>
      </w:r>
      <w:r>
        <w:rPr>
          <w:rFonts w:hint="eastAsia" w:ascii="Book Antiqua" w:hAnsi="Book Antiqua"/>
          <w:lang w:eastAsia="zh-CN"/>
        </w:rPr>
        <w:t xml:space="preserve"> </w:t>
      </w:r>
      <w:r>
        <w:rPr>
          <w:rFonts w:ascii="Book Antiqua" w:hAnsi="Book Antiqua" w:eastAsia="Book Antiqua" w:cs="Book Antiqua"/>
          <w:color w:val="000000"/>
        </w:rPr>
        <w:t>The 24-h free urine Cortisol level was 9986 nmol/24 hr (normal values: 57.7-806.8). After high dose (8 mg) overnight dexamethasone suppression test (HDST), the 8-am serum cortisol was 44.9 µg/dL (n</w:t>
      </w:r>
      <w:r>
        <w:rPr>
          <w:rFonts w:ascii="Book Antiqua" w:hAnsi="Book Antiqua" w:eastAsia="Book Antiqua" w:cs="Book Antiqua"/>
        </w:rPr>
        <w:t>ormal values: 4.3-22.4). Serum adrenocorticopic hormone level was elevated: 106 pg/mL (0.0-46).</w:t>
      </w:r>
      <w:r>
        <w:rPr>
          <w:rFonts w:ascii="Book Antiqua" w:hAnsi="Book Antiqua"/>
          <w:lang w:eastAsia="zh-CN"/>
        </w:rPr>
        <w:t xml:space="preserve"> </w:t>
      </w:r>
      <w:r>
        <w:rPr>
          <w:rFonts w:ascii="Book Antiqua" w:hAnsi="Book Antiqua" w:eastAsia="Book Antiqua" w:cs="Book Antiqua"/>
        </w:rPr>
        <w:t xml:space="preserve">Testing with intravenous corticotropin releasing hormone (CRH) administration did not affect adrenocorticopic hormone or cortisol levels, which is typical of ECS (Table 1)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Magnetic resonance imaging scan of the pituitary gland was normal.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Ecto</w:t>
      </w:r>
      <w:r>
        <w:rPr>
          <w:rFonts w:ascii="Book Antiqua" w:hAnsi="Book Antiqua" w:eastAsia="Book Antiqua" w:cs="Book Antiqua"/>
        </w:rPr>
        <w:t>pic adrenocorticopic hormone dependen</w:t>
      </w:r>
      <w:r>
        <w:rPr>
          <w:rFonts w:ascii="Book Antiqua" w:hAnsi="Book Antiqua" w:eastAsia="Book Antiqua" w:cs="Book Antiqua"/>
          <w:color w:val="000000"/>
        </w:rPr>
        <w:t>t Cushing's syndrome.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was treated with ketoconazole.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The patient’s blood pressure and glucose levels were normalized; however, his general state did not allow additional antineoplastic therapy and he died within few days.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We present an 82-year patient with a metastatic MCC presenting with an overwhelming form of ECS. ECS is a rare condition which accounts for about 10%-20% cases of </w:t>
      </w:r>
      <w:r>
        <w:rPr>
          <w:rFonts w:ascii="Book Antiqua" w:hAnsi="Book Antiqua" w:eastAsia="Book Antiqua" w:cs="Book Antiqua"/>
        </w:rPr>
        <w:t>adrenocorticopic hormone dependent Cushi</w:t>
      </w:r>
      <w:r>
        <w:rPr>
          <w:rFonts w:ascii="Book Antiqua" w:hAnsi="Book Antiqua" w:eastAsia="Book Antiqua" w:cs="Book Antiqua"/>
          <w:color w:val="000000"/>
        </w:rPr>
        <w:t>ng syndrome. Neuroendocrine tumors (NETs), principally bronchial carcinoids, are the most frequent causes of ECS. Less frequent causes are thymic carcinoids and pancreatic NETs</w:t>
      </w:r>
      <w:r>
        <w:rPr>
          <w:rFonts w:ascii="Book Antiqua" w:hAnsi="Book Antiqua" w:eastAsia="Book Antiqua" w:cs="Book Antiqua"/>
          <w:color w:val="000000"/>
          <w:vertAlign w:val="superscript"/>
        </w:rPr>
        <w:t>[7]</w:t>
      </w:r>
      <w:r>
        <w:rPr>
          <w:rFonts w:ascii="Book Antiqua" w:hAnsi="Book Antiqua" w:eastAsia="Book Antiqua" w:cs="Book Antiqua"/>
          <w:color w:val="000000"/>
        </w:rPr>
        <w:t>. Small cell lung carcinoma is a known cause of ECS, but in our patient imaging studies did not reveal any lung lesions. Recently, a case of metastatic NET of unknown origin presenting with ECS was reported</w:t>
      </w:r>
      <w:r>
        <w:rPr>
          <w:rFonts w:ascii="Book Antiqua" w:hAnsi="Book Antiqua" w:eastAsia="Book Antiqua" w:cs="Book Antiqua"/>
          <w:color w:val="000000"/>
          <w:vertAlign w:val="superscript"/>
        </w:rPr>
        <w:t>[8]</w:t>
      </w:r>
      <w:r>
        <w:rPr>
          <w:rFonts w:ascii="Book Antiqua" w:hAnsi="Book Antiqua" w:eastAsia="Book Antiqua" w:cs="Book Antiqua"/>
          <w:color w:val="000000"/>
        </w:rPr>
        <w:t>. Several manifestations of MCC-associated paraneoplastic syndromes have been reported</w:t>
      </w:r>
      <w:r>
        <w:rPr>
          <w:rFonts w:ascii="Book Antiqua" w:hAnsi="Book Antiqua" w:eastAsia="Book Antiqua" w:cs="Book Antiqua"/>
          <w:color w:val="000000"/>
          <w:vertAlign w:val="superscript"/>
        </w:rPr>
        <w:t>[9]</w:t>
      </w:r>
      <w:r>
        <w:rPr>
          <w:rFonts w:ascii="Book Antiqua" w:hAnsi="Book Antiqua" w:eastAsia="Book Antiqua" w:cs="Book Antiqua"/>
          <w:color w:val="000000"/>
        </w:rPr>
        <w:t>, but ECS associated with MCC has not be described, even though a case of metastatic MCC within a cortisol-producing adrenal adenoma has been recently reported</w:t>
      </w:r>
      <w:r>
        <w:rPr>
          <w:rFonts w:ascii="Book Antiqua" w:hAnsi="Book Antiqua" w:eastAsia="Book Antiqua" w:cs="Book Antiqua"/>
          <w:color w:val="000000"/>
          <w:vertAlign w:val="superscript"/>
        </w:rPr>
        <w:t>[10]</w:t>
      </w:r>
      <w:r>
        <w:rPr>
          <w:rFonts w:ascii="Book Antiqua" w:hAnsi="Book Antiqua" w:eastAsia="Book Antiqua" w:cs="Book Antiqua"/>
          <w:color w:val="000000"/>
        </w:rPr>
        <w:t>. The time elapsed between the first symptoms of hypercortisolism and the diagnosis of ECS may predict the prognosis of the underlying malignancy. The shorter it is, the poorer is the prognosis. In addition to the grade of NET, the severity of cortisol excess is an independent negative prognostic factor</w:t>
      </w:r>
      <w:r>
        <w:rPr>
          <w:rFonts w:ascii="Book Antiqua" w:hAnsi="Book Antiqua" w:eastAsia="Book Antiqua" w:cs="Book Antiqua"/>
          <w:color w:val="000000"/>
          <w:vertAlign w:val="superscript"/>
        </w:rPr>
        <w:t>[7]</w:t>
      </w:r>
      <w:r>
        <w:rPr>
          <w:rFonts w:ascii="Book Antiqua" w:hAnsi="Book Antiqua" w:eastAsia="Book Antiqua" w:cs="Book Antiqua"/>
          <w:color w:val="000000"/>
        </w:rPr>
        <w:t>. The molecular mechanisms underlying ECS-associated malignant tumors include aberrant processing of the proopiomelanocortin (</w:t>
      </w:r>
      <w:r>
        <w:rPr>
          <w:rFonts w:ascii="Book Antiqua" w:hAnsi="Book Antiqua" w:eastAsia="Book Antiqua" w:cs="Book Antiqua"/>
          <w:i/>
          <w:color w:val="000000"/>
        </w:rPr>
        <w:t>POMC</w:t>
      </w:r>
      <w:r>
        <w:rPr>
          <w:rFonts w:ascii="Book Antiqua" w:hAnsi="Book Antiqua" w:eastAsia="Book Antiqua" w:cs="Book Antiqua"/>
          <w:color w:val="000000"/>
        </w:rPr>
        <w:t>) gene leading to release in the circulation of high molecular we</w:t>
      </w:r>
      <w:r>
        <w:rPr>
          <w:rFonts w:ascii="Book Antiqua" w:hAnsi="Book Antiqua" w:eastAsia="Book Antiqua" w:cs="Book Antiqua"/>
        </w:rPr>
        <w:t>ight adrenocorticopic hormone precursors like POMC and pro- adrenocorticopic hormone. It is speculated that the ability of the tumor to express aberrant molecules is related to the progression of the disease</w:t>
      </w:r>
      <w:r>
        <w:rPr>
          <w:rFonts w:ascii="Book Antiqua" w:hAnsi="Book Antiqua" w:eastAsia="Book Antiqua" w:cs="Book Antiqua"/>
          <w:vertAlign w:val="superscript"/>
        </w:rPr>
        <w:t>[11]</w:t>
      </w:r>
      <w:r>
        <w:rPr>
          <w:rFonts w:ascii="Book Antiqua" w:hAnsi="Book Antiqua" w:eastAsia="Book Antiqua" w:cs="Book Antiqua"/>
        </w:rPr>
        <w:t>. If ectopic adrenocorticopic hormone produ</w:t>
      </w:r>
      <w:r>
        <w:rPr>
          <w:rFonts w:ascii="Book Antiqua" w:hAnsi="Book Antiqua" w:eastAsia="Book Antiqua" w:cs="Book Antiqua"/>
          <w:color w:val="000000"/>
        </w:rPr>
        <w:t>cing malignancy is diagnosed early as a localized disease, surgical removal of the primary tumor is the treatment of choice, but it is rarely achievable in patients with aggressive neoplasms. In this ECS group, a prompt control of hypercortisolism should be attempted by medical treatment or alternatively by adrenalectomy</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MCC and neuroendocrine ECS are both rare conditions. The occurrence of ECS in patients with metastatic NETs is a major cause of poor prognosis. The suspicion of Cushing syndrome should receive adequate attention and prompt evaluation to confirm the diagnosis and initiate rapidly the treatment to attain a more favorable prognosis.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Becker JC</w:t>
      </w:r>
      <w:r>
        <w:rPr>
          <w:rFonts w:ascii="Book Antiqua" w:hAnsi="Book Antiqua"/>
        </w:rPr>
        <w:t xml:space="preserve">, Stang A, DeCaprio JA, Cerroni L, Lebbé C, Veness M, Nghiem P. Merkel cell carcinoma. </w:t>
      </w:r>
      <w:r>
        <w:rPr>
          <w:rFonts w:ascii="Book Antiqua" w:hAnsi="Book Antiqua"/>
          <w:i/>
          <w:iCs/>
        </w:rPr>
        <w:t>Nat Rev Dis Primers</w:t>
      </w:r>
      <w:r>
        <w:rPr>
          <w:rFonts w:ascii="Book Antiqua" w:hAnsi="Book Antiqua"/>
        </w:rPr>
        <w:t xml:space="preserve"> 2017; </w:t>
      </w:r>
      <w:r>
        <w:rPr>
          <w:rFonts w:ascii="Book Antiqua" w:hAnsi="Book Antiqua"/>
          <w:b/>
          <w:bCs/>
        </w:rPr>
        <w:t>3</w:t>
      </w:r>
      <w:r>
        <w:rPr>
          <w:rFonts w:ascii="Book Antiqua" w:hAnsi="Book Antiqua"/>
        </w:rPr>
        <w:t>: 17077 [PMID: 29072302 DOI: 10.1038/nrdp.2017.77]</w:t>
      </w:r>
    </w:p>
    <w:p>
      <w:pPr>
        <w:spacing w:line="360" w:lineRule="auto"/>
        <w:jc w:val="both"/>
        <w:rPr>
          <w:rFonts w:ascii="Book Antiqua" w:hAnsi="Book Antiqua"/>
        </w:rPr>
      </w:pPr>
      <w:r>
        <w:rPr>
          <w:rFonts w:ascii="Book Antiqua" w:hAnsi="Book Antiqua"/>
        </w:rPr>
        <w:t xml:space="preserve">2 </w:t>
      </w:r>
      <w:r>
        <w:rPr>
          <w:rFonts w:ascii="Book Antiqua" w:hAnsi="Book Antiqua"/>
          <w:b/>
          <w:bCs/>
        </w:rPr>
        <w:t>Toker C</w:t>
      </w:r>
      <w:r>
        <w:rPr>
          <w:rFonts w:ascii="Book Antiqua" w:hAnsi="Book Antiqua"/>
        </w:rPr>
        <w:t xml:space="preserve">. Trabecular carcinoma of the skin. </w:t>
      </w:r>
      <w:r>
        <w:rPr>
          <w:rFonts w:ascii="Book Antiqua" w:hAnsi="Book Antiqua"/>
          <w:i/>
          <w:iCs/>
        </w:rPr>
        <w:t>Arch Dermatol</w:t>
      </w:r>
      <w:r>
        <w:rPr>
          <w:rFonts w:ascii="Book Antiqua" w:hAnsi="Book Antiqua"/>
        </w:rPr>
        <w:t xml:space="preserve"> 1972; </w:t>
      </w:r>
      <w:r>
        <w:rPr>
          <w:rFonts w:ascii="Book Antiqua" w:hAnsi="Book Antiqua"/>
          <w:b/>
          <w:bCs/>
        </w:rPr>
        <w:t>105</w:t>
      </w:r>
      <w:r>
        <w:rPr>
          <w:rFonts w:ascii="Book Antiqua" w:hAnsi="Book Antiqua"/>
        </w:rPr>
        <w:t>: 107-110 [PMID: 5009611]</w:t>
      </w:r>
    </w:p>
    <w:p>
      <w:pPr>
        <w:spacing w:line="360" w:lineRule="auto"/>
        <w:jc w:val="both"/>
        <w:rPr>
          <w:rFonts w:ascii="Book Antiqua" w:hAnsi="Book Antiqua"/>
        </w:rPr>
      </w:pPr>
      <w:r>
        <w:rPr>
          <w:rFonts w:ascii="Book Antiqua" w:hAnsi="Book Antiqua"/>
        </w:rPr>
        <w:t xml:space="preserve">3 </w:t>
      </w:r>
      <w:r>
        <w:rPr>
          <w:rFonts w:ascii="Book Antiqua" w:hAnsi="Book Antiqua"/>
          <w:b/>
          <w:bCs/>
        </w:rPr>
        <w:t>Emge DA</w:t>
      </w:r>
      <w:r>
        <w:rPr>
          <w:rFonts w:ascii="Book Antiqua" w:hAnsi="Book Antiqua"/>
        </w:rPr>
        <w:t xml:space="preserve">, Cardones AR. Updates on Merkel Cell Carcinoma. </w:t>
      </w:r>
      <w:r>
        <w:rPr>
          <w:rFonts w:ascii="Book Antiqua" w:hAnsi="Book Antiqua"/>
          <w:i/>
          <w:iCs/>
        </w:rPr>
        <w:t>Dermatol Clin</w:t>
      </w:r>
      <w:r>
        <w:rPr>
          <w:rFonts w:ascii="Book Antiqua" w:hAnsi="Book Antiqua"/>
        </w:rPr>
        <w:t xml:space="preserve"> 2019; </w:t>
      </w:r>
      <w:r>
        <w:rPr>
          <w:rFonts w:ascii="Book Antiqua" w:hAnsi="Book Antiqua"/>
          <w:b/>
          <w:bCs/>
        </w:rPr>
        <w:t>37</w:t>
      </w:r>
      <w:r>
        <w:rPr>
          <w:rFonts w:ascii="Book Antiqua" w:hAnsi="Book Antiqua"/>
        </w:rPr>
        <w:t>: 489-503 [PMID: 31466589 DOI: 10.1016/j.det.2019.06.002]</w:t>
      </w:r>
    </w:p>
    <w:p>
      <w:pPr>
        <w:spacing w:line="360" w:lineRule="auto"/>
        <w:jc w:val="both"/>
        <w:rPr>
          <w:rFonts w:ascii="Book Antiqua" w:hAnsi="Book Antiqua"/>
        </w:rPr>
      </w:pPr>
      <w:r>
        <w:rPr>
          <w:rFonts w:ascii="Book Antiqua" w:hAnsi="Book Antiqua"/>
        </w:rPr>
        <w:t xml:space="preserve">4 </w:t>
      </w:r>
      <w:r>
        <w:rPr>
          <w:rFonts w:ascii="Book Antiqua" w:hAnsi="Book Antiqua"/>
          <w:b/>
          <w:bCs/>
        </w:rPr>
        <w:t>Araujo Castro M</w:t>
      </w:r>
      <w:r>
        <w:rPr>
          <w:rFonts w:ascii="Book Antiqua" w:hAnsi="Book Antiqua"/>
        </w:rPr>
        <w:t xml:space="preserve">, Marazuela Azpiroz M. Two types of ectopic Cushing syndrome or a continuum? Review. </w:t>
      </w:r>
      <w:r>
        <w:rPr>
          <w:rFonts w:ascii="Book Antiqua" w:hAnsi="Book Antiqua"/>
          <w:i/>
          <w:iCs/>
        </w:rPr>
        <w:t>Pituitary</w:t>
      </w:r>
      <w:r>
        <w:rPr>
          <w:rFonts w:ascii="Book Antiqua" w:hAnsi="Book Antiqua"/>
        </w:rPr>
        <w:t xml:space="preserve"> 2018; </w:t>
      </w:r>
      <w:r>
        <w:rPr>
          <w:rFonts w:ascii="Book Antiqua" w:hAnsi="Book Antiqua"/>
          <w:b/>
          <w:bCs/>
        </w:rPr>
        <w:t>21</w:t>
      </w:r>
      <w:r>
        <w:rPr>
          <w:rFonts w:ascii="Book Antiqua" w:hAnsi="Book Antiqua"/>
        </w:rPr>
        <w:t>: 535-544 [PMID: 29766359 DOI: 10.1007/s11102-018-0894-2]</w:t>
      </w:r>
    </w:p>
    <w:p>
      <w:pPr>
        <w:spacing w:line="360" w:lineRule="auto"/>
        <w:jc w:val="both"/>
        <w:rPr>
          <w:rFonts w:ascii="Book Antiqua" w:hAnsi="Book Antiqua"/>
        </w:rPr>
      </w:pPr>
      <w:r>
        <w:rPr>
          <w:rFonts w:ascii="Book Antiqua" w:hAnsi="Book Antiqua"/>
        </w:rPr>
        <w:t xml:space="preserve">5 </w:t>
      </w:r>
      <w:r>
        <w:rPr>
          <w:rFonts w:ascii="Book Antiqua" w:hAnsi="Book Antiqua"/>
          <w:b/>
          <w:bCs/>
        </w:rPr>
        <w:t>Iwasaki H</w:t>
      </w:r>
      <w:r>
        <w:rPr>
          <w:rFonts w:ascii="Book Antiqua" w:hAnsi="Book Antiqua"/>
        </w:rPr>
        <w:t xml:space="preserve">, Mitsui T, Kikuchi M, Imai T, Fukushima K. Neuroendocrine carcinoma (trabecular carcinoma) of the skin with ectopic ACTH production. </w:t>
      </w:r>
      <w:r>
        <w:rPr>
          <w:rFonts w:ascii="Book Antiqua" w:hAnsi="Book Antiqua"/>
          <w:i/>
          <w:iCs/>
        </w:rPr>
        <w:t>Cancer</w:t>
      </w:r>
      <w:r>
        <w:rPr>
          <w:rFonts w:ascii="Book Antiqua" w:hAnsi="Book Antiqua"/>
        </w:rPr>
        <w:t xml:space="preserve"> 1981; </w:t>
      </w:r>
      <w:r>
        <w:rPr>
          <w:rFonts w:ascii="Book Antiqua" w:hAnsi="Book Antiqua"/>
          <w:b/>
          <w:bCs/>
        </w:rPr>
        <w:t>48</w:t>
      </w:r>
      <w:r>
        <w:rPr>
          <w:rFonts w:ascii="Book Antiqua" w:hAnsi="Book Antiqua"/>
        </w:rPr>
        <w:t>: 753-756 [PMID: 6265057 DOI: 10.1002/1097-0142(19810801)48:3&lt;753::aid-cncr2820480315&gt;3.0.co;2-9]</w:t>
      </w:r>
    </w:p>
    <w:p>
      <w:pPr>
        <w:spacing w:line="360" w:lineRule="auto"/>
        <w:jc w:val="both"/>
        <w:rPr>
          <w:rFonts w:ascii="Book Antiqua" w:hAnsi="Book Antiqua"/>
        </w:rPr>
      </w:pPr>
      <w:r>
        <w:rPr>
          <w:rFonts w:ascii="Book Antiqua" w:hAnsi="Book Antiqua"/>
        </w:rPr>
        <w:t xml:space="preserve">6 </w:t>
      </w:r>
      <w:r>
        <w:rPr>
          <w:rFonts w:ascii="Book Antiqua" w:hAnsi="Book Antiqua"/>
          <w:b/>
          <w:bCs/>
        </w:rPr>
        <w:t>Anzai S</w:t>
      </w:r>
      <w:r>
        <w:rPr>
          <w:rFonts w:ascii="Book Antiqua" w:hAnsi="Book Antiqua"/>
        </w:rPr>
        <w:t xml:space="preserve">, Sato T, Takayasu S, Asada Y, Terashi H, Takasaki S. Postoperative hyponatremia in a patient with ACTH-producing Merkel cell carcinoma. </w:t>
      </w:r>
      <w:r>
        <w:rPr>
          <w:rFonts w:ascii="Book Antiqua" w:hAnsi="Book Antiqua"/>
          <w:i/>
          <w:iCs/>
        </w:rPr>
        <w:t>J Dermatol</w:t>
      </w:r>
      <w:r>
        <w:rPr>
          <w:rFonts w:ascii="Book Antiqua" w:hAnsi="Book Antiqua"/>
        </w:rPr>
        <w:t xml:space="preserve"> 2000; </w:t>
      </w:r>
      <w:r>
        <w:rPr>
          <w:rFonts w:ascii="Book Antiqua" w:hAnsi="Book Antiqua"/>
          <w:b/>
          <w:bCs/>
        </w:rPr>
        <w:t>27</w:t>
      </w:r>
      <w:r>
        <w:rPr>
          <w:rFonts w:ascii="Book Antiqua" w:hAnsi="Book Antiqua"/>
        </w:rPr>
        <w:t>: 397-400 [PMID: 10920586 DOI: 10.1111/j.1346-8138.2000.tb02190.x]</w:t>
      </w:r>
    </w:p>
    <w:p>
      <w:pPr>
        <w:spacing w:line="360" w:lineRule="auto"/>
        <w:jc w:val="both"/>
        <w:rPr>
          <w:rFonts w:ascii="Book Antiqua" w:hAnsi="Book Antiqua"/>
        </w:rPr>
      </w:pPr>
      <w:r>
        <w:rPr>
          <w:rFonts w:ascii="Book Antiqua" w:hAnsi="Book Antiqua"/>
        </w:rPr>
        <w:t xml:space="preserve">7 </w:t>
      </w:r>
      <w:r>
        <w:rPr>
          <w:rFonts w:ascii="Book Antiqua" w:hAnsi="Book Antiqua"/>
          <w:b/>
          <w:bCs/>
        </w:rPr>
        <w:t>Davi' MV</w:t>
      </w:r>
      <w:r>
        <w:rPr>
          <w:rFonts w:ascii="Book Antiqua" w:hAnsi="Book Antiqua"/>
        </w:rPr>
        <w:t xml:space="preserve">, Cosaro E, Piacentini S, Reimondo G, Albiger N, Arnaldi G, Faggiano A, Mantovani G, Fazio N, Piovesan A, Arvat E, Grimaldi F, Canu L, Mannelli M, Ambrogio AG, Pecori Giraldi F, Martini C, Lania A, Albertelli M, Ferone D, Zatelli MC, Campana D, Colao A, Scaroni C, Terzolo M, De Marinis L, Cingarlini S, Micciolo R, Francia G. Prognostic factors in ectopic Cushing's syndrome due to neuroendocrine tumors: a multicenter study. </w:t>
      </w:r>
      <w:r>
        <w:rPr>
          <w:rFonts w:ascii="Book Antiqua" w:hAnsi="Book Antiqua"/>
          <w:i/>
          <w:iCs/>
        </w:rPr>
        <w:t>Eur J Endocrinol</w:t>
      </w:r>
      <w:r>
        <w:rPr>
          <w:rFonts w:ascii="Book Antiqua" w:hAnsi="Book Antiqua"/>
        </w:rPr>
        <w:t xml:space="preserve"> 2017; </w:t>
      </w:r>
      <w:r>
        <w:rPr>
          <w:rFonts w:ascii="Book Antiqua" w:hAnsi="Book Antiqua"/>
          <w:b/>
          <w:bCs/>
        </w:rPr>
        <w:t>176</w:t>
      </w:r>
      <w:r>
        <w:rPr>
          <w:rFonts w:ascii="Book Antiqua" w:hAnsi="Book Antiqua"/>
        </w:rPr>
        <w:t>: 453-461 [PMID: 28183788 DOI: 10.1530/EJE-16-0809]</w:t>
      </w:r>
    </w:p>
    <w:p>
      <w:pPr>
        <w:spacing w:line="360" w:lineRule="auto"/>
        <w:jc w:val="both"/>
        <w:rPr>
          <w:rFonts w:ascii="Book Antiqua" w:hAnsi="Book Antiqua"/>
        </w:rPr>
      </w:pPr>
      <w:r>
        <w:rPr>
          <w:rFonts w:ascii="Book Antiqua" w:hAnsi="Book Antiqua"/>
        </w:rPr>
        <w:t xml:space="preserve">8 </w:t>
      </w:r>
      <w:r>
        <w:rPr>
          <w:rFonts w:ascii="Book Antiqua" w:hAnsi="Book Antiqua"/>
          <w:b/>
          <w:bCs/>
        </w:rPr>
        <w:t>Bostan H</w:t>
      </w:r>
      <w:r>
        <w:rPr>
          <w:rFonts w:ascii="Book Antiqua" w:hAnsi="Book Antiqua"/>
        </w:rPr>
        <w:t xml:space="preserve">, Duger H, Akhanli P, Calapkulu M, Turkmenoglu TT, Erdol AK, Duru SA, Sencar ME, Kizilgul M, Ucan B, Ozbek M, Cakal E. Cushing's syndrome due to adrenocorticotropic hormone-secreting metastatic neuroendocrine tumor of unknown primary origin: a case report and literature review. </w:t>
      </w:r>
      <w:r>
        <w:rPr>
          <w:rFonts w:ascii="Book Antiqua" w:hAnsi="Book Antiqua"/>
          <w:i/>
          <w:iCs/>
        </w:rPr>
        <w:t>Hormones (Athens)</w:t>
      </w:r>
      <w:r>
        <w:rPr>
          <w:rFonts w:ascii="Book Antiqua" w:hAnsi="Book Antiqua"/>
        </w:rPr>
        <w:t xml:space="preserve"> 2022; </w:t>
      </w:r>
      <w:r>
        <w:rPr>
          <w:rFonts w:ascii="Book Antiqua" w:hAnsi="Book Antiqua"/>
          <w:b/>
          <w:bCs/>
        </w:rPr>
        <w:t>21</w:t>
      </w:r>
      <w:r>
        <w:rPr>
          <w:rFonts w:ascii="Book Antiqua" w:hAnsi="Book Antiqua"/>
        </w:rPr>
        <w:t>: 147-154 [PMID: 34478059 DOI: 10.1007/s42000-021-00316-z]</w:t>
      </w:r>
    </w:p>
    <w:p>
      <w:pPr>
        <w:spacing w:line="360" w:lineRule="auto"/>
        <w:jc w:val="both"/>
        <w:rPr>
          <w:rFonts w:ascii="Book Antiqua" w:hAnsi="Book Antiqua"/>
        </w:rPr>
      </w:pPr>
      <w:r>
        <w:rPr>
          <w:rFonts w:ascii="Book Antiqua" w:hAnsi="Book Antiqua"/>
        </w:rPr>
        <w:t xml:space="preserve">9 </w:t>
      </w:r>
      <w:r>
        <w:rPr>
          <w:rFonts w:ascii="Book Antiqua" w:hAnsi="Book Antiqua"/>
          <w:b/>
          <w:bCs/>
        </w:rPr>
        <w:t>Iyer JG</w:t>
      </w:r>
      <w:r>
        <w:rPr>
          <w:rFonts w:ascii="Book Antiqua" w:hAnsi="Book Antiqua"/>
        </w:rPr>
        <w:t xml:space="preserve">, Parvathaneni K, Bhatia S, Tarabadkar ES, Blom A, Doumani R, McKenzie J, Asgari MM, Nghiem P. Paraneoplastic syndromes (PNS) associated with Merkel cell carcinoma (MCC): A case series of 8 patients highlighting different clinical manifestations. </w:t>
      </w:r>
      <w:r>
        <w:rPr>
          <w:rFonts w:ascii="Book Antiqua" w:hAnsi="Book Antiqua"/>
          <w:i/>
          <w:iCs/>
        </w:rPr>
        <w:t>J Am Acad Dermatol</w:t>
      </w:r>
      <w:r>
        <w:rPr>
          <w:rFonts w:ascii="Book Antiqua" w:hAnsi="Book Antiqua"/>
        </w:rPr>
        <w:t xml:space="preserve"> 2016; </w:t>
      </w:r>
      <w:r>
        <w:rPr>
          <w:rFonts w:ascii="Book Antiqua" w:hAnsi="Book Antiqua"/>
          <w:b/>
          <w:bCs/>
        </w:rPr>
        <w:t>75</w:t>
      </w:r>
      <w:r>
        <w:rPr>
          <w:rFonts w:ascii="Book Antiqua" w:hAnsi="Book Antiqua"/>
        </w:rPr>
        <w:t>: 541-547 [PMID: 27177440 DOI: 10.1016/j.jaad.2016.04.040]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Maier A,</w:t>
      </w:r>
      <w:r>
        <w:rPr>
          <w:rFonts w:ascii="Book Antiqua" w:hAnsi="Book Antiqua"/>
        </w:rPr>
        <w:t xml:space="preserve"> Kerut SE, Subauste JS, Curry S. “SUN-181 A Case of Metastatic Merkel Cell Carcinoma Within a Cortisol-Producing Adrenal Adenoma.” </w:t>
      </w:r>
      <w:r>
        <w:rPr>
          <w:rFonts w:ascii="Book Antiqua" w:hAnsi="Book Antiqua"/>
          <w:i/>
        </w:rPr>
        <w:t>J Endoc Soc</w:t>
      </w:r>
      <w:r>
        <w:rPr>
          <w:rFonts w:ascii="Book Antiqua" w:hAnsi="Book Antiqua"/>
        </w:rPr>
        <w:t xml:space="preserve"> 2020 [DOI: 10.1210/jendso/bvaa046.1385]</w:t>
      </w:r>
    </w:p>
    <w:p>
      <w:pPr>
        <w:spacing w:line="360" w:lineRule="auto"/>
        <w:jc w:val="both"/>
        <w:rPr>
          <w:rFonts w:ascii="Book Antiqua" w:hAnsi="Book Antiqua"/>
        </w:rPr>
      </w:pPr>
      <w:r>
        <w:rPr>
          <w:rFonts w:ascii="Book Antiqua" w:hAnsi="Book Antiqua"/>
        </w:rPr>
        <w:t xml:space="preserve">11 </w:t>
      </w:r>
      <w:r>
        <w:rPr>
          <w:rFonts w:ascii="Book Antiqua" w:hAnsi="Book Antiqua"/>
          <w:b/>
          <w:bCs/>
        </w:rPr>
        <w:t>Terzolo M</w:t>
      </w:r>
      <w:r>
        <w:rPr>
          <w:rFonts w:ascii="Book Antiqua" w:hAnsi="Book Antiqua"/>
        </w:rPr>
        <w:t xml:space="preserve">, Reimondo G, Alì A, Bovio S, Daffara F, Paccotti P, Angeli A. Ectopic ACTH syndrome: molecular bases and clinical heterogeneity. </w:t>
      </w:r>
      <w:r>
        <w:rPr>
          <w:rFonts w:ascii="Book Antiqua" w:hAnsi="Book Antiqua"/>
          <w:i/>
          <w:iCs/>
        </w:rPr>
        <w:t>Ann Oncol</w:t>
      </w:r>
      <w:r>
        <w:rPr>
          <w:rFonts w:ascii="Book Antiqua" w:hAnsi="Book Antiqua"/>
        </w:rPr>
        <w:t xml:space="preserve"> 2001; </w:t>
      </w:r>
      <w:r>
        <w:rPr>
          <w:rFonts w:ascii="Book Antiqua" w:hAnsi="Book Antiqua"/>
          <w:b/>
          <w:bCs/>
        </w:rPr>
        <w:t>12 Suppl 2</w:t>
      </w:r>
      <w:r>
        <w:rPr>
          <w:rFonts w:ascii="Book Antiqua" w:hAnsi="Book Antiqua"/>
        </w:rPr>
        <w:t>: S83-S87 [PMID: 11762358 DOI: 10.1093/annonc/12.suppl_2.s83]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Not applicable.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bCs/>
          <w:color w:val="000000"/>
        </w:rPr>
        <w:t xml:space="preserve">All </w:t>
      </w:r>
      <w:r>
        <w:rPr>
          <w:rFonts w:ascii="Book Antiqua" w:hAnsi="Book Antiqua" w:eastAsia="Book Antiqua" w:cs="Book Antiqua"/>
          <w:color w:val="000000"/>
        </w:rPr>
        <w:t>the authors declare that they have no conflict of interest to disclose.</w:t>
      </w:r>
    </w:p>
    <w:p>
      <w:pPr>
        <w:spacing w:line="360" w:lineRule="auto"/>
        <w:jc w:val="both"/>
        <w:rPr>
          <w:rFonts w:ascii="Book Antiqua" w:hAnsi="Book Antiqua"/>
        </w:rPr>
      </w:pPr>
    </w:p>
    <w:p>
      <w:pPr>
        <w:autoSpaceDE w:val="0"/>
        <w:autoSpaceDN w:val="0"/>
        <w:adjustRightInd w:val="0"/>
        <w:spacing w:line="360" w:lineRule="auto"/>
        <w:jc w:val="both"/>
        <w:rPr>
          <w:rFonts w:ascii="Book Antiqua" w:hAnsi="Book Antiqua" w:cs="TimesNewRomanPSMT"/>
          <w:lang w:val="en-GB"/>
        </w:rPr>
      </w:pPr>
      <w:r>
        <w:rPr>
          <w:rFonts w:ascii="Book Antiqua" w:hAnsi="Book Antiqua" w:cs="Tahoma"/>
          <w:b/>
          <w:lang w:val="en-GB"/>
        </w:rPr>
        <w:t>CARE Checklist (2016) statement:</w:t>
      </w:r>
      <w:r>
        <w:rPr>
          <w:rFonts w:ascii="Book Antiqua" w:hAnsi="Book Antiqua" w:cs="Tahoma"/>
          <w:lang w:val="en-GB"/>
        </w:rPr>
        <w:t xml:space="preserve"> </w:t>
      </w:r>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p>
    <w:p>
      <w:pPr>
        <w:spacing w:line="360" w:lineRule="auto"/>
        <w:jc w:val="both"/>
        <w:rPr>
          <w:rFonts w:ascii="Book Antiqua" w:hAnsi="Book Antiqua"/>
          <w:lang w:val="en-GB"/>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21,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23,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13,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Endocrinology and metabolism</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Israel</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Saglam S, Turkey; Tan HY, China</w:t>
      </w:r>
      <w:r>
        <w:rPr>
          <w:rFonts w:ascii="Book Antiqua" w:hAnsi="Book Antiqua" w:eastAsia="Book Antiqua" w:cs="Book Antiqua"/>
          <w:b/>
          <w:color w:val="000000"/>
        </w:rPr>
        <w:t xml:space="preserve"> A-Editor:</w:t>
      </w:r>
      <w:r>
        <w:rPr>
          <w:rFonts w:ascii="Book Antiqua" w:hAnsi="Book Antiqua" w:eastAsia="Book Antiqua" w:cs="Book Antiqua"/>
          <w:color w:val="000000"/>
        </w:rPr>
        <w:t xml:space="preserve"> Zhu JQ,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337175" cy="3791585"/>
            <wp:effectExtent l="0" t="0" r="12065" b="3175"/>
            <wp:docPr id="2" name="图片 2" descr="WJCC-10-798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7989-g001"/>
                    <pic:cNvPicPr>
                      <a:picLocks noChangeAspect="1"/>
                    </pic:cNvPicPr>
                  </pic:nvPicPr>
                  <pic:blipFill>
                    <a:blip r:embed="rId5"/>
                    <a:stretch>
                      <a:fillRect/>
                    </a:stretch>
                  </pic:blipFill>
                  <pic:spPr>
                    <a:xfrm>
                      <a:off x="0" y="0"/>
                      <a:ext cx="5337175" cy="379158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Histological and immunohistochemical images of Merkel cell carcinoma</w:t>
      </w:r>
      <w:r>
        <w:rPr>
          <w:rFonts w:ascii="Book Antiqua" w:hAnsi="Book Antiqua" w:eastAsia="Book Antiqua" w:cs="Book Antiqua"/>
          <w:color w:val="000000"/>
        </w:rPr>
        <w:t xml:space="preserve">. </w:t>
      </w:r>
      <w:r>
        <w:rPr>
          <w:rFonts w:ascii="Book Antiqua" w:hAnsi="Book Antiqua" w:eastAsia="Book Antiqua" w:cs="Book Antiqua"/>
          <w:bCs/>
          <w:color w:val="000000"/>
        </w:rPr>
        <w:t>A</w:t>
      </w:r>
      <w:r>
        <w:rPr>
          <w:rFonts w:ascii="Book Antiqua" w:hAnsi="Book Antiqua" w:eastAsia="Book Antiqua" w:cs="Book Antiqua"/>
          <w:color w:val="000000"/>
        </w:rPr>
        <w:t xml:space="preserve">: Hematoxylin and eosin staining showed “small round blue cell tumor”; </w:t>
      </w:r>
      <w:r>
        <w:rPr>
          <w:rFonts w:ascii="Book Antiqua" w:hAnsi="Book Antiqua" w:eastAsia="Book Antiqua" w:cs="Book Antiqua"/>
          <w:bCs/>
          <w:color w:val="000000"/>
        </w:rPr>
        <w:t>B</w:t>
      </w:r>
      <w:r>
        <w:rPr>
          <w:rFonts w:ascii="Book Antiqua" w:hAnsi="Book Antiqua" w:eastAsia="Book Antiqua" w:cs="Book Antiqua"/>
          <w:color w:val="000000"/>
        </w:rPr>
        <w:t xml:space="preserve">: Immunohistochemical staining for keratin 20 showed perinuclear dot-like staining. </w:t>
      </w:r>
      <w:r>
        <w:rPr>
          <w:rFonts w:ascii="Book Antiqua" w:hAnsi="Book Antiqua" w:eastAsia="Book Antiqua" w:cs="Book Antiqua"/>
          <w:bCs/>
          <w:color w:val="000000"/>
        </w:rPr>
        <w:t>C</w:t>
      </w:r>
      <w:r>
        <w:rPr>
          <w:rFonts w:ascii="Book Antiqua" w:hAnsi="Book Antiqua" w:eastAsia="Book Antiqua" w:cs="Book Antiqua"/>
          <w:color w:val="000000"/>
        </w:rPr>
        <w:t xml:space="preserve">: Immunohistochemical staining for KI-67 showed a very high proliferative index; </w:t>
      </w:r>
      <w:r>
        <w:rPr>
          <w:rFonts w:ascii="Book Antiqua" w:hAnsi="Book Antiqua" w:eastAsia="Book Antiqua" w:cs="Book Antiqua"/>
          <w:bCs/>
          <w:color w:val="000000"/>
        </w:rPr>
        <w:t>D</w:t>
      </w:r>
      <w:r>
        <w:rPr>
          <w:rFonts w:ascii="Book Antiqua" w:hAnsi="Book Antiqua" w:eastAsia="Book Antiqua" w:cs="Book Antiqua"/>
          <w:color w:val="000000"/>
        </w:rPr>
        <w:t>: Immunohistochemical staining for synaptophysin showed the staining of the neuroendocrine granules in the cytoplasm of cells. Magnification, × 400.</w:t>
      </w:r>
    </w:p>
    <w:p>
      <w:pPr>
        <w:spacing w:line="360" w:lineRule="auto"/>
        <w:jc w:val="both"/>
        <w:rPr>
          <w:rFonts w:hint="eastAsia" w:ascii="Book Antiqua" w:hAnsi="Book Antiqua" w:eastAsia="宋体" w:cs="Book Antiqua"/>
          <w:color w:val="000000"/>
          <w:lang w:eastAsia="zh-CN"/>
        </w:rPr>
      </w:pPr>
      <w:bookmarkStart w:id="2" w:name="_GoBack"/>
      <w:r>
        <w:rPr>
          <w:rFonts w:hint="eastAsia" w:ascii="Book Antiqua" w:hAnsi="Book Antiqua" w:eastAsia="宋体" w:cs="Book Antiqua"/>
          <w:color w:val="000000"/>
          <w:lang w:eastAsia="zh-CN"/>
        </w:rPr>
        <w:drawing>
          <wp:inline distT="0" distB="0" distL="114300" distR="114300">
            <wp:extent cx="2813050" cy="3035935"/>
            <wp:effectExtent l="0" t="0" r="6350" b="12065"/>
            <wp:docPr id="3" name="图片 3" descr="WJCC-10-798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7989-g002"/>
                    <pic:cNvPicPr>
                      <a:picLocks noChangeAspect="1"/>
                    </pic:cNvPicPr>
                  </pic:nvPicPr>
                  <pic:blipFill>
                    <a:blip r:embed="rId6"/>
                    <a:stretch>
                      <a:fillRect/>
                    </a:stretch>
                  </pic:blipFill>
                  <pic:spPr>
                    <a:xfrm>
                      <a:off x="0" y="0"/>
                      <a:ext cx="2813050" cy="3035935"/>
                    </a:xfrm>
                    <a:prstGeom prst="rect">
                      <a:avLst/>
                    </a:prstGeom>
                  </pic:spPr>
                </pic:pic>
              </a:graphicData>
            </a:graphic>
          </wp:inline>
        </w:drawing>
      </w:r>
      <w:bookmarkEnd w:id="2"/>
    </w:p>
    <w:p>
      <w:pPr>
        <w:spacing w:line="360" w:lineRule="auto"/>
        <w:jc w:val="both"/>
        <w:rPr>
          <w:rFonts w:ascii="Book Antiqua" w:hAnsi="Book Antiqua"/>
          <w:b/>
        </w:rPr>
      </w:pPr>
      <w:r>
        <w:rPr>
          <w:rFonts w:ascii="Book Antiqua" w:hAnsi="Book Antiqua" w:eastAsia="Book Antiqua" w:cs="Book Antiqua"/>
          <w:b/>
          <w:color w:val="000000"/>
        </w:rPr>
        <w:t>Figure 2 A large Merkle cell carcinoma metastasis on the central chest.</w:t>
      </w:r>
    </w:p>
    <w:p>
      <w:pPr>
        <w:spacing w:line="360" w:lineRule="auto"/>
        <w:jc w:val="both"/>
        <w:rPr>
          <w:rFonts w:ascii="Book Antiqua" w:hAnsi="Book Antiqua" w:cstheme="majorBidi"/>
          <w:b/>
        </w:rPr>
      </w:pPr>
      <w:r>
        <w:rPr>
          <w:rFonts w:ascii="Book Antiqua" w:hAnsi="Book Antiqua"/>
        </w:rPr>
        <w:br w:type="page"/>
      </w:r>
      <w:r>
        <w:rPr>
          <w:rFonts w:ascii="Book Antiqua" w:hAnsi="Book Antiqua" w:cstheme="majorBidi"/>
          <w:b/>
        </w:rPr>
        <w:t>Table 1 Cortisol and</w:t>
      </w:r>
      <w:r>
        <w:rPr>
          <w:rFonts w:ascii="Book Antiqua" w:hAnsi="Book Antiqua" w:cstheme="majorBidi"/>
          <w:b/>
          <w:color w:val="000000" w:themeColor="text1"/>
          <w14:textFill>
            <w14:solidFill>
              <w14:schemeClr w14:val="tx1"/>
            </w14:solidFill>
          </w14:textFill>
        </w:rPr>
        <w:t xml:space="preserve"> adrenocorticotropic hormone (ACTH) </w:t>
      </w:r>
      <w:r>
        <w:rPr>
          <w:rFonts w:ascii="Book Antiqua" w:hAnsi="Book Antiqua" w:cstheme="majorBidi"/>
          <w:b/>
        </w:rPr>
        <w:t xml:space="preserve">levels after stimulation with IV </w:t>
      </w:r>
      <w:r>
        <w:rPr>
          <w:rFonts w:ascii="Book Antiqua" w:hAnsi="Book Antiqua" w:eastAsia="Book Antiqua" w:cs="Book Antiqua"/>
          <w:b/>
          <w:color w:val="000000"/>
        </w:rPr>
        <w:t xml:space="preserve">corticotropin releasing hormone </w:t>
      </w:r>
      <w:r>
        <w:rPr>
          <w:rFonts w:ascii="Book Antiqua" w:hAnsi="Book Antiqua" w:cstheme="majorBidi"/>
          <w:b/>
        </w:rPr>
        <w:t>100 µg</w:t>
      </w:r>
    </w:p>
    <w:tbl>
      <w:tblPr>
        <w:tblStyle w:val="8"/>
        <w:tblW w:w="8501" w:type="dxa"/>
        <w:tblInd w:w="-5"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01"/>
        <w:gridCol w:w="790"/>
        <w:gridCol w:w="790"/>
        <w:gridCol w:w="791"/>
        <w:gridCol w:w="791"/>
        <w:gridCol w:w="791"/>
        <w:gridCol w:w="665"/>
        <w:gridCol w:w="791"/>
        <w:gridCol w:w="79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0" w:type="auto"/>
          </w:tcPr>
          <w:p>
            <w:pPr>
              <w:spacing w:line="360" w:lineRule="auto"/>
              <w:jc w:val="both"/>
              <w:rPr>
                <w:rFonts w:ascii="Book Antiqua" w:hAnsi="Book Antiqua" w:cstheme="majorBidi"/>
                <w:lang w:bidi="he-IL"/>
              </w:rPr>
            </w:pPr>
            <w:r>
              <w:rPr>
                <w:rFonts w:ascii="Book Antiqua" w:hAnsi="Book Antiqua" w:cstheme="majorBidi"/>
                <w:lang w:bidi="he-IL"/>
              </w:rPr>
              <w:t xml:space="preserve">Time (mn) </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 xml:space="preserve">-15 </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 xml:space="preserve">0 </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 xml:space="preserve">15 </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 xml:space="preserve">30 </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 xml:space="preserve">45 </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 xml:space="preserve">60 </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 xml:space="preserve">90 </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 xml:space="preserve">120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0" w:type="auto"/>
          </w:tcPr>
          <w:p>
            <w:pPr>
              <w:spacing w:line="360" w:lineRule="auto"/>
              <w:jc w:val="both"/>
              <w:rPr>
                <w:rFonts w:ascii="Book Antiqua" w:hAnsi="Book Antiqua" w:cstheme="majorBidi"/>
                <w:lang w:bidi="he-IL"/>
              </w:rPr>
            </w:pPr>
            <w:r>
              <w:rPr>
                <w:rFonts w:ascii="Book Antiqua" w:hAnsi="Book Antiqua" w:cstheme="majorBidi"/>
                <w:lang w:bidi="he-IL"/>
              </w:rPr>
              <w:t>Cortisol (µg/d)</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52.22</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48.92</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45.48</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56.11</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51.44</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52.1</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53.08</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56.65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0" w:type="auto"/>
          </w:tcPr>
          <w:p>
            <w:pPr>
              <w:spacing w:line="360" w:lineRule="auto"/>
              <w:jc w:val="both"/>
              <w:rPr>
                <w:rFonts w:ascii="Book Antiqua" w:hAnsi="Book Antiqua" w:cstheme="majorBidi"/>
                <w:lang w:bidi="he-IL"/>
              </w:rPr>
            </w:pPr>
            <w:r>
              <w:rPr>
                <w:rFonts w:ascii="Book Antiqua" w:hAnsi="Book Antiqua" w:cstheme="majorBidi"/>
                <w:lang w:bidi="he-IL"/>
              </w:rPr>
              <w:t xml:space="preserve">ACTH (pmol/mL) </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92.9</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110</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129</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128</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122</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96.1</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119</w:t>
            </w:r>
          </w:p>
        </w:tc>
        <w:tc>
          <w:tcPr>
            <w:tcW w:w="0" w:type="auto"/>
          </w:tcPr>
          <w:p>
            <w:pPr>
              <w:spacing w:line="360" w:lineRule="auto"/>
              <w:jc w:val="both"/>
              <w:rPr>
                <w:rFonts w:ascii="Book Antiqua" w:hAnsi="Book Antiqua" w:cstheme="majorBidi"/>
                <w:lang w:bidi="he-IL"/>
              </w:rPr>
            </w:pPr>
            <w:r>
              <w:rPr>
                <w:rFonts w:ascii="Book Antiqua" w:hAnsi="Book Antiqua" w:cstheme="majorBidi"/>
                <w:lang w:bidi="he-IL"/>
              </w:rPr>
              <w:t>120</w:t>
            </w:r>
          </w:p>
        </w:tc>
      </w:tr>
    </w:tbl>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MT">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7662609"/>
      <w:docPartObj>
        <w:docPartGallery w:val="autotext"/>
      </w:docPartObj>
    </w:sdtPr>
    <w:sdtEndPr>
      <w:rPr>
        <w:rFonts w:ascii="Book Antiqua" w:hAnsi="Book Antiqua"/>
        <w:sz w:val="24"/>
        <w:szCs w:val="24"/>
      </w:rPr>
    </w:sdtEndPr>
    <w:sdtContent>
      <w:sdt>
        <w:sdtPr>
          <w:id w:val="-13557192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11</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03B2"/>
    <w:rsid w:val="00023C40"/>
    <w:rsid w:val="000261C2"/>
    <w:rsid w:val="00040654"/>
    <w:rsid w:val="00052283"/>
    <w:rsid w:val="000535C0"/>
    <w:rsid w:val="00075DB1"/>
    <w:rsid w:val="00096B73"/>
    <w:rsid w:val="000B17BD"/>
    <w:rsid w:val="000E3BAE"/>
    <w:rsid w:val="000E4307"/>
    <w:rsid w:val="000F25B4"/>
    <w:rsid w:val="00114E4E"/>
    <w:rsid w:val="001245BD"/>
    <w:rsid w:val="00145DD5"/>
    <w:rsid w:val="00163589"/>
    <w:rsid w:val="001855AE"/>
    <w:rsid w:val="001C7FA6"/>
    <w:rsid w:val="001E1987"/>
    <w:rsid w:val="001E77E2"/>
    <w:rsid w:val="00201BDA"/>
    <w:rsid w:val="00224730"/>
    <w:rsid w:val="00236763"/>
    <w:rsid w:val="002545BC"/>
    <w:rsid w:val="00290DAD"/>
    <w:rsid w:val="00296E63"/>
    <w:rsid w:val="002978E0"/>
    <w:rsid w:val="002A6C60"/>
    <w:rsid w:val="002E4B96"/>
    <w:rsid w:val="00303FBC"/>
    <w:rsid w:val="00306F8A"/>
    <w:rsid w:val="00316E5C"/>
    <w:rsid w:val="00356C0A"/>
    <w:rsid w:val="003626A1"/>
    <w:rsid w:val="00384363"/>
    <w:rsid w:val="003A351E"/>
    <w:rsid w:val="003B66E6"/>
    <w:rsid w:val="003B7B1C"/>
    <w:rsid w:val="003E61BD"/>
    <w:rsid w:val="004023E2"/>
    <w:rsid w:val="00450E0E"/>
    <w:rsid w:val="0046761D"/>
    <w:rsid w:val="004E40CE"/>
    <w:rsid w:val="00531E6A"/>
    <w:rsid w:val="0055137B"/>
    <w:rsid w:val="00552834"/>
    <w:rsid w:val="00555CA7"/>
    <w:rsid w:val="00567D3E"/>
    <w:rsid w:val="00572946"/>
    <w:rsid w:val="005831A6"/>
    <w:rsid w:val="00583666"/>
    <w:rsid w:val="005C3123"/>
    <w:rsid w:val="005C5F66"/>
    <w:rsid w:val="005F18B2"/>
    <w:rsid w:val="00617DC4"/>
    <w:rsid w:val="00627C06"/>
    <w:rsid w:val="00642183"/>
    <w:rsid w:val="00643029"/>
    <w:rsid w:val="006703AA"/>
    <w:rsid w:val="00691780"/>
    <w:rsid w:val="006B58E8"/>
    <w:rsid w:val="006C4D00"/>
    <w:rsid w:val="006D3C8B"/>
    <w:rsid w:val="006D5B89"/>
    <w:rsid w:val="006E0F30"/>
    <w:rsid w:val="006E3DA7"/>
    <w:rsid w:val="006F058A"/>
    <w:rsid w:val="006F090D"/>
    <w:rsid w:val="007016E1"/>
    <w:rsid w:val="0071137E"/>
    <w:rsid w:val="00712525"/>
    <w:rsid w:val="00731430"/>
    <w:rsid w:val="0074390A"/>
    <w:rsid w:val="00747196"/>
    <w:rsid w:val="007918ED"/>
    <w:rsid w:val="00791D08"/>
    <w:rsid w:val="007D755D"/>
    <w:rsid w:val="007E2EFF"/>
    <w:rsid w:val="007E4D55"/>
    <w:rsid w:val="00803A72"/>
    <w:rsid w:val="008E11CE"/>
    <w:rsid w:val="008E7165"/>
    <w:rsid w:val="00905A10"/>
    <w:rsid w:val="009064DA"/>
    <w:rsid w:val="00933BEB"/>
    <w:rsid w:val="00934EC6"/>
    <w:rsid w:val="00945C47"/>
    <w:rsid w:val="00975A8D"/>
    <w:rsid w:val="00997E8C"/>
    <w:rsid w:val="009A150F"/>
    <w:rsid w:val="009B25FB"/>
    <w:rsid w:val="009B2A02"/>
    <w:rsid w:val="009B69F2"/>
    <w:rsid w:val="00A27537"/>
    <w:rsid w:val="00A33C38"/>
    <w:rsid w:val="00A77B3E"/>
    <w:rsid w:val="00A924CF"/>
    <w:rsid w:val="00AC631D"/>
    <w:rsid w:val="00B07CDD"/>
    <w:rsid w:val="00B10BF5"/>
    <w:rsid w:val="00B57ADA"/>
    <w:rsid w:val="00B63123"/>
    <w:rsid w:val="00B662E0"/>
    <w:rsid w:val="00BB3B0C"/>
    <w:rsid w:val="00BD353A"/>
    <w:rsid w:val="00BD6C7F"/>
    <w:rsid w:val="00BF0FB4"/>
    <w:rsid w:val="00C24B2F"/>
    <w:rsid w:val="00C3292F"/>
    <w:rsid w:val="00C84296"/>
    <w:rsid w:val="00C92A65"/>
    <w:rsid w:val="00C92B61"/>
    <w:rsid w:val="00CA2A55"/>
    <w:rsid w:val="00CF54FB"/>
    <w:rsid w:val="00D45E01"/>
    <w:rsid w:val="00D46E42"/>
    <w:rsid w:val="00D470BF"/>
    <w:rsid w:val="00DA3EB3"/>
    <w:rsid w:val="00DD57D1"/>
    <w:rsid w:val="00E00F7E"/>
    <w:rsid w:val="00E0594D"/>
    <w:rsid w:val="00E2312E"/>
    <w:rsid w:val="00E27A8B"/>
    <w:rsid w:val="00E838FB"/>
    <w:rsid w:val="00E87C0A"/>
    <w:rsid w:val="00E92DAE"/>
    <w:rsid w:val="00EC2078"/>
    <w:rsid w:val="00F136FF"/>
    <w:rsid w:val="00F30EDB"/>
    <w:rsid w:val="00F36C85"/>
    <w:rsid w:val="00F635E4"/>
    <w:rsid w:val="00FE64A5"/>
    <w:rsid w:val="1F2309EB"/>
    <w:rsid w:val="470A68D5"/>
    <w:rsid w:val="482351D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5"/>
    <w:semiHidden/>
    <w:unhideWhenUsed/>
    <w:qFormat/>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table" w:styleId="8">
    <w:name w:val="Table Grid"/>
    <w:basedOn w:val="7"/>
    <w:qFormat/>
    <w:uiPriority w:val="59"/>
    <w:rPr>
      <w:rFonts w:asciiTheme="minorHAnsi" w:hAnsiTheme="minorHAnsi" w:cstheme="minorBidi"/>
      <w:sz w:val="22"/>
      <w:szCs w:val="22"/>
      <w:lang w:bidi="he-I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文字 字符"/>
    <w:basedOn w:val="9"/>
    <w:link w:val="2"/>
    <w:semiHidden/>
    <w:qFormat/>
    <w:uiPriority w:val="0"/>
    <w:rPr>
      <w:sz w:val="24"/>
      <w:szCs w:val="24"/>
    </w:rPr>
  </w:style>
  <w:style w:type="character" w:customStyle="1" w:styleId="14">
    <w:name w:val="批注主题 字符"/>
    <w:basedOn w:val="13"/>
    <w:link w:val="6"/>
    <w:semiHidden/>
    <w:qFormat/>
    <w:uiPriority w:val="0"/>
    <w:rPr>
      <w:b/>
      <w:bCs/>
      <w:sz w:val="24"/>
      <w:szCs w:val="24"/>
    </w:rPr>
  </w:style>
  <w:style w:type="character" w:customStyle="1" w:styleId="15">
    <w:name w:val="批注框文本 字符"/>
    <w:basedOn w:val="9"/>
    <w:link w:val="3"/>
    <w:semiHidden/>
    <w:qFormat/>
    <w:uiPriority w:val="0"/>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שרותי בריאות כללית</Company>
  <Pages>13</Pages>
  <Words>2124</Words>
  <Characters>12830</Characters>
  <Lines>102</Lines>
  <Paragraphs>28</Paragraphs>
  <TotalTime>0</TotalTime>
  <ScaleCrop>false</ScaleCrop>
  <LinksUpToDate>false</LinksUpToDate>
  <CharactersWithSpaces>14845</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2022-06-13T05:17:00Z</dcterms:created>
  <dc:creator>אברהם ישי ד''ר</dc:creator>
  <cp:lastModifiedBy>晓晨</cp:lastModifiedBy>
  <dcterms:modified xsi:type="dcterms:W3CDTF">2022-07-21T09:49:35Z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122D959B18D1412E885BAA56BAD617DC</vt:lpwstr>
  </property>
</Properties>
</file>