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75312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Review of epidermal growth factor receptor-tyrosine kinase inhibitors administration to non-small-cell lung cancer patients undergoing hemodialysis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Lan CC </w:t>
      </w:r>
      <w:r>
        <w:rPr>
          <w:rFonts w:ascii="Book Antiqua" w:hAnsi="Book Antiqua" w:eastAsia="Book Antiqua" w:cs="Book Antiqua"/>
          <w:i/>
          <w:color w:val="000000"/>
        </w:rPr>
        <w:t>et al</w:t>
      </w:r>
      <w:r>
        <w:rPr>
          <w:rFonts w:ascii="Book Antiqua" w:hAnsi="Book Antiqua" w:eastAsia="Book Antiqua" w:cs="Book Antiqua"/>
          <w:color w:val="000000"/>
        </w:rPr>
        <w:t>. EGFR-TKIs in lung cancer treatment with HD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Chou-Chin Lan, Po-Chun Hsieh, Chun-Yao Huang, Mei-Chen Yang, Wen-Lin Su, Chih-Wei Wu, Yao-Kuang Wu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Chou-Chin Lan, Chun-Yao Huang, Chih-Wei Wu, Mei-Chen Yang, Wen-Lin Su, Yao-Kuang Wu, </w:t>
      </w:r>
      <w:r>
        <w:rPr>
          <w:rFonts w:ascii="Book Antiqua" w:hAnsi="Book Antiqua" w:eastAsia="Book Antiqua" w:cs="Book Antiqua"/>
          <w:color w:val="000000"/>
        </w:rPr>
        <w:t xml:space="preserve">Division of Pulmonary Medicine, Taipei Tzu Chi Hospital, Buddhist Tzu Chi Medical Foundation, </w:t>
      </w:r>
      <w:r>
        <w:rPr>
          <w:rFonts w:ascii="Book Antiqua" w:hAnsi="Book Antiqua" w:eastAsia="Book Antiqua"/>
          <w:color w:val="000000"/>
        </w:rPr>
        <w:t xml:space="preserve">New Taipei </w:t>
      </w:r>
      <w:r>
        <w:rPr>
          <w:rFonts w:ascii="Book Antiqua" w:hAnsi="Book Antiqua" w:eastAsia="PMingLiU"/>
          <w:color w:val="000000"/>
          <w:lang w:eastAsia="zh-TW"/>
        </w:rPr>
        <w:t>City</w:t>
      </w:r>
      <w:r>
        <w:rPr>
          <w:rFonts w:ascii="Book Antiqua" w:hAnsi="Book Antiqua" w:eastAsia="PMingLiU" w:cs="Book Antiqua"/>
          <w:color w:val="000000"/>
          <w:lang w:eastAsia="zh-TW"/>
        </w:rPr>
        <w:t xml:space="preserve"> </w:t>
      </w:r>
      <w:r>
        <w:rPr>
          <w:rFonts w:ascii="Book Antiqua" w:hAnsi="Book Antiqua" w:eastAsia="Book Antiqua" w:cs="Book Antiqua"/>
          <w:color w:val="000000"/>
        </w:rPr>
        <w:t>23142,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Po-Chun Hsieh, </w:t>
      </w:r>
      <w:r>
        <w:rPr>
          <w:rFonts w:ascii="Book Antiqua" w:hAnsi="Book Antiqua" w:eastAsia="Book Antiqua" w:cs="Book Antiqua"/>
          <w:color w:val="000000"/>
        </w:rPr>
        <w:t xml:space="preserve">Department of Chinese Medicine, Taipei Tzu Chi Hospital, Buddhist Tzu Chi Medical Foundation, </w:t>
      </w:r>
      <w:r>
        <w:rPr>
          <w:rFonts w:ascii="Book Antiqua" w:hAnsi="Book Antiqua" w:eastAsia="Book Antiqua"/>
          <w:color w:val="000000"/>
        </w:rPr>
        <w:t xml:space="preserve">New Taipei </w:t>
      </w:r>
      <w:r>
        <w:rPr>
          <w:rFonts w:ascii="Book Antiqua" w:hAnsi="Book Antiqua" w:eastAsia="PMingLiU"/>
          <w:color w:val="000000"/>
          <w:lang w:eastAsia="zh-TW"/>
        </w:rPr>
        <w:t>City</w:t>
      </w:r>
      <w:r>
        <w:rPr>
          <w:rFonts w:ascii="Book Antiqua" w:hAnsi="Book Antiqua" w:eastAsia="PMingLiU" w:cs="Book Antiqua"/>
          <w:color w:val="000000"/>
          <w:lang w:eastAsia="zh-TW"/>
        </w:rPr>
        <w:t xml:space="preserve"> </w:t>
      </w:r>
      <w:r>
        <w:rPr>
          <w:rFonts w:ascii="Book Antiqua" w:hAnsi="Book Antiqua" w:eastAsia="Book Antiqua" w:cs="Book Antiqua"/>
          <w:color w:val="000000"/>
        </w:rPr>
        <w:t>23142,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Lan CC, Hsieh PC, Huang CY, and Yang MC contributed to data curation;</w:t>
      </w:r>
      <w:r>
        <w:rPr>
          <w:rFonts w:ascii="Book Antiqua" w:hAnsi="Book Antiqua"/>
          <w:lang w:eastAsia="zh-CN"/>
        </w:rPr>
        <w:t xml:space="preserve"> </w:t>
      </w:r>
      <w:r>
        <w:rPr>
          <w:rFonts w:ascii="Book Antiqua" w:hAnsi="Book Antiqua" w:eastAsia="Book Antiqua" w:cs="Book Antiqua"/>
          <w:color w:val="000000"/>
        </w:rPr>
        <w:t>Lan CC and Hsieh PC contributed to formal analysis;</w:t>
      </w:r>
      <w:r>
        <w:rPr>
          <w:rFonts w:ascii="Book Antiqua" w:hAnsi="Book Antiqua"/>
          <w:lang w:eastAsia="zh-CN"/>
        </w:rPr>
        <w:t xml:space="preserve"> </w:t>
      </w:r>
      <w:r>
        <w:rPr>
          <w:rFonts w:ascii="Book Antiqua" w:hAnsi="Book Antiqua" w:eastAsia="Book Antiqua" w:cs="Book Antiqua"/>
          <w:color w:val="000000"/>
        </w:rPr>
        <w:t>Lan CC, Huang CY, Yang MC, Su WL, Wu CW</w:t>
      </w:r>
      <w:r>
        <w:rPr>
          <w:rFonts w:ascii="Book Antiqua" w:hAnsi="Book Antiqua" w:cs="Book Antiqua"/>
          <w:color w:val="000000"/>
          <w:lang w:eastAsia="zh-CN"/>
        </w:rPr>
        <w:t xml:space="preserve">, </w:t>
      </w:r>
      <w:r>
        <w:rPr>
          <w:rFonts w:ascii="Book Antiqua" w:hAnsi="Book Antiqua" w:eastAsia="Book Antiqua" w:cs="Book Antiqua"/>
          <w:color w:val="000000"/>
        </w:rPr>
        <w:t>and Wu YK contributed to investigation;</w:t>
      </w:r>
      <w:r>
        <w:rPr>
          <w:rFonts w:ascii="Book Antiqua" w:hAnsi="Book Antiqua"/>
          <w:lang w:eastAsia="zh-CN"/>
        </w:rPr>
        <w:t xml:space="preserve"> </w:t>
      </w:r>
      <w:r>
        <w:rPr>
          <w:rFonts w:ascii="Book Antiqua" w:hAnsi="Book Antiqua" w:eastAsia="Book Antiqua" w:cs="Book Antiqua"/>
          <w:color w:val="000000"/>
        </w:rPr>
        <w:t>Lan CC and Wu YK contributed to conceptualization;</w:t>
      </w:r>
      <w:r>
        <w:rPr>
          <w:rFonts w:ascii="Book Antiqua" w:hAnsi="Book Antiqua"/>
          <w:lang w:eastAsia="zh-CN"/>
        </w:rPr>
        <w:t xml:space="preserve"> </w:t>
      </w:r>
      <w:r>
        <w:rPr>
          <w:rFonts w:ascii="Book Antiqua" w:hAnsi="Book Antiqua" w:eastAsia="Book Antiqua" w:cs="Book Antiqua"/>
          <w:color w:val="000000"/>
        </w:rPr>
        <w:t>Lan CC</w:t>
      </w:r>
      <w:r>
        <w:rPr>
          <w:rFonts w:ascii="Book Antiqua" w:hAnsi="Book Antiqua" w:cs="Book Antiqua"/>
          <w:color w:val="000000"/>
          <w:lang w:eastAsia="zh-CN"/>
        </w:rPr>
        <w:t xml:space="preserve">, </w:t>
      </w:r>
      <w:r>
        <w:rPr>
          <w:rFonts w:ascii="Book Antiqua" w:hAnsi="Book Antiqua" w:eastAsia="Book Antiqua" w:cs="Book Antiqua"/>
          <w:color w:val="000000"/>
        </w:rPr>
        <w:t>Su WL, and Wu CW contributed to methodology;</w:t>
      </w:r>
      <w:r>
        <w:rPr>
          <w:rFonts w:ascii="Book Antiqua" w:hAnsi="Book Antiqua"/>
          <w:lang w:eastAsia="zh-CN"/>
        </w:rPr>
        <w:t xml:space="preserve"> </w:t>
      </w:r>
      <w:r>
        <w:rPr>
          <w:rFonts w:ascii="Book Antiqua" w:hAnsi="Book Antiqua" w:eastAsia="Book Antiqua" w:cs="Book Antiqua"/>
          <w:color w:val="000000"/>
        </w:rPr>
        <w:t>Lan CC, Hsieh PC, Huang CY, Yang MC, and Wu YK contributed to project administration;</w:t>
      </w:r>
      <w:r>
        <w:rPr>
          <w:rFonts w:ascii="Book Antiqua" w:hAnsi="Book Antiqua"/>
          <w:lang w:eastAsia="zh-CN"/>
        </w:rPr>
        <w:t xml:space="preserve"> </w:t>
      </w:r>
      <w:r>
        <w:rPr>
          <w:rFonts w:ascii="Book Antiqua" w:hAnsi="Book Antiqua" w:eastAsia="Book Antiqua" w:cs="Book Antiqua"/>
          <w:color w:val="000000"/>
        </w:rPr>
        <w:t>Lan CC and Wu YK contributed to funding acquisition;</w:t>
      </w:r>
      <w:r>
        <w:rPr>
          <w:rFonts w:ascii="Book Antiqua" w:hAnsi="Book Antiqua"/>
          <w:lang w:eastAsia="zh-CN"/>
        </w:rPr>
        <w:t xml:space="preserve"> </w:t>
      </w:r>
      <w:r>
        <w:rPr>
          <w:rFonts w:ascii="Book Antiqua" w:hAnsi="Book Antiqua" w:eastAsia="Book Antiqua" w:cs="Book Antiqua"/>
          <w:color w:val="000000"/>
        </w:rPr>
        <w:t>Lan CC, Wu YK, and Hsieh PC contributed to writing;</w:t>
      </w:r>
      <w:r>
        <w:rPr>
          <w:rFonts w:ascii="Book Antiqua" w:hAnsi="Book Antiqua"/>
          <w:lang w:eastAsia="zh-CN"/>
        </w:rPr>
        <w:t xml:space="preserve"> </w:t>
      </w:r>
      <w:r>
        <w:rPr>
          <w:rFonts w:ascii="Book Antiqua" w:hAnsi="Book Antiqua" w:eastAsia="Book Antiqua" w:cs="Book Antiqua"/>
          <w:color w:val="000000"/>
        </w:rPr>
        <w:t>Huang CY, Yang MC, and Wu YK contributed to validation;</w:t>
      </w:r>
      <w:r>
        <w:rPr>
          <w:rFonts w:ascii="Book Antiqua" w:hAnsi="Book Antiqua"/>
          <w:lang w:eastAsia="zh-CN"/>
        </w:rPr>
        <w:t xml:space="preserve"> </w:t>
      </w:r>
      <w:r>
        <w:rPr>
          <w:rFonts w:ascii="Book Antiqua" w:hAnsi="Book Antiqua" w:eastAsia="Book Antiqua" w:cs="Book Antiqua"/>
          <w:color w:val="000000"/>
        </w:rPr>
        <w:t>Lan CC and Hsieh PC</w:t>
      </w:r>
      <w:r>
        <w:rPr>
          <w:rFonts w:ascii="Book Antiqua" w:hAnsi="Book Antiqua"/>
        </w:rPr>
        <w:t xml:space="preserve"> </w:t>
      </w:r>
      <w:r>
        <w:rPr>
          <w:rFonts w:ascii="Book Antiqua" w:hAnsi="Book Antiqua" w:eastAsia="Book Antiqua" w:cs="Book Antiqua"/>
          <w:color w:val="000000"/>
        </w:rPr>
        <w:t>contributed to the original draft;</w:t>
      </w:r>
      <w:r>
        <w:rPr>
          <w:rFonts w:ascii="Book Antiqua" w:hAnsi="Book Antiqua"/>
          <w:lang w:eastAsia="zh-CN"/>
        </w:rPr>
        <w:t xml:space="preserve"> </w:t>
      </w:r>
      <w:r>
        <w:rPr>
          <w:rFonts w:ascii="Book Antiqua" w:hAnsi="Book Antiqua" w:eastAsia="Book Antiqua" w:cs="Book Antiqua"/>
          <w:color w:val="000000"/>
        </w:rPr>
        <w:t>Lan CC contributed to review and editing;</w:t>
      </w:r>
      <w:r>
        <w:rPr>
          <w:rFonts w:ascii="Book Antiqua" w:hAnsi="Book Antiqua"/>
          <w:lang w:eastAsia="zh-CN"/>
        </w:rPr>
        <w:t xml:space="preserve"> </w:t>
      </w:r>
      <w:r>
        <w:rPr>
          <w:rFonts w:ascii="Book Antiqua" w:hAnsi="Book Antiqua" w:eastAsia="Book Antiqua" w:cs="Book Antiqua"/>
          <w:color w:val="000000"/>
        </w:rPr>
        <w:t>Wu YK contributed to supervision, visualization, review, and editing.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Taipei Tzu Chi Hospital, Buddhist Tzu Chi Medical Foundation, No. TCRD-TPE-108-RT-4(3/3; and No. TCRD-TPE-109-59.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Yao-Kuang Wu, </w:t>
      </w:r>
      <w:r>
        <w:rPr>
          <w:rFonts w:ascii="Book Antiqua" w:hAnsi="Book Antiqua" w:eastAsia="PMingLiU" w:cs="Book Antiqua"/>
          <w:b/>
          <w:bCs/>
          <w:color w:val="000000"/>
          <w:lang w:eastAsia="zh-TW"/>
        </w:rPr>
        <w:t>MD</w:t>
      </w:r>
      <w:r>
        <w:rPr>
          <w:rFonts w:ascii="Book Antiqua" w:hAnsi="Book Antiqua" w:eastAsia="Book Antiqua" w:cs="Book Antiqua"/>
          <w:b/>
          <w:bCs/>
          <w:color w:val="000000"/>
        </w:rPr>
        <w:t xml:space="preserve">, </w:t>
      </w:r>
      <w:r>
        <w:rPr>
          <w:rFonts w:ascii="Book Antiqua" w:hAnsi="Book Antiqua" w:eastAsia="Book Antiqua" w:cs="Book Antiqua"/>
          <w:color w:val="000000"/>
        </w:rPr>
        <w:t>Division of Pulmonary Medicine, Taipei Tzu Chi Hospital, Buddhist Tzu Chi Medical Foundation,</w:t>
      </w:r>
      <w:r>
        <w:rPr>
          <w:rFonts w:ascii="Book Antiqua" w:hAnsi="Book Antiqua" w:eastAsia="Book Antiqua"/>
          <w:color w:val="000000"/>
        </w:rPr>
        <w:t xml:space="preserve"> New Taipei </w:t>
      </w:r>
      <w:r>
        <w:rPr>
          <w:rFonts w:ascii="Book Antiqua" w:hAnsi="Book Antiqua" w:eastAsia="PMingLiU"/>
          <w:color w:val="000000"/>
          <w:lang w:eastAsia="zh-TW"/>
        </w:rPr>
        <w:t>City</w:t>
      </w:r>
      <w:r>
        <w:rPr>
          <w:rFonts w:ascii="Book Antiqua" w:hAnsi="Book Antiqua" w:eastAsia="PMingLiU" w:cs="Book Antiqua"/>
          <w:color w:val="000000"/>
          <w:lang w:eastAsia="zh-TW"/>
        </w:rPr>
        <w:t xml:space="preserve"> </w:t>
      </w:r>
      <w:r>
        <w:rPr>
          <w:rFonts w:ascii="Book Antiqua" w:hAnsi="Book Antiqua" w:eastAsia="Book Antiqua" w:cs="Book Antiqua"/>
          <w:color w:val="000000"/>
        </w:rPr>
        <w:t>23142, Taiwan. drbfci@yahoo.com.tw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12,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July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Non-small-cell lung cancer (NSCLC) causes significant mortality worldwide. Patients with chronic renal failure have an increased risk of developing lung cancer. NSCLC Patients with chronic renal failure undergoing hemodialysis (HD) often exhibit poor performance, and chemotherapy is generally contraindicated. Oral epidermal growth factor receptor (EGFR)-tyrosine kinase inhibitors (TKIs) are effective treatment agents for NSCLC patients. However, the benefits and adverse effects of EGFR-TKIs in NSCLC undergoing HD are known. There are no clinical studies on the effects of EGFR-TKIs on NSCLC patients undergoing HD. We reviewed all previous case reports about EGFR-TKIs in NSCLC patients undergoing HD. It is difficult to design studies about the effects of EGFR-TKIs in patients undergoing HD, and this review is quite important. EGFR-TKIs are well tolerated in patients undergoing HD. The main routes of elimination of EGFR-TKIs are metabolism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liver, and renal elimination is minor. The recommended doses and pharmacokinetics of these EGFR-TKIs for patients undergoing HD are similar to those for patients with normal renal function. The plasma protein binding of EGFR-TKIs is very high, and it is not necessary to adjust the dose after HD. In c</w:t>
      </w:r>
      <w:r>
        <w:rPr>
          <w:rFonts w:ascii="Book Antiqua" w:hAnsi="Book Antiqua" w:eastAsia="Book Antiqua" w:cs="Book Antiqua"/>
          <w:color w:val="000000"/>
          <w:shd w:val="clear" w:color="auto" w:fill="FFFFFF"/>
        </w:rPr>
        <w:t>onclusion</w:t>
      </w:r>
      <w:r>
        <w:rPr>
          <w:rFonts w:ascii="Book Antiqua" w:hAnsi="Book Antiqua" w:eastAsia="Book Antiqua" w:cs="Book Antiqua"/>
          <w:color w:val="000000"/>
        </w:rPr>
        <w:t>, EGFR-TKIs are effective and well tolerated in patients undergoing HD.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Hemodialysis; Non-small-cell lung cancer; Epidermal growth factor receptor; Tyrosine-kinase inhibitors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Lan CC, Hsieh PC, Huang CY, Yang MC, Su WL, Wu CW, Wu YK. Review of epidermal growth factor receptor-tyrosine kinase inhibitors administration to non-small-cell lung cancer patients undergoing hemodialysis.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6360-6369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6360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6360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Lung cancer causes significant mortality worldwide. Patients with chronic renal failure increase the difficulty of treatment. Oral epidermal growth factor receptor (EGFR)-tyrosine kinase inhibitors (TKIs) are effective treatment agents for non-small-cell lung cancer (NSCLC) patients. According to this review, EGFR-TKIs are suitable for treating NSCLC patients undergoing hemodialysis (HD) owing to their good response rates and tolerance. The main routes of elimination of EGFR-TKIs are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liver and excretion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feces. The recommended doses and pharmacokinetics of EGFR-TKIs for patients undergoing HD are similar to those with normal renal function. The plasma protein binding of EGFR-TKIs is high, and it is not necessary to adjust the dose after HD.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i/>
        </w:rPr>
      </w:pPr>
      <w:r>
        <w:rPr>
          <w:rFonts w:ascii="Book Antiqua" w:hAnsi="Book Antiqua" w:eastAsia="Book Antiqua" w:cs="Book Antiqua"/>
          <w:b/>
          <w:bCs/>
          <w:i/>
          <w:color w:val="000000"/>
        </w:rPr>
        <w:t>Impact of lung cancers</w:t>
      </w:r>
    </w:p>
    <w:p>
      <w:pPr>
        <w:spacing w:line="360" w:lineRule="auto"/>
        <w:jc w:val="both"/>
        <w:rPr>
          <w:rFonts w:ascii="Book Antiqua" w:hAnsi="Book Antiqua"/>
        </w:rPr>
      </w:pPr>
      <w:r>
        <w:rPr>
          <w:rFonts w:ascii="Book Antiqua" w:hAnsi="Book Antiqua" w:eastAsia="Book Antiqua" w:cs="Book Antiqua"/>
          <w:color w:val="000000"/>
        </w:rPr>
        <w:t>Lung cancer causes significant mortality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Lung cancer is classified into small-cell lung cancer (SCLC) and non-small-cell lung cancer (NSCLC), with NSCLC accounting for 80%–85% of lung cancer cases and adenocarcinoma accounting for 80% of NSCLC cases</w:t>
      </w:r>
      <w:r>
        <w:rPr>
          <w:rFonts w:ascii="Book Antiqua" w:hAnsi="Book Antiqua" w:eastAsia="Book Antiqua" w:cs="Book Antiqua"/>
          <w:color w:val="000000"/>
          <w:vertAlign w:val="superscript"/>
        </w:rPr>
        <w:t>[1]</w:t>
      </w:r>
      <w:r>
        <w:rPr>
          <w:rFonts w:ascii="Book Antiqua" w:hAnsi="Book Antiqua" w:eastAsia="Book Antiqua" w:cs="Book Antiqua"/>
          <w:color w:val="000000"/>
        </w:rPr>
        <w:t>. Despite the development of modern medicines, the outcomes of lung cancer remain poor</w:t>
      </w:r>
      <w:r>
        <w:rPr>
          <w:rFonts w:ascii="Book Antiqua" w:hAnsi="Book Antiqua" w:eastAsia="Book Antiqua" w:cs="Book Antiqua"/>
          <w:color w:val="000000"/>
          <w:vertAlign w:val="superscript"/>
        </w:rPr>
        <w:t>[1]</w:t>
      </w:r>
      <w:r>
        <w:rPr>
          <w:rFonts w:ascii="Book Antiqua" w:hAnsi="Book Antiqua" w:eastAsia="Book Antiqua" w:cs="Book Antiqua"/>
          <w:color w:val="000000"/>
        </w:rPr>
        <w:t>. The treatment of NSCLC depends strictly on the disease stage, and 80% of NSCLC patients are diagnosed at advanced (IIIB/IV) stages</w:t>
      </w:r>
      <w:r>
        <w:rPr>
          <w:rFonts w:ascii="Book Antiqua" w:hAnsi="Book Antiqua" w:eastAsia="Book Antiqua" w:cs="Book Antiqua"/>
          <w:color w:val="000000"/>
          <w:vertAlign w:val="superscript"/>
        </w:rPr>
        <w:t>[1]</w:t>
      </w:r>
      <w:r>
        <w:rPr>
          <w:rFonts w:ascii="Book Antiqua" w:hAnsi="Book Antiqua" w:eastAsia="Book Antiqua" w:cs="Book Antiqua"/>
          <w:color w:val="000000"/>
        </w:rPr>
        <w:t>. Since the lungs are often diagnosed at advanced stages and are unresectable, targeted therapy and chemotherapy are the major treatments for these patients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general, chronic renal failure (CRF) patients undergoing hemodialysis (HD) exhibit a higher incidence of cancers, including lung cancer</w:t>
      </w:r>
      <w:r>
        <w:rPr>
          <w:rFonts w:ascii="Book Antiqua" w:hAnsi="Book Antiqua" w:eastAsia="Book Antiqua" w:cs="Book Antiqua"/>
          <w:color w:val="000000"/>
          <w:vertAlign w:val="superscript"/>
        </w:rPr>
        <w:t>[2]</w:t>
      </w:r>
      <w:r>
        <w:rPr>
          <w:rFonts w:ascii="Book Antiqua" w:hAnsi="Book Antiqua" w:eastAsia="Book Antiqua" w:cs="Book Antiqua"/>
          <w:color w:val="000000"/>
        </w:rPr>
        <w:t>. The risk factors for developing cancers include smoking, air pollution, genetic susceptibility, and occupational exposure</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suspected that the reasons for the higher incidence of cancers in patients undergoing HD are further related to weakened immunity, chronic inflammation, malnutrition, and impaired DNA repair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CRF increases the incidence of cancers as well as the difficulty in treating it. Therefore, the treatment of cancers in such patients is important. </w:t>
      </w:r>
    </w:p>
    <w:p>
      <w:pPr>
        <w:spacing w:line="360" w:lineRule="auto"/>
        <w:ind w:firstLine="480"/>
        <w:jc w:val="both"/>
        <w:rPr>
          <w:rFonts w:ascii="Book Antiqua" w:hAnsi="Book Antiqua"/>
        </w:rPr>
      </w:pPr>
      <w:r>
        <w:rPr>
          <w:rFonts w:ascii="Book Antiqua" w:hAnsi="Book Antiqua" w:eastAsia="Book Antiqua" w:cs="Book Antiqua"/>
          <w:color w:val="000000"/>
        </w:rPr>
        <w:t>For patients with cancer and CRF, who often exhibit poor performance, chemotherapy is generally contraindicated owing to its greater adverse effects (AEs). Moreover, chemotherapeutic drugs, such as cisplatin, are regarded as nephrotoxic agents and are not suitable for the treatment of CRF patients. Cisplatin is one of the most widely used chemotherapeutic agent for cancers. However, its clinical application is limited by its adverse effects, such as bone marrow suppression leading to hematopoietic abnormalities</w:t>
      </w:r>
      <w:r>
        <w:rPr>
          <w:rFonts w:ascii="Book Antiqua" w:hAnsi="Book Antiqua" w:eastAsia="Book Antiqua" w:cs="Book Antiqua"/>
          <w:color w:val="000000"/>
          <w:vertAlign w:val="superscript"/>
        </w:rPr>
        <w:t>[3]</w:t>
      </w:r>
      <w:r>
        <w:rPr>
          <w:rFonts w:ascii="Book Antiqua" w:hAnsi="Book Antiqua" w:eastAsia="Book Antiqua" w:cs="Book Antiqua"/>
          <w:color w:val="000000"/>
        </w:rPr>
        <w:t>. An increased incidence of adverse reactions to cisplatin has been reported in patients with renal insufficiency</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Therefore, the management of anti-cancer treatments for CRF patients undergoing HD is challenging.</w:t>
      </w:r>
    </w:p>
    <w:p>
      <w:pPr>
        <w:spacing w:line="360" w:lineRule="auto"/>
        <w:ind w:firstLine="480"/>
        <w:jc w:val="both"/>
        <w:rPr>
          <w:rFonts w:ascii="Book Antiqua" w:hAnsi="Book Antiqua"/>
        </w:rPr>
      </w:pPr>
      <w:r>
        <w:rPr>
          <w:rFonts w:ascii="Book Antiqua" w:hAnsi="Book Antiqua" w:eastAsia="Book Antiqua" w:cs="Book Antiqua"/>
          <w:color w:val="000000"/>
        </w:rPr>
        <w:t>Oral epidermal growth factor receptor (EGFR)-tyrosine kinase inhibitors (TKIs) are promising treatment agents for NSCLC patients. EGFR is a transmembrane receptor on the surface of epithelial cells and is considered an important molecular target in cancer treatment. EGFR gene mutation is a predictor of EGFR-TKI efficacy. EGFR-gene-activating mutations occur in 50%–60% of Asian and 10%–20% of Caucasian subjects with NSCLC</w:t>
      </w:r>
      <w:r>
        <w:rPr>
          <w:rFonts w:ascii="Book Antiqua" w:hAnsi="Book Antiqua" w:eastAsia="Book Antiqua" w:cs="Book Antiqua"/>
          <w:color w:val="000000"/>
          <w:vertAlign w:val="superscript"/>
        </w:rPr>
        <w:t>[5]</w:t>
      </w:r>
      <w:r>
        <w:rPr>
          <w:rFonts w:ascii="Book Antiqua" w:hAnsi="Book Antiqua" w:eastAsia="Book Antiqua" w:cs="Book Antiqua"/>
          <w:color w:val="000000"/>
        </w:rPr>
        <w:t>. Common mutations, including deletions in exon 19 and substitution of L858R in exon 21, comprise approximately 85% of EGFR mutations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Rare mutations (about 15%) include point mutations, insertions, and deletions within exons 18–25 of the EGFR gene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EGFR-TKIs exert low side effects and less impact on kidney function, and patients exhibit better tolerability for them</w:t>
      </w:r>
      <w:r>
        <w:rPr>
          <w:rFonts w:ascii="Book Antiqua" w:hAnsi="Book Antiqua" w:eastAsia="Book Antiqua" w:cs="Book Antiqua"/>
          <w:color w:val="000000"/>
          <w:vertAlign w:val="superscript"/>
        </w:rPr>
        <w:t>[6]</w:t>
      </w:r>
      <w:r>
        <w:rPr>
          <w:rFonts w:ascii="Book Antiqua" w:hAnsi="Book Antiqua" w:eastAsia="Book Antiqua" w:cs="Book Antiqua"/>
          <w:color w:val="000000"/>
        </w:rPr>
        <w:t>. EGFR-TKIs, including gefitinib and erlotinib (first-generation), afatinib (second-generation), and osimertinib (third-generation), have shown significant benefits, with improved overall response rates (ORRs), longer progression-free survival (PFS), and better overall survival rate (OS) in patients with NSCLC harboring EGFR mutations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Lung cancer patients undergoing HD sometimes exhibit poor performance; EGFR-TKIs are often a treatment choice for such patients. Since physicians worry about AEs and nephrotoxicity of chemotherapy agents in patients undergoing HD, EGFR-TKIs are often an optional strategy for such patients. However, most clinical trials have excluded patients undergoing HD, and the applicability of EGFR-TKIs for such patients has not been studied. Therefore, we aimed to review the benefits, AEs, and pharmacokinetics of EGFR-TKIs in patients undergoing HD.</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GEFITINIB</w:t>
      </w:r>
    </w:p>
    <w:p>
      <w:pPr>
        <w:spacing w:line="360" w:lineRule="auto"/>
        <w:jc w:val="both"/>
        <w:rPr>
          <w:rFonts w:ascii="Book Antiqua" w:hAnsi="Book Antiqua"/>
          <w:i/>
        </w:rPr>
      </w:pPr>
      <w:r>
        <w:rPr>
          <w:rFonts w:ascii="Book Antiqua" w:hAnsi="Book Antiqua" w:eastAsia="Book Antiqua" w:cs="Book Antiqua"/>
          <w:b/>
          <w:bCs/>
          <w:i/>
          <w:color w:val="000000"/>
        </w:rPr>
        <w:t>Clinical benefits of gefitinib</w:t>
      </w:r>
    </w:p>
    <w:p>
      <w:pPr>
        <w:spacing w:line="360" w:lineRule="auto"/>
        <w:jc w:val="both"/>
        <w:rPr>
          <w:rFonts w:ascii="Book Antiqua" w:hAnsi="Book Antiqua"/>
        </w:rPr>
      </w:pPr>
      <w:r>
        <w:rPr>
          <w:rFonts w:ascii="Book Antiqua" w:hAnsi="Book Antiqua" w:eastAsia="Book Antiqua" w:cs="Book Antiqua"/>
          <w:color w:val="000000"/>
        </w:rPr>
        <w:t>Gefitinib was approved for metastatic NSCLC patients with sensitive EGFR mutations in July 2015</w:t>
      </w:r>
      <w:r>
        <w:rPr>
          <w:rFonts w:ascii="Book Antiqua" w:hAnsi="Book Antiqua" w:eastAsia="Book Antiqua" w:cs="Book Antiqua"/>
          <w:color w:val="000000"/>
          <w:vertAlign w:val="superscript"/>
        </w:rPr>
        <w:t>[7]</w:t>
      </w:r>
      <w:r>
        <w:rPr>
          <w:rFonts w:ascii="Book Antiqua" w:hAnsi="Book Antiqua" w:eastAsia="Book Antiqua" w:cs="Book Antiqua"/>
          <w:color w:val="000000"/>
        </w:rPr>
        <w:t>. It has been demonstrated that using gefitinib as the first line of treatment for NSCLC with sensitive EGFR mutations results in an ORR of 62%–71%, PFS of 8–13</w:t>
      </w:r>
      <w:r>
        <w:rPr>
          <w:rFonts w:eastAsia="Book Antiqua"/>
          <w:color w:val="000000"/>
        </w:rPr>
        <w:t> </w:t>
      </w:r>
      <w:r>
        <w:rPr>
          <w:rFonts w:ascii="Book Antiqua" w:hAnsi="Book Antiqua" w:eastAsia="Book Antiqua" w:cs="Book Antiqua"/>
          <w:color w:val="000000"/>
        </w:rPr>
        <w:t xml:space="preserve">mo, and OS of 21–30 </w:t>
      </w:r>
      <w:r>
        <w:rPr>
          <w:rFonts w:eastAsia="Book Antiqua"/>
          <w:color w:val="000000"/>
        </w:rPr>
        <w:t> </w:t>
      </w:r>
      <w:r>
        <w:rPr>
          <w:rFonts w:ascii="Book Antiqua" w:hAnsi="Book Antiqua" w:eastAsia="Book Antiqua" w:cs="Book Antiqua"/>
          <w:color w:val="000000"/>
        </w:rPr>
        <w:t>mo</w:t>
      </w:r>
      <w:r>
        <w:rPr>
          <w:rFonts w:ascii="Book Antiqua" w:hAnsi="Book Antiqua" w:eastAsia="Book Antiqua" w:cs="Book Antiqua"/>
          <w:color w:val="000000"/>
          <w:vertAlign w:val="superscript"/>
        </w:rPr>
        <w:t>[7]</w:t>
      </w:r>
      <w:r>
        <w:rPr>
          <w:rFonts w:ascii="Book Antiqua" w:hAnsi="Book Antiqua" w:eastAsia="Book Antiqua" w:cs="Book Antiqua"/>
          <w:color w:val="000000"/>
        </w:rPr>
        <w:t>. The common AEs are skin rash, acne, and diarrhea</w:t>
      </w:r>
      <w:r>
        <w:rPr>
          <w:rFonts w:ascii="Book Antiqua" w:hAnsi="Book Antiqua" w:eastAsia="Book Antiqua" w:cs="Book Antiqua"/>
          <w:color w:val="000000"/>
          <w:vertAlign w:val="superscript"/>
        </w:rPr>
        <w:t>[7]</w:t>
      </w:r>
      <w:r>
        <w:rPr>
          <w:rFonts w:ascii="Book Antiqua" w:hAnsi="Book Antiqua" w:eastAsia="Book Antiqua" w:cs="Book Antiqua"/>
          <w:color w:val="000000"/>
        </w:rPr>
        <w:t>. Most AEs resolve on their own or after medical treatment. Elevation in liver function test parameters has been observed, but these elevations are often not accompanied by any symptoms. The incidence of rare AEs, such as interstitial lung disease (ILD), is approximately 1%</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Clinical benefits of gefitinib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Bersanelli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a 60-year-old female Caucasian non-smoker undergoing HD with right lung adenocarcinoma with mediastinal lymph nodes and bone metastasis. Her initial ECOG PS score was 0, and she received radiation therapy on the spine and was administered gemcitabine and cisplatin. Owing to progression of bone metastasis after three cycles of gemcitabine and cisplatin, second-line treatment with gefitinib was initiated. Gefitinib induced a good response of the disease to treatment for 7 years without complications. Del Conte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reported a 70-year-old male non-smoker undergoing HD with right middle lobe lung adenocarcinoma. The patient underwent right middle lobe lobectomy for pT1N0M0 NSCLC (stage IA). After 3.5 years from surgery, recurrent lung adenocarcinoma with deletion of 15 nucleotides of exon 19 was found. He received gefitinib and exhibited only a grade 1 cutaneous rash. After 2 years of gefitinib treatment, he was still in complete remission without serious AEs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Bersanelli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and Del Conte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showed that geﬁtinib was effective and well tolerated in patients undergoing HD.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gefitinib in patients with normal renal function</w:t>
      </w:r>
    </w:p>
    <w:p>
      <w:pPr>
        <w:spacing w:line="360" w:lineRule="auto"/>
        <w:jc w:val="both"/>
        <w:rPr>
          <w:rFonts w:ascii="Book Antiqua" w:hAnsi="Book Antiqua"/>
        </w:rPr>
      </w:pPr>
      <w:r>
        <w:rPr>
          <w:rFonts w:ascii="Book Antiqua" w:hAnsi="Book Antiqua" w:eastAsia="Book Antiqua" w:cs="Book Antiqua"/>
          <w:color w:val="000000"/>
        </w:rPr>
        <w:t xml:space="preserve">Most gefitinib is metabolized by the liver and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feces (86%), and a small portion (7%) is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urine (Figure 1A)</w:t>
      </w:r>
      <w:r>
        <w:rPr>
          <w:rFonts w:ascii="Book Antiqua" w:hAnsi="Book Antiqua" w:eastAsia="Book Antiqua" w:cs="Book Antiqua"/>
          <w:color w:val="000000"/>
          <w:vertAlign w:val="superscript"/>
        </w:rPr>
        <w:t>[10]</w:t>
      </w:r>
      <w:r>
        <w:rPr>
          <w:rFonts w:ascii="Book Antiqua" w:hAnsi="Book Antiqua" w:eastAsia="Book Antiqua" w:cs="Book Antiqua"/>
          <w:color w:val="000000"/>
        </w:rPr>
        <w:t>. Approximately 90% of gefitinib binds to plasma proteins in the blood</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half-life of gefitinib is 41 h, and steady-state plasma concentrations are attained by day 7–10</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maximum concentration (C</w:t>
      </w:r>
      <w:r>
        <w:rPr>
          <w:rFonts w:ascii="Book Antiqua" w:hAnsi="Book Antiqua" w:eastAsia="Book Antiqua" w:cs="Book Antiqua"/>
          <w:color w:val="000000"/>
          <w:vertAlign w:val="subscript"/>
        </w:rPr>
        <w:t>max</w:t>
      </w:r>
      <w:r>
        <w:rPr>
          <w:rFonts w:ascii="Book Antiqua" w:hAnsi="Book Antiqua" w:eastAsia="Book Antiqua" w:cs="Book Antiqua"/>
          <w:color w:val="000000"/>
        </w:rPr>
        <w:t>) is attained 5 h (3–7 h) after oral dosing, the median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is 377 (168–781) ng/mL, the area under the curve of the plasma concentration from 0 to 24 h (AUC</w:t>
      </w:r>
      <w:r>
        <w:rPr>
          <w:rFonts w:ascii="Book Antiqua" w:hAnsi="Book Antiqua" w:eastAsia="Book Antiqua" w:cs="Book Antiqua"/>
          <w:color w:val="000000"/>
          <w:vertAlign w:val="subscript"/>
        </w:rPr>
        <w:t>0-24</w:t>
      </w:r>
      <w:r>
        <w:rPr>
          <w:rFonts w:ascii="Book Antiqua" w:hAnsi="Book Antiqua" w:eastAsia="Book Antiqua" w:cs="Book Antiqua"/>
          <w:color w:val="000000"/>
        </w:rPr>
        <w:t>) is 4893 (698–13991) ng•hr/mL, and the trough concentration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is 410 (115–1021) ng/mL</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gefitinib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There are only two case reports on the pharmacokinetics of gefitinib in patients undergoing HD. Shinagawa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performed the first pharmacokinetic analysis of gefitinib in a 58-year-old female non-smoker undergoing HD for 8 years. She developed lung adenocarcinoma (pT1N0M0, stage IA) and underwent left lower lobectomy (LLL)</w:t>
      </w:r>
      <w:r>
        <w:rPr>
          <w:rFonts w:ascii="Book Antiqua" w:hAnsi="Book Antiqua" w:eastAsia="Book Antiqua" w:cs="Book Antiqua"/>
          <w:color w:val="000000"/>
          <w:vertAlign w:val="superscript"/>
        </w:rPr>
        <w:t>[12]</w:t>
      </w:r>
      <w:r>
        <w:rPr>
          <w:rFonts w:ascii="Book Antiqua" w:hAnsi="Book Antiqua" w:eastAsia="Book Antiqua" w:cs="Book Antiqua"/>
          <w:color w:val="000000"/>
        </w:rPr>
        <w:t>. Two years later, she had recurrent lung cancer, which had metastasized to the left subclavian lymph node, and meningitis. The EGFR mutation showed a deletion of 15 nucleotides in exon 19 in tumor tissues. She was administered 250 mg gefitinib daily.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and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gefitinib were 410.4 and 102.7 ng/mL, respectively. The plasma concentrations were 308.3 and 272.2 ng/mL before and after HD (88% maintained throughout HD), respectively</w:t>
      </w:r>
      <w:r>
        <w:rPr>
          <w:rFonts w:ascii="Book Antiqua" w:hAnsi="Book Antiqua" w:eastAsia="Book Antiqua" w:cs="Book Antiqua"/>
          <w:color w:val="000000"/>
          <w:vertAlign w:val="superscript"/>
        </w:rPr>
        <w:t>[12]</w:t>
      </w:r>
      <w:r>
        <w:rPr>
          <w:rFonts w:ascii="Book Antiqua" w:hAnsi="Book Antiqua" w:eastAsia="Book Antiqua" w:cs="Book Antiqua"/>
          <w:color w:val="000000"/>
        </w:rPr>
        <w:t>. There were no serious AEs following gefitinib administration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Luo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reported a 75-year-old female non-smoker with lung adenocarcinoma (pT1N0M0, stage IA) who underwent right lower lobectomy. Nine years later, she underwent HD due to hypertension. However, the lung cancer relapsed with multiple nodules in both lungs. EGFR mutations in the tumor tissue revealed an L858R mutation in exon 21. She was then administered 250 mg gefitinib daily.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456 and 463 ng/mL on non-HD and HD days, respectively.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was 386 ng/mL. The plasma concentrations were 376 and 463 ng/mL before and after HD, respectively. The initial response to gefitinib was a decrease in tumor size, but the tumor increased in size after 8 mo of treatment. No severe AEs were reported after gefitinib administration.</w:t>
      </w:r>
    </w:p>
    <w:p>
      <w:pPr>
        <w:spacing w:line="360" w:lineRule="auto"/>
        <w:ind w:firstLine="480"/>
        <w:jc w:val="both"/>
        <w:rPr>
          <w:rFonts w:ascii="Book Antiqua" w:hAnsi="Book Antiqua"/>
        </w:rPr>
      </w:pPr>
      <w:r>
        <w:rPr>
          <w:rFonts w:ascii="Book Antiqua" w:hAnsi="Book Antiqua" w:eastAsia="Book Antiqua" w:cs="Book Antiqua"/>
          <w:color w:val="000000"/>
        </w:rPr>
        <w:t>The data on the pharmacokinetics of gefitinib in patients undergoing HD and normal renal function (NRF) are shown in Figure 2. These data revealed that the pharmacokinetics of gefitinib in patients undergoing HD were similar to subjects with NRF</w:t>
      </w:r>
      <w:r>
        <w:rPr>
          <w:rFonts w:ascii="Book Antiqua" w:hAnsi="Book Antiqua" w:eastAsia="Book Antiqua" w:cs="Book Antiqua"/>
          <w:color w:val="000000"/>
          <w:vertAlign w:val="superscript"/>
        </w:rPr>
        <w:t>[12,13]</w:t>
      </w:r>
      <w:r>
        <w:rPr>
          <w:rFonts w:ascii="Book Antiqua" w:hAnsi="Book Antiqua" w:eastAsia="Book Antiqua" w:cs="Book Antiqua"/>
          <w:color w:val="000000"/>
        </w:rPr>
        <w:t>. Since 90% of gefitinib is bound to plasma proteins</w:t>
      </w:r>
      <w:r>
        <w:rPr>
          <w:rFonts w:ascii="Book Antiqua" w:hAnsi="Book Antiqua" w:eastAsia="Book Antiqua" w:cs="Book Antiqua"/>
          <w:color w:val="000000"/>
          <w:vertAlign w:val="superscript"/>
        </w:rPr>
        <w:t>[10]</w:t>
      </w:r>
      <w:r>
        <w:rPr>
          <w:rFonts w:ascii="Book Antiqua" w:hAnsi="Book Antiqua" w:eastAsia="Book Antiqua" w:cs="Book Antiqua"/>
          <w:color w:val="000000"/>
        </w:rPr>
        <w:t>, it was rational that 90% of gefitinib was retained in the blood after HD. In addition, these patients showed a good response to gefitinib and did not have elevated AEs</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ERLOTINIB</w:t>
      </w:r>
    </w:p>
    <w:p>
      <w:pPr>
        <w:spacing w:line="360" w:lineRule="auto"/>
        <w:jc w:val="both"/>
        <w:rPr>
          <w:rFonts w:ascii="Book Antiqua" w:hAnsi="Book Antiqua"/>
          <w:i/>
        </w:rPr>
      </w:pPr>
      <w:r>
        <w:rPr>
          <w:rFonts w:ascii="Book Antiqua" w:hAnsi="Book Antiqua" w:eastAsia="Book Antiqua" w:cs="Book Antiqua"/>
          <w:b/>
          <w:bCs/>
          <w:i/>
          <w:color w:val="000000"/>
        </w:rPr>
        <w:t>Clinical benefits of erlotinib</w:t>
      </w:r>
    </w:p>
    <w:p>
      <w:pPr>
        <w:spacing w:line="360" w:lineRule="auto"/>
        <w:jc w:val="both"/>
        <w:rPr>
          <w:rFonts w:ascii="Book Antiqua" w:hAnsi="Book Antiqua"/>
        </w:rPr>
      </w:pPr>
      <w:r>
        <w:rPr>
          <w:rFonts w:ascii="Book Antiqua" w:hAnsi="Book Antiqua" w:eastAsia="Book Antiqua" w:cs="Book Antiqua"/>
          <w:color w:val="000000"/>
        </w:rPr>
        <w:t>Erlotinib is a reversible EGFR-TKI that was approved in 2004 for patients harboring EGFR exon 21 L858R mutations and exon 19 deletion</w:t>
      </w:r>
      <w:r>
        <w:rPr>
          <w:rFonts w:ascii="Book Antiqua" w:hAnsi="Book Antiqua" w:eastAsia="Book Antiqua" w:cs="Book Antiqua"/>
          <w:color w:val="000000"/>
          <w:vertAlign w:val="superscript"/>
        </w:rPr>
        <w:t>[6]</w:t>
      </w:r>
      <w:r>
        <w:rPr>
          <w:rFonts w:ascii="Book Antiqua" w:hAnsi="Book Antiqua" w:eastAsia="Book Antiqua" w:cs="Book Antiqua"/>
          <w:color w:val="000000"/>
        </w:rPr>
        <w:t>. Previous studies using erlotinib as the first line of treatment for NSCLC with sensitive EGFR gene mutations showed an ORR of 58%–83%, PFS of 9.7–13</w:t>
      </w:r>
      <w:r>
        <w:rPr>
          <w:rFonts w:eastAsia="Book Antiqua"/>
          <w:color w:val="000000"/>
        </w:rPr>
        <w:t> </w:t>
      </w:r>
      <w:r>
        <w:rPr>
          <w:rFonts w:ascii="Book Antiqua" w:hAnsi="Book Antiqua" w:eastAsia="Book Antiqua" w:cs="Book Antiqua"/>
          <w:color w:val="000000"/>
        </w:rPr>
        <w:t xml:space="preserve">mo, and OS of 23–33 </w:t>
      </w:r>
      <w:r>
        <w:rPr>
          <w:rFonts w:eastAsia="Book Antiqua"/>
          <w:color w:val="000000"/>
        </w:rPr>
        <w:t> </w:t>
      </w:r>
      <w:r>
        <w:rPr>
          <w:rFonts w:ascii="Book Antiqua" w:hAnsi="Book Antiqua" w:eastAsia="Book Antiqua" w:cs="Book Antiqua"/>
          <w:color w:val="000000"/>
        </w:rPr>
        <w:t>mo</w:t>
      </w:r>
      <w:r>
        <w:rPr>
          <w:rFonts w:ascii="Book Antiqua" w:hAnsi="Book Antiqua" w:eastAsia="Book Antiqua" w:cs="Book Antiqua"/>
          <w:color w:val="000000"/>
          <w:vertAlign w:val="superscript"/>
        </w:rPr>
        <w:t>[14]</w:t>
      </w:r>
      <w:r>
        <w:rPr>
          <w:rFonts w:ascii="Book Antiqua" w:hAnsi="Book Antiqua" w:eastAsia="Book Antiqua" w:cs="Book Antiqua"/>
          <w:color w:val="000000"/>
        </w:rPr>
        <w:t>. Common AEs included skin rash, diarrhea, nausea, anorexia, dermatitis acneiform, fatigue, anemia, and ILD</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grade 3 or 4 AEs rarely occurred in subjects upon administration of erlotinib</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erlotinib in patients with NRF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Most erlotinib is metabolized by the liver and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feces (80%–90%), and a small portion (9%) is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urine (Figure 1B)</w:t>
      </w:r>
      <w:r>
        <w:rPr>
          <w:rFonts w:ascii="Book Antiqua" w:hAnsi="Book Antiqua" w:eastAsia="Book Antiqua" w:cs="Book Antiqua"/>
          <w:color w:val="000000"/>
          <w:vertAlign w:val="superscript"/>
        </w:rPr>
        <w:t>[15]</w:t>
      </w:r>
      <w:r>
        <w:rPr>
          <w:rFonts w:ascii="Book Antiqua" w:hAnsi="Book Antiqua" w:eastAsia="Book Antiqua" w:cs="Book Antiqua"/>
          <w:color w:val="000000"/>
        </w:rPr>
        <w:t>. Approximately 95% of erlotinib is bound to plasma proteins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half-life of erlotinib is 21.86 ± 28.35 h, and steady-state concentrations in plasma are attained by day 8–10</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is attained 3.69 ± 3.21 h after dosing, and the median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is 2290 ± 840 ng/mL. The median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is 35760 ± 15720 ng•hr/mL</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Pharmacokinetics of erlotinib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Togashi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reported three NSCLC patients undergoing HD who were treated with erlotinib. Case 1 was a 74-year-old male ex-smoker undergoing HD for 5 years, who had lung adenocarcinoma (cT1N3M1, stage IV) without any EGFR mutations. Case 2 was a 74-year-old female non-smoker undergoing HD for 3 years, who had adenocarcinoma (cT2N0M0, stage IB) without any EGFR mutations. Initially, she received irradiation therapy with a dose of 54 Gy for the tumor. The tumor enlarged, with invasion to the chest wall, and metastasized to the hilar lymph node (cT3N1M0, IIIA). Case 3 was a 69-year-old male current smoker undergoing HD for 1 year, with lung squamous cell carcinoma (cT2N1M1, stage IV). All 3 patients were administered 150 mg erlotinib daily. Pharmacokinetic analyses of erlotinib were conducted on the first day (non-HD), eighth day (non-HD), and ninth day (HD) after administration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For these 3 patients undergoing HD,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and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on day 1 were 960 ± 287 ng/mL, 338 ± 116 ng/mL, and 13944 ± 4590 ng•hr/mL, respectively. On day 8 without HD,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and AUC</w:t>
      </w:r>
      <w:r>
        <w:rPr>
          <w:rFonts w:ascii="Book Antiqua" w:hAnsi="Book Antiqua" w:eastAsia="Book Antiqua" w:cs="Book Antiqua"/>
          <w:color w:val="000000"/>
          <w:vertAlign w:val="subscript"/>
        </w:rPr>
        <w:t xml:space="preserve">0-24 </w:t>
      </w:r>
      <w:r>
        <w:rPr>
          <w:rFonts w:ascii="Book Antiqua" w:hAnsi="Book Antiqua" w:eastAsia="Book Antiqua" w:cs="Book Antiqua"/>
          <w:color w:val="000000"/>
        </w:rPr>
        <w:t>were 1638 ± 206 ng/mL, 494 ± 336 ng/mL, and 23285 ± 5338 ng•hr/mL, respectively. On day 9 (HD day),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1633 ± 338 ng/mL. The plasma concentrations of erlotinib before and after HD were 1465 ± 350 and 1360 ± 375 ng/mL, respectively. The pharmacokinetic parameters on the ninth day were similar to those on the eighth day, indicating that erlotinib was hardly eliminated by HD. In addition, the data of patients undergoing HD were similar to subjects with NRF. There were no serious AEs in these cases.</w:t>
      </w:r>
    </w:p>
    <w:p>
      <w:pPr>
        <w:spacing w:line="360" w:lineRule="auto"/>
        <w:ind w:firstLine="480"/>
        <w:jc w:val="both"/>
        <w:rPr>
          <w:rFonts w:ascii="Book Antiqua" w:hAnsi="Book Antiqua"/>
        </w:rPr>
      </w:pPr>
      <w:r>
        <w:rPr>
          <w:rFonts w:ascii="Book Antiqua" w:hAnsi="Book Antiqua" w:eastAsia="Book Antiqua" w:cs="Book Antiqua"/>
          <w:color w:val="000000"/>
        </w:rPr>
        <w:t>The data on the pharmacokinetics of erlotinib in patients undergoing HD and subjects with NRF are shown in Figure 3. These data suggested that the pharmacokinetics of erlotinib in patients undergoing HD were similar to subjects with NRF</w:t>
      </w:r>
      <w:r>
        <w:rPr>
          <w:rFonts w:ascii="Book Antiqua" w:hAnsi="Book Antiqua" w:eastAsia="Book Antiqua" w:cs="Book Antiqua"/>
          <w:color w:val="000000"/>
          <w:vertAlign w:val="superscript"/>
        </w:rPr>
        <w:t>[16,17]</w:t>
      </w:r>
      <w:r>
        <w:rPr>
          <w:rFonts w:ascii="Book Antiqua" w:hAnsi="Book Antiqua" w:eastAsia="Book Antiqua" w:cs="Book Antiqua"/>
          <w:color w:val="000000"/>
        </w:rPr>
        <w:t>. Since 95% of erlotinib is bound to plasma proteins</w:t>
      </w:r>
      <w:r>
        <w:rPr>
          <w:rFonts w:ascii="Book Antiqua" w:hAnsi="Book Antiqua" w:eastAsia="Book Antiqua" w:cs="Book Antiqua"/>
          <w:color w:val="000000"/>
          <w:vertAlign w:val="superscript"/>
        </w:rPr>
        <w:t>[15]</w:t>
      </w:r>
      <w:r>
        <w:rPr>
          <w:rFonts w:ascii="Book Antiqua" w:hAnsi="Book Antiqua" w:eastAsia="Book Antiqua" w:cs="Book Antiqua"/>
          <w:color w:val="000000"/>
        </w:rPr>
        <w:t>, it was rational that most erlotinib was retained in the plasma after HD.</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AFATINIB</w:t>
      </w:r>
    </w:p>
    <w:p>
      <w:pPr>
        <w:spacing w:line="360" w:lineRule="auto"/>
        <w:jc w:val="both"/>
        <w:rPr>
          <w:rFonts w:ascii="Book Antiqua" w:hAnsi="Book Antiqua"/>
          <w:i/>
        </w:rPr>
      </w:pPr>
      <w:r>
        <w:rPr>
          <w:rFonts w:ascii="Book Antiqua" w:hAnsi="Book Antiqua" w:eastAsia="Book Antiqua" w:cs="Book Antiqua"/>
          <w:b/>
          <w:bCs/>
          <w:i/>
          <w:color w:val="000000"/>
        </w:rPr>
        <w:t>Clinical benefits of afatinib</w:t>
      </w:r>
    </w:p>
    <w:p>
      <w:pPr>
        <w:spacing w:line="360" w:lineRule="auto"/>
        <w:jc w:val="both"/>
        <w:rPr>
          <w:rFonts w:ascii="Book Antiqua" w:hAnsi="Book Antiqua"/>
        </w:rPr>
      </w:pPr>
      <w:r>
        <w:rPr>
          <w:rFonts w:ascii="Book Antiqua" w:hAnsi="Book Antiqua" w:eastAsia="Book Antiqua" w:cs="Book Antiqua"/>
          <w:color w:val="000000"/>
        </w:rPr>
        <w:t>Afatinib is an irreversible covalent inhibitor of the Erb-B receptor tyrosine kinase family, including EGFR, Erb-B2 receptor tyrosine kinase 2/human epidermal growth factor receptor 2, and Erb-B4 receptor tyrosine kinase 4/human epidermal growth factor receptor 4</w:t>
      </w:r>
      <w:r>
        <w:rPr>
          <w:rFonts w:ascii="Book Antiqua" w:hAnsi="Book Antiqua" w:eastAsia="Book Antiqua" w:cs="Book Antiqua"/>
          <w:color w:val="000000"/>
          <w:vertAlign w:val="superscript"/>
        </w:rPr>
        <w:t>[18]</w:t>
      </w:r>
      <w:r>
        <w:rPr>
          <w:rFonts w:ascii="Book Antiqua" w:hAnsi="Book Antiqua" w:eastAsia="Book Antiqua" w:cs="Book Antiqua"/>
          <w:color w:val="000000"/>
        </w:rPr>
        <w:t>. It was approved by the Food and Drug Administration in 2013 for NSCLC with exon 21 L858R substitutions and exon 19 deletions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Recent studies suggested that afatinib is effective against other uncommon mutations, such as L861Q in exon 21 and G719X in exon 18, and it was therefore approved by the Food and Drug Administration in 2018 for these uncommon EGFR mutations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Previous studies using afatinib as the first line of treatment for NSCLC with sensitive EGFR gene mutations showed an ORR of 70%–81.8%, PFS of 13.4–15.2 mo, and OS of 27.9–49 mo</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commonly reported AEs were diarrhea, skin rash, paronychia, mucosal inflammation, dry skin, stomatitis, skin fissures, nausea, dermatitis acneiform, and conjunctivitis</w:t>
      </w:r>
      <w:r>
        <w:rPr>
          <w:rFonts w:ascii="Book Antiqua" w:hAnsi="Book Antiqua" w:eastAsia="Book Antiqua" w:cs="Book Antiqua"/>
          <w:color w:val="000000"/>
          <w:vertAlign w:val="superscript"/>
        </w:rPr>
        <w:t>[18]</w:t>
      </w:r>
      <w:r>
        <w:rPr>
          <w:rFonts w:ascii="Book Antiqua" w:hAnsi="Book Antiqua" w:eastAsia="Book Antiqua" w:cs="Book Antiqua"/>
          <w:color w:val="000000"/>
        </w:rPr>
        <w:t>. Most AEs were of grade 1–2, and serious AEs were uncommon. However, serious AEs are more frequently reported for afatinib than for gefitinib and erlotinib</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afatinib in patients with NRF</w:t>
      </w:r>
    </w:p>
    <w:p>
      <w:pPr>
        <w:spacing w:line="360" w:lineRule="auto"/>
        <w:jc w:val="both"/>
        <w:rPr>
          <w:rFonts w:ascii="Book Antiqua" w:hAnsi="Book Antiqua"/>
        </w:rPr>
      </w:pPr>
      <w:r>
        <w:rPr>
          <w:rFonts w:ascii="Book Antiqua" w:hAnsi="Book Antiqua" w:eastAsia="Book Antiqua" w:cs="Book Antiqua"/>
          <w:color w:val="000000"/>
        </w:rPr>
        <w:t xml:space="preserve">Most afatinib is excreted through feces (85%), and a small amount (15%) is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urine (Figure 1C)</w:t>
      </w:r>
      <w:r>
        <w:rPr>
          <w:rFonts w:ascii="Book Antiqua" w:hAnsi="Book Antiqua" w:eastAsia="Book Antiqua" w:cs="Book Antiqua"/>
          <w:color w:val="000000"/>
          <w:vertAlign w:val="superscript"/>
        </w:rPr>
        <w:t>[19]</w:t>
      </w:r>
      <w:r>
        <w:rPr>
          <w:rFonts w:ascii="Book Antiqua" w:hAnsi="Book Antiqua" w:eastAsia="Book Antiqua" w:cs="Book Antiqua"/>
          <w:color w:val="000000"/>
        </w:rPr>
        <w:t>. Approximately 95% of afatinib is bound to plasma proteins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half-life periods for 30 and 40 mg afatinib are 21.3 and 26.9 h, respectively</w:t>
      </w:r>
      <w:r>
        <w:rPr>
          <w:rFonts w:ascii="Book Antiqua" w:hAnsi="Book Antiqua" w:eastAsia="Book Antiqua" w:cs="Book Antiqua"/>
          <w:color w:val="000000"/>
          <w:vertAlign w:val="superscript"/>
        </w:rPr>
        <w:t>[19]</w:t>
      </w:r>
      <w:r>
        <w:rPr>
          <w:rFonts w:ascii="Book Antiqua" w:hAnsi="Book Antiqua" w:eastAsia="Book Antiqua" w:cs="Book Antiqua"/>
          <w:color w:val="000000"/>
        </w:rPr>
        <w:t>. Steady-state plasma concentrations are attained in approximately 8 d</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is attained approximately 2–5 h after administration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For daily administration of 30 mg afatinib, the median C</w:t>
      </w:r>
      <w:r>
        <w:rPr>
          <w:rFonts w:ascii="Book Antiqua" w:hAnsi="Book Antiqua" w:eastAsia="Book Antiqua" w:cs="Book Antiqua"/>
          <w:color w:val="000000"/>
          <w:vertAlign w:val="subscript"/>
        </w:rPr>
        <w:t>max</w:t>
      </w:r>
      <w:r>
        <w:rPr>
          <w:rFonts w:ascii="Book Antiqua" w:hAnsi="Book Antiqua" w:eastAsia="Book Antiqua" w:cs="Book Antiqua"/>
          <w:color w:val="000000"/>
        </w:rPr>
        <w:t>,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and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are 16.3 ng/mL, 15.1 ng/mL (8.1–38.1 ng/mL), and 189 ng•hr/mL, respectively</w:t>
      </w:r>
      <w:r>
        <w:rPr>
          <w:rFonts w:ascii="Book Antiqua" w:hAnsi="Book Antiqua" w:eastAsia="Book Antiqua" w:cs="Book Antiqua"/>
          <w:color w:val="000000"/>
          <w:vertAlign w:val="superscript"/>
        </w:rPr>
        <w:t>[21,22]</w:t>
      </w:r>
      <w:r>
        <w:rPr>
          <w:rFonts w:ascii="Book Antiqua" w:hAnsi="Book Antiqua" w:eastAsia="Book Antiqua" w:cs="Book Antiqua"/>
          <w:color w:val="000000"/>
        </w:rPr>
        <w:t>. For daily administration of 40 mg afatinib, the median C</w:t>
      </w:r>
      <w:r>
        <w:rPr>
          <w:rFonts w:ascii="Book Antiqua" w:hAnsi="Book Antiqua" w:eastAsia="Book Antiqua" w:cs="Book Antiqua"/>
          <w:color w:val="000000"/>
          <w:vertAlign w:val="subscript"/>
        </w:rPr>
        <w:t>max</w:t>
      </w:r>
      <w:r>
        <w:rPr>
          <w:rFonts w:ascii="Book Antiqua" w:hAnsi="Book Antiqua" w:eastAsia="Book Antiqua" w:cs="Book Antiqua"/>
          <w:color w:val="000000"/>
        </w:rPr>
        <w:t>,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and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are 25.2 ng/mL, 18.2–34.1 ng/mL, and 324 ng•hr/mL, respectively</w:t>
      </w:r>
      <w:r>
        <w:rPr>
          <w:rFonts w:ascii="Book Antiqua" w:hAnsi="Book Antiqua" w:eastAsia="Book Antiqua" w:cs="Book Antiqua"/>
          <w:color w:val="000000"/>
          <w:vertAlign w:val="superscript"/>
        </w:rPr>
        <w:t>[21,22]</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Clinical benefits of afatinib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Yamaguchi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reported a 59-year-old male ex-smoker undergoing HD for 17 years and diagnosed with stage IV lung adenocarcinoma (cT4N3M1b) with multiple pulmonary, hepatic, and bony metastases. Analysis of EGFR mutations revealed a G719A point mutation in exon 18. The patient received oral afatinib (30 mg) daily. The treatment was well tolerated, with only mild skin rash and no diarrhea. The tumors shrank after 2 mo of treatment. Bersanelli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afatinib as a third-line treatment for an NSCLC patient undergoing HD. Initially, the patient received cisplatin and gemcitabine (first-line) and gefitinib (second-line). After tumor progression, the patient was started on 30 mg afatinib daily. The treatment was well tolerated, with only mild asthenia. After 2 mo, the afatinib dosage was increased to 40 mg daily, which caused significant asthenia, vomiting, and nausea</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The United States prescribing information recommends that the dose of afatinib be decreased to 30 mg daily for subjects with renal impairment. However, this recommendation cannot be made for patients with severe renal impairment or those undergoing HD, as afatinib has not been studied in these populations</w:t>
      </w:r>
      <w:r>
        <w:rPr>
          <w:rFonts w:ascii="Book Antiqua" w:hAnsi="Book Antiqua" w:eastAsia="Book Antiqua" w:cs="Book Antiqua"/>
          <w:color w:val="000000"/>
          <w:vertAlign w:val="superscript"/>
        </w:rPr>
        <w:t>[20]</w:t>
      </w:r>
      <w:r>
        <w:rPr>
          <w:rFonts w:ascii="Book Antiqua" w:hAnsi="Book Antiqua" w:eastAsia="Book Antiqua" w:cs="Book Antiqua"/>
          <w:color w:val="000000"/>
        </w:rPr>
        <w:t>. Based on these two case reports, we suggest that 30 mg afatinib is safe and effective in patients undergoing HD</w:t>
      </w:r>
      <w:r>
        <w:rPr>
          <w:rFonts w:ascii="Book Antiqua" w:hAnsi="Book Antiqua" w:eastAsia="Book Antiqua" w:cs="Book Antiqua"/>
          <w:color w:val="000000"/>
          <w:vertAlign w:val="superscript"/>
        </w:rPr>
        <w:t>[8,23]</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afatinib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Yamaguchi </w:t>
      </w:r>
      <w:r>
        <w:rPr>
          <w:rFonts w:ascii="Book Antiqua" w:hAnsi="Book Antiqua" w:eastAsia="Book Antiqua" w:cs="Book Antiqua"/>
          <w:i/>
          <w:iCs/>
          <w:color w:val="000000"/>
        </w:rPr>
        <w:t>et al</w:t>
      </w:r>
      <w:r>
        <w:rPr>
          <w:rFonts w:ascii="Book Antiqua" w:hAnsi="Book Antiqua" w:eastAsia="Book Antiqua" w:cs="Book Antiqua"/>
          <w:color w:val="000000"/>
        </w:rPr>
        <w:t xml:space="preserve"> performed the first pharmacokinetic analysis of daily administration of 30 mg afatinib to patients undergoing HD</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values were 10.2 (day 2), 15.7 (day 3), 22.8 (day 10), 27.3 (day 11), and 23.8 ng/mL (day 12). Steady-state concentrations were attained by day 12. Yamaguchi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suggested that daily administration of 30 mg afatinib was safe for patients undergoing HD. Imai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also performed pharmacokinetic analysis of daily administration of 30 mg afatinib as first-line afatinib therapy for three lung cancer patients undergoing HD. Case 1 was a 78-year-old male with stage IV adenocarcinoma (cT1bN0M1b) with an EGFR mutation (exon 19 deletion). Case 2 was a 75-year-old male ex-smoker with lung adenocarcinoma (pT1aN0M0) with an EGFR mutation (exon 19 deletion) undergoing HD. However, postoperative mediastinal lymph nodes recurred. Case 3 was a 62-year-old male non-smoker with adenocarcinoma (pT2aN1M0) with an EGFR mutation (exon 21 L858R). Multiple pulmonary metastases with malignant pleural effusion occurred after the surgery. The pharmacokinetic analyses of the 3 cases revealed that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13.4 ± 6.2 and 51.7 ± 23.8 ng/mL on days 1 and 10, respectively, and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was 4.5 ± 2.3 and 28.3 ± 9.0 ng/mL on days 2 and 11, respectively. The principal AEs were skin rash, dry skin, diarrhea, and malaise, and no severe AEs were reported except 1 case of grade 3 diarrhea. All the patients were maintained at partial response until the article was published (135–456 d).</w:t>
      </w:r>
    </w:p>
    <w:p>
      <w:pPr>
        <w:spacing w:line="360" w:lineRule="auto"/>
        <w:ind w:firstLine="480"/>
        <w:jc w:val="both"/>
        <w:rPr>
          <w:rFonts w:ascii="Book Antiqua" w:hAnsi="Book Antiqua"/>
        </w:rPr>
      </w:pPr>
      <w:r>
        <w:rPr>
          <w:rFonts w:ascii="Book Antiqua" w:hAnsi="Book Antiqua" w:eastAsia="Book Antiqua" w:cs="Book Antiqua"/>
          <w:color w:val="000000"/>
        </w:rPr>
        <w:t>The data on the pharmacokinetics of afatinib in patients undergoing HD and subjects with NRF are shown in Figure 4. Since approximately 95% of afatinib is bound to plasma proteins</w:t>
      </w:r>
      <w:r>
        <w:rPr>
          <w:rFonts w:ascii="Book Antiqua" w:hAnsi="Book Antiqua" w:eastAsia="Book Antiqua" w:cs="Book Antiqua"/>
          <w:color w:val="000000"/>
          <w:vertAlign w:val="superscript"/>
        </w:rPr>
        <w:t>[25]</w:t>
      </w:r>
      <w:r>
        <w:rPr>
          <w:rFonts w:ascii="Book Antiqua" w:hAnsi="Book Antiqua" w:eastAsia="Book Antiqua" w:cs="Book Antiqua"/>
          <w:color w:val="000000"/>
        </w:rPr>
        <w:t>, afatinib is poorly eliminated during HD. The pharmacokinetics of afatinib in the aforementioned patients undergoing HD were comparable with subjects with NRF</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OSIMERTINIB</w:t>
      </w:r>
    </w:p>
    <w:p>
      <w:pPr>
        <w:spacing w:line="360" w:lineRule="auto"/>
        <w:jc w:val="both"/>
        <w:rPr>
          <w:rFonts w:ascii="Book Antiqua" w:hAnsi="Book Antiqua"/>
          <w:i/>
        </w:rPr>
      </w:pPr>
      <w:r>
        <w:rPr>
          <w:rFonts w:ascii="Book Antiqua" w:hAnsi="Book Antiqua" w:eastAsia="Book Antiqua" w:cs="Book Antiqua"/>
          <w:b/>
          <w:bCs/>
          <w:i/>
          <w:color w:val="000000"/>
        </w:rPr>
        <w:t>Clinical benefits of osimertinib</w:t>
      </w:r>
    </w:p>
    <w:p>
      <w:pPr>
        <w:spacing w:line="360" w:lineRule="auto"/>
        <w:jc w:val="both"/>
        <w:rPr>
          <w:rFonts w:ascii="Book Antiqua" w:hAnsi="Book Antiqua"/>
        </w:rPr>
      </w:pPr>
      <w:r>
        <w:rPr>
          <w:rFonts w:ascii="Book Antiqua" w:hAnsi="Book Antiqua" w:eastAsia="Book Antiqua" w:cs="Book Antiqua"/>
          <w:color w:val="000000"/>
        </w:rPr>
        <w:t>Osimertinib selectively and potently inhibits sensitive EGFR gene mutations</w:t>
      </w:r>
      <w:r>
        <w:rPr>
          <w:rFonts w:ascii="Book Antiqua" w:hAnsi="Book Antiqua" w:eastAsia="Book Antiqua" w:cs="Book Antiqua"/>
          <w:color w:val="000000"/>
          <w:vertAlign w:val="superscript"/>
        </w:rPr>
        <w:t>[26]</w:t>
      </w:r>
      <w:r>
        <w:rPr>
          <w:rFonts w:ascii="Book Antiqua" w:hAnsi="Book Antiqua" w:eastAsia="Book Antiqua" w:cs="Book Antiqua"/>
          <w:color w:val="000000"/>
        </w:rPr>
        <w:t>. Osimertinib also has a good response in NSCLC with acquired EGFR T790M resistance after treatment with first-or second-generation EGFR-TKIs.</w:t>
      </w:r>
    </w:p>
    <w:p>
      <w:pPr>
        <w:spacing w:line="360" w:lineRule="auto"/>
        <w:ind w:firstLine="480"/>
        <w:jc w:val="both"/>
        <w:rPr>
          <w:rFonts w:ascii="Book Antiqua" w:hAnsi="Book Antiqua"/>
        </w:rPr>
      </w:pPr>
      <w:r>
        <w:rPr>
          <w:rFonts w:ascii="Book Antiqua" w:hAnsi="Book Antiqua" w:eastAsia="Book Antiqua" w:cs="Book Antiqua"/>
          <w:color w:val="000000"/>
        </w:rPr>
        <w:t>Therefore, it is an effective first-line treatment for NSCLC patients with activating EGFR mutations, and an effective second-line treatment for NSCLC patients with T790 M resistance mutations</w:t>
      </w:r>
      <w:r>
        <w:rPr>
          <w:rFonts w:ascii="Book Antiqua" w:hAnsi="Book Antiqua" w:eastAsia="Book Antiqua" w:cs="Book Antiqua"/>
          <w:color w:val="000000"/>
          <w:vertAlign w:val="superscript"/>
        </w:rPr>
        <w:t>[26]</w:t>
      </w:r>
      <w:r>
        <w:rPr>
          <w:rFonts w:ascii="Book Antiqua" w:hAnsi="Book Antiqua" w:eastAsia="Book Antiqua" w:cs="Book Antiqua"/>
          <w:color w:val="000000"/>
        </w:rPr>
        <w:t>. Previous studies using osimertinib as the first line of treatment for NSCLC with sensitive EGFR gene mutations showed an ORR of approximately 80%, PFS of 18.9 mo, and OS of 38.6 mo</w:t>
      </w:r>
      <w:r>
        <w:rPr>
          <w:rFonts w:ascii="Book Antiqua" w:hAnsi="Book Antiqua" w:eastAsia="Book Antiqua" w:cs="Book Antiqua"/>
          <w:color w:val="000000"/>
          <w:vertAlign w:val="superscript"/>
        </w:rPr>
        <w:t>[26]</w:t>
      </w:r>
      <w:r>
        <w:rPr>
          <w:rFonts w:ascii="Book Antiqua" w:hAnsi="Book Antiqua" w:eastAsia="Book Antiqua" w:cs="Book Antiqua"/>
          <w:color w:val="000000"/>
        </w:rPr>
        <w:t>. After administration of osimertinib as the second-line treatment for NSCLC patients with T790 M resistance mutations, the ORR was approximately 71%, PFS was approximately 10.1 mo, and OS was 26.8 mo</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rPr>
        <w:t>. The common AEs of osimertinib were skin rash and diarrhea, and the others were paronychia, dry skin, stomatitis, nausea, anorexia, headache, constipation, anemia, pruritus, fatigue, and cough</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rPr>
        <w:t>. Osimertinib has fewer serious AEs than the first- and second-generation TKIs</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Clinical benefits of osimertinib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Iwafuchi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reported a 64-year-old female non-smoker undergoing HD with left lung adenocarcinoma (cT3N1M1a, stage IV, with malignant pleural effusion) with EGFR deletion in exon 19. She received gefitinib (first-line), erlotinib (second-line), taxotere (third-line), afatinib (fourth-line), and another six cycles of taxotere (fifth-line). After 5 years of treatment, the tumor was enlarged with liver and splenic metastases. For T790 M mutation, daily oral administration of 80 mg osimertinib was prescribed. The tumor improved to partial remission, and the liver and splenic metastases disappeared. The patient experienced no serious AEs and showed a good response. This case presented good effects and tolerability in patients undergoing HD even with sixth-line therapy.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osimertinib in patients with NRF</w:t>
      </w:r>
    </w:p>
    <w:p>
      <w:pPr>
        <w:spacing w:line="360" w:lineRule="auto"/>
        <w:jc w:val="both"/>
        <w:rPr>
          <w:rFonts w:ascii="Book Antiqua" w:hAnsi="Book Antiqua"/>
        </w:rPr>
      </w:pPr>
      <w:r>
        <w:rPr>
          <w:rFonts w:ascii="Book Antiqua" w:hAnsi="Book Antiqua" w:eastAsia="Book Antiqua" w:cs="Book Antiqua"/>
          <w:color w:val="000000"/>
        </w:rPr>
        <w:t xml:space="preserve">Most osimertinib is metabolized by the liver and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feces (68%), and a small portion (14%) is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urine (Figure 1D)</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plasma protein binding ability of osimertinib is very high (98%)</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half-life is 48.3 h, and steady state plasma concentrations are attained in approximately 10 d</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time to attain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is 6 h (3–24 h) after dosing;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and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are 371 and 230 ng/mL, respectively</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Pharmacokinetics of osimertinib in patients undergoing HD</w:t>
      </w:r>
    </w:p>
    <w:p>
      <w:pPr>
        <w:spacing w:line="360" w:lineRule="auto"/>
        <w:jc w:val="both"/>
        <w:rPr>
          <w:rFonts w:ascii="Book Antiqua" w:hAnsi="Book Antiqua"/>
        </w:rPr>
      </w:pPr>
      <w:r>
        <w:rPr>
          <w:rFonts w:ascii="Book Antiqua" w:hAnsi="Book Antiqua" w:eastAsia="Book Antiqua" w:cs="Book Antiqua"/>
          <w:color w:val="000000"/>
        </w:rPr>
        <w:t xml:space="preserve">Tamura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the first pharmacokinetic analysis of osimertinib in patients undergoing HD. They reported a 72-year-old male ex-smoker with lung adenocarcinoma (T2aN3M1b, stage IV, with pleural and bone metastasis) with EGFR exon 19 deletion. He was initially receiving 250 mg gefitinib daily, but the treatment was discontinued, owing to liver toxicity, in 2 mo. After his recovery, he received 150 mg erlotinib daily and showed a good response. However, due to skin toxicity, the erlotinib dosage was gradually reduced to 50 mg daily. During the treatment, HD was initiated owing to worsening diabetic nephropathy. Four years after erlotinib treatment, the primary tumor was enlarged and had metastasized to the supraclavicular lymph nodes. The tumor tissue presented a T790M mutation in exon 20. He was initially administered 40 mg osimertinib daily for the previous liver and skin AEs of gefitinib and erlotinib. As treatment was well tolerated, pharmacokinetic analysis of osimertinib was performed 4 mo after administration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Pharmacokinetic analysis of osimertinib (40 mg daily) was performed on HD and non-HD days.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218 and 217 ng/mL on HD and non-HD days, respectively. The osimertinib dosage was increased to 80 mg daily for only mild AEs. Pharmacokinetic analysis was performed after 6 d and revealed that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388 and 473 ng/mL on HD and non-HD days, respectively. The patient received 80 mg osimertinib daily, without any AEs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Matsunashi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reported a 66-year-old male undergoing HD with relapsed stage IV NSCLC with an EGFR mutation in exon 21 (L858R) 2 years after body radiotherapy. He received 80 mg osimertinib daily as first-line treatment.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400-476 and 335–351 ng/mL before and after HD, respectively. When osimertinib was administered on HD days,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430 ng/mL</w:t>
      </w:r>
      <w:r>
        <w:rPr>
          <w:rFonts w:ascii="Book Antiqua" w:hAnsi="Book Antiqua" w:eastAsia="Book Antiqua" w:cs="Book Antiqua"/>
          <w:color w:val="000000"/>
          <w:vertAlign w:val="superscript"/>
        </w:rPr>
        <w:t>[29]</w:t>
      </w:r>
      <w:r>
        <w:rPr>
          <w:rFonts w:ascii="Book Antiqua" w:hAnsi="Book Antiqua" w:eastAsia="Book Antiqua" w:cs="Book Antiqua"/>
          <w:color w:val="000000"/>
        </w:rPr>
        <w:t>.The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before HD, after HD and on non-HD day were 7022–8842, 6376–7039 and 8631 ng•hr/mL.</w:t>
      </w:r>
    </w:p>
    <w:p>
      <w:pPr>
        <w:spacing w:line="360" w:lineRule="auto"/>
        <w:ind w:firstLine="480"/>
        <w:jc w:val="both"/>
        <w:rPr>
          <w:rFonts w:ascii="Book Antiqua" w:hAnsi="Book Antiqua"/>
        </w:rPr>
      </w:pPr>
      <w:r>
        <w:rPr>
          <w:rFonts w:ascii="Book Antiqua" w:hAnsi="Book Antiqua" w:eastAsia="Book Antiqua" w:cs="Book Antiqua"/>
          <w:color w:val="000000"/>
        </w:rPr>
        <w:t>The data on the pharmacokinetics of gefitinib in patients undergoing HD and subjects with NRF are shown in Figure 5. Since the protein binding ability of osimertinib is very high, its dialyzability rate is relatively low and it is minimally affected by HD</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pharmacokinetic parameters on non-HD days were almost the same as those on HD days.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Limitations of this review</w:t>
      </w:r>
    </w:p>
    <w:p>
      <w:pPr>
        <w:spacing w:line="360" w:lineRule="auto"/>
        <w:jc w:val="both"/>
        <w:rPr>
          <w:rFonts w:ascii="Book Antiqua" w:hAnsi="Book Antiqua"/>
        </w:rPr>
      </w:pPr>
      <w:r>
        <w:rPr>
          <w:rFonts w:ascii="Book Antiqua" w:hAnsi="Book Antiqua" w:eastAsia="Book Antiqua" w:cs="Book Antiqua"/>
          <w:color w:val="000000"/>
        </w:rPr>
        <w:t>This review has several limitations. Firstly, the literature cited in this review on EGFR-TKIs in patients undergoing HD are all case reports. There have been no cohorts or randomized controlled trials with EGFR-TKIs in patients undergoing HD. However, it is difficult to conduct research on HD patients owing to their rarity. Therefore, this review is very important for providing recommendations for EGFR-TKIs in such patients. Secondly, this review focuses on EGFR-TKIs in lung cancer patients undergoing HD. It is unknown whether the conclusions drawn are applicable to other cancers.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There have been no clinical studies on EGFR-TKIs in NSCLC patients undergoing HD. We suggest that EGFR-TKIs are suitable for such patients. The recommended doses and pharmacokinetics of these EGFR-TKIs for patients undergoing HD are similar to those for patients with NRF. EGFR-TKI treatment is effective and well tolerated in patients undergoing HD.</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Chang YS</w:t>
      </w:r>
      <w:r>
        <w:rPr>
          <w:rFonts w:ascii="Book Antiqua" w:hAnsi="Book Antiqua" w:eastAsia="Book Antiqua" w:cs="Book Antiqua"/>
          <w:color w:val="000000"/>
        </w:rPr>
        <w:t xml:space="preserve">, Tu SJ, Chen YC, Liu TY, Lee YT, Yen JC, Fang HY, Chang JG. Mutation profile of non-small cell lung cancer revealed by next generation sequencing. </w:t>
      </w:r>
      <w:r>
        <w:rPr>
          <w:rFonts w:ascii="Book Antiqua" w:hAnsi="Book Antiqua" w:eastAsia="Book Antiqua" w:cs="Book Antiqua"/>
          <w:i/>
          <w:iCs/>
          <w:color w:val="000000"/>
        </w:rPr>
        <w:t>Respir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3 [PMID: 33407425 DOI: 10.1186/s12931-020-01608-5]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Mok Y</w:t>
      </w:r>
      <w:r>
        <w:rPr>
          <w:rFonts w:ascii="Book Antiqua" w:hAnsi="Book Antiqua" w:eastAsia="Book Antiqua" w:cs="Book Antiqua"/>
          <w:color w:val="000000"/>
        </w:rPr>
        <w:t xml:space="preserve">, Ballew SH, Sang Y, Coresh J, Joshu CE, Platz EA, Matsushita K. Albuminuria, Kidney Function, and Cancer Risk in the Community. </w:t>
      </w:r>
      <w:r>
        <w:rPr>
          <w:rFonts w:ascii="Book Antiqua" w:hAnsi="Book Antiqua" w:eastAsia="Book Antiqua" w:cs="Book Antiqua"/>
          <w:i/>
          <w:iCs/>
          <w:color w:val="000000"/>
        </w:rPr>
        <w:t>Am J Epidemiol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189</w:t>
      </w:r>
      <w:r>
        <w:rPr>
          <w:rFonts w:ascii="Book Antiqua" w:hAnsi="Book Antiqua" w:eastAsia="Book Antiqua" w:cs="Book Antiqua"/>
          <w:color w:val="000000"/>
        </w:rPr>
        <w:t>: 942-950 [PMID: 32219380 DOI: 10.1093/aje/kwaa043]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Moon HH</w:t>
      </w:r>
      <w:r>
        <w:rPr>
          <w:rFonts w:ascii="Book Antiqua" w:hAnsi="Book Antiqua" w:eastAsia="Book Antiqua" w:cs="Book Antiqua"/>
          <w:color w:val="000000"/>
        </w:rPr>
        <w:t xml:space="preserve">, Seo KW, Yoon KY, Shin YM, Choi KH, Lee SH. Prediction of nephrotoxicity induced by cisplatin combination chemotherapy in gastric cancer patients.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3510-3517 [PMID: 21941418 DOI: 10.3748/wjg.v17.i30.3510]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Aldossary SA.</w:t>
      </w:r>
      <w:r>
        <w:rPr>
          <w:rFonts w:ascii="Book Antiqua" w:hAnsi="Book Antiqua" w:eastAsia="Book Antiqua" w:cs="Book Antiqua"/>
          <w:bCs/>
          <w:color w:val="000000"/>
        </w:rPr>
        <w:t xml:space="preserve"> Review on Pharmacology of Cisplatin: Clinical Use,</w:t>
      </w:r>
      <w:r>
        <w:rPr>
          <w:rFonts w:ascii="Book Antiqua" w:hAnsi="Book Antiqua" w:eastAsia="Book Antiqua" w:cs="Book Antiqua"/>
          <w:color w:val="000000"/>
        </w:rPr>
        <w:t xml:space="preserve"> Toxicity and Mechanism of Resistance of Cisplatin. </w:t>
      </w:r>
      <w:r>
        <w:rPr>
          <w:rFonts w:ascii="Book Antiqua" w:hAnsi="Book Antiqua" w:eastAsia="Book Antiqua" w:cs="Book Antiqua"/>
          <w:i/>
          <w:color w:val="000000"/>
        </w:rPr>
        <w:t>BPJ</w:t>
      </w:r>
      <w:r>
        <w:rPr>
          <w:rFonts w:ascii="Book Antiqua" w:hAnsi="Book Antiqua" w:eastAsia="Book Antiqua" w:cs="Book Antiqua"/>
          <w:color w:val="000000"/>
        </w:rPr>
        <w:t xml:space="preserve"> 2019; </w:t>
      </w:r>
      <w:r>
        <w:rPr>
          <w:rFonts w:ascii="Book Antiqua" w:hAnsi="Book Antiqua" w:eastAsia="Book Antiqua" w:cs="Book Antiqua"/>
          <w:b/>
          <w:color w:val="000000"/>
        </w:rPr>
        <w:t>11:</w:t>
      </w:r>
      <w:r>
        <w:rPr>
          <w:rFonts w:ascii="Book Antiqua" w:hAnsi="Book Antiqua" w:eastAsia="Book Antiqua" w:cs="Book Antiqua"/>
          <w:color w:val="000000"/>
        </w:rPr>
        <w:t xml:space="preserve"> 07-15 [DOI: 10.13005/bpj/1608]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Harrison PT</w:t>
      </w:r>
      <w:r>
        <w:rPr>
          <w:rFonts w:ascii="Book Antiqua" w:hAnsi="Book Antiqua" w:eastAsia="Book Antiqua" w:cs="Book Antiqua"/>
          <w:color w:val="000000"/>
        </w:rPr>
        <w:t xml:space="preserve">, Vyse S, Huang PH. Rare epidermal growth factor receptor (EGFR) mutations in non-small cell lung cancer. </w:t>
      </w:r>
      <w:r>
        <w:rPr>
          <w:rFonts w:ascii="Book Antiqua" w:hAnsi="Book Antiqua" w:eastAsia="Book Antiqua" w:cs="Book Antiqua"/>
          <w:i/>
          <w:iCs/>
          <w:color w:val="000000"/>
        </w:rPr>
        <w:t>Semin Cancer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61</w:t>
      </w:r>
      <w:r>
        <w:rPr>
          <w:rFonts w:ascii="Book Antiqua" w:hAnsi="Book Antiqua" w:eastAsia="Book Antiqua" w:cs="Book Antiqua"/>
          <w:color w:val="000000"/>
        </w:rPr>
        <w:t>: 167-179 [PMID: 31562956 DOI: 10.1016/j.semcancer.2019.09.015]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You JHS</w:t>
      </w:r>
      <w:r>
        <w:rPr>
          <w:rFonts w:ascii="Book Antiqua" w:hAnsi="Book Antiqua" w:eastAsia="Book Antiqua" w:cs="Book Antiqua"/>
          <w:color w:val="000000"/>
        </w:rPr>
        <w:t xml:space="preserve">, Cho WCS, Ming WK, Li YC, Kwan CK, Au KH, Au JS. EGFR mutation-guided use of afatinib, erlotinib and gefitinib for advanced non-small-cell lung cancer in Hong Kong - A cost-effectiveness 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e0247860 [PMID: 33647045 DOI: 10.1371/journal.pone.0247860]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Maemondo M</w:t>
      </w:r>
      <w:r>
        <w:rPr>
          <w:rFonts w:ascii="Book Antiqua" w:hAnsi="Book Antiqua" w:eastAsia="Book Antiqua" w:cs="Book Antiqua"/>
          <w:color w:val="000000"/>
        </w:rPr>
        <w:t xml:space="preserve">, Inoue A, Kobayashi K, Sugawara S, Oizumi S, Isobe H, Gemma A, Harada M, Yoshizawa H, Kinoshita I, Fujita Y, Okinaga S, Hirano H, Yoshimori K, Harada T, Ogura T, Ando M, Miyazawa H, Tanaka T, Saijo Y, Hagiwara K, Morita S, Nukiwa T; North-East Japan Study Group. Gefitinib or chemotherapy for non-small-cell lung cancer with mutated EGFR.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2380-2388 [PMID: 20573926 DOI: 10.1056/NEJMoa0909530]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Bersanelli M</w:t>
      </w:r>
      <w:r>
        <w:rPr>
          <w:rFonts w:ascii="Book Antiqua" w:hAnsi="Book Antiqua" w:eastAsia="Book Antiqua" w:cs="Book Antiqua"/>
          <w:color w:val="000000"/>
        </w:rPr>
        <w:t xml:space="preserve">, Tiseo M, Artioli F, Lucchi L, Ardizzoni A. Gefitinib and afatinib treatment in an advanced non-small cell lung cancer (NSCLC) patient undergoing hemodialysis.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3185-3188 [PMID: 24922692]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Del Conte A</w:t>
      </w:r>
      <w:r>
        <w:rPr>
          <w:rFonts w:ascii="Book Antiqua" w:hAnsi="Book Antiqua" w:eastAsia="Book Antiqua" w:cs="Book Antiqua"/>
          <w:color w:val="000000"/>
        </w:rPr>
        <w:t xml:space="preserve">, Minatel E, Schinella D, Baresic T, Basso SM, Lumachi F. Complete metabolic remission with Gefitinib in a hemodialysis patient with bone metastases from non-small cell lung cancer.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319-322 [PMID: 24403481]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Zhao C</w:t>
      </w:r>
      <w:r>
        <w:rPr>
          <w:rFonts w:ascii="Book Antiqua" w:hAnsi="Book Antiqua" w:eastAsia="Book Antiqua" w:cs="Book Antiqua"/>
          <w:color w:val="000000"/>
        </w:rPr>
        <w:t xml:space="preserve">, Han SY, Li PP. Pharmacokinetics of Gefitinib: Roles of Drug Metabolizing Enzymes and Transporters. </w:t>
      </w:r>
      <w:r>
        <w:rPr>
          <w:rFonts w:ascii="Book Antiqua" w:hAnsi="Book Antiqua" w:eastAsia="Book Antiqua" w:cs="Book Antiqua"/>
          <w:i/>
          <w:iCs/>
          <w:color w:val="000000"/>
        </w:rPr>
        <w:t>Curr Drug Deliv</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282-288 [PMID: 27396387 DOI: 10.2174/1567201813666160709021605]</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Hirose T</w:t>
      </w:r>
      <w:r>
        <w:rPr>
          <w:rFonts w:ascii="Book Antiqua" w:hAnsi="Book Antiqua" w:eastAsia="Book Antiqua" w:cs="Book Antiqua"/>
          <w:color w:val="000000"/>
        </w:rPr>
        <w:t xml:space="preserve">, Fujita K, Kusumoto S, Oki Y, Murata Y, Sugiyama T, Ishida H, Shirai T, Nakashima M, Yamaoka T, Okuda K, Ohmori T, Sasaki Y. Association of pharmacokinetics and pharmacogenomics with safety and efficacy of gefitinib in patients with EGFR mutation positive advanced non-small cell lung cancer.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93</w:t>
      </w:r>
      <w:r>
        <w:rPr>
          <w:rFonts w:ascii="Book Antiqua" w:hAnsi="Book Antiqua" w:eastAsia="Book Antiqua" w:cs="Book Antiqua"/>
          <w:color w:val="000000"/>
        </w:rPr>
        <w:t>: 69-76 [PMID: 26898617 DOI: 10.1016/j.lungcan.2016.01.005]</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Shinagawa N</w:t>
      </w:r>
      <w:r>
        <w:rPr>
          <w:rFonts w:ascii="Book Antiqua" w:hAnsi="Book Antiqua" w:eastAsia="Book Antiqua" w:cs="Book Antiqua"/>
          <w:color w:val="000000"/>
        </w:rPr>
        <w:t xml:space="preserve">, Yamazaki K, Asahina H, Agata J, Itoh T, Nishimura M. Gefitinib administration in a patient with lung cancer undergoing hemodialysis.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58</w:t>
      </w:r>
      <w:r>
        <w:rPr>
          <w:rFonts w:ascii="Book Antiqua" w:hAnsi="Book Antiqua" w:eastAsia="Book Antiqua" w:cs="Book Antiqua"/>
          <w:color w:val="000000"/>
        </w:rPr>
        <w:t>: 422-424 [PMID: 17643548 DOI: 10.1016/j.lungcan.2007.06.001]</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Luo J</w:t>
      </w:r>
      <w:r>
        <w:rPr>
          <w:rFonts w:ascii="Book Antiqua" w:hAnsi="Book Antiqua" w:eastAsia="Book Antiqua" w:cs="Book Antiqua"/>
          <w:color w:val="000000"/>
        </w:rPr>
        <w:t xml:space="preserve">, Ni L, Wang M, Zhong W, Xiao Y, Zheng K, Hu P. Pharmacokinetic analysis of gefitinib in a patient with advanced non-small cell lung cancer undergoing hemodialysis. </w:t>
      </w:r>
      <w:r>
        <w:rPr>
          <w:rFonts w:ascii="Book Antiqua" w:hAnsi="Book Antiqua" w:eastAsia="Book Antiqua" w:cs="Book Antiqua"/>
          <w:i/>
          <w:iCs/>
          <w:color w:val="000000"/>
        </w:rPr>
        <w:t>Thorac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251-253 [PMID: 27042230 DOI: 10.1111/1759-7714.12263]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Lin YT</w:t>
      </w:r>
      <w:r>
        <w:rPr>
          <w:rFonts w:ascii="Book Antiqua" w:hAnsi="Book Antiqua" w:eastAsia="Book Antiqua" w:cs="Book Antiqua"/>
          <w:color w:val="000000"/>
        </w:rPr>
        <w:t xml:space="preserve">, Chen JS, Liao WY, Ho CC, Hsu CL, Yang CY, Chen KY, Lee JH, Lin ZZ, Shih JY, Yang JC, Yu CJ. Clinical outcomes and secondary epidermal growth factor receptor (EGFR) T790M mutation among first-line gefitinib, erlotinib and afatinib-treated non-small cell lung cancer patients with activating EGFR mutations.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144</w:t>
      </w:r>
      <w:r>
        <w:rPr>
          <w:rFonts w:ascii="Book Antiqua" w:hAnsi="Book Antiqua" w:eastAsia="Book Antiqua" w:cs="Book Antiqua"/>
          <w:color w:val="000000"/>
        </w:rPr>
        <w:t>: 2887-2896 [PMID: 30485437 DOI: 10.1002/ijc.32025]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Evelina Cardoso</w:t>
      </w:r>
      <w:r>
        <w:rPr>
          <w:rFonts w:ascii="Book Antiqua" w:hAnsi="Book Antiqua" w:eastAsia="Book Antiqua" w:cs="Book Antiqua"/>
          <w:color w:val="000000"/>
        </w:rPr>
        <w:t xml:space="preserve">, Guidi M, Khoudour N, Pascaline Boudou-Rouquette, Fabre E, Tlemsani C, Arrondeau J, François Goldwasser, Vidal M, Schneider MP, Wagner AD, Widmer N, Blanchet B, Csajka C. Population Pharmacokinetics of Erlotinib in Patients With Non-small Cell Lung Cancer: Its Application for Individualized Dosing Regimens in Older Patients. </w:t>
      </w:r>
      <w:r>
        <w:rPr>
          <w:rFonts w:ascii="Book Antiqua" w:hAnsi="Book Antiqua" w:eastAsia="Book Antiqua" w:cs="Book Antiqua"/>
          <w:i/>
          <w:iCs/>
          <w:color w:val="000000"/>
        </w:rPr>
        <w:t>Clin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1302-1316 [PMID: 32631634 DOI: 10.1016/j.clinthera.2020.05.008]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Petit-Jean E</w:t>
      </w:r>
      <w:r>
        <w:rPr>
          <w:rFonts w:ascii="Book Antiqua" w:hAnsi="Book Antiqua" w:eastAsia="Book Antiqua" w:cs="Book Antiqua"/>
          <w:color w:val="000000"/>
        </w:rPr>
        <w:t xml:space="preserve">, Buclin T, Guidi M, Quoix E, Gourieux B, Decosterd LA, Gairard-Dory AC, Ubeaud-Séquier G, Widmer N. Erlotinib: another candidate for the therapeutic drug monitoring of targeted therapy of cancer? A pharmacokinetic and pharmacodynamic systematic review of literature. </w:t>
      </w:r>
      <w:r>
        <w:rPr>
          <w:rFonts w:ascii="Book Antiqua" w:hAnsi="Book Antiqua" w:eastAsia="Book Antiqua" w:cs="Book Antiqua"/>
          <w:i/>
          <w:iCs/>
          <w:color w:val="000000"/>
        </w:rPr>
        <w:t>Ther Drug Monit</w:t>
      </w:r>
      <w:r>
        <w:rPr>
          <w:rFonts w:ascii="Book Antiqua" w:hAnsi="Book Antiqua" w:eastAsia="Book Antiqua" w:cs="Book Antiqua"/>
          <w:color w:val="000000"/>
        </w:rPr>
        <w:t xml:space="preserve"> 2015; </w:t>
      </w:r>
      <w:r>
        <w:rPr>
          <w:rFonts w:ascii="Book Antiqua" w:hAnsi="Book Antiqua" w:eastAsia="Book Antiqua" w:cs="Book Antiqua"/>
          <w:b/>
          <w:bCs/>
          <w:color w:val="000000"/>
        </w:rPr>
        <w:t>37</w:t>
      </w:r>
      <w:r>
        <w:rPr>
          <w:rFonts w:ascii="Book Antiqua" w:hAnsi="Book Antiqua" w:eastAsia="Book Antiqua" w:cs="Book Antiqua"/>
          <w:color w:val="000000"/>
        </w:rPr>
        <w:t>: 2-21 [PMID: 24831652 DOI: 10.1097/FTD.0000000000000097]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Togashi Y</w:t>
      </w:r>
      <w:r>
        <w:rPr>
          <w:rFonts w:ascii="Book Antiqua" w:hAnsi="Book Antiqua" w:eastAsia="Book Antiqua" w:cs="Book Antiqua"/>
          <w:color w:val="000000"/>
        </w:rPr>
        <w:t xml:space="preserve">, Masago K, Fukudo M, Terada T, Ikemi Y, Kim YH, Fujita S, Irisa K, Sakamori Y, Mio T, Inui K, Mishima M. Pharmacokinetics of erlotinib and its active metabolite OSI-420 in patients with non-small cell lung cancer and chronic renal failure who are undergoing hemodialysis. </w:t>
      </w:r>
      <w:r>
        <w:rPr>
          <w:rFonts w:ascii="Book Antiqua" w:hAnsi="Book Antiqua" w:eastAsia="Book Antiqua" w:cs="Book Antiqua"/>
          <w:i/>
          <w:iCs/>
          <w:color w:val="000000"/>
        </w:rPr>
        <w:t>J Thorac Oncol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601-605 [PMID: 20234322 DOI: 10.1097/JTO.0b013e3181d32287]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de Marinis F</w:t>
      </w:r>
      <w:r>
        <w:rPr>
          <w:rFonts w:ascii="Book Antiqua" w:hAnsi="Book Antiqua" w:eastAsia="Book Antiqua" w:cs="Book Antiqua"/>
          <w:color w:val="000000"/>
        </w:rPr>
        <w:t xml:space="preserve">, Laktionov KK, Poltoratskiy A, Egorova I, Hochmair M, Passaro A, Migliorino MR, Metro G, Gottfried M, Tsoi D, Ostoros G, Rizzato S, Mukhametshina GZ, Schumacher M, Novello S, Dziadziuszko R, Tang W, Clementi L, Cseh A, Kowalski D. Afatinib in EGFR TKI-naïve patients with locally advanced or metastatic EGFR mutation-positive non-small cell lung cancer: Interim analysis of a Phase 3b study.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152</w:t>
      </w:r>
      <w:r>
        <w:rPr>
          <w:rFonts w:ascii="Book Antiqua" w:hAnsi="Book Antiqua" w:eastAsia="Book Antiqua" w:cs="Book Antiqua"/>
          <w:color w:val="000000"/>
        </w:rPr>
        <w:t>: 127-134 [PMID: 33387727 DOI: 10.1016/j.lungcan.2020.12.011]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Stopfer P</w:t>
      </w:r>
      <w:r>
        <w:rPr>
          <w:rFonts w:ascii="Book Antiqua" w:hAnsi="Book Antiqua" w:eastAsia="Book Antiqua" w:cs="Book Antiqua"/>
          <w:color w:val="000000"/>
        </w:rPr>
        <w:t xml:space="preserve">, Marzin K, Narjes H, Gansser D, Shahidi M, Uttereuther-Fischer M, Ebner T. Afatinib pharmacokinetics and metabolism after oral administration to healthy male volunteers. </w:t>
      </w:r>
      <w:r>
        <w:rPr>
          <w:rFonts w:ascii="Book Antiqua" w:hAnsi="Book Antiqua" w:eastAsia="Book Antiqua" w:cs="Book Antiqua"/>
          <w:i/>
          <w:iCs/>
          <w:color w:val="000000"/>
        </w:rPr>
        <w:t>Cancer Chemother Pharmacol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69</w:t>
      </w:r>
      <w:r>
        <w:rPr>
          <w:rFonts w:ascii="Book Antiqua" w:hAnsi="Book Antiqua" w:eastAsia="Book Antiqua" w:cs="Book Antiqua"/>
          <w:color w:val="000000"/>
        </w:rPr>
        <w:t>: 1051-1061 [PMID: 22200729 DOI: 10.1007/s00280-011-1803-9]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Keating GM</w:t>
      </w:r>
      <w:r>
        <w:rPr>
          <w:rFonts w:ascii="Book Antiqua" w:hAnsi="Book Antiqua" w:eastAsia="Book Antiqua" w:cs="Book Antiqua"/>
          <w:color w:val="000000"/>
        </w:rPr>
        <w:t xml:space="preserve">. Afatinib: A Review in Advanced Non-Small Cell Lung Cancer. </w:t>
      </w:r>
      <w:r>
        <w:rPr>
          <w:rFonts w:ascii="Book Antiqua" w:hAnsi="Book Antiqua" w:eastAsia="Book Antiqua" w:cs="Book Antiqua"/>
          <w:i/>
          <w:iCs/>
          <w:color w:val="000000"/>
        </w:rPr>
        <w:t>Target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825-835 [PMID: 27873136 DOI: 10.1007/s11523-016-0465-2]</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Wind S</w:t>
      </w:r>
      <w:r>
        <w:rPr>
          <w:rFonts w:ascii="Book Antiqua" w:hAnsi="Book Antiqua" w:eastAsia="Book Antiqua" w:cs="Book Antiqua"/>
          <w:color w:val="000000"/>
        </w:rPr>
        <w:t xml:space="preserve">, Schnell D, Ebner T, Freiwald M, Stopfer P. Clinical Pharmacokinetics and Pharmacodynamics of Afatinib.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2017; </w:t>
      </w:r>
      <w:r>
        <w:rPr>
          <w:rFonts w:ascii="Book Antiqua" w:hAnsi="Book Antiqua" w:eastAsia="Book Antiqua" w:cs="Book Antiqua"/>
          <w:b/>
          <w:bCs/>
          <w:color w:val="000000"/>
        </w:rPr>
        <w:t>56</w:t>
      </w:r>
      <w:r>
        <w:rPr>
          <w:rFonts w:ascii="Book Antiqua" w:hAnsi="Book Antiqua" w:eastAsia="Book Antiqua" w:cs="Book Antiqua"/>
          <w:color w:val="000000"/>
        </w:rPr>
        <w:t>: 235-250 [PMID: 27470518 DOI: 10.1007/s40262-016-0440-1]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Ko R</w:t>
      </w:r>
      <w:r>
        <w:rPr>
          <w:rFonts w:ascii="Book Antiqua" w:hAnsi="Book Antiqua" w:eastAsia="Book Antiqua" w:cs="Book Antiqua"/>
          <w:color w:val="000000"/>
        </w:rPr>
        <w:t xml:space="preserve">, Shukuya T, Imamura CK, Tokito T, Shimada N, Koyama R, Yamada K, Ishii H, Azuma K, Takahashi K. Phase I study of afatinib plus bevacizumab in patients with advanced non-squamous non-small cell lung cancer harboring </w:t>
      </w:r>
      <w:r>
        <w:rPr>
          <w:rFonts w:ascii="Book Antiqua" w:hAnsi="Book Antiqua" w:eastAsia="Book Antiqua" w:cs="Book Antiqua"/>
          <w:i/>
          <w:iCs/>
          <w:color w:val="000000"/>
        </w:rPr>
        <w:t>EGFR</w:t>
      </w:r>
      <w:r>
        <w:rPr>
          <w:rFonts w:ascii="Book Antiqua" w:hAnsi="Book Antiqua" w:eastAsia="Book Antiqua" w:cs="Book Antiqua"/>
          <w:color w:val="000000"/>
        </w:rPr>
        <w:t xml:space="preserve"> mutations. </w:t>
      </w:r>
      <w:r>
        <w:rPr>
          <w:rFonts w:ascii="Book Antiqua" w:hAnsi="Book Antiqua" w:eastAsia="Book Antiqua" w:cs="Book Antiqua"/>
          <w:i/>
          <w:iCs/>
          <w:color w:val="000000"/>
        </w:rPr>
        <w:t>Transl Lung Cancer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183-192 [PMID: 33569303 DOI: 10.21037/tlcr-20-824]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Yamaguchi T HH,</w:t>
      </w:r>
      <w:r>
        <w:rPr>
          <w:rFonts w:ascii="Book Antiqua" w:hAnsi="Book Antiqua" w:eastAsia="Book Antiqua" w:cs="Book Antiqua"/>
          <w:color w:val="000000"/>
        </w:rPr>
        <w:t xml:space="preserve"> Isogai S, Isogai S, Hayashi M, Uozu S, Goto Y, Nakanishi T, Sugiyama T, Itoh Y, Imaizumi K. Afatinib administration in a patient with non-small cell lung cancer harboring uncommon EGFR mutation G719A undergoing hemodialysis. </w:t>
      </w:r>
      <w:r>
        <w:rPr>
          <w:rFonts w:ascii="Book Antiqua" w:hAnsi="Book Antiqua" w:eastAsia="Book Antiqua" w:cs="Book Antiqua"/>
          <w:i/>
          <w:color w:val="000000"/>
        </w:rPr>
        <w:t>Cancer Treat Commun</w:t>
      </w:r>
      <w:r>
        <w:rPr>
          <w:rFonts w:ascii="Book Antiqua" w:hAnsi="Book Antiqua" w:eastAsia="Book Antiqua" w:cs="Book Antiqua"/>
          <w:color w:val="000000"/>
        </w:rPr>
        <w:t xml:space="preserve"> 2015; </w:t>
      </w:r>
      <w:r>
        <w:rPr>
          <w:rFonts w:ascii="Book Antiqua" w:hAnsi="Book Antiqua" w:eastAsia="Book Antiqua" w:cs="Book Antiqua"/>
          <w:b/>
          <w:color w:val="000000"/>
        </w:rPr>
        <w:t>4:</w:t>
      </w:r>
      <w:r>
        <w:rPr>
          <w:rFonts w:ascii="Book Antiqua" w:hAnsi="Book Antiqua" w:eastAsia="Book Antiqua" w:cs="Book Antiqua"/>
          <w:color w:val="000000"/>
        </w:rPr>
        <w:t xml:space="preserve"> 169-171 [DOI: 10.1016/j.ctrc.2015.09.006]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Imai H</w:t>
      </w:r>
      <w:r>
        <w:rPr>
          <w:rFonts w:ascii="Book Antiqua" w:hAnsi="Book Antiqua" w:eastAsia="Book Antiqua" w:cs="Book Antiqua"/>
          <w:color w:val="000000"/>
        </w:rPr>
        <w:t xml:space="preserve">, Kaira K, Naruse I, Hayashi H, Iihara H, Kita Y, Mizusaki N, Asao T, Itoh Y, Sugiyama T, Minato K, Yamada M. Successful afatinib treatment of advanced non-small-cell lung cancer patients undergoing hemodialysis. </w:t>
      </w:r>
      <w:r>
        <w:rPr>
          <w:rFonts w:ascii="Book Antiqua" w:hAnsi="Book Antiqua" w:eastAsia="Book Antiqua" w:cs="Book Antiqua"/>
          <w:i/>
          <w:iCs/>
          <w:color w:val="000000"/>
        </w:rPr>
        <w:t>Cancer Chemother 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79</w:t>
      </w:r>
      <w:r>
        <w:rPr>
          <w:rFonts w:ascii="Book Antiqua" w:hAnsi="Book Antiqua" w:eastAsia="Book Antiqua" w:cs="Book Antiqua"/>
          <w:color w:val="000000"/>
        </w:rPr>
        <w:t>: 209-213 [PMID: 27900441 DOI: 10.1007/s00280-016-3201-9]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Peters S</w:t>
      </w:r>
      <w:r>
        <w:rPr>
          <w:rFonts w:ascii="Book Antiqua" w:hAnsi="Book Antiqua" w:eastAsia="Book Antiqua" w:cs="Book Antiqua"/>
          <w:color w:val="000000"/>
        </w:rPr>
        <w:t xml:space="preserve">, Zimmermann S, Adjei AA. Oral epidermal growth factor receptor tyrosine kinase inhibitors for the treatment of non-small cell lung cancer: comparative pharmacokinetics and drug-drug interactions. </w:t>
      </w:r>
      <w:r>
        <w:rPr>
          <w:rFonts w:ascii="Book Antiqua" w:hAnsi="Book Antiqua" w:eastAsia="Book Antiqua" w:cs="Book Antiqua"/>
          <w:i/>
          <w:iCs/>
          <w:color w:val="000000"/>
        </w:rPr>
        <w:t>Cancer Treat 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40</w:t>
      </w:r>
      <w:r>
        <w:rPr>
          <w:rFonts w:ascii="Book Antiqua" w:hAnsi="Book Antiqua" w:eastAsia="Book Antiqua" w:cs="Book Antiqua"/>
          <w:color w:val="000000"/>
        </w:rPr>
        <w:t>: 917-926 [PMID: 25027951 DOI: 10.1016/j.ctrv.2014.06.010]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Ramalingam SS</w:t>
      </w:r>
      <w:r>
        <w:rPr>
          <w:rFonts w:ascii="Book Antiqua" w:hAnsi="Book Antiqua" w:eastAsia="Book Antiqua" w:cs="Book Antiqua"/>
          <w:color w:val="000000"/>
        </w:rPr>
        <w:t xml:space="preserve">, Vansteenkiste J, Planchard D, Cho BC, Gray JE, Ohe Y, Zhou C, Reungwetwattana T, Cheng Y, Chewaskulyong B, Shah R, Cobo M, Lee KH, Cheema P, Tiseo M, John T, Lin MC, Imamura F, Kurata T, Todd A, Hodge R, Saggese M, Rukazenkov Y, Soria JC; FLAURA Investigators. Overall Survival with Osimertinib in Untreated, </w:t>
      </w:r>
      <w:r>
        <w:rPr>
          <w:rFonts w:ascii="Book Antiqua" w:hAnsi="Book Antiqua" w:eastAsia="Book Antiqua" w:cs="Book Antiqua"/>
          <w:i/>
          <w:iCs/>
          <w:color w:val="000000"/>
        </w:rPr>
        <w:t>EGFR</w:t>
      </w:r>
      <w:r>
        <w:rPr>
          <w:rFonts w:ascii="Book Antiqua" w:hAnsi="Book Antiqua" w:eastAsia="Book Antiqua" w:cs="Book Antiqua"/>
          <w:color w:val="000000"/>
        </w:rPr>
        <w:t xml:space="preserve">-Mutated Advanced NSCLC.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41-50 [PMID: 31751012 DOI: 10.1056/NEJMoa1913662]</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Liu J</w:t>
      </w:r>
      <w:r>
        <w:rPr>
          <w:rFonts w:ascii="Book Antiqua" w:hAnsi="Book Antiqua" w:eastAsia="Book Antiqua" w:cs="Book Antiqua"/>
          <w:color w:val="000000"/>
        </w:rPr>
        <w:t xml:space="preserve">, Li X, Shao Y, Guo X, He J. The efficacy and safety of osimertinib in treating nonsmall cell lung cancer: A PRISMA-compliant systematic review and meta-analysis.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e21826 [PMID: 32846826 DOI: 10.1097/MD.0000000000021826]</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Iwafuchi Y</w:t>
      </w:r>
      <w:r>
        <w:rPr>
          <w:rFonts w:ascii="Book Antiqua" w:hAnsi="Book Antiqua" w:eastAsia="Book Antiqua" w:cs="Book Antiqua"/>
          <w:color w:val="000000"/>
        </w:rPr>
        <w:t xml:space="preserve">, Saito I, Narita I. Efficacy and Safety of Osimertinib in a Hemodialysis Patient With Advanced Non-Small Cell Lung Cancer. </w:t>
      </w:r>
      <w:r>
        <w:rPr>
          <w:rFonts w:ascii="Book Antiqua" w:hAnsi="Book Antiqua" w:eastAsia="Book Antiqua" w:cs="Book Antiqua"/>
          <w:i/>
          <w:iCs/>
          <w:color w:val="000000"/>
        </w:rPr>
        <w:t>Ther Apher Dial</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416-417 [PMID: 28332292 DOI: 10.1111/1744-9987.12531]</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Matsunashi A</w:t>
      </w:r>
      <w:r>
        <w:rPr>
          <w:rFonts w:ascii="Book Antiqua" w:hAnsi="Book Antiqua" w:eastAsia="Book Antiqua" w:cs="Book Antiqua"/>
          <w:color w:val="000000"/>
        </w:rPr>
        <w:t xml:space="preserve">, Fujimoto D, Hosoya K, Irie K, Fukushima S, Tomii K. Osimertinib in a patient with non-small cell lung cancer and renal failure undergoing hemodialysis: a case report. </w:t>
      </w:r>
      <w:r>
        <w:rPr>
          <w:rFonts w:ascii="Book Antiqua" w:hAnsi="Book Antiqua" w:eastAsia="Book Antiqua" w:cs="Book Antiqua"/>
          <w:i/>
          <w:iCs/>
          <w:color w:val="000000"/>
        </w:rPr>
        <w:t>Invest New Drugs</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1192-1195 [PMID: 31486987 DOI: 10.1007/s10637-019-00851-y]</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Planchard D</w:t>
      </w:r>
      <w:r>
        <w:rPr>
          <w:rFonts w:ascii="Book Antiqua" w:hAnsi="Book Antiqua" w:eastAsia="Book Antiqua" w:cs="Book Antiqua"/>
          <w:color w:val="000000"/>
        </w:rPr>
        <w:t xml:space="preserve">, Brown KH, Kim DW, Kim SW, Ohe Y, Felip E, Leese P, Cantarini M, Vishwanathan K, Jänne PA, Ranson M, Dickinson PA. Osimertinib Western and Asian clinical pharmacokinetics in patients and healthy volunteers: implications for formulation, dose, and dosing frequency in pivotal clinical studies. </w:t>
      </w:r>
      <w:r>
        <w:rPr>
          <w:rFonts w:ascii="Book Antiqua" w:hAnsi="Book Antiqua" w:eastAsia="Book Antiqua" w:cs="Book Antiqua"/>
          <w:i/>
          <w:iCs/>
          <w:color w:val="000000"/>
        </w:rPr>
        <w:t>Cancer Chemother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77</w:t>
      </w:r>
      <w:r>
        <w:rPr>
          <w:rFonts w:ascii="Book Antiqua" w:hAnsi="Book Antiqua" w:eastAsia="Book Antiqua" w:cs="Book Antiqua"/>
          <w:color w:val="000000"/>
        </w:rPr>
        <w:t>: 767-776 [PMID: 26902828 DOI: 10.1007/s00280-016-2992-z]</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Bollinger MK</w:t>
      </w:r>
      <w:r>
        <w:rPr>
          <w:rFonts w:ascii="Book Antiqua" w:hAnsi="Book Antiqua" w:eastAsia="Book Antiqua" w:cs="Book Antiqua"/>
          <w:color w:val="000000"/>
        </w:rPr>
        <w:t xml:space="preserve">, Agnew AS, Mascara GP. Osimertinib: A third-generation tyrosine kinase inhibitor for treatment of epidermal growth factor receptor-mutated non-small cell lung cancer with the acquired Thr790Met mutation. </w:t>
      </w:r>
      <w:r>
        <w:rPr>
          <w:rFonts w:ascii="Book Antiqua" w:hAnsi="Book Antiqua" w:eastAsia="Book Antiqua" w:cs="Book Antiqua"/>
          <w:i/>
          <w:iCs/>
          <w:color w:val="000000"/>
        </w:rPr>
        <w:t>J Oncol Pharm Pract</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379-388 [PMID: 28565936 DOI: 10.1177/1078155217712401]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Tamura T</w:t>
      </w:r>
      <w:r>
        <w:rPr>
          <w:rFonts w:ascii="Book Antiqua" w:hAnsi="Book Antiqua" w:eastAsia="Book Antiqua" w:cs="Book Antiqua"/>
          <w:color w:val="000000"/>
        </w:rPr>
        <w:t xml:space="preserve">, Takagi Y, Okubo H, Yamaguchi S, Kikkawa Y, Hashimoto I, Kaburagi T, Miura M, Satoh H, Hizawa N. Plasma concentration of osimertinib in a non-small cell lung cancer patient with chronic renal failure undergoing hemodialysis.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112</w:t>
      </w:r>
      <w:r>
        <w:rPr>
          <w:rFonts w:ascii="Book Antiqua" w:hAnsi="Book Antiqua" w:eastAsia="Book Antiqua" w:cs="Book Antiqua"/>
          <w:color w:val="000000"/>
        </w:rPr>
        <w:t>: 225-226 [PMID: 28709627 DOI: 10.1016/j.lungcan.2017.07.007]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conflicts-of-interest related to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12,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Taiwan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Hu QD, China; Rostoker G, France</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Liu JH</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3694430" cy="4474210"/>
            <wp:effectExtent l="0" t="0" r="8890" b="6350"/>
            <wp:docPr id="2" name="图片 2" descr="WJCC-10-636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6360-g001"/>
                    <pic:cNvPicPr>
                      <a:picLocks noChangeAspect="1"/>
                    </pic:cNvPicPr>
                  </pic:nvPicPr>
                  <pic:blipFill>
                    <a:blip r:embed="rId5"/>
                    <a:stretch>
                      <a:fillRect/>
                    </a:stretch>
                  </pic:blipFill>
                  <pic:spPr>
                    <a:xfrm>
                      <a:off x="0" y="0"/>
                      <a:ext cx="3694430" cy="447421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 Main routines of elimination of epidermal growth factor receptor-tyrosine kinase inhibitors</w:t>
      </w:r>
      <w:r>
        <w:rPr>
          <w:rFonts w:ascii="Book Antiqua" w:hAnsi="Book Antiqua" w:cs="Book Antiqua"/>
          <w:b/>
          <w:color w:val="000000"/>
          <w:lang w:eastAsia="zh-CN"/>
        </w:rPr>
        <w:t>.</w:t>
      </w:r>
      <w:r>
        <w:rPr>
          <w:rFonts w:ascii="Book Antiqua" w:hAnsi="Book Antiqua" w:eastAsia="PMingLiU" w:cs="Book Antiqua"/>
          <w:b/>
          <w:color w:val="000000"/>
          <w:lang w:eastAsia="zh-TW"/>
        </w:rPr>
        <w:t xml:space="preserve"> </w:t>
      </w:r>
      <w:r>
        <w:rPr>
          <w:rFonts w:ascii="Book Antiqua" w:hAnsi="Book Antiqua" w:eastAsia="PMingLiU" w:cs="Book Antiqua"/>
          <w:color w:val="000000"/>
          <w:lang w:eastAsia="zh-TW"/>
        </w:rPr>
        <w:t xml:space="preserve">A: 86% of gefitinib is metabolized by the liver and excreted </w:t>
      </w:r>
      <w:r>
        <w:rPr>
          <w:rFonts w:ascii="Book Antiqua" w:hAnsi="Book Antiqua" w:eastAsia="PMingLiU" w:cs="Book Antiqua"/>
          <w:i/>
          <w:color w:val="000000"/>
          <w:lang w:eastAsia="zh-TW"/>
        </w:rPr>
        <w:t>via</w:t>
      </w:r>
      <w:r>
        <w:rPr>
          <w:rFonts w:ascii="Book Antiqua" w:hAnsi="Book Antiqua" w:eastAsia="PMingLiU" w:cs="Book Antiqua"/>
          <w:color w:val="000000"/>
          <w:lang w:eastAsia="zh-TW"/>
        </w:rPr>
        <w:t xml:space="preserve"> feces;</w:t>
      </w:r>
      <w:r>
        <w:rPr>
          <w:rFonts w:ascii="Book Antiqua" w:hAnsi="Book Antiqua" w:eastAsia="PMingLiU" w:cs="Book Antiqua"/>
          <w:b/>
          <w:color w:val="000000"/>
          <w:lang w:eastAsia="zh-TW"/>
        </w:rPr>
        <w:t xml:space="preserve"> </w:t>
      </w:r>
      <w:r>
        <w:rPr>
          <w:rFonts w:ascii="Book Antiqua" w:hAnsi="Book Antiqua" w:eastAsia="PMingLiU" w:cs="Book Antiqua"/>
          <w:color w:val="000000"/>
          <w:lang w:eastAsia="zh-TW"/>
        </w:rPr>
        <w:t>B</w:t>
      </w:r>
      <w:r>
        <w:rPr>
          <w:rFonts w:hint="eastAsia" w:cs="Book Antiqua" w:asciiTheme="minorEastAsia" w:hAnsiTheme="minorEastAsia"/>
          <w:color w:val="000000"/>
          <w:lang w:eastAsia="zh-CN"/>
        </w:rPr>
        <w:t>:</w:t>
      </w:r>
      <w:r>
        <w:rPr>
          <w:rFonts w:ascii="Book Antiqua" w:hAnsi="Book Antiqua" w:eastAsia="PMingLiU" w:cs="Book Antiqua"/>
          <w:color w:val="000000"/>
          <w:lang w:eastAsia="zh-TW"/>
        </w:rPr>
        <w:t xml:space="preserve"> </w:t>
      </w:r>
      <w:r>
        <w:rPr>
          <w:rFonts w:ascii="Book Antiqua" w:hAnsi="Book Antiqua" w:eastAsia="Book Antiqua" w:cs="Book Antiqua"/>
          <w:color w:val="000000"/>
        </w:rPr>
        <w:t xml:space="preserve">80%-90% of erlotinib is metabolized by the liver and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feces; C: </w:t>
      </w:r>
      <w:r>
        <w:rPr>
          <w:rFonts w:ascii="Book Antiqua" w:hAnsi="Book Antiqua" w:eastAsia="PMingLiU" w:cs="Book Antiqua"/>
          <w:color w:val="000000"/>
          <w:lang w:eastAsia="zh-TW"/>
        </w:rPr>
        <w:t xml:space="preserve">85% of </w:t>
      </w:r>
      <w:r>
        <w:rPr>
          <w:rFonts w:ascii="Book Antiqua" w:hAnsi="Book Antiqua" w:eastAsia="Book Antiqua" w:cs="Book Antiqua"/>
          <w:color w:val="000000"/>
        </w:rPr>
        <w:t>afatinib</w:t>
      </w:r>
      <w:r>
        <w:rPr>
          <w:rFonts w:ascii="Book Antiqua" w:hAnsi="Book Antiqua" w:eastAsia="PMingLiU" w:cs="Book Antiqua"/>
          <w:color w:val="000000"/>
          <w:lang w:eastAsia="zh-TW"/>
        </w:rPr>
        <w:t xml:space="preserve"> is metabolized by the liver and excreted </w:t>
      </w:r>
      <w:r>
        <w:rPr>
          <w:rFonts w:ascii="Book Antiqua" w:hAnsi="Book Antiqua" w:eastAsia="PMingLiU" w:cs="Book Antiqua"/>
          <w:i/>
          <w:color w:val="000000"/>
          <w:lang w:eastAsia="zh-TW"/>
        </w:rPr>
        <w:t>via</w:t>
      </w:r>
      <w:r>
        <w:rPr>
          <w:rFonts w:ascii="Book Antiqua" w:hAnsi="Book Antiqua" w:eastAsia="PMingLiU" w:cs="Book Antiqua"/>
          <w:color w:val="000000"/>
          <w:lang w:eastAsia="zh-TW"/>
        </w:rPr>
        <w:t xml:space="preserve"> feces; D: 68% of </w:t>
      </w:r>
      <w:r>
        <w:rPr>
          <w:rFonts w:ascii="Book Antiqua" w:hAnsi="Book Antiqua" w:eastAsia="Book Antiqua" w:cs="Book Antiqua"/>
          <w:color w:val="000000"/>
        </w:rPr>
        <w:t>osimertinib</w:t>
      </w:r>
      <w:r>
        <w:rPr>
          <w:rFonts w:ascii="Book Antiqua" w:hAnsi="Book Antiqua" w:eastAsia="PMingLiU" w:cs="Book Antiqua"/>
          <w:color w:val="000000"/>
          <w:lang w:eastAsia="zh-TW"/>
        </w:rPr>
        <w:t xml:space="preserve"> is metabolized by the liver and excreted via feces.</w:t>
      </w:r>
    </w:p>
    <w:p>
      <w:pPr>
        <w:spacing w:line="360" w:lineRule="auto"/>
        <w:jc w:val="both"/>
        <w:rPr>
          <w:rFonts w:ascii="Book Antiqua" w:hAnsi="Book Antiqua" w:cs="Book Antiqua"/>
          <w:b/>
          <w:color w:val="000000"/>
          <w:lang w:eastAsia="zh-CN"/>
        </w:rPr>
      </w:pP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5941695" cy="2140585"/>
            <wp:effectExtent l="0" t="0" r="1905" b="8255"/>
            <wp:docPr id="3" name="图片 3" descr="WJCC-10-636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6360-g002"/>
                    <pic:cNvPicPr>
                      <a:picLocks noChangeAspect="1"/>
                    </pic:cNvPicPr>
                  </pic:nvPicPr>
                  <pic:blipFill>
                    <a:blip r:embed="rId6"/>
                    <a:stretch>
                      <a:fillRect/>
                    </a:stretch>
                  </pic:blipFill>
                  <pic:spPr>
                    <a:xfrm>
                      <a:off x="0" y="0"/>
                      <a:ext cx="5941695" cy="2140585"/>
                    </a:xfrm>
                    <a:prstGeom prst="rect">
                      <a:avLst/>
                    </a:prstGeom>
                  </pic:spPr>
                </pic:pic>
              </a:graphicData>
            </a:graphic>
          </wp:inline>
        </w:drawing>
      </w:r>
    </w:p>
    <w:p>
      <w:pPr>
        <w:pStyle w:val="18"/>
        <w:spacing w:line="360" w:lineRule="auto"/>
        <w:ind w:left="360" w:leftChars="0"/>
        <w:jc w:val="both"/>
        <w:rPr>
          <w:rFonts w:ascii="Book Antiqua" w:hAnsi="Book Antiqua" w:eastAsia="Book Antiqua" w:cs="Book Antiqua"/>
          <w:bCs/>
          <w:color w:val="000000"/>
        </w:rPr>
      </w:pPr>
      <w:r>
        <w:rPr>
          <w:rFonts w:ascii="Book Antiqua" w:hAnsi="Book Antiqua" w:eastAsia="Book Antiqua" w:cs="Book Antiqua"/>
          <w:b/>
          <w:color w:val="000000"/>
        </w:rPr>
        <w:t xml:space="preserve">Figure 2 Pharmacokinetics of gefitinib in patients undergoing hemodialysis and those with normal renal function. </w:t>
      </w:r>
      <w:r>
        <w:rPr>
          <w:rFonts w:ascii="Book Antiqua" w:hAnsi="Book Antiqua" w:cs="Book Antiqua"/>
          <w:color w:val="000000"/>
          <w:lang w:eastAsia="zh-TW"/>
        </w:rPr>
        <w:t>A: The C</w:t>
      </w:r>
      <w:r>
        <w:rPr>
          <w:rFonts w:ascii="Book Antiqua" w:hAnsi="Book Antiqua" w:cs="Book Antiqua"/>
          <w:color w:val="000000"/>
          <w:vertAlign w:val="subscript"/>
          <w:lang w:eastAsia="zh-TW"/>
        </w:rPr>
        <w:t>max</w:t>
      </w:r>
      <w:r>
        <w:rPr>
          <w:rFonts w:ascii="Book Antiqua" w:hAnsi="Book Antiqua" w:cs="Book Antiqua"/>
          <w:color w:val="000000"/>
          <w:lang w:eastAsia="zh-TW"/>
        </w:rPr>
        <w:t xml:space="preserve"> of</w:t>
      </w:r>
      <w:r>
        <w:rPr>
          <w:rFonts w:ascii="Book Antiqua" w:hAnsi="Book Antiqua" w:eastAsia="Book Antiqua" w:cs="Book Antiqua"/>
          <w:color w:val="000000"/>
        </w:rPr>
        <w:t xml:space="preserve"> gefitinib in patients undergoing HD was similar to subjects with NRF; B: One patient showed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gefitinib was 410 ng/mL. The two patients undergoing HD showed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gefitinib was 102-386 ng/mL; C: </w:t>
      </w:r>
      <w:r>
        <w:rPr>
          <w:rFonts w:ascii="Book Antiqua" w:hAnsi="Book Antiqua" w:cs="Book Antiqua"/>
          <w:color w:val="000000"/>
          <w:lang w:eastAsia="zh-TW"/>
        </w:rPr>
        <w:t xml:space="preserve">The plasma concentration of </w:t>
      </w:r>
      <w:r>
        <w:rPr>
          <w:rFonts w:ascii="Book Antiqua" w:hAnsi="Book Antiqua" w:eastAsia="Book Antiqua" w:cs="Book Antiqua"/>
          <w:color w:val="000000"/>
        </w:rPr>
        <w:t xml:space="preserve">gefitinib were similar in patients before and after HD. </w:t>
      </w:r>
      <w:r>
        <w:rPr>
          <w:rFonts w:ascii="Book Antiqua" w:hAnsi="Book Antiqua" w:cs="Book Antiqua"/>
          <w:color w:val="000000"/>
          <w:lang w:eastAsia="zh-TW"/>
        </w:rPr>
        <w:t>C</w:t>
      </w:r>
      <w:r>
        <w:rPr>
          <w:rFonts w:ascii="Book Antiqua" w:hAnsi="Book Antiqua" w:cs="Book Antiqua"/>
          <w:color w:val="000000"/>
          <w:vertAlign w:val="subscript"/>
          <w:lang w:eastAsia="zh-TW"/>
        </w:rPr>
        <w:t>max</w:t>
      </w:r>
      <w:r>
        <w:rPr>
          <w:rFonts w:ascii="Book Antiqua" w:hAnsi="Book Antiqua" w:eastAsia="PMingLiU" w:cs="PMingLiU"/>
          <w:color w:val="000000"/>
          <w:lang w:eastAsia="zh-TW"/>
        </w:rPr>
        <w:t>:</w:t>
      </w:r>
      <w:r>
        <w:rPr>
          <w:rFonts w:ascii="Book Antiqua" w:hAnsi="Book Antiqua" w:eastAsia="Book Antiqua" w:cs="Book Antiqua"/>
          <w:color w:val="000000"/>
        </w:rPr>
        <w:t xml:space="preserve"> Maxium concentration;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Trough concentration; </w:t>
      </w:r>
      <w:r>
        <w:rPr>
          <w:rFonts w:ascii="Book Antiqua" w:hAnsi="Book Antiqua" w:eastAsia="Book Antiqua" w:cs="Book Antiqua"/>
          <w:bCs/>
          <w:color w:val="000000"/>
        </w:rPr>
        <w:t>HD: H</w:t>
      </w:r>
      <w:r>
        <w:rPr>
          <w:rFonts w:ascii="Book Antiqua" w:hAnsi="Book Antiqua" w:eastAsia="Book Antiqua" w:cs="Book Antiqua"/>
          <w:color w:val="000000"/>
        </w:rPr>
        <w:t>emodialysis</w:t>
      </w:r>
      <w:r>
        <w:rPr>
          <w:rFonts w:ascii="Book Antiqua" w:hAnsi="Book Antiqua" w:eastAsia="Book Antiqua" w:cs="Book Antiqua"/>
          <w:bCs/>
          <w:color w:val="000000"/>
        </w:rPr>
        <w:t xml:space="preserve">; NRF: </w:t>
      </w:r>
      <w:r>
        <w:rPr>
          <w:rFonts w:ascii="Book Antiqua" w:hAnsi="Book Antiqua" w:eastAsia="Book Antiqua" w:cs="Book Antiqua"/>
          <w:color w:val="000000"/>
        </w:rPr>
        <w:t>Normal renal function.</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Theme="minorEastAsia"/>
          <w:lang w:eastAsia="zh-CN"/>
        </w:rPr>
      </w:pPr>
      <w:r>
        <w:rPr>
          <w:rFonts w:ascii="Book Antiqua" w:hAnsi="Book Antiqua"/>
        </w:rPr>
        <w:br w:type="page"/>
      </w:r>
      <w:r>
        <w:rPr>
          <w:rFonts w:hint="eastAsia" w:ascii="Book Antiqua" w:hAnsi="Book Antiqua" w:eastAsiaTheme="minorEastAsia"/>
          <w:lang w:eastAsia="zh-CN"/>
        </w:rPr>
        <w:drawing>
          <wp:inline distT="0" distB="0" distL="114300" distR="114300">
            <wp:extent cx="5941695" cy="2146300"/>
            <wp:effectExtent l="0" t="0" r="1905" b="2540"/>
            <wp:docPr id="4" name="图片 4" descr="WJCC-10-636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6360-g003"/>
                    <pic:cNvPicPr>
                      <a:picLocks noChangeAspect="1"/>
                    </pic:cNvPicPr>
                  </pic:nvPicPr>
                  <pic:blipFill>
                    <a:blip r:embed="rId7"/>
                    <a:stretch>
                      <a:fillRect/>
                    </a:stretch>
                  </pic:blipFill>
                  <pic:spPr>
                    <a:xfrm>
                      <a:off x="0" y="0"/>
                      <a:ext cx="5941695" cy="2146300"/>
                    </a:xfrm>
                    <a:prstGeom prst="rect">
                      <a:avLst/>
                    </a:prstGeom>
                  </pic:spPr>
                </pic:pic>
              </a:graphicData>
            </a:graphic>
          </wp:inline>
        </w:drawing>
      </w:r>
    </w:p>
    <w:p>
      <w:pPr>
        <w:spacing w:line="360" w:lineRule="auto"/>
        <w:jc w:val="both"/>
        <w:rPr>
          <w:rFonts w:ascii="Book Antiqua" w:hAnsi="Book Antiqua"/>
          <w:lang w:eastAsia="zh-TW"/>
        </w:rPr>
      </w:pPr>
      <w:r>
        <w:rPr>
          <w:rFonts w:ascii="Book Antiqua" w:hAnsi="Book Antiqua"/>
          <w:b/>
        </w:rPr>
        <w:t xml:space="preserve">Figure 3 Pharmacokinetics of erlotinib in patients undergoing </w:t>
      </w:r>
      <w:r>
        <w:rPr>
          <w:rFonts w:ascii="Book Antiqua" w:hAnsi="Book Antiqua" w:eastAsia="Book Antiqua" w:cs="Book Antiqua"/>
          <w:b/>
          <w:color w:val="000000"/>
        </w:rPr>
        <w:t xml:space="preserve">hemodialysis </w:t>
      </w:r>
      <w:r>
        <w:rPr>
          <w:rFonts w:ascii="Book Antiqua" w:hAnsi="Book Antiqua"/>
          <w:b/>
        </w:rPr>
        <w:t xml:space="preserve">and those with normal renal function. </w:t>
      </w:r>
      <w:r>
        <w:rPr>
          <w:rFonts w:ascii="Book Antiqua" w:hAnsi="Book Antiqua" w:eastAsia="Book Antiqua" w:cs="Book Antiqua"/>
          <w:color w:val="000000"/>
        </w:rPr>
        <w:t>A: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of erlotinib was 2290 ± 840 ng/mL in patients with NRF. For the patients undergoing HD,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1638 ± 206 ng/mL on day 8 and 1638 ± 206 ng/mL on day 9 (after steady state).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was similar in patients with NRF and undergoing HD; B: </w:t>
      </w:r>
      <w:r>
        <w:rPr>
          <w:rFonts w:ascii="Book Antiqua" w:hAnsi="Book Antiqua"/>
          <w:lang w:eastAsia="zh-TW"/>
        </w:rPr>
        <w:t xml:space="preserve">The plasma concentrations of </w:t>
      </w:r>
      <w:r>
        <w:rPr>
          <w:rFonts w:ascii="Book Antiqua" w:hAnsi="Book Antiqua" w:eastAsia="Book Antiqua" w:cs="Book Antiqua"/>
          <w:color w:val="000000"/>
        </w:rPr>
        <w:t xml:space="preserve">erlotinib were similar before and after HD; C: </w:t>
      </w:r>
      <w:r>
        <w:rPr>
          <w:rFonts w:ascii="Book Antiqua" w:hAnsi="Book Antiqua"/>
          <w:lang w:eastAsia="zh-TW"/>
        </w:rPr>
        <w:t xml:space="preserve">The </w:t>
      </w:r>
      <w:r>
        <w:rPr>
          <w:rFonts w:ascii="Book Antiqua" w:hAnsi="Book Antiqua" w:eastAsia="Book Antiqua" w:cs="Book Antiqua"/>
          <w:color w:val="000000"/>
        </w:rPr>
        <w:t>AUC</w:t>
      </w:r>
      <w:r>
        <w:rPr>
          <w:rFonts w:ascii="Book Antiqua" w:hAnsi="Book Antiqua" w:eastAsia="Book Antiqua" w:cs="Book Antiqua"/>
          <w:color w:val="000000"/>
          <w:vertAlign w:val="subscript"/>
        </w:rPr>
        <w:t>0-24</w:t>
      </w:r>
      <w:r>
        <w:rPr>
          <w:rFonts w:ascii="Book Antiqua" w:hAnsi="Book Antiqua"/>
          <w:lang w:eastAsia="zh-TW"/>
        </w:rPr>
        <w:t xml:space="preserve"> </w:t>
      </w:r>
      <w:r>
        <w:rPr>
          <w:rFonts w:ascii="Book Antiqua" w:hAnsi="Book Antiqua" w:eastAsia="Book Antiqua" w:cs="Book Antiqua"/>
          <w:color w:val="000000"/>
        </w:rPr>
        <w:t>was 35760 ± 15720 ng•hr/mL in patients with NRF. For the patients undergoing HD, the AUC</w:t>
      </w:r>
      <w:r>
        <w:rPr>
          <w:rFonts w:ascii="Book Antiqua" w:hAnsi="Book Antiqua" w:eastAsia="Book Antiqua" w:cs="Book Antiqua"/>
          <w:color w:val="000000"/>
          <w:vertAlign w:val="subscript"/>
        </w:rPr>
        <w:t xml:space="preserve">0-24 </w:t>
      </w:r>
      <w:r>
        <w:rPr>
          <w:rFonts w:ascii="Book Antiqua" w:hAnsi="Book Antiqua" w:eastAsia="Book Antiqua" w:cs="Book Antiqua"/>
          <w:color w:val="000000"/>
        </w:rPr>
        <w:t>was 23285 ± 5338 ng•hr/mL on day 8 and 25895 ± 7747 ng•hr/mL on day 9. The AUC</w:t>
      </w:r>
      <w:r>
        <w:rPr>
          <w:rFonts w:ascii="Book Antiqua" w:hAnsi="Book Antiqua" w:eastAsia="Book Antiqua" w:cs="Book Antiqua"/>
          <w:color w:val="000000"/>
          <w:vertAlign w:val="subscript"/>
        </w:rPr>
        <w:t>0-24</w:t>
      </w:r>
      <w:r>
        <w:rPr>
          <w:rFonts w:ascii="Book Antiqua" w:hAnsi="Book Antiqua" w:eastAsia="Book Antiqua" w:cs="Book Antiqua"/>
          <w:color w:val="000000"/>
        </w:rPr>
        <w:t xml:space="preserve"> was similar in patients with NRF and undergoing HD. AUC</w:t>
      </w:r>
      <w:r>
        <w:rPr>
          <w:rFonts w:ascii="Book Antiqua" w:hAnsi="Book Antiqua" w:eastAsia="Book Antiqua" w:cs="Book Antiqua"/>
          <w:color w:val="000000"/>
          <w:vertAlign w:val="subscript"/>
        </w:rPr>
        <w:t>0-24</w:t>
      </w:r>
      <w:r>
        <w:rPr>
          <w:rFonts w:ascii="Book Antiqua" w:hAnsi="Book Antiqua" w:eastAsia="Book Antiqua" w:cs="Book Antiqua"/>
          <w:bCs/>
          <w:color w:val="000000"/>
        </w:rPr>
        <w:t>:</w:t>
      </w:r>
      <w:r>
        <w:rPr>
          <w:rFonts w:ascii="Book Antiqua" w:hAnsi="Book Antiqua" w:eastAsia="Book Antiqua" w:cs="Book Antiqua"/>
          <w:color w:val="000000"/>
        </w:rPr>
        <w:t xml:space="preserve"> Area under the curve of the plasma concentration from 0 to 24 h; </w:t>
      </w:r>
      <w:r>
        <w:rPr>
          <w:rFonts w:ascii="Book Antiqua" w:hAnsi="Book Antiqua" w:cs="Book Antiqua"/>
          <w:color w:val="000000"/>
          <w:lang w:eastAsia="zh-TW"/>
        </w:rPr>
        <w:t>C</w:t>
      </w:r>
      <w:r>
        <w:rPr>
          <w:rFonts w:ascii="Book Antiqua" w:hAnsi="Book Antiqua" w:cs="Book Antiqua"/>
          <w:color w:val="000000"/>
          <w:vertAlign w:val="subscript"/>
          <w:lang w:eastAsia="zh-TW"/>
        </w:rPr>
        <w:t>max</w:t>
      </w:r>
      <w:r>
        <w:rPr>
          <w:rFonts w:ascii="Book Antiqua" w:hAnsi="Book Antiqua" w:eastAsia="PMingLiU" w:cs="PMingLiU"/>
          <w:color w:val="000000"/>
          <w:lang w:eastAsia="zh-TW"/>
        </w:rPr>
        <w:t>:</w:t>
      </w:r>
      <w:r>
        <w:rPr>
          <w:rFonts w:ascii="Book Antiqua" w:hAnsi="Book Antiqua" w:eastAsia="Book Antiqua" w:cs="Book Antiqua"/>
          <w:color w:val="000000"/>
        </w:rPr>
        <w:t xml:space="preserve"> Maxium concentration;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Trough concentration; </w:t>
      </w:r>
      <w:r>
        <w:rPr>
          <w:rFonts w:ascii="Book Antiqua" w:hAnsi="Book Antiqua" w:eastAsia="Book Antiqua" w:cs="Book Antiqua"/>
          <w:bCs/>
          <w:color w:val="000000"/>
        </w:rPr>
        <w:t>HD: H</w:t>
      </w:r>
      <w:r>
        <w:rPr>
          <w:rFonts w:ascii="Book Antiqua" w:hAnsi="Book Antiqua" w:eastAsia="Book Antiqua" w:cs="Book Antiqua"/>
          <w:color w:val="000000"/>
        </w:rPr>
        <w:t>emodialysis</w:t>
      </w:r>
      <w:r>
        <w:rPr>
          <w:rFonts w:ascii="Book Antiqua" w:hAnsi="Book Antiqua" w:eastAsia="Book Antiqua" w:cs="Book Antiqua"/>
          <w:bCs/>
          <w:color w:val="000000"/>
        </w:rPr>
        <w:t xml:space="preserve">; NRF: </w:t>
      </w:r>
      <w:r>
        <w:rPr>
          <w:rFonts w:ascii="Book Antiqua" w:hAnsi="Book Antiqua" w:eastAsia="Book Antiqua" w:cs="Book Antiqua"/>
          <w:color w:val="000000"/>
        </w:rPr>
        <w:t>Normal renal function.</w:t>
      </w: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eastAsia="Times New Roman" w:cstheme="minorBidi"/>
          <w:color w:val="000000" w:themeColor="text1"/>
          <w:kern w:val="24"/>
          <w:lang w:eastAsia="zh-CN"/>
          <w14:textFill>
            <w14:solidFill>
              <w14:schemeClr w14:val="tx1"/>
            </w14:solidFill>
          </w14:textFill>
        </w:rPr>
      </w:pPr>
      <w:r>
        <w:rPr>
          <w:rFonts w:ascii="Book Antiqua" w:hAnsi="Book Antiqua" w:eastAsia="Times New Roman" w:cstheme="minorBidi"/>
          <w:color w:val="000000" w:themeColor="text1"/>
          <w:kern w:val="24"/>
          <w:lang w:eastAsia="zh-CN"/>
          <w14:textFill>
            <w14:solidFill>
              <w14:schemeClr w14:val="tx1"/>
            </w14:solidFill>
          </w14:textFill>
        </w:rPr>
        <w:drawing>
          <wp:inline distT="0" distB="0" distL="114300" distR="114300">
            <wp:extent cx="4328160" cy="2557145"/>
            <wp:effectExtent l="0" t="0" r="0" b="3175"/>
            <wp:docPr id="7" name="图片 7" descr="WJCC-10-6360-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6360-g004"/>
                    <pic:cNvPicPr>
                      <a:picLocks noChangeAspect="1"/>
                    </pic:cNvPicPr>
                  </pic:nvPicPr>
                  <pic:blipFill>
                    <a:blip r:embed="rId8"/>
                    <a:stretch>
                      <a:fillRect/>
                    </a:stretch>
                  </pic:blipFill>
                  <pic:spPr>
                    <a:xfrm>
                      <a:off x="0" y="0"/>
                      <a:ext cx="4328160" cy="2557145"/>
                    </a:xfrm>
                    <a:prstGeom prst="rect">
                      <a:avLst/>
                    </a:prstGeom>
                  </pic:spPr>
                </pic:pic>
              </a:graphicData>
            </a:graphic>
          </wp:inline>
        </w:drawing>
      </w:r>
    </w:p>
    <w:p>
      <w:pPr>
        <w:spacing w:line="360" w:lineRule="auto"/>
        <w:jc w:val="both"/>
        <w:rPr>
          <w:rFonts w:ascii="Book Antiqua" w:hAnsi="Book Antiqua"/>
          <w:bCs/>
        </w:rPr>
      </w:pPr>
      <w:r>
        <w:rPr>
          <w:rFonts w:ascii="Book Antiqua" w:hAnsi="Book Antiqua"/>
          <w:b/>
        </w:rPr>
        <w:t xml:space="preserve">Figure 4 Pharmacokinetics of afatinib in patients undergoing </w:t>
      </w:r>
      <w:r>
        <w:rPr>
          <w:rFonts w:ascii="Book Antiqua" w:hAnsi="Book Antiqua" w:eastAsia="Book Antiqua" w:cs="Book Antiqua"/>
          <w:b/>
          <w:color w:val="000000"/>
        </w:rPr>
        <w:t xml:space="preserve">hemodialysis </w:t>
      </w:r>
      <w:r>
        <w:rPr>
          <w:rFonts w:ascii="Book Antiqua" w:hAnsi="Book Antiqua"/>
          <w:b/>
        </w:rPr>
        <w:t xml:space="preserve">and those with normal renal function. </w:t>
      </w:r>
      <w:r>
        <w:rPr>
          <w:rFonts w:ascii="Book Antiqua" w:hAnsi="Book Antiqua" w:eastAsia="Book Antiqua" w:cs="Book Antiqua"/>
          <w:color w:val="000000"/>
        </w:rPr>
        <w:t>A: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of afatinib 30 mg daily in patients with NRF was 16.3 ng/mL, while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of afatinib 40 mg daily in patients with was NRF 25.2 ng/mL. The C</w:t>
      </w:r>
      <w:r>
        <w:rPr>
          <w:rFonts w:ascii="Book Antiqua" w:hAnsi="Book Antiqua" w:eastAsia="Book Antiqua" w:cs="Book Antiqua"/>
          <w:color w:val="000000"/>
          <w:vertAlign w:val="subscript"/>
        </w:rPr>
        <w:t>max</w:t>
      </w:r>
      <w:r>
        <w:rPr>
          <w:rFonts w:ascii="Book Antiqua" w:hAnsi="Book Antiqua" w:eastAsia="Book Antiqua" w:cs="Book Antiqua"/>
          <w:color w:val="000000"/>
        </w:rPr>
        <w:t xml:space="preserve"> of afatinib 30 mg daily in patients with HD was 13.4 ± 6.2 ng/mL on day 1 and 51.7 ± 23.8 ng/mL on day 10; </w:t>
      </w:r>
      <w:r>
        <w:rPr>
          <w:rFonts w:ascii="Book Antiqua" w:hAnsi="Book Antiqua" w:cs="Book Antiqua"/>
          <w:color w:val="000000"/>
          <w:lang w:eastAsia="zh-TW"/>
        </w:rPr>
        <w:t xml:space="preserve">B: </w:t>
      </w:r>
      <w:r>
        <w:rPr>
          <w:rFonts w:ascii="Book Antiqua" w:hAnsi="Book Antiqua" w:eastAsia="Book Antiqua" w:cs="Book Antiqua"/>
          <w:color w:val="000000"/>
        </w:rPr>
        <w:t>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afatinib 30 mg daily in patients with NRF was </w:t>
      </w:r>
      <w:r>
        <w:rPr>
          <w:rFonts w:ascii="Book Antiqua" w:hAnsi="Book Antiqua"/>
          <w:lang w:eastAsia="zh-TW"/>
        </w:rPr>
        <w:t xml:space="preserve">15.1 </w:t>
      </w:r>
      <w:r>
        <w:rPr>
          <w:rFonts w:ascii="Book Antiqua" w:hAnsi="Book Antiqua" w:eastAsia="Book Antiqua" w:cs="Book Antiqua"/>
          <w:color w:val="000000"/>
        </w:rPr>
        <w:t>ng/mL, while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afatinib 40 mg daily in patients with NRF was 26 ng/mL. The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of afatinib 30 mg daily in patients with HD was 4.5 ± 2.3 ng/mL on day 1 and 28.3 ± 9.0 ng/mL on day 11. </w:t>
      </w:r>
      <w:r>
        <w:rPr>
          <w:rFonts w:ascii="Book Antiqua" w:hAnsi="Book Antiqua" w:cs="Book Antiqua"/>
          <w:color w:val="000000"/>
          <w:lang w:eastAsia="zh-TW"/>
        </w:rPr>
        <w:t>C</w:t>
      </w:r>
      <w:r>
        <w:rPr>
          <w:rFonts w:ascii="Book Antiqua" w:hAnsi="Book Antiqua" w:cs="Book Antiqua"/>
          <w:color w:val="000000"/>
          <w:vertAlign w:val="subscript"/>
          <w:lang w:eastAsia="zh-TW"/>
        </w:rPr>
        <w:t>max</w:t>
      </w:r>
      <w:r>
        <w:rPr>
          <w:rFonts w:ascii="Book Antiqua" w:hAnsi="Book Antiqua" w:eastAsia="PMingLiU" w:cs="PMingLiU"/>
          <w:color w:val="000000"/>
          <w:lang w:eastAsia="zh-TW"/>
        </w:rPr>
        <w:t>:</w:t>
      </w:r>
      <w:r>
        <w:rPr>
          <w:rFonts w:ascii="Book Antiqua" w:hAnsi="Book Antiqua" w:eastAsia="Book Antiqua" w:cs="Book Antiqua"/>
          <w:color w:val="000000"/>
        </w:rPr>
        <w:t xml:space="preserve"> Maxium concentration; C</w:t>
      </w:r>
      <w:r>
        <w:rPr>
          <w:rFonts w:ascii="Book Antiqua" w:hAnsi="Book Antiqua" w:eastAsia="Book Antiqua" w:cs="Book Antiqua"/>
          <w:color w:val="000000"/>
          <w:vertAlign w:val="subscript"/>
        </w:rPr>
        <w:t>trough</w:t>
      </w:r>
      <w:r>
        <w:rPr>
          <w:rFonts w:ascii="Book Antiqua" w:hAnsi="Book Antiqua" w:eastAsia="Book Antiqua" w:cs="Book Antiqua"/>
          <w:color w:val="000000"/>
        </w:rPr>
        <w:t xml:space="preserve">: Trough concentration; </w:t>
      </w:r>
      <w:r>
        <w:rPr>
          <w:rFonts w:ascii="Book Antiqua" w:hAnsi="Book Antiqua"/>
          <w:bCs/>
        </w:rPr>
        <w:t>HD: Hemodialysis;</w:t>
      </w:r>
      <w:r>
        <w:rPr>
          <w:rFonts w:ascii="Book Antiqua" w:hAnsi="Book Antiqua"/>
          <w:b/>
        </w:rPr>
        <w:t xml:space="preserve"> </w:t>
      </w:r>
      <w:r>
        <w:rPr>
          <w:rFonts w:ascii="Book Antiqua" w:hAnsi="Book Antiqua"/>
          <w:bCs/>
        </w:rPr>
        <w:t>NRF: Normal renal function.</w:t>
      </w:r>
    </w:p>
    <w:p>
      <w:pPr>
        <w:rPr>
          <w:rFonts w:ascii="Book Antiqua" w:hAnsi="Book Antiqua"/>
          <w:bCs/>
        </w:rPr>
      </w:pPr>
      <w:r>
        <w:rPr>
          <w:rFonts w:ascii="Book Antiqua" w:hAnsi="Book Antiqua"/>
          <w:bCs/>
        </w:rPr>
        <w:br w:type="page"/>
      </w:r>
    </w:p>
    <w:p>
      <w:pPr>
        <w:spacing w:line="360" w:lineRule="auto"/>
        <w:jc w:val="both"/>
        <w:rPr>
          <w:rFonts w:hint="eastAsia" w:ascii="Book Antiqua" w:hAnsi="Book Antiqua" w:eastAsiaTheme="minorEastAsia"/>
          <w:lang w:eastAsia="zh-CN"/>
        </w:rPr>
      </w:pPr>
      <w:bookmarkStart w:id="0" w:name="_GoBack"/>
      <w:r>
        <w:rPr>
          <w:rFonts w:hint="eastAsia" w:ascii="Book Antiqua" w:hAnsi="Book Antiqua" w:eastAsiaTheme="minorEastAsia"/>
          <w:lang w:eastAsia="zh-CN"/>
        </w:rPr>
        <w:drawing>
          <wp:inline distT="0" distB="0" distL="114300" distR="114300">
            <wp:extent cx="5885815" cy="2332990"/>
            <wp:effectExtent l="0" t="0" r="12065" b="13970"/>
            <wp:docPr id="8" name="图片 8" descr="WJCC-10-6360-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6360-g005"/>
                    <pic:cNvPicPr>
                      <a:picLocks noChangeAspect="1"/>
                    </pic:cNvPicPr>
                  </pic:nvPicPr>
                  <pic:blipFill>
                    <a:blip r:embed="rId9"/>
                    <a:stretch>
                      <a:fillRect/>
                    </a:stretch>
                  </pic:blipFill>
                  <pic:spPr>
                    <a:xfrm>
                      <a:off x="0" y="0"/>
                      <a:ext cx="5885815" cy="2332990"/>
                    </a:xfrm>
                    <a:prstGeom prst="rect">
                      <a:avLst/>
                    </a:prstGeom>
                  </pic:spPr>
                </pic:pic>
              </a:graphicData>
            </a:graphic>
          </wp:inline>
        </w:drawing>
      </w:r>
      <w:bookmarkEnd w:id="0"/>
    </w:p>
    <w:p>
      <w:pPr>
        <w:pStyle w:val="18"/>
        <w:spacing w:line="360" w:lineRule="auto"/>
        <w:ind w:left="360" w:leftChars="0"/>
        <w:jc w:val="both"/>
        <w:rPr>
          <w:rFonts w:ascii="Book Antiqua" w:hAnsi="Book Antiqua"/>
          <w:b/>
        </w:rPr>
      </w:pPr>
      <w:r>
        <w:rPr>
          <w:rFonts w:ascii="Book Antiqua" w:hAnsi="Book Antiqua"/>
          <w:b/>
        </w:rPr>
        <w:t xml:space="preserve">Figure 5 Pharmacokinetics of osimertinib in patients undergoing </w:t>
      </w:r>
      <w:r>
        <w:rPr>
          <w:rFonts w:ascii="Book Antiqua" w:hAnsi="Book Antiqua" w:eastAsia="Book Antiqua" w:cs="Book Antiqua"/>
          <w:b/>
          <w:color w:val="000000"/>
        </w:rPr>
        <w:t xml:space="preserve">hemodialysis </w:t>
      </w:r>
      <w:r>
        <w:rPr>
          <w:rFonts w:ascii="Book Antiqua" w:hAnsi="Book Antiqua"/>
          <w:b/>
        </w:rPr>
        <w:t xml:space="preserve">and those with normal renal function. </w:t>
      </w:r>
      <w:r>
        <w:rPr>
          <w:rFonts w:ascii="Book Antiqua" w:hAnsi="Book Antiqua" w:cs="Book Antiqua"/>
          <w:bCs/>
          <w:color w:val="000000"/>
          <w:lang w:eastAsia="zh-TW"/>
        </w:rPr>
        <w:t xml:space="preserve">A: Plasma concentrations of osimertinib were similar among pre-HD, post-HD, and non-HD days; B: The </w:t>
      </w:r>
      <w:r>
        <w:rPr>
          <w:rFonts w:ascii="Book Antiqua" w:hAnsi="Book Antiqua" w:eastAsia="Book Antiqua" w:cs="Book Antiqua"/>
          <w:color w:val="000000"/>
        </w:rPr>
        <w:t>AUC</w:t>
      </w:r>
      <w:r>
        <w:rPr>
          <w:rFonts w:ascii="Book Antiqua" w:hAnsi="Book Antiqua" w:eastAsia="Book Antiqua" w:cs="Book Antiqua"/>
          <w:color w:val="000000"/>
          <w:vertAlign w:val="subscript"/>
        </w:rPr>
        <w:t>0–24</w:t>
      </w:r>
      <w:r>
        <w:rPr>
          <w:rFonts w:ascii="Book Antiqua" w:hAnsi="Book Antiqua" w:cs="Book Antiqua"/>
          <w:bCs/>
          <w:color w:val="000000"/>
          <w:lang w:eastAsia="zh-TW"/>
        </w:rPr>
        <w:t xml:space="preserve"> of </w:t>
      </w:r>
      <w:r>
        <w:rPr>
          <w:rFonts w:ascii="Book Antiqua" w:hAnsi="Book Antiqua" w:eastAsia="Book Antiqua" w:cs="Book Antiqua"/>
          <w:bCs/>
          <w:color w:val="000000"/>
        </w:rPr>
        <w:t>osimertinib</w:t>
      </w:r>
      <w:r>
        <w:rPr>
          <w:rFonts w:ascii="Book Antiqua" w:hAnsi="Book Antiqua" w:cs="Book Antiqua"/>
          <w:bCs/>
          <w:color w:val="000000"/>
          <w:lang w:eastAsia="zh-TW"/>
        </w:rPr>
        <w:t xml:space="preserve"> were similar among pre-HD, post-HD, and non-HD days. </w:t>
      </w:r>
      <w:r>
        <w:rPr>
          <w:rFonts w:ascii="Book Antiqua" w:hAnsi="Book Antiqua" w:eastAsia="Book Antiqua" w:cs="Book Antiqua"/>
          <w:color w:val="000000"/>
        </w:rPr>
        <w:t>AUC</w:t>
      </w:r>
      <w:r>
        <w:rPr>
          <w:rFonts w:ascii="Book Antiqua" w:hAnsi="Book Antiqua" w:eastAsia="Book Antiqua" w:cs="Book Antiqua"/>
          <w:color w:val="000000"/>
          <w:vertAlign w:val="subscript"/>
        </w:rPr>
        <w:t>0-24</w:t>
      </w:r>
      <w:r>
        <w:rPr>
          <w:rFonts w:ascii="Book Antiqua" w:hAnsi="Book Antiqua" w:eastAsia="Book Antiqua" w:cs="Book Antiqua"/>
          <w:bCs/>
          <w:color w:val="000000"/>
        </w:rPr>
        <w:t>:</w:t>
      </w:r>
      <w:r>
        <w:rPr>
          <w:rFonts w:ascii="Book Antiqua" w:hAnsi="Book Antiqua" w:eastAsia="Book Antiqua" w:cs="Book Antiqua"/>
          <w:color w:val="000000"/>
        </w:rPr>
        <w:t xml:space="preserve"> Area under the curve of the plasma concentration from 0 to 24 h; </w:t>
      </w:r>
      <w:r>
        <w:rPr>
          <w:rFonts w:ascii="Book Antiqua" w:hAnsi="Book Antiqua"/>
          <w:bCs/>
        </w:rPr>
        <w:t>HD: Hemodialysis;</w:t>
      </w:r>
      <w:r>
        <w:rPr>
          <w:rFonts w:ascii="Book Antiqua" w:hAnsi="Book Antiqua"/>
          <w:b/>
        </w:rPr>
        <w:t xml:space="preserve"> </w:t>
      </w:r>
      <w:r>
        <w:rPr>
          <w:rFonts w:ascii="Book Antiqua" w:hAnsi="Book Antiqua"/>
          <w:bCs/>
        </w:rPr>
        <w:t>NRF: Normal renal function.</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43810614"/>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r>
          <w:rPr>
            <w:rFonts w:ascii="Book Antiqua" w:hAnsi="Book Antiqua"/>
            <w:sz w:val="24"/>
            <w:szCs w:val="24"/>
          </w:rPr>
          <w:t xml:space="preserve"> / 23</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13E6"/>
    <w:rsid w:val="00022B0D"/>
    <w:rsid w:val="00027985"/>
    <w:rsid w:val="0004338A"/>
    <w:rsid w:val="000661B5"/>
    <w:rsid w:val="000D185B"/>
    <w:rsid w:val="000E170C"/>
    <w:rsid w:val="000F0904"/>
    <w:rsid w:val="00101C04"/>
    <w:rsid w:val="001075A6"/>
    <w:rsid w:val="00117E0E"/>
    <w:rsid w:val="00136572"/>
    <w:rsid w:val="00142CA6"/>
    <w:rsid w:val="001467D2"/>
    <w:rsid w:val="00151507"/>
    <w:rsid w:val="00157022"/>
    <w:rsid w:val="00161D3D"/>
    <w:rsid w:val="00172801"/>
    <w:rsid w:val="00176D47"/>
    <w:rsid w:val="00180E5B"/>
    <w:rsid w:val="001818E2"/>
    <w:rsid w:val="001A3771"/>
    <w:rsid w:val="001B46FA"/>
    <w:rsid w:val="001C0158"/>
    <w:rsid w:val="001F5BF6"/>
    <w:rsid w:val="002058B1"/>
    <w:rsid w:val="00246CF8"/>
    <w:rsid w:val="00267A70"/>
    <w:rsid w:val="0029152D"/>
    <w:rsid w:val="002F1D30"/>
    <w:rsid w:val="002F2B63"/>
    <w:rsid w:val="002F7EE3"/>
    <w:rsid w:val="00312D13"/>
    <w:rsid w:val="003179D4"/>
    <w:rsid w:val="0032517F"/>
    <w:rsid w:val="00325AAF"/>
    <w:rsid w:val="0034293E"/>
    <w:rsid w:val="00346502"/>
    <w:rsid w:val="00350382"/>
    <w:rsid w:val="0036491A"/>
    <w:rsid w:val="00387BCB"/>
    <w:rsid w:val="00394736"/>
    <w:rsid w:val="00394C58"/>
    <w:rsid w:val="003B0FAD"/>
    <w:rsid w:val="003B23BD"/>
    <w:rsid w:val="003E0D79"/>
    <w:rsid w:val="003E7CD3"/>
    <w:rsid w:val="003F2CDE"/>
    <w:rsid w:val="00403220"/>
    <w:rsid w:val="0041330D"/>
    <w:rsid w:val="00417949"/>
    <w:rsid w:val="00424C66"/>
    <w:rsid w:val="004252A1"/>
    <w:rsid w:val="00443418"/>
    <w:rsid w:val="00465D14"/>
    <w:rsid w:val="004804DB"/>
    <w:rsid w:val="00483C16"/>
    <w:rsid w:val="004872C0"/>
    <w:rsid w:val="004913D4"/>
    <w:rsid w:val="004A14E9"/>
    <w:rsid w:val="004A3156"/>
    <w:rsid w:val="004B581C"/>
    <w:rsid w:val="004C1CD8"/>
    <w:rsid w:val="004C3E14"/>
    <w:rsid w:val="004D3DB3"/>
    <w:rsid w:val="004F2E51"/>
    <w:rsid w:val="00517ED1"/>
    <w:rsid w:val="00533114"/>
    <w:rsid w:val="00562378"/>
    <w:rsid w:val="00574184"/>
    <w:rsid w:val="00575A69"/>
    <w:rsid w:val="00576D21"/>
    <w:rsid w:val="005824EE"/>
    <w:rsid w:val="00586C04"/>
    <w:rsid w:val="005938C5"/>
    <w:rsid w:val="005A31DF"/>
    <w:rsid w:val="005C2660"/>
    <w:rsid w:val="005D702F"/>
    <w:rsid w:val="00602EC5"/>
    <w:rsid w:val="006075A5"/>
    <w:rsid w:val="00615F5B"/>
    <w:rsid w:val="00622FB3"/>
    <w:rsid w:val="0063128E"/>
    <w:rsid w:val="0065392A"/>
    <w:rsid w:val="00656EB1"/>
    <w:rsid w:val="00657F10"/>
    <w:rsid w:val="00670505"/>
    <w:rsid w:val="006949ED"/>
    <w:rsid w:val="006A3961"/>
    <w:rsid w:val="006C57AE"/>
    <w:rsid w:val="006D2E51"/>
    <w:rsid w:val="006F51EB"/>
    <w:rsid w:val="0070262E"/>
    <w:rsid w:val="00734614"/>
    <w:rsid w:val="00764338"/>
    <w:rsid w:val="00764EC0"/>
    <w:rsid w:val="00796D1A"/>
    <w:rsid w:val="007C74DF"/>
    <w:rsid w:val="007E62CB"/>
    <w:rsid w:val="007F03AB"/>
    <w:rsid w:val="007F0E45"/>
    <w:rsid w:val="0081004C"/>
    <w:rsid w:val="00821168"/>
    <w:rsid w:val="008363DD"/>
    <w:rsid w:val="00854197"/>
    <w:rsid w:val="00855376"/>
    <w:rsid w:val="00856372"/>
    <w:rsid w:val="00880EE2"/>
    <w:rsid w:val="0088186B"/>
    <w:rsid w:val="008839EC"/>
    <w:rsid w:val="00895CE7"/>
    <w:rsid w:val="008A1EBE"/>
    <w:rsid w:val="008A653C"/>
    <w:rsid w:val="008B2E0D"/>
    <w:rsid w:val="008B7C89"/>
    <w:rsid w:val="008C3575"/>
    <w:rsid w:val="008D3444"/>
    <w:rsid w:val="008D5AE5"/>
    <w:rsid w:val="008D7A0B"/>
    <w:rsid w:val="00940DC1"/>
    <w:rsid w:val="00944933"/>
    <w:rsid w:val="009627DD"/>
    <w:rsid w:val="00962DC7"/>
    <w:rsid w:val="00973C8F"/>
    <w:rsid w:val="00974C19"/>
    <w:rsid w:val="009835F6"/>
    <w:rsid w:val="00985118"/>
    <w:rsid w:val="009A6BC1"/>
    <w:rsid w:val="009D0A09"/>
    <w:rsid w:val="009E4A11"/>
    <w:rsid w:val="009F5A90"/>
    <w:rsid w:val="00A119C1"/>
    <w:rsid w:val="00A16DA5"/>
    <w:rsid w:val="00A55E59"/>
    <w:rsid w:val="00A572AB"/>
    <w:rsid w:val="00A77B3E"/>
    <w:rsid w:val="00AB1A12"/>
    <w:rsid w:val="00AB26D0"/>
    <w:rsid w:val="00AC3FE4"/>
    <w:rsid w:val="00B072C5"/>
    <w:rsid w:val="00B13499"/>
    <w:rsid w:val="00B414F4"/>
    <w:rsid w:val="00B44635"/>
    <w:rsid w:val="00B7390F"/>
    <w:rsid w:val="00B81806"/>
    <w:rsid w:val="00B87438"/>
    <w:rsid w:val="00BA6284"/>
    <w:rsid w:val="00BB306D"/>
    <w:rsid w:val="00BC0861"/>
    <w:rsid w:val="00BE6F4A"/>
    <w:rsid w:val="00BF1500"/>
    <w:rsid w:val="00C07917"/>
    <w:rsid w:val="00C138DD"/>
    <w:rsid w:val="00C14B9E"/>
    <w:rsid w:val="00C240B5"/>
    <w:rsid w:val="00C35DE2"/>
    <w:rsid w:val="00C57093"/>
    <w:rsid w:val="00C62888"/>
    <w:rsid w:val="00C66E9E"/>
    <w:rsid w:val="00C72D58"/>
    <w:rsid w:val="00C83311"/>
    <w:rsid w:val="00C91373"/>
    <w:rsid w:val="00CA2A55"/>
    <w:rsid w:val="00CC6195"/>
    <w:rsid w:val="00CD4B51"/>
    <w:rsid w:val="00D012BB"/>
    <w:rsid w:val="00D24BF5"/>
    <w:rsid w:val="00D33275"/>
    <w:rsid w:val="00D6657F"/>
    <w:rsid w:val="00D701F0"/>
    <w:rsid w:val="00D824DD"/>
    <w:rsid w:val="00D92271"/>
    <w:rsid w:val="00DA4A44"/>
    <w:rsid w:val="00DD4F6F"/>
    <w:rsid w:val="00DE377B"/>
    <w:rsid w:val="00E00E47"/>
    <w:rsid w:val="00E0792F"/>
    <w:rsid w:val="00E32540"/>
    <w:rsid w:val="00E458FE"/>
    <w:rsid w:val="00E45C7C"/>
    <w:rsid w:val="00E47300"/>
    <w:rsid w:val="00E7040F"/>
    <w:rsid w:val="00E74E25"/>
    <w:rsid w:val="00E90584"/>
    <w:rsid w:val="00EB778D"/>
    <w:rsid w:val="00EC6F00"/>
    <w:rsid w:val="00EC778C"/>
    <w:rsid w:val="00ED6CBD"/>
    <w:rsid w:val="00ED7090"/>
    <w:rsid w:val="00EF19E6"/>
    <w:rsid w:val="00F050CA"/>
    <w:rsid w:val="00F06654"/>
    <w:rsid w:val="00F204F0"/>
    <w:rsid w:val="00F221C7"/>
    <w:rsid w:val="00F6717D"/>
    <w:rsid w:val="00F81A38"/>
    <w:rsid w:val="00F924A5"/>
    <w:rsid w:val="00FA6F68"/>
    <w:rsid w:val="00FA7485"/>
    <w:rsid w:val="00FB1169"/>
    <w:rsid w:val="00FB265C"/>
    <w:rsid w:val="00FE40CB"/>
    <w:rsid w:val="218D7381"/>
    <w:rsid w:val="5D336E54"/>
    <w:rsid w:val="7DDD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3"/>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2"/>
    <w:semiHidden/>
    <w:unhideWhenUsed/>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文字 字符"/>
    <w:basedOn w:val="9"/>
    <w:link w:val="2"/>
    <w:semiHidden/>
    <w:qFormat/>
    <w:uiPriority w:val="0"/>
    <w:rPr>
      <w:sz w:val="24"/>
      <w:szCs w:val="24"/>
    </w:rPr>
  </w:style>
  <w:style w:type="character" w:customStyle="1" w:styleId="12">
    <w:name w:val="批注主题 字符"/>
    <w:basedOn w:val="11"/>
    <w:link w:val="7"/>
    <w:semiHidden/>
    <w:qFormat/>
    <w:uiPriority w:val="0"/>
    <w:rPr>
      <w:b/>
      <w:bCs/>
      <w:sz w:val="24"/>
      <w:szCs w:val="24"/>
    </w:rPr>
  </w:style>
  <w:style w:type="character" w:customStyle="1" w:styleId="13">
    <w:name w:val="批注框文本 字符"/>
    <w:basedOn w:val="9"/>
    <w:link w:val="3"/>
    <w:semiHidden/>
    <w:qFormat/>
    <w:uiPriority w:val="0"/>
    <w:rPr>
      <w:sz w:val="18"/>
      <w:szCs w:val="18"/>
    </w:rPr>
  </w:style>
  <w:style w:type="paragraph" w:customStyle="1" w:styleId="14">
    <w:name w:val="正文1"/>
    <w:qFormat/>
    <w:uiPriority w:val="99"/>
    <w:pPr>
      <w:spacing w:line="276" w:lineRule="auto"/>
    </w:pPr>
    <w:rPr>
      <w:rFonts w:ascii="Arial" w:hAnsi="Arial" w:eastAsia="宋体" w:cs="Arial"/>
      <w:color w:val="000000"/>
      <w:sz w:val="22"/>
      <w:lang w:val="pl-PL" w:eastAsia="pl-PL" w:bidi="ar-SA"/>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paragraph" w:styleId="18">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EA9A-D659-443F-B08F-8ACB2D2C177E}">
  <ds:schemaRefs/>
</ds:datastoreItem>
</file>

<file path=docProps/app.xml><?xml version="1.0" encoding="utf-8"?>
<Properties xmlns="http://schemas.openxmlformats.org/officeDocument/2006/extended-properties" xmlns:vt="http://schemas.openxmlformats.org/officeDocument/2006/docPropsVTypes">
  <Template>Normal</Template>
  <Pages>26</Pages>
  <Words>6184</Words>
  <Characters>34908</Characters>
  <Lines>287</Lines>
  <Paragraphs>81</Paragraphs>
  <TotalTime>1</TotalTime>
  <ScaleCrop>false</ScaleCrop>
  <LinksUpToDate>false</LinksUpToDate>
  <CharactersWithSpaces>40957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2022-05-12T07:09:00Z</dcterms:created>
  <dc:creator>Jennifer Benavides</dc:creator>
  <cp:lastModifiedBy>晓晨</cp:lastModifiedBy>
  <dcterms:modified xsi:type="dcterms:W3CDTF">2022-06-24T00:06:46Z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2F4AD75C3F7B4097965DCAE8593100BE</vt:lpwstr>
  </property>
</Properties>
</file>