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75367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bookmarkStart w:id="0" w:name="OLE_LINK331"/>
      <w:bookmarkStart w:id="1" w:name="OLE_LINK330"/>
      <w:bookmarkStart w:id="2" w:name="OLE_LINK15"/>
      <w:bookmarkStart w:id="3" w:name="OLE_LINK16"/>
      <w:r>
        <w:rPr>
          <w:rFonts w:ascii="Book Antiqua" w:hAnsi="Book Antiqua" w:eastAsia="Book Antiqua" w:cs="Book Antiqua"/>
          <w:b/>
          <w:i/>
          <w:color w:val="000000"/>
        </w:rPr>
        <w:t>Prospective Study</w:t>
      </w:r>
      <w:bookmarkEnd w:id="0"/>
      <w:bookmarkEnd w:id="1"/>
    </w:p>
    <w:bookmarkEnd w:id="2"/>
    <w:bookmarkEnd w:id="3"/>
    <w:p>
      <w:pPr>
        <w:spacing w:line="360" w:lineRule="auto"/>
        <w:jc w:val="both"/>
        <w:rPr>
          <w:rFonts w:ascii="Book Antiqua" w:hAnsi="Book Antiqua"/>
          <w:lang w:eastAsia="zh-CN"/>
        </w:rPr>
      </w:pPr>
      <w:bookmarkStart w:id="4" w:name="OLE_LINK13"/>
      <w:bookmarkStart w:id="5" w:name="OLE_LINK14"/>
      <w:r>
        <w:rPr>
          <w:rFonts w:ascii="Book Antiqua" w:hAnsi="Book Antiqua" w:eastAsia="Book Antiqua" w:cs="Book Antiqua"/>
          <w:b/>
          <w:color w:val="000000"/>
        </w:rPr>
        <w:t xml:space="preserve">Predictors of long-term anxiety and depression in discharged </w:t>
      </w:r>
      <w:r>
        <w:rPr>
          <w:rFonts w:ascii="Book Antiqua" w:hAnsi="Book Antiqua" w:eastAsia="Book Antiqua" w:cs="Book Antiqua"/>
          <w:b/>
          <w:caps/>
          <w:color w:val="000000"/>
        </w:rPr>
        <w:t>covid</w:t>
      </w:r>
      <w:r>
        <w:rPr>
          <w:rFonts w:ascii="Book Antiqua" w:hAnsi="Book Antiqua" w:eastAsia="Book Antiqua" w:cs="Book Antiqua"/>
          <w:b/>
          <w:color w:val="000000"/>
        </w:rPr>
        <w:t xml:space="preserve">-19 patients: </w:t>
      </w:r>
      <w:r>
        <w:rPr>
          <w:rFonts w:ascii="Book Antiqua" w:hAnsi="Book Antiqua" w:eastAsia="Book Antiqua" w:cs="Book Antiqua"/>
          <w:b/>
          <w:caps/>
          <w:color w:val="000000"/>
        </w:rPr>
        <w:t>a</w:t>
      </w:r>
      <w:r>
        <w:rPr>
          <w:rFonts w:ascii="Book Antiqua" w:hAnsi="Book Antiqua" w:eastAsia="Book Antiqua" w:cs="Book Antiqua"/>
          <w:b/>
          <w:color w:val="000000"/>
        </w:rPr>
        <w:t xml:space="preserve"> follow-up study</w:t>
      </w:r>
    </w:p>
    <w:bookmarkEnd w:id="4"/>
    <w:bookmarkEnd w:id="5"/>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Boyraz</w:t>
      </w:r>
      <w:r>
        <w:rPr>
          <w:rFonts w:hint="eastAsia" w:ascii="Book Antiqua" w:hAnsi="Book Antiqua" w:cs="Book Antiqua"/>
          <w:color w:val="000000"/>
          <w:lang w:eastAsia="zh-CN"/>
        </w:rPr>
        <w:t xml:space="preserve"> </w:t>
      </w:r>
      <w:r>
        <w:rPr>
          <w:rFonts w:ascii="Book Antiqua" w:hAnsi="Book Antiqua" w:cs="Book Antiqua"/>
          <w:color w:val="000000"/>
          <w:lang w:eastAsia="zh-CN"/>
        </w:rPr>
        <w:t>RK</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Follow-up of discharged </w:t>
      </w:r>
      <w:r>
        <w:rPr>
          <w:rFonts w:ascii="Book Antiqua" w:hAnsi="Book Antiqua" w:eastAsia="Book Antiqua" w:cs="Book Antiqua"/>
          <w:caps/>
          <w:color w:val="000000"/>
        </w:rPr>
        <w:t>Covid</w:t>
      </w:r>
      <w:r>
        <w:rPr>
          <w:rFonts w:ascii="Book Antiqua" w:hAnsi="Book Antiqua" w:eastAsia="Book Antiqua" w:cs="Book Antiqua"/>
          <w:color w:val="000000"/>
        </w:rPr>
        <w:t>-19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Rabia</w:t>
      </w:r>
      <w:r>
        <w:rPr>
          <w:rFonts w:hint="eastAsia" w:ascii="Book Antiqua" w:hAnsi="Book Antiqua" w:cs="Book Antiqua"/>
          <w:color w:val="000000"/>
          <w:lang w:eastAsia="zh-CN"/>
        </w:rPr>
        <w:t xml:space="preserve"> </w:t>
      </w:r>
      <w:r>
        <w:rPr>
          <w:rFonts w:ascii="Book Antiqua" w:hAnsi="Book Antiqua" w:eastAsia="Book Antiqua" w:cs="Book Antiqua"/>
          <w:color w:val="000000"/>
        </w:rPr>
        <w:t>Kevser</w:t>
      </w:r>
      <w:r>
        <w:rPr>
          <w:rFonts w:hint="eastAsia" w:ascii="Book Antiqua" w:hAnsi="Book Antiqua" w:cs="Book Antiqua"/>
          <w:color w:val="000000"/>
          <w:lang w:eastAsia="zh-CN"/>
        </w:rPr>
        <w:t xml:space="preserve"> </w:t>
      </w:r>
      <w:r>
        <w:rPr>
          <w:rFonts w:ascii="Book Antiqua" w:hAnsi="Book Antiqua" w:eastAsia="Book Antiqua" w:cs="Book Antiqua"/>
          <w:color w:val="000000"/>
        </w:rPr>
        <w:t>Boyraz, Ebru</w:t>
      </w:r>
      <w:r>
        <w:rPr>
          <w:rFonts w:hint="eastAsia" w:ascii="Book Antiqua" w:hAnsi="Book Antiqua" w:cs="Book Antiqua"/>
          <w:color w:val="000000"/>
          <w:lang w:eastAsia="zh-CN"/>
        </w:rPr>
        <w:t xml:space="preserve"> </w:t>
      </w:r>
      <w:r>
        <w:rPr>
          <w:rFonts w:ascii="Book Antiqua" w:hAnsi="Book Antiqua" w:eastAsia="Book Antiqua" w:cs="Book Antiqua"/>
          <w:color w:val="000000"/>
        </w:rPr>
        <w:t>Şahan, Muhammed Emin</w:t>
      </w:r>
      <w:r>
        <w:rPr>
          <w:rFonts w:hint="eastAsia" w:ascii="Book Antiqua" w:hAnsi="Book Antiqua" w:cs="Book Antiqua"/>
          <w:color w:val="000000"/>
          <w:lang w:eastAsia="zh-CN"/>
        </w:rPr>
        <w:t xml:space="preserve"> </w:t>
      </w:r>
      <w:r>
        <w:rPr>
          <w:rFonts w:ascii="Book Antiqua" w:hAnsi="Book Antiqua" w:eastAsia="Book Antiqua" w:cs="Book Antiqua"/>
          <w:color w:val="000000"/>
        </w:rPr>
        <w:t>Boylu, İsmet</w:t>
      </w:r>
      <w:r>
        <w:rPr>
          <w:rFonts w:hint="eastAsia" w:ascii="Book Antiqua" w:hAnsi="Book Antiqua" w:cs="Book Antiqua"/>
          <w:color w:val="000000"/>
          <w:lang w:eastAsia="zh-CN"/>
        </w:rPr>
        <w:t xml:space="preserve"> </w:t>
      </w:r>
      <w:r>
        <w:rPr>
          <w:rFonts w:ascii="Book Antiqua" w:hAnsi="Book Antiqua" w:eastAsia="Book Antiqua" w:cs="Book Antiqua"/>
          <w:color w:val="000000"/>
        </w:rPr>
        <w:t>Kırpınar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Rabia</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Kevser</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Boyraz, </w:t>
      </w:r>
      <w:r>
        <w:rPr>
          <w:rFonts w:ascii="Book Antiqua" w:hAnsi="Book Antiqua" w:eastAsia="Book Antiqua" w:cs="Book Antiqua"/>
          <w:color w:val="000000"/>
        </w:rPr>
        <w:t>Department of Psychiatry, Basaksehir Cam and Sakura Research and Training Hospital, Istanbul 34480,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Ebru</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Şahan, </w:t>
      </w:r>
      <w:r>
        <w:rPr>
          <w:rFonts w:ascii="Book Antiqua" w:hAnsi="Book Antiqua" w:eastAsia="Book Antiqua" w:cs="Book Antiqua"/>
          <w:color w:val="000000"/>
        </w:rPr>
        <w:t>Department of Psychiatry, Marmara University, İstanbul 34854,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Muhammed</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Emin</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Boylu, İsmet</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Kırpınar, </w:t>
      </w:r>
      <w:r>
        <w:rPr>
          <w:rFonts w:ascii="Book Antiqua" w:hAnsi="Book Antiqua" w:eastAsia="Book Antiqua" w:cs="Book Antiqua"/>
          <w:color w:val="000000"/>
        </w:rPr>
        <w:t>Department of Psychiatry, Bezmialem Vakıf University, İstanbul 34093, Turkey</w:t>
      </w:r>
    </w:p>
    <w:p>
      <w:pPr>
        <w:spacing w:line="360" w:lineRule="auto"/>
        <w:jc w:val="both"/>
        <w:rPr>
          <w:rFonts w:ascii="Book Antiqua" w:hAnsi="Book Antiqua"/>
        </w:rPr>
      </w:pPr>
    </w:p>
    <w:p>
      <w:pPr>
        <w:spacing w:line="360" w:lineRule="auto"/>
        <w:jc w:val="both"/>
        <w:rPr>
          <w:rFonts w:ascii="Book Antiqua" w:hAnsi="Book Antiqua"/>
          <w:b/>
        </w:rPr>
      </w:pPr>
      <w:bookmarkStart w:id="6" w:name="OLE_LINK58"/>
      <w:bookmarkStart w:id="7" w:name="OLE_LINK207"/>
      <w:bookmarkStart w:id="8" w:name="OLE_LINK57"/>
      <w:bookmarkStart w:id="9" w:name="OLE_LINK220"/>
      <w:r>
        <w:rPr>
          <w:rFonts w:ascii="Book Antiqua" w:hAnsi="Book Antiqua"/>
          <w:b/>
        </w:rPr>
        <w:t>Author contributions:</w:t>
      </w:r>
      <w:bookmarkEnd w:id="6"/>
      <w:bookmarkEnd w:id="7"/>
      <w:bookmarkEnd w:id="8"/>
      <w:bookmarkEnd w:id="9"/>
      <w:r>
        <w:rPr>
          <w:rFonts w:ascii="Book Antiqua" w:hAnsi="Book Antiqua"/>
          <w:b/>
        </w:rPr>
        <w:t xml:space="preserve"> </w:t>
      </w:r>
      <w:r>
        <w:rPr>
          <w:rFonts w:ascii="Book Antiqua" w:hAnsi="Book Antiqua"/>
        </w:rPr>
        <w:t xml:space="preserve">Boyraz </w:t>
      </w:r>
      <w:r>
        <w:rPr>
          <w:rFonts w:ascii="Book Antiqua" w:hAnsi="Book Antiqua" w:eastAsia="Book Antiqua" w:cs="Book Antiqua"/>
          <w:color w:val="000000"/>
        </w:rPr>
        <w:t>RK contributed to literature search, figure preparation, study design, data analysis and interpretation, and draft writing</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Boylu ME contributed to data collection and interpretation, and statistical analysis</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Şahan E contributed to literature search, figure preparation, study design, data analysis and interpretation, and revision and supervision of the manuscript</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Kırpınar İ contributed to supervision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Corresponding author: Rabia</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Kevser</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Boyraz, MD, Doctor, Postdoc, </w:t>
      </w:r>
      <w:r>
        <w:rPr>
          <w:rFonts w:ascii="Book Antiqua" w:hAnsi="Book Antiqua" w:eastAsia="Book Antiqua" w:cs="Book Antiqua"/>
          <w:color w:val="000000"/>
        </w:rPr>
        <w:t>Department of Psychiatry, Basaksehir Cam and Sakura Research and Training Hospital, Istanbul 34480, Turkey. rabiasancili@yahoo.com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25, 2022</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April 21,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color w:val="000000"/>
        </w:rPr>
        <w:t>July 6,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August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Patients who were hospitalized for coronavirus disease 2019 (</w:t>
      </w:r>
      <w:r>
        <w:rPr>
          <w:rFonts w:ascii="Book Antiqua" w:hAnsi="Book Antiqua" w:eastAsia="Book Antiqua" w:cs="Book Antiqua"/>
          <w:caps/>
          <w:color w:val="000000"/>
        </w:rPr>
        <w:t>covid-</w:t>
      </w:r>
      <w:r>
        <w:rPr>
          <w:rFonts w:ascii="Book Antiqua" w:hAnsi="Book Antiqua" w:eastAsia="Book Antiqua" w:cs="Book Antiqua"/>
          <w:color w:val="000000"/>
        </w:rPr>
        <w:t>19) faced an extremely stressful experience that challenged their mental health and the long-term effects are not definitely known yet.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identify both the course of mental symptoms (anxiety and depressive symptoms) and the related risk factors of recovered patients at the 20-22 mo follow-up.</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cs="Book Antiqua"/>
          <w:color w:val="000000"/>
          <w:lang w:eastAsia="zh-CN"/>
        </w:rPr>
        <w:t xml:space="preserve">One hundred and seventy-two </w:t>
      </w:r>
      <w:r>
        <w:rPr>
          <w:rFonts w:ascii="Book Antiqua" w:hAnsi="Book Antiqua" w:eastAsia="Book Antiqua" w:cs="Book Antiqua"/>
          <w:color w:val="000000"/>
        </w:rPr>
        <w:t>patients were enrolled. The patients were evaluated with a telepsychiatry interview and the Hospital Anxiety and Depression Scale (HADS). Sociodemographic and clinical features were analyzed by regression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mean HADS-</w:t>
      </w:r>
      <w:bookmarkStart w:id="10" w:name="OLE_LINK335"/>
      <w:bookmarkStart w:id="11" w:name="OLE_LINK334"/>
      <w:r>
        <w:rPr>
          <w:rFonts w:ascii="Book Antiqua" w:hAnsi="Book Antiqua" w:eastAsia="Book Antiqua" w:cs="Book Antiqua"/>
          <w:color w:val="000000"/>
        </w:rPr>
        <w:t>Anxiety</w:t>
      </w:r>
      <w:bookmarkEnd w:id="10"/>
      <w:bookmarkEnd w:id="11"/>
      <w:r>
        <w:rPr>
          <w:rFonts w:ascii="Book Antiqua" w:hAnsi="Book Antiqua" w:eastAsia="Book Antiqua" w:cs="Book Antiqua"/>
          <w:color w:val="000000"/>
        </w:rPr>
        <w:t xml:space="preserve"> (HADS-A) score was 9.08 ± 4.90, and the mean HADS-Depression (HADS-D) score was 8.55 ± 4.39. The mean HADS-A (</w:t>
      </w:r>
      <w:r>
        <w:rPr>
          <w:rFonts w:ascii="Book Antiqua" w:hAnsi="Book Antiqua" w:eastAsia="Book Antiqua" w:cs="Book Antiqua"/>
          <w:i/>
          <w:caps/>
          <w:color w:val="000000"/>
        </w:rPr>
        <w:t>p</w:t>
      </w:r>
      <w:r>
        <w:rPr>
          <w:rFonts w:ascii="Book Antiqua" w:hAnsi="Book Antiqua" w:eastAsia="Book Antiqua" w:cs="Book Antiqua"/>
          <w:color w:val="000000"/>
        </w:rPr>
        <w:t xml:space="preserve"> = 0.484) and HADS-D (</w:t>
      </w:r>
      <w:r>
        <w:rPr>
          <w:rFonts w:ascii="Book Antiqua" w:hAnsi="Book Antiqua" w:eastAsia="Book Antiqua" w:cs="Book Antiqua"/>
          <w:i/>
          <w:caps/>
          <w:color w:val="000000"/>
        </w:rPr>
        <w:t>p</w:t>
      </w:r>
      <w:r>
        <w:rPr>
          <w:rFonts w:ascii="Book Antiqua" w:hAnsi="Book Antiqua" w:eastAsia="Book Antiqua" w:cs="Book Antiqua"/>
          <w:color w:val="000000"/>
        </w:rPr>
        <w:t xml:space="preserve"> = 0.011) scores were increased compared to scores during hospitalization. Being over 50 years old, having lower financial status, and being vaccinated were associated with symptoms of depression (adjusted </w:t>
      </w:r>
      <w:r>
        <w:rPr>
          <w:rFonts w:ascii="Book Antiqua" w:hAnsi="Book Antiqua" w:eastAsia="Book Antiqua" w:cs="Book Antiqua"/>
          <w:i/>
          <w:color w:val="000000"/>
        </w:rPr>
        <w:t>R</w:t>
      </w:r>
      <w:r>
        <w:rPr>
          <w:rFonts w:ascii="Book Antiqua" w:hAnsi="Book Antiqua" w:cs="Book Antiqua"/>
          <w:color w:val="000000"/>
          <w:vertAlign w:val="superscript"/>
          <w:lang w:eastAsia="zh-CN"/>
        </w:rPr>
        <w:t>2</w:t>
      </w:r>
      <w:r>
        <w:rPr>
          <w:rFonts w:ascii="Book Antiqua" w:hAnsi="Book Antiqua" w:eastAsia="Book Antiqua" w:cs="Book Antiqua"/>
          <w:color w:val="000000"/>
        </w:rPr>
        <w:t xml:space="preserve">= </w:t>
      </w:r>
      <w:r>
        <w:rPr>
          <w:rFonts w:ascii="Book Antiqua" w:hAnsi="Book Antiqua" w:cs="Book Antiqua"/>
          <w:color w:val="000000"/>
          <w:lang w:eastAsia="zh-CN"/>
        </w:rPr>
        <w:t>0</w:t>
      </w:r>
      <w:r>
        <w:rPr>
          <w:rFonts w:ascii="Book Antiqua" w:hAnsi="Book Antiqua" w:eastAsia="Book Antiqua" w:cs="Book Antiqua"/>
          <w:color w:val="000000"/>
        </w:rPr>
        <w:t xml:space="preserve">.168) while being over 50 years old, female sex, being vaccinated, and dyspnea were associated with higher anxiety (adjusted </w:t>
      </w:r>
      <w:r>
        <w:rPr>
          <w:rFonts w:ascii="Book Antiqua" w:hAnsi="Book Antiqua" w:eastAsia="Book Antiqua" w:cs="Book Antiqua"/>
          <w:i/>
          <w:color w:val="000000"/>
        </w:rPr>
        <w:t>R</w:t>
      </w:r>
      <w:r>
        <w:rPr>
          <w:rFonts w:ascii="Book Antiqua" w:hAnsi="Book Antiqua" w:cs="Book Antiqua"/>
          <w:color w:val="000000"/>
          <w:vertAlign w:val="superscript"/>
          <w:lang w:eastAsia="zh-CN"/>
        </w:rPr>
        <w:t xml:space="preserve">2 </w:t>
      </w:r>
      <w:r>
        <w:rPr>
          <w:rFonts w:ascii="Book Antiqua" w:hAnsi="Book Antiqua" w:eastAsia="Book Antiqua" w:cs="Book Antiqua"/>
          <w:color w:val="000000"/>
        </w:rPr>
        <w:t xml:space="preserve">= </w:t>
      </w:r>
      <w:r>
        <w:rPr>
          <w:rFonts w:ascii="Book Antiqua" w:hAnsi="Book Antiqua" w:cs="Book Antiqua"/>
          <w:color w:val="000000"/>
          <w:lang w:eastAsia="zh-CN"/>
        </w:rPr>
        <w:t>0</w:t>
      </w:r>
      <w:r>
        <w:rPr>
          <w:rFonts w:ascii="Book Antiqua" w:hAnsi="Book Antiqua" w:eastAsia="Book Antiqua" w:cs="Book Antiqua"/>
          <w:color w:val="000000"/>
        </w:rPr>
        <w:t>.245).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To prevent the deterioration of mental health, psychiatrists should play an active role in identifying emerging mental problems as soon as possible, more vulnerable groups should be characterized, and psychological support should be sustained after discharge.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Coronavirus; Anxiety disorders; Depressive disorders; Tele medicine; Psychiatry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Citation:</w:t>
      </w:r>
      <w:r>
        <w:rPr>
          <w:rFonts w:hint="eastAsia" w:ascii="Book Antiqua" w:hAnsi="Book Antiqua" w:cs="Book Antiqua"/>
          <w:b/>
          <w:color w:val="000000"/>
          <w:lang w:eastAsia="zh-CN"/>
        </w:rPr>
        <w:t xml:space="preserve"> </w:t>
      </w:r>
      <w:r>
        <w:rPr>
          <w:rFonts w:ascii="Book Antiqua" w:hAnsi="Book Antiqua" w:eastAsia="Book Antiqua" w:cs="Book Antiqua"/>
          <w:color w:val="000000"/>
        </w:rPr>
        <w:t xml:space="preserve">Boyraz RK, Şahan E, Boylu ME, Kırpınar İ. Predictors of long-term anxiety and depression in discharged </w:t>
      </w:r>
      <w:r>
        <w:rPr>
          <w:rFonts w:ascii="Book Antiqua" w:hAnsi="Book Antiqua" w:eastAsia="Book Antiqua" w:cs="Book Antiqua"/>
          <w:caps/>
          <w:color w:val="000000"/>
        </w:rPr>
        <w:t>covid</w:t>
      </w:r>
      <w:r>
        <w:rPr>
          <w:rFonts w:ascii="Book Antiqua" w:hAnsi="Book Antiqua" w:eastAsia="Book Antiqua" w:cs="Book Antiqua"/>
          <w:color w:val="000000"/>
        </w:rPr>
        <w:t xml:space="preserve">-19 patients: A follow-up study.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10(2</w:t>
      </w:r>
      <w:r>
        <w:rPr>
          <w:rFonts w:hint="eastAsia" w:ascii="Book Antiqua" w:hAnsi="Book Antiqua" w:cs="Book Antiqua"/>
          <w:color w:val="000000"/>
          <w:lang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7832-7843</w:t>
      </w:r>
    </w:p>
    <w:p>
      <w:pPr>
        <w:spacing w:line="360" w:lineRule="auto"/>
        <w:jc w:val="both"/>
        <w:rPr>
          <w:rFonts w:ascii="Book Antiqua" w:hAnsi="Book Antiqua" w:cs="Book Antiqua"/>
          <w:color w:val="000000"/>
          <w:lang w:eastAsia="zh-CN"/>
        </w:rPr>
      </w:pPr>
      <w:r>
        <w:rPr>
          <w:rFonts w:hint="eastAsia" w:ascii="Book Antiqua" w:hAnsi="Book Antiqua" w:eastAsia="Book Antiqua" w:cs="Book Antiqua"/>
          <w:b/>
          <w:color w:val="000000"/>
        </w:rPr>
        <w:t xml:space="preserve">URL: </w:t>
      </w:r>
      <w:r>
        <w:rPr>
          <w:rFonts w:hint="eastAsia" w:ascii="Book Antiqua" w:hAnsi="Book Antiqua" w:eastAsia="Book Antiqua" w:cs="Book Antiqua"/>
          <w:color w:val="000000"/>
        </w:rPr>
        <w:t>https://www.wjgnet.com/2307-8960/full/v10/i2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7832</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color w:val="000000"/>
        </w:rPr>
        <w:t xml:space="preserve">DOI: </w:t>
      </w:r>
      <w:r>
        <w:rPr>
          <w:rFonts w:hint="eastAsia" w:ascii="Book Antiqua" w:hAnsi="Book Antiqua" w:eastAsia="Book Antiqua" w:cs="Book Antiqua"/>
          <w:color w:val="000000"/>
        </w:rPr>
        <w:t>https://dx.doi.org/10.12998/wjcc.v10.i2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7832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bookmarkStart w:id="12" w:name="OLE_LINK341"/>
      <w:bookmarkStart w:id="13" w:name="OLE_LINK342"/>
      <w:r>
        <w:rPr>
          <w:rFonts w:ascii="Book Antiqua" w:hAnsi="Book Antiqua" w:eastAsia="Book Antiqua" w:cs="Book Antiqua"/>
          <w:b/>
          <w:bCs/>
          <w:color w:val="000000"/>
        </w:rPr>
        <w:t xml:space="preserve">Core Tip: </w:t>
      </w:r>
      <w:r>
        <w:rPr>
          <w:rFonts w:ascii="Book Antiqua" w:hAnsi="Book Antiqua" w:eastAsia="Book Antiqua" w:cs="Book Antiqua"/>
          <w:caps/>
          <w:color w:val="000000"/>
        </w:rPr>
        <w:t>c</w:t>
      </w:r>
      <w:r>
        <w:rPr>
          <w:rFonts w:ascii="Book Antiqua" w:hAnsi="Book Antiqua" w:eastAsia="Book Antiqua" w:cs="Book Antiqua"/>
          <w:color w:val="000000"/>
        </w:rPr>
        <w:t>oronavirus disease 2019 causes various psychiatric outcomes like other coronaviruses. This study aimed to observe the anxiety and depressive symptoms and related factors of recovered patients at the 20-22 mo follow-up. The goal of this study was to identify groups at high risk of anxiety and to raise awareness about providing psychiatric support to these groups.</w:t>
      </w:r>
    </w:p>
    <w:bookmarkEnd w:id="12"/>
    <w:bookmarkEnd w:id="1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Pandemics may cause major health problems both physically and mentally. Factors such as various biological reasons, difficulties in the treatment process, loss of relatives, quarantine conditions, social isolation, and the uncertainty of the process are among the main factors affecting mental health. Studies on previous infectious epidemics, like severe acute respiratory syndrome, Middle East respiratory syndrome, and Ebola virus disease outbreak, reported that psychological symptoms might persist or arise after the infection with long-term negative outcomes</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Neurological and psychiatric outcomes of coronavirus disease 2019 (</w:t>
      </w:r>
      <w:r>
        <w:rPr>
          <w:rFonts w:ascii="Book Antiqua" w:hAnsi="Book Antiqua" w:eastAsia="Book Antiqua" w:cs="Book Antiqua"/>
          <w:caps/>
          <w:color w:val="000000"/>
        </w:rPr>
        <w:t>covid-</w:t>
      </w:r>
      <w:r>
        <w:rPr>
          <w:rFonts w:ascii="Book Antiqua" w:hAnsi="Book Antiqua" w:eastAsia="Book Antiqua" w:cs="Book Antiqua"/>
          <w:color w:val="000000"/>
        </w:rPr>
        <w:t>19) have been reported in various studies</w:t>
      </w:r>
      <w:r>
        <w:rPr>
          <w:rFonts w:hint="eastAsia" w:ascii="Book Antiqua" w:hAnsi="Book Antiqua" w:cs="Book Antiqua"/>
          <w:color w:val="000000"/>
          <w:vertAlign w:val="superscript"/>
          <w:lang w:eastAsia="zh-CN"/>
        </w:rPr>
        <w:t>[2,3]</w:t>
      </w:r>
      <w:r>
        <w:rPr>
          <w:rFonts w:ascii="Book Antiqua" w:hAnsi="Book Antiqua" w:eastAsia="Book Antiqua" w:cs="Book Antiqua"/>
          <w:color w:val="000000"/>
        </w:rPr>
        <w:t xml:space="preserve">. A 6-mo retrospective cohort study of 236379 </w:t>
      </w:r>
      <w:r>
        <w:rPr>
          <w:rFonts w:ascii="Book Antiqua" w:hAnsi="Book Antiqua" w:eastAsia="Book Antiqua" w:cs="Book Antiqua"/>
          <w:caps/>
          <w:color w:val="000000"/>
        </w:rPr>
        <w:t>covid</w:t>
      </w:r>
      <w:r>
        <w:rPr>
          <w:rFonts w:ascii="Book Antiqua" w:hAnsi="Book Antiqua" w:eastAsia="Book Antiqua" w:cs="Book Antiqua"/>
          <w:color w:val="000000"/>
        </w:rPr>
        <w:t>-19 survivors reported the prevalence and incidence rates of psychiatric and neurologic disorders. A lifetime anxiety disorder rate was 17.39%, a first anxiety disorder rate was 7.11%, while a lifetime and first attack mood disorder rates were 13.6% and 4.22%, respectively. Different from other studies, it was shown that the prevalence of substance use disorders and psychotic episodes increased. The first psychotic episode psychosis diagnosis rate was 0.42% while the first substance use disorder rate was 1.92% and insomnia rate was 2.53%</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There have been short-term follow-up studies on how the discharged </w:t>
      </w:r>
      <w:r>
        <w:rPr>
          <w:rFonts w:ascii="Book Antiqua" w:hAnsi="Book Antiqua" w:eastAsia="Book Antiqua" w:cs="Book Antiqua"/>
          <w:caps/>
          <w:color w:val="000000"/>
        </w:rPr>
        <w:t>covid</w:t>
      </w:r>
      <w:r>
        <w:rPr>
          <w:rFonts w:ascii="Book Antiqua" w:hAnsi="Book Antiqua" w:eastAsia="Book Antiqua" w:cs="Book Antiqua"/>
          <w:color w:val="000000"/>
        </w:rPr>
        <w:t>-19 patients’ mental health manifests along with the disease course, but long-term follow-up studies are very few. One of them is from an Italian cohort with 238 patients 4 mo after discharge. In psychiatric assessment, 32.9% and 29.5% of participants showed anxiety and depressive symptoms, respectively. Changes in appetite and sleep patterns emerged in 15.6% and 31.2% of patients</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With the pandemic due to the risk of being infected and the prioritization of </w:t>
      </w:r>
      <w:r>
        <w:rPr>
          <w:rFonts w:ascii="Book Antiqua" w:hAnsi="Book Antiqua" w:eastAsia="Book Antiqua" w:cs="Book Antiqua"/>
          <w:caps/>
          <w:color w:val="000000"/>
        </w:rPr>
        <w:t>covid</w:t>
      </w:r>
      <w:r>
        <w:rPr>
          <w:rFonts w:ascii="Book Antiqua" w:hAnsi="Book Antiqua" w:eastAsia="Book Antiqua" w:cs="Book Antiqua"/>
          <w:color w:val="000000"/>
        </w:rPr>
        <w:t>-19 patients, patient follow-up has become difficult in psychiatry as in many branches. The spread of the use of telepsychiatry after the pandemic made online psychiatric interviews possible. Thus, studies about the pandemic could be continued, as well.</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this context, we aimed to investigate the long-term psychiatric effects of the pandemic on discharged </w:t>
      </w:r>
      <w:r>
        <w:rPr>
          <w:rFonts w:ascii="Book Antiqua" w:hAnsi="Book Antiqua" w:eastAsia="Book Antiqua" w:cs="Book Antiqua"/>
          <w:caps/>
          <w:color w:val="000000"/>
        </w:rPr>
        <w:t>covid</w:t>
      </w:r>
      <w:r>
        <w:rPr>
          <w:rFonts w:ascii="Book Antiqua" w:hAnsi="Book Antiqua" w:eastAsia="Book Antiqua" w:cs="Book Antiqua"/>
          <w:color w:val="000000"/>
        </w:rPr>
        <w:t>-19 patients through telepsychiatric interviews.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study was conducted in accordance with the Declaration of Helsinki Ethical Principles and was approved by the Ethical Committee of the Bezmialem Vakıf University (2021/414).</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Setting, design, and participants</w:t>
      </w:r>
    </w:p>
    <w:p>
      <w:pPr>
        <w:spacing w:line="360" w:lineRule="auto"/>
        <w:jc w:val="both"/>
        <w:rPr>
          <w:rFonts w:ascii="Book Antiqua" w:hAnsi="Book Antiqua"/>
        </w:rPr>
      </w:pPr>
      <w:r>
        <w:rPr>
          <w:rFonts w:ascii="Book Antiqua" w:hAnsi="Book Antiqua" w:eastAsia="Book Antiqua" w:cs="Book Antiqua"/>
          <w:color w:val="000000"/>
        </w:rPr>
        <w:t xml:space="preserve">This retrospective cohort study focused on the longitudinal follow-up of psychological sequelae in recovered </w:t>
      </w:r>
      <w:r>
        <w:rPr>
          <w:rFonts w:ascii="Book Antiqua" w:hAnsi="Book Antiqua" w:eastAsia="Book Antiqua" w:cs="Book Antiqua"/>
          <w:caps/>
          <w:color w:val="000000"/>
        </w:rPr>
        <w:t>covid</w:t>
      </w:r>
      <w:r>
        <w:rPr>
          <w:rFonts w:ascii="Book Antiqua" w:hAnsi="Book Antiqua" w:eastAsia="Book Antiqua" w:cs="Book Antiqua"/>
          <w:color w:val="000000"/>
        </w:rPr>
        <w:t xml:space="preserve">-19 patients 20-22 mo after hospital discharge. Those 281 patients were hospitalized with </w:t>
      </w:r>
      <w:r>
        <w:rPr>
          <w:rFonts w:ascii="Book Antiqua" w:hAnsi="Book Antiqua" w:eastAsia="Book Antiqua" w:cs="Book Antiqua"/>
          <w:caps/>
          <w:color w:val="000000"/>
        </w:rPr>
        <w:t>covid</w:t>
      </w:r>
      <w:r>
        <w:rPr>
          <w:rFonts w:ascii="Book Antiqua" w:hAnsi="Book Antiqua" w:eastAsia="Book Antiqua" w:cs="Book Antiqua"/>
          <w:color w:val="000000"/>
        </w:rPr>
        <w:t>-19 according to the guidelines of the Turkish Ministry of Health between March 24, 2020 and May 24, 2020 at Bezmialem Vakıf University Hospital (Istanbul/Turkey). In the first part of this study, patients were evaluated psychiatrically during hospitalization and predictors of anxiety and depression were investigated</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rPr>
        <w:t>. This study, as a second step, aimed to explore anxiety and depression levels of the same sample and their correlates after a long period (20-22 mo). </w:t>
      </w:r>
    </w:p>
    <w:p>
      <w:pPr>
        <w:spacing w:line="360" w:lineRule="auto"/>
        <w:ind w:firstLine="240" w:firstLineChars="100"/>
        <w:jc w:val="both"/>
        <w:rPr>
          <w:rFonts w:ascii="Book Antiqua" w:hAnsi="Book Antiqua"/>
        </w:rPr>
      </w:pPr>
      <w:r>
        <w:rPr>
          <w:rFonts w:hint="eastAsia" w:ascii="Book Antiqua" w:hAnsi="Book Antiqua" w:cs="Book Antiqua"/>
          <w:color w:val="000000"/>
          <w:lang w:eastAsia="zh-CN"/>
        </w:rPr>
        <w:t xml:space="preserve">Two hundred and eighty-one </w:t>
      </w:r>
      <w:r>
        <w:rPr>
          <w:rFonts w:ascii="Book Antiqua" w:hAnsi="Book Antiqua" w:eastAsia="Book Antiqua" w:cs="Book Antiqua"/>
          <w:color w:val="000000"/>
        </w:rPr>
        <w:t xml:space="preserve">patients were planned to be included. </w:t>
      </w:r>
      <w:r>
        <w:rPr>
          <w:rFonts w:hint="eastAsia" w:ascii="Book Antiqua" w:hAnsi="Book Antiqua" w:cs="Book Antiqua"/>
          <w:color w:val="000000"/>
          <w:lang w:eastAsia="zh-CN"/>
        </w:rPr>
        <w:t>Twenty-nine</w:t>
      </w:r>
      <w:r>
        <w:rPr>
          <w:rFonts w:ascii="Book Antiqua" w:hAnsi="Book Antiqua" w:eastAsia="Book Antiqua" w:cs="Book Antiqua"/>
          <w:color w:val="000000"/>
        </w:rPr>
        <w:t xml:space="preserve"> patients refused to participate, 29 died, 25 changed their telephone numbers and new information was not available, 22 could not be reached, and 4 could not speak. Thus, 172 patients, who agreed to undergo a comprehensive telepsychiatric assessment, were enrolled (Figure 1).</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Detailed socio-demographic data were recollected. Additionally, patients were asked for their vaccination status, if they lost any relatives and had been reinfected, any persistent physical symptoms, or insomnia after </w:t>
      </w:r>
      <w:r>
        <w:rPr>
          <w:rFonts w:ascii="Book Antiqua" w:hAnsi="Book Antiqua" w:eastAsia="Book Antiqua" w:cs="Book Antiqua"/>
          <w:caps/>
          <w:color w:val="000000"/>
        </w:rPr>
        <w:t>covid</w:t>
      </w:r>
      <w:r>
        <w:rPr>
          <w:rFonts w:ascii="Book Antiqua" w:hAnsi="Book Antiqua" w:eastAsia="Book Antiqua" w:cs="Book Antiqua"/>
          <w:color w:val="000000"/>
        </w:rPr>
        <w:t>-19 infection. To evaluate their anxiety-depressive symptoms, the Hospital Anxiety and Depression Scale (HADS) was administered through a telephonic interview. Those with significant complaints were advised to take psychiatric support.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Hospital anxiety and depression scale:</w:t>
      </w:r>
      <w:r>
        <w:rPr>
          <w:rFonts w:ascii="Book Antiqua" w:hAnsi="Book Antiqua" w:eastAsia="Book Antiqua" w:cs="Book Antiqua"/>
          <w:color w:val="000000"/>
        </w:rPr>
        <w:t xml:space="preserve"> As a self-report scale, HADS is composed of 14 items, of which seven (HADS-A) evaluate the anxiety and another seven (HADS-D) evaluate the depression severity of patients with physical illness. The cut-off score is 10 for the anxiety subscale and 7 for the depression subscale in the Turkish version</w:t>
      </w:r>
      <w:r>
        <w:rPr>
          <w:rFonts w:hint="eastAsia" w:ascii="Book Antiqua" w:hAnsi="Book Antiqua" w:cs="Book Antiqua"/>
          <w:color w:val="000000"/>
          <w:vertAlign w:val="superscript"/>
          <w:lang w:eastAsia="zh-CN"/>
        </w:rPr>
        <w:t>[7]</w:t>
      </w:r>
      <w:r>
        <w:rPr>
          <w:rFonts w:ascii="Book Antiqua" w:hAnsi="Book Antiqua" w:cs="Book Antiqua"/>
          <w:color w:val="000000"/>
          <w:lang w:eastAsia="zh-CN"/>
        </w:rPr>
        <w:t xml:space="preserve">. </w:t>
      </w:r>
      <w:r>
        <w:rPr>
          <w:rFonts w:ascii="Book Antiqua" w:hAnsi="Book Antiqua" w:eastAsia="Book Antiqua" w:cs="Book Antiqua"/>
          <w:color w:val="000000"/>
        </w:rPr>
        <w:t>Scales for anxiety and depression showed a high internal consistency, with Cronbach’s alpha values ranging between 0.83 and 0.85. </w:t>
      </w:r>
    </w:p>
    <w:p>
      <w:pPr>
        <w:spacing w:line="360" w:lineRule="auto"/>
        <w:jc w:val="both"/>
        <w:rPr>
          <w:rFonts w:ascii="Book Antiqua" w:hAnsi="Book Antiqua"/>
          <w:i/>
        </w:rPr>
      </w:pPr>
    </w:p>
    <w:p>
      <w:pPr>
        <w:spacing w:line="360" w:lineRule="auto"/>
        <w:jc w:val="both"/>
        <w:rPr>
          <w:rFonts w:ascii="Book Antiqua" w:hAnsi="Book Antiqua"/>
          <w:i/>
        </w:rPr>
      </w:pPr>
      <w:r>
        <w:rPr>
          <w:rFonts w:ascii="Book Antiqua" w:hAnsi="Book Antiqua" w:eastAsia="Book Antiqua" w:cs="Book Antiqua"/>
          <w:b/>
          <w:bCs/>
          <w:i/>
          <w:color w:val="000000"/>
        </w:rPr>
        <w:t>Statistical analysis </w:t>
      </w:r>
    </w:p>
    <w:p>
      <w:pPr>
        <w:spacing w:line="360" w:lineRule="auto"/>
        <w:jc w:val="both"/>
        <w:rPr>
          <w:rFonts w:ascii="Book Antiqua" w:hAnsi="Book Antiqua"/>
        </w:rPr>
      </w:pPr>
      <w:r>
        <w:rPr>
          <w:rFonts w:ascii="Book Antiqua" w:hAnsi="Book Antiqua" w:eastAsia="Book Antiqua"/>
          <w:color w:val="000000"/>
        </w:rPr>
        <w:t xml:space="preserve">All statistical analyses were performed using the IBM Statistical Package for the Social Sciences (SPSS) for Windows version 20.0 (SPSS Inc., Chicago, </w:t>
      </w:r>
      <w:r>
        <w:rPr>
          <w:rFonts w:ascii="Book Antiqua" w:hAnsi="Book Antiqua"/>
          <w:color w:val="000000"/>
          <w:lang w:eastAsia="zh-CN"/>
        </w:rPr>
        <w:t>IL</w:t>
      </w:r>
      <w:r>
        <w:rPr>
          <w:rFonts w:ascii="Book Antiqua" w:hAnsi="Book Antiqua" w:eastAsia="Book Antiqua"/>
          <w:color w:val="000000"/>
        </w:rPr>
        <w:t>, U</w:t>
      </w:r>
      <w:r>
        <w:rPr>
          <w:rFonts w:ascii="Book Antiqua" w:hAnsi="Book Antiqua"/>
          <w:color w:val="000000"/>
          <w:lang w:eastAsia="zh-CN"/>
        </w:rPr>
        <w:t>nited States</w:t>
      </w:r>
      <w:r>
        <w:rPr>
          <w:rFonts w:ascii="Book Antiqua" w:hAnsi="Book Antiqua" w:eastAsia="Book Antiqua"/>
          <w:color w:val="000000"/>
        </w:rPr>
        <w:t>).</w:t>
      </w:r>
    </w:p>
    <w:p>
      <w:pPr>
        <w:pStyle w:val="2"/>
        <w:spacing w:line="360" w:lineRule="auto"/>
        <w:ind w:firstLine="240" w:firstLineChars="100"/>
        <w:jc w:val="both"/>
        <w:rPr>
          <w:rFonts w:ascii="Book Antiqua" w:hAnsi="Book Antiqua"/>
          <w:sz w:val="24"/>
          <w:szCs w:val="24"/>
        </w:rPr>
      </w:pPr>
      <w:r>
        <w:rPr>
          <w:rFonts w:ascii="Book Antiqua" w:hAnsi="Book Antiqua" w:eastAsia="Book Antiqua"/>
          <w:color w:val="000000"/>
          <w:sz w:val="24"/>
          <w:szCs w:val="24"/>
        </w:rPr>
        <w:t xml:space="preserve">In descriptive statistics, categorical variables are reported as numbers and percentages. Continuous data are presented as the mean ± SD. Variables were checked for normal distribution assumption using histogram, skewness, and kurtosis in addition to the Kolmogorov-Smirnov test. </w:t>
      </w:r>
      <w:r>
        <w:rPr>
          <w:rFonts w:ascii="Book Antiqua" w:hAnsi="Book Antiqua"/>
          <w:sz w:val="24"/>
          <w:szCs w:val="24"/>
        </w:rPr>
        <w:t xml:space="preserve">HADS scores were analyzed by repeated measures ANOVA for different time points (at baseline and after 20-22 mo). </w:t>
      </w:r>
      <w:r>
        <w:rPr>
          <w:rFonts w:ascii="Book Antiqua" w:hAnsi="Book Antiqua" w:eastAsia="Book Antiqua"/>
          <w:color w:val="000000"/>
          <w:sz w:val="24"/>
          <w:szCs w:val="24"/>
        </w:rPr>
        <w:t xml:space="preserve">Either Student's </w:t>
      </w:r>
      <w:r>
        <w:rPr>
          <w:rFonts w:ascii="Book Antiqua" w:hAnsi="Book Antiqua" w:eastAsia="Book Antiqua"/>
          <w:i/>
          <w:color w:val="000000"/>
          <w:sz w:val="24"/>
          <w:szCs w:val="24"/>
        </w:rPr>
        <w:t>t</w:t>
      </w:r>
      <w:r>
        <w:rPr>
          <w:rFonts w:ascii="Book Antiqua" w:hAnsi="Book Antiqua" w:eastAsia="Book Antiqua"/>
          <w:color w:val="000000"/>
          <w:sz w:val="24"/>
          <w:szCs w:val="24"/>
        </w:rPr>
        <w:t>-test or one way ANOVA (</w:t>
      </w:r>
      <w:r>
        <w:rPr>
          <w:rFonts w:ascii="Book Antiqua" w:hAnsi="Book Antiqua"/>
          <w:sz w:val="24"/>
          <w:szCs w:val="24"/>
        </w:rPr>
        <w:t>for independent variables in more than two categorical groups)</w:t>
      </w:r>
      <w:r>
        <w:rPr>
          <w:rFonts w:ascii="Book Antiqua" w:hAnsi="Book Antiqua" w:eastAsia="Book Antiqua"/>
          <w:color w:val="000000"/>
          <w:sz w:val="24"/>
          <w:szCs w:val="24"/>
        </w:rPr>
        <w:t xml:space="preserve"> tests were used to explore HADS-A, HADS-D scores, and related factors.</w:t>
      </w:r>
    </w:p>
    <w:p>
      <w:pPr>
        <w:spacing w:line="360" w:lineRule="auto"/>
        <w:ind w:firstLine="240" w:firstLineChars="100"/>
        <w:jc w:val="both"/>
        <w:rPr>
          <w:rFonts w:ascii="Book Antiqua" w:hAnsi="Book Antiqua" w:eastAsia="Book Antiqua"/>
          <w:color w:val="000000"/>
        </w:rPr>
      </w:pPr>
      <w:r>
        <w:rPr>
          <w:rFonts w:ascii="Book Antiqua" w:hAnsi="Book Antiqua" w:eastAsia="Book Antiqua"/>
          <w:color w:val="000000"/>
        </w:rPr>
        <w:t xml:space="preserve"> We did not adjust significance for multiple comparisons because the study is exploratory in nature. Two dependent variables (HADS-A and HADS-D) were included in each group comparison</w:t>
      </w:r>
      <w:r>
        <w:rPr>
          <w:rFonts w:ascii="Book Antiqua" w:hAnsi="Book Antiqua" w:eastAsia="Book Antiqua" w:cs="Book Antiqua"/>
          <w:color w:val="000000"/>
        </w:rPr>
        <w:t xml:space="preserve">, thus the significance level was adjusted to 0.025. In order to test the association between significant predictors (sex, age, day of hospitalization, medical history, </w:t>
      </w:r>
      <w:r>
        <w:rPr>
          <w:rFonts w:ascii="Book Antiqua" w:hAnsi="Book Antiqua" w:eastAsia="Book Antiqua" w:cs="Book Antiqua"/>
          <w:i/>
          <w:iCs/>
          <w:color w:val="000000"/>
        </w:rPr>
        <w:t>etc.</w:t>
      </w:r>
      <w:r>
        <w:rPr>
          <w:rFonts w:ascii="Book Antiqua" w:hAnsi="Book Antiqua" w:eastAsia="Book Antiqua" w:cs="Book Antiqua"/>
          <w:color w:val="000000"/>
        </w:rPr>
        <w:t xml:space="preserve">) and each of the psychological outcomes above the cut-off scores, univariate logistic regressions were used. Variables that showed statistical significance at a </w:t>
      </w:r>
      <w:r>
        <w:rPr>
          <w:rFonts w:ascii="Book Antiqua" w:hAnsi="Book Antiqua" w:eastAsia="Book Antiqua" w:cs="Book Antiqua"/>
          <w:i/>
          <w:caps/>
          <w:color w:val="000000"/>
        </w:rPr>
        <w:t>p</w:t>
      </w:r>
      <w:r>
        <w:rPr>
          <w:rFonts w:ascii="Book Antiqua" w:hAnsi="Book Antiqua" w:eastAsia="Book Antiqua" w:cs="Book Antiqua"/>
          <w:color w:val="000000"/>
        </w:rPr>
        <w:t xml:space="preserve">-value of less than 0.05 in the univariate analysis were included in the multivariate regression. Multivariate regression analysis was performed to identify the contribution of each factor associated with anxiety and depression separately. </w:t>
      </w:r>
      <w:r>
        <w:rPr>
          <w:rFonts w:ascii="Book Antiqua" w:hAnsi="Book Antiqua" w:eastAsia="Book Antiqua" w:cs="Book Antiqua"/>
          <w:i/>
          <w:color w:val="000000"/>
        </w:rPr>
        <w:t>Post-hoc</w:t>
      </w:r>
      <w:r>
        <w:rPr>
          <w:rFonts w:ascii="Book Antiqua" w:hAnsi="Book Antiqua" w:eastAsia="Book Antiqua" w:cs="Book Antiqua"/>
          <w:color w:val="000000"/>
        </w:rPr>
        <w:t xml:space="preserve"> Tukey and Games-Howell tests were applied when there was a statistically significant difference in the Kruskal-Wallis test to determine which groups form the </w:t>
      </w:r>
      <w:r>
        <w:rPr>
          <w:rFonts w:ascii="Book Antiqua" w:hAnsi="Book Antiqua" w:eastAsia="Book Antiqua"/>
          <w:color w:val="000000"/>
        </w:rPr>
        <w:t xml:space="preserve">difference. A </w:t>
      </w:r>
      <w:r>
        <w:rPr>
          <w:rFonts w:ascii="Book Antiqua" w:hAnsi="Book Antiqua" w:eastAsia="Book Antiqua"/>
          <w:i/>
          <w:caps/>
          <w:color w:val="000000"/>
        </w:rPr>
        <w:t xml:space="preserve">p </w:t>
      </w:r>
      <w:r>
        <w:rPr>
          <w:rFonts w:ascii="Book Antiqua" w:hAnsi="Book Antiqua" w:eastAsia="Book Antiqua"/>
          <w:color w:val="000000"/>
        </w:rPr>
        <w:t>value &lt;</w:t>
      </w:r>
      <w:r>
        <w:rPr>
          <w:rFonts w:ascii="Book Antiqua" w:hAnsi="Book Antiqua"/>
          <w:color w:val="000000"/>
          <w:lang w:eastAsia="zh-CN"/>
        </w:rPr>
        <w:t xml:space="preserve"> 0</w:t>
      </w:r>
      <w:r>
        <w:rPr>
          <w:rFonts w:ascii="Book Antiqua" w:hAnsi="Book Antiqua" w:eastAsia="Book Antiqua"/>
          <w:color w:val="000000"/>
        </w:rPr>
        <w:t>.05 was considered significant.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initial data of the follow-up study were evaluated cross-sectionally and published as a preliminary study.</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This study focused on the current status of discharged patients 20-22 mo after discharge and compared the results. The sociodemographic and clinical features of participants are shown in Table 1. Of the 172 patients included in the study, 83 (48.3%) were male, and 89 (51.7%) were female. The mean age was 53.23 ± 13.63 (range, 18–86) years. </w:t>
      </w:r>
      <w:r>
        <w:rPr>
          <w:rFonts w:hint="eastAsia" w:ascii="Book Antiqua" w:hAnsi="Book Antiqua" w:cs="Book Antiqua"/>
          <w:color w:val="000000"/>
          <w:lang w:eastAsia="zh-CN"/>
        </w:rPr>
        <w:t>One hundred</w:t>
      </w:r>
      <w:r>
        <w:rPr>
          <w:rFonts w:ascii="Book Antiqua" w:hAnsi="Book Antiqua" w:eastAsia="Book Antiqua" w:cs="Book Antiqua"/>
          <w:color w:val="000000"/>
        </w:rPr>
        <w:t xml:space="preserve"> (58.1%) patients were over 50 years. Most (79.7%) of the participants were married, 13 (7.6%) were single, 7 (4.1%) were divorced, and 15 (8.7%) were widowed. The majority (91.1%) of the patients had child/children. The mean age of children was 24.39 ± 14.25 years. Regarding employment status, 41.3% of the patients were housewives, 30.2% were employed, 2.3% were unemployed, 23.3% were retired, and 2.9% were in the </w:t>
      </w:r>
      <w:r>
        <w:rPr>
          <w:rFonts w:ascii="Book Antiqua" w:hAnsi="Book Antiqua" w:cs="Book Antiqua"/>
          <w:color w:val="000000"/>
          <w:lang w:eastAsia="zh-CN"/>
        </w:rPr>
        <w:t>“</w:t>
      </w:r>
      <w:r>
        <w:rPr>
          <w:rFonts w:ascii="Book Antiqua" w:hAnsi="Book Antiqua" w:eastAsia="Book Antiqua" w:cs="Book Antiqua"/>
          <w:color w:val="000000"/>
        </w:rPr>
        <w:t>other</w:t>
      </w:r>
      <w:r>
        <w:rPr>
          <w:rFonts w:ascii="Book Antiqua" w:hAnsi="Book Antiqua" w:cs="Book Antiqua"/>
          <w:color w:val="000000"/>
          <w:lang w:eastAsia="zh-CN"/>
        </w:rPr>
        <w:t>”</w:t>
      </w:r>
      <w:r>
        <w:rPr>
          <w:rFonts w:ascii="Book Antiqua" w:hAnsi="Book Antiqua" w:eastAsia="Book Antiqua" w:cs="Book Antiqua"/>
          <w:color w:val="000000"/>
        </w:rPr>
        <w:t xml:space="preserve"> (students and those whose job status was uncertain) category. Most of the participants were from low and middle-income groups (42.4% and 47.7%, respectively), and only 17 (9.9%) participants had a high income. Eighty-five (49.4%) patients had medical comorbidity, and hypertension, diabetes, and pulmonary diseases were the most common ones. </w:t>
      </w:r>
      <w:r>
        <w:rPr>
          <w:rFonts w:hint="eastAsia" w:ascii="Book Antiqua" w:hAnsi="Book Antiqua" w:cs="Book Antiqua"/>
          <w:color w:val="000000"/>
          <w:lang w:eastAsia="zh-CN"/>
        </w:rPr>
        <w:t>Forty-six</w:t>
      </w:r>
      <w:r>
        <w:rPr>
          <w:rFonts w:ascii="Book Antiqua" w:hAnsi="Book Antiqua" w:eastAsia="Book Antiqua" w:cs="Book Antiqua"/>
          <w:color w:val="000000"/>
        </w:rPr>
        <w:t xml:space="preserve"> (26.7%) participants had psychiatric comorbidity, nearly half (11.6%) of them had depressive disorders, and anxiety disorders were the second most common psychiatric disorder (8.7%). Thirty-four (19.7%) patients reported past psychiatric treatment, and more than half of them (11.6%) used selective serotonin reuptake inhibitors. The vaccination rate was 89%; 2 BioNTech was the most commonly preferred vaccination type. </w:t>
      </w:r>
      <w:r>
        <w:rPr>
          <w:rFonts w:hint="eastAsia" w:ascii="Book Antiqua" w:hAnsi="Book Antiqua" w:cs="Book Antiqua"/>
          <w:color w:val="000000"/>
          <w:lang w:eastAsia="zh-CN"/>
        </w:rPr>
        <w:t>Thirty-two</w:t>
      </w:r>
      <w:r>
        <w:rPr>
          <w:rFonts w:ascii="Book Antiqua" w:hAnsi="Book Antiqua" w:eastAsia="Book Antiqua" w:cs="Book Antiqua"/>
          <w:color w:val="000000"/>
        </w:rPr>
        <w:t xml:space="preserve"> (18.6%) patients had been reinfected by </w:t>
      </w:r>
      <w:r>
        <w:rPr>
          <w:rFonts w:ascii="Book Antiqua" w:hAnsi="Book Antiqua" w:eastAsia="Book Antiqua" w:cs="Book Antiqua"/>
          <w:caps/>
          <w:color w:val="000000"/>
        </w:rPr>
        <w:t>covid</w:t>
      </w:r>
      <w:r>
        <w:rPr>
          <w:rFonts w:ascii="Book Antiqua" w:hAnsi="Book Antiqua" w:eastAsia="Book Antiqua" w:cs="Book Antiqua"/>
          <w:color w:val="000000"/>
        </w:rPr>
        <w:t xml:space="preserve">-19; 29.7% had lost at least one relative due to </w:t>
      </w:r>
      <w:r>
        <w:rPr>
          <w:rFonts w:ascii="Book Antiqua" w:hAnsi="Book Antiqua" w:eastAsia="Book Antiqua" w:cs="Book Antiqua"/>
          <w:caps/>
          <w:color w:val="000000"/>
        </w:rPr>
        <w:t>covid</w:t>
      </w:r>
      <w:r>
        <w:rPr>
          <w:rFonts w:ascii="Book Antiqua" w:hAnsi="Book Antiqua" w:eastAsia="Book Antiqua" w:cs="Book Antiqua"/>
          <w:color w:val="000000"/>
        </w:rPr>
        <w:t xml:space="preserve">-19. </w:t>
      </w:r>
      <w:r>
        <w:rPr>
          <w:rFonts w:hint="eastAsia" w:ascii="Book Antiqua" w:hAnsi="Book Antiqua" w:cs="Book Antiqua"/>
          <w:color w:val="000000"/>
          <w:lang w:eastAsia="zh-CN"/>
        </w:rPr>
        <w:t>Eighty-three</w:t>
      </w:r>
      <w:r>
        <w:rPr>
          <w:rFonts w:ascii="Book Antiqua" w:hAnsi="Book Antiqua" w:eastAsia="Book Antiqua" w:cs="Book Antiqua"/>
          <w:color w:val="000000"/>
        </w:rPr>
        <w:t xml:space="preserve"> (48.3%) patients had residual symptoms like tiredness, palpitation, insomnia, easy fatigue, and dyspnea. Tiredness was the most common one (39%). The mean days of initial hospitalization were 7.28 ± 5.17. Twenty-nine (16.9%) patients were smokers, and the mean pack-years for the smokers w</w:t>
      </w:r>
      <w:r>
        <w:rPr>
          <w:rFonts w:hint="eastAsia" w:ascii="Book Antiqua" w:hAnsi="Book Antiqua" w:cs="Book Antiqua"/>
          <w:color w:val="000000"/>
          <w:lang w:eastAsia="zh-CN"/>
        </w:rPr>
        <w:t>ere</w:t>
      </w:r>
      <w:r>
        <w:rPr>
          <w:rFonts w:ascii="Book Antiqua" w:hAnsi="Book Antiqua" w:eastAsia="Book Antiqua" w:cs="Book Antiqua"/>
          <w:color w:val="000000"/>
        </w:rPr>
        <w:t xml:space="preserve"> 21.58 ± 17.31 (range, 1 to 65).</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initial mean HADS-A score was 8.73 ± 5.422, while the HADS-D score was 7.12 ± 5.508 during hospitalization for COVID-19. At the 20-22 mo follow-up, the mean HADS-A score was 9.08 ± 4.90, and the mean HADS-D score was 8.55 ± 4.39. The mean HADS-A (</w:t>
      </w:r>
      <w:r>
        <w:rPr>
          <w:rFonts w:ascii="Book Antiqua" w:hAnsi="Book Antiqua" w:eastAsia="Book Antiqua" w:cs="Book Antiqua"/>
          <w:i/>
          <w:caps/>
          <w:color w:val="000000"/>
        </w:rPr>
        <w:t xml:space="preserve">p </w:t>
      </w:r>
      <w:r>
        <w:rPr>
          <w:rFonts w:ascii="Book Antiqua" w:hAnsi="Book Antiqua" w:eastAsia="Book Antiqua" w:cs="Book Antiqua"/>
          <w:color w:val="000000"/>
        </w:rPr>
        <w:t>= 0.484) and HADS-D (</w:t>
      </w:r>
      <w:r>
        <w:rPr>
          <w:rFonts w:ascii="Book Antiqua" w:hAnsi="Book Antiqua" w:eastAsia="Book Antiqua" w:cs="Book Antiqua"/>
          <w:i/>
          <w:caps/>
          <w:color w:val="000000"/>
        </w:rPr>
        <w:t>p</w:t>
      </w:r>
      <w:r>
        <w:rPr>
          <w:rFonts w:ascii="Book Antiqua" w:hAnsi="Book Antiqua" w:eastAsia="Book Antiqua" w:cs="Book Antiqua"/>
          <w:color w:val="000000"/>
        </w:rPr>
        <w:t xml:space="preserve"> = 0.011) scores were increased when compared to those during hospitalization. Repeated measures ANOVA revealed that changes in HADS-D scores at follow-up were significant (Wilks’ Lambda Sig.: </w:t>
      </w:r>
      <w:r>
        <w:rPr>
          <w:rFonts w:hint="eastAsia" w:ascii="Book Antiqua" w:hAnsi="Book Antiqua" w:cs="Book Antiqua"/>
          <w:color w:val="000000"/>
          <w:lang w:eastAsia="zh-CN"/>
        </w:rPr>
        <w:t>0</w:t>
      </w:r>
      <w:r>
        <w:rPr>
          <w:rFonts w:ascii="Book Antiqua" w:hAnsi="Book Antiqua" w:eastAsia="Book Antiqua" w:cs="Book Antiqua"/>
          <w:color w:val="000000"/>
        </w:rPr>
        <w:t xml:space="preserve">.011; Partial Eta Squared: </w:t>
      </w:r>
      <w:r>
        <w:rPr>
          <w:rFonts w:hint="eastAsia" w:ascii="Book Antiqua" w:hAnsi="Book Antiqua" w:cs="Book Antiqua"/>
          <w:color w:val="000000"/>
          <w:lang w:eastAsia="zh-CN"/>
        </w:rPr>
        <w:t>0</w:t>
      </w:r>
      <w:r>
        <w:rPr>
          <w:rFonts w:ascii="Book Antiqua" w:hAnsi="Book Antiqua" w:eastAsia="Book Antiqua" w:cs="Book Antiqua"/>
          <w:color w:val="000000"/>
        </w:rPr>
        <w:t xml:space="preserve">.038), while HADS-A score changes were not significant (Wilks’ Lambda Sig.: </w:t>
      </w:r>
      <w:r>
        <w:rPr>
          <w:rFonts w:hint="eastAsia" w:ascii="Book Antiqua" w:hAnsi="Book Antiqua" w:cs="Book Antiqua"/>
          <w:color w:val="000000"/>
          <w:lang w:eastAsia="zh-CN"/>
        </w:rPr>
        <w:t>0</w:t>
      </w:r>
      <w:r>
        <w:rPr>
          <w:rFonts w:ascii="Book Antiqua" w:hAnsi="Book Antiqua" w:eastAsia="Book Antiqua" w:cs="Book Antiqua"/>
          <w:color w:val="000000"/>
        </w:rPr>
        <w:t xml:space="preserve">.484; Partial Eta Squared: </w:t>
      </w:r>
      <w:r>
        <w:rPr>
          <w:rFonts w:hint="eastAsia" w:ascii="Book Antiqua" w:hAnsi="Book Antiqua" w:cs="Book Antiqua"/>
          <w:color w:val="000000"/>
          <w:lang w:eastAsia="zh-CN"/>
        </w:rPr>
        <w:t>0</w:t>
      </w:r>
      <w:r>
        <w:rPr>
          <w:rFonts w:ascii="Book Antiqua" w:hAnsi="Book Antiqua" w:eastAsia="Book Antiqua" w:cs="Book Antiqua"/>
          <w:color w:val="000000"/>
        </w:rPr>
        <w:t>.003).</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As shown in Table 2, we evaluated the associations between HADS-A and HADS-D scores at the 20-22 mo follow-up and sociodemographic and clinical features. Female patients had more anxiety symptoms than males. Participants over 50 years had more anxiety and depression symptoms than patients younger than 50 years. Marital status had a significant association with anxiety symptoms but had no significant association with depressive symptoms. In the </w:t>
      </w:r>
      <w:r>
        <w:rPr>
          <w:rFonts w:ascii="Book Antiqua" w:hAnsi="Book Antiqua" w:eastAsia="Book Antiqua" w:cs="Book Antiqua"/>
          <w:i/>
          <w:color w:val="000000"/>
        </w:rPr>
        <w:t>post hoc</w:t>
      </w:r>
      <w:r>
        <w:rPr>
          <w:rFonts w:ascii="Book Antiqua" w:hAnsi="Book Antiqua" w:eastAsia="Book Antiqua" w:cs="Book Antiqua"/>
          <w:color w:val="000000"/>
        </w:rPr>
        <w:t xml:space="preserve"> analysis, widowed patients had a higher mean HADS-A score than married patients (Games-Howell 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Employment status was significantly associated with anxiety symptoms as well. In the </w:t>
      </w:r>
      <w:r>
        <w:rPr>
          <w:rFonts w:ascii="Book Antiqua" w:hAnsi="Book Antiqua" w:eastAsia="Book Antiqua" w:cs="Book Antiqua"/>
          <w:i/>
          <w:color w:val="000000"/>
        </w:rPr>
        <w:t>post hoc</w:t>
      </w:r>
      <w:r>
        <w:rPr>
          <w:rFonts w:ascii="Book Antiqua" w:hAnsi="Book Antiqua" w:eastAsia="Book Antiqua" w:cs="Book Antiqua"/>
          <w:color w:val="000000"/>
        </w:rPr>
        <w:t xml:space="preserve"> analysis, housewives had a significantly higher mean HADS-A score than employed patients (Tukey 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0.000). Additionally, financial status had a significant association with depressive symptoms, but no significant association with anxiety symptoms. In the </w:t>
      </w:r>
      <w:r>
        <w:rPr>
          <w:rFonts w:ascii="Book Antiqua" w:hAnsi="Book Antiqua" w:eastAsia="Book Antiqua" w:cs="Book Antiqua"/>
          <w:i/>
          <w:color w:val="000000"/>
        </w:rPr>
        <w:t>post hoc</w:t>
      </w:r>
      <w:r>
        <w:rPr>
          <w:rFonts w:ascii="Book Antiqua" w:hAnsi="Book Antiqua" w:eastAsia="Book Antiqua" w:cs="Book Antiqua"/>
          <w:color w:val="000000"/>
        </w:rPr>
        <w:t xml:space="preserve"> analysis, patients with a low and middle income showed more depressive symptoms than patients with a high income (Tukey 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0.03, respectively). Vaccinated patients had significantly higher mean HADS-A and HADS-D scores compared to unvaccinated ones. There was no significant difference between the vaccination preferences of the individuals. When all the residual symptoms were considered, the mean HADS-A score of those with residual symptoms after </w:t>
      </w:r>
      <w:r>
        <w:rPr>
          <w:rFonts w:ascii="Book Antiqua" w:hAnsi="Book Antiqua" w:eastAsia="Book Antiqua" w:cs="Book Antiqua"/>
          <w:caps/>
          <w:color w:val="000000"/>
        </w:rPr>
        <w:t>covid</w:t>
      </w:r>
      <w:r>
        <w:rPr>
          <w:rFonts w:ascii="Book Antiqua" w:hAnsi="Book Antiqua" w:eastAsia="Book Antiqua" w:cs="Book Antiqua"/>
          <w:color w:val="000000"/>
        </w:rPr>
        <w:t>-19 was significantly higher. Tiredness caused a significantly higher mean HADS-D score (</w:t>
      </w:r>
      <w:r>
        <w:rPr>
          <w:rFonts w:ascii="Book Antiqua" w:hAnsi="Book Antiqua" w:eastAsia="Book Antiqua" w:cs="Book Antiqua"/>
          <w:i/>
          <w:iCs/>
          <w:color w:val="000000"/>
        </w:rPr>
        <w:t>P</w:t>
      </w:r>
      <w:r>
        <w:rPr>
          <w:rFonts w:ascii="Book Antiqua" w:hAnsi="Book Antiqua" w:eastAsia="Book Antiqua" w:cs="Book Antiqua"/>
          <w:color w:val="000000"/>
        </w:rPr>
        <w:t xml:space="preserve"> = 0.01). On the other hand, being reinfected was not associated with higher anxiety and depression scores.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Multiple linear regression analysis showed that being vaccinated, having a low income, and being over 50 years old were associated with increased depressive symptoms (adjusted </w:t>
      </w:r>
      <w:r>
        <w:rPr>
          <w:rFonts w:ascii="Book Antiqua" w:hAnsi="Book Antiqua" w:eastAsia="Book Antiqua" w:cs="Book Antiqua"/>
          <w:i/>
          <w:color w:val="000000"/>
        </w:rPr>
        <w:t>R</w:t>
      </w:r>
      <w:r>
        <w:rPr>
          <w:rFonts w:ascii="Book Antiqua" w:hAnsi="Book Antiqua" w:cs="Book Antiqua"/>
          <w:color w:val="000000"/>
          <w:vertAlign w:val="superscript"/>
          <w:lang w:eastAsia="zh-CN"/>
        </w:rPr>
        <w:t xml:space="preserve">2 </w:t>
      </w:r>
      <w:r>
        <w:rPr>
          <w:rFonts w:ascii="Book Antiqua" w:hAnsi="Book Antiqua" w:eastAsia="Book Antiqua" w:cs="Book Antiqua"/>
          <w:color w:val="000000"/>
        </w:rPr>
        <w:t xml:space="preserve">= </w:t>
      </w:r>
      <w:r>
        <w:rPr>
          <w:rFonts w:ascii="Book Antiqua" w:hAnsi="Book Antiqua" w:cs="Book Antiqua"/>
          <w:color w:val="000000"/>
          <w:lang w:eastAsia="zh-CN"/>
        </w:rPr>
        <w:t>0</w:t>
      </w:r>
      <w:r>
        <w:rPr>
          <w:rFonts w:ascii="Book Antiqua" w:hAnsi="Book Antiqua" w:eastAsia="Book Antiqua" w:cs="Book Antiqua"/>
          <w:color w:val="000000"/>
        </w:rPr>
        <w:t>.170) (Table 3).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Being vaccinated, being over 50 years old, female sex, and dyspnea were significantly associated with increased anxiety symptoms (adjusted </w:t>
      </w:r>
      <w:r>
        <w:rPr>
          <w:rFonts w:ascii="Book Antiqua" w:hAnsi="Book Antiqua" w:eastAsia="Book Antiqua" w:cs="Book Antiqua"/>
          <w:i/>
          <w:color w:val="000000"/>
        </w:rPr>
        <w:t>R</w:t>
      </w:r>
      <w:r>
        <w:rPr>
          <w:rFonts w:ascii="Book Antiqua" w:hAnsi="Book Antiqua" w:cs="Book Antiqua"/>
          <w:color w:val="000000"/>
          <w:vertAlign w:val="superscript"/>
          <w:lang w:eastAsia="zh-CN"/>
        </w:rPr>
        <w:t xml:space="preserve">2 </w:t>
      </w:r>
      <w:r>
        <w:rPr>
          <w:rFonts w:ascii="Book Antiqua" w:hAnsi="Book Antiqua" w:eastAsia="Book Antiqua" w:cs="Book Antiqua"/>
          <w:color w:val="000000"/>
        </w:rPr>
        <w:t xml:space="preserve">= </w:t>
      </w:r>
      <w:r>
        <w:rPr>
          <w:rFonts w:ascii="Book Antiqua" w:hAnsi="Book Antiqua" w:cs="Book Antiqua"/>
          <w:color w:val="000000"/>
          <w:lang w:eastAsia="zh-CN"/>
        </w:rPr>
        <w:t>0</w:t>
      </w:r>
      <w:r>
        <w:rPr>
          <w:rFonts w:ascii="Book Antiqua" w:hAnsi="Book Antiqua" w:eastAsia="Book Antiqua" w:cs="Book Antiqua"/>
          <w:color w:val="000000"/>
        </w:rPr>
        <w:t>.245) (Table 4).</w:t>
      </w:r>
    </w:p>
    <w:p>
      <w:pPr>
        <w:spacing w:line="360" w:lineRule="auto"/>
        <w:ind w:firstLine="240" w:firstLineChars="100"/>
        <w:jc w:val="both"/>
        <w:rPr>
          <w:rFonts w:ascii="Book Antiqua" w:hAnsi="Book Antiqua"/>
        </w:rPr>
      </w:pPr>
      <w:r>
        <w:rPr>
          <w:rFonts w:ascii="Book Antiqua" w:hAnsi="Book Antiqua"/>
        </w:rPr>
        <w:t>Changes in HADS scores (HADS scores at the 20-22 mo follow-up minus those at the hospitalization/baseline) were anal</w:t>
      </w:r>
      <w:r>
        <w:rPr>
          <w:rFonts w:hint="eastAsia" w:ascii="Book Antiqua" w:hAnsi="Book Antiqua"/>
          <w:lang w:eastAsia="zh-CN"/>
        </w:rPr>
        <w:t>y</w:t>
      </w:r>
      <w:r>
        <w:rPr>
          <w:rFonts w:ascii="Book Antiqua" w:hAnsi="Book Antiqua"/>
        </w:rPr>
        <w:t xml:space="preserve">zed by multivariate regression for associated factors as well. </w:t>
      </w:r>
      <w:r>
        <w:rPr>
          <w:rFonts w:hint="eastAsia" w:ascii="Book Antiqua" w:hAnsi="Book Antiqua"/>
          <w:lang w:eastAsia="zh-CN"/>
        </w:rPr>
        <w:t xml:space="preserve">The </w:t>
      </w:r>
      <w:r>
        <w:rPr>
          <w:rFonts w:ascii="Book Antiqua" w:hAnsi="Book Antiqua" w:eastAsia="Book Antiqua" w:cs="Book Antiqua"/>
          <w:color w:val="000000"/>
        </w:rPr>
        <w:t>“tiredness” and HADS-D score changes were associated with increased anxiety symptoms (adjusted R</w:t>
      </w:r>
      <w:r>
        <w:rPr>
          <w:rFonts w:ascii="Book Antiqua" w:hAnsi="Book Antiqua" w:cs="Book Antiqua"/>
          <w:color w:val="000000"/>
          <w:vertAlign w:val="superscript"/>
          <w:lang w:eastAsia="zh-CN"/>
        </w:rPr>
        <w:t>2</w:t>
      </w:r>
      <w:r>
        <w:rPr>
          <w:rFonts w:ascii="Book Antiqua" w:hAnsi="Book Antiqua" w:eastAsia="Book Antiqua" w:cs="Book Antiqua"/>
          <w:color w:val="000000"/>
        </w:rPr>
        <w:t xml:space="preserve">=0.487) (Table 5). Being vaccinated and baseline HADS-D were significantly associated with increased depressive symptoms (adjusted </w:t>
      </w:r>
      <w:r>
        <w:rPr>
          <w:rFonts w:ascii="Book Antiqua" w:hAnsi="Book Antiqua" w:eastAsia="Book Antiqua" w:cs="Book Antiqua"/>
          <w:i/>
          <w:color w:val="000000"/>
        </w:rPr>
        <w:t>R</w:t>
      </w:r>
      <w:r>
        <w:rPr>
          <w:rFonts w:ascii="Book Antiqua" w:hAnsi="Book Antiqua" w:cs="Book Antiqua"/>
          <w:color w:val="000000"/>
          <w:vertAlign w:val="superscript"/>
          <w:lang w:eastAsia="zh-CN"/>
        </w:rPr>
        <w:t xml:space="preserve">2 </w:t>
      </w:r>
      <w:r>
        <w:rPr>
          <w:rFonts w:ascii="Book Antiqua" w:hAnsi="Book Antiqua" w:eastAsia="Book Antiqua" w:cs="Book Antiqua"/>
          <w:color w:val="000000"/>
        </w:rPr>
        <w:t xml:space="preserve">= </w:t>
      </w:r>
      <w:r>
        <w:rPr>
          <w:rFonts w:ascii="Book Antiqua" w:hAnsi="Book Antiqua" w:cs="Book Antiqua"/>
          <w:color w:val="000000"/>
          <w:lang w:eastAsia="zh-CN"/>
        </w:rPr>
        <w:t>0</w:t>
      </w:r>
      <w:r>
        <w:rPr>
          <w:rFonts w:ascii="Book Antiqua" w:hAnsi="Book Antiqua" w:eastAsia="Book Antiqua" w:cs="Book Antiqua"/>
          <w:color w:val="000000"/>
        </w:rPr>
        <w:t>.671) (Table 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It is known that major pandemics negatively affect mental health for many reasons. Going through a severe </w:t>
      </w:r>
      <w:r>
        <w:rPr>
          <w:rFonts w:ascii="Book Antiqua" w:hAnsi="Book Antiqua" w:eastAsia="Book Antiqua" w:cs="Book Antiqua"/>
          <w:caps/>
          <w:color w:val="000000"/>
        </w:rPr>
        <w:t>covid</w:t>
      </w:r>
      <w:r>
        <w:rPr>
          <w:rFonts w:ascii="Book Antiqua" w:hAnsi="Book Antiqua" w:eastAsia="Book Antiqua" w:cs="Book Antiqua"/>
          <w:color w:val="000000"/>
        </w:rPr>
        <w:t xml:space="preserve">-19 infection, being hospitalized, and being taken to the intensive care unit can cause great stress in patients and leave them with psychiatric problems. Long-term follow-up studies about the </w:t>
      </w:r>
      <w:r>
        <w:rPr>
          <w:rFonts w:ascii="Book Antiqua" w:hAnsi="Book Antiqua" w:eastAsia="Book Antiqua" w:cs="Book Antiqua"/>
          <w:caps/>
          <w:color w:val="000000"/>
        </w:rPr>
        <w:t>covid</w:t>
      </w:r>
      <w:r>
        <w:rPr>
          <w:rFonts w:ascii="Book Antiqua" w:hAnsi="Book Antiqua" w:eastAsia="Book Antiqua" w:cs="Book Antiqua"/>
          <w:color w:val="000000"/>
        </w:rPr>
        <w:t>-19 outbreak are newly established, but the difficulty of accessing patients due to the risk of contamination also limits the studies in this area. Although the use of telepsychiatry serves to reduce this limitation, it also raises questions when compared to the detailed and efficient evaluation of face-to-face interviews. There are also studies showing that online interviews and treatments using the telepsychiatry method which has become widespread, especially after the epidemic in Turkey, have similar effectiveness to face-to-face interviews</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our study, we conducted a follow-up interview among patients who underwent psychiatric evaluation while receiving inpatient care for COVID-19 between March-May 2020 20-22 mo later (in January 2022). We updated the initial data for 172 patients to maintain comparisons only with those who completed the follow-up study. We observed that the mean HADS-A and HADS-D scores were increased in the follow-up compared to the baseline status. </w:t>
      </w:r>
      <w:r>
        <w:rPr>
          <w:rFonts w:hint="eastAsia" w:ascii="Book Antiqua" w:hAnsi="Book Antiqua" w:cs="Book Antiqua"/>
          <w:color w:val="000000"/>
          <w:lang w:eastAsia="zh-CN"/>
        </w:rPr>
        <w:t>Sixty-five</w:t>
      </w:r>
      <w:r>
        <w:rPr>
          <w:rFonts w:ascii="Book Antiqua" w:hAnsi="Book Antiqua" w:eastAsia="Book Antiqua" w:cs="Book Antiqua"/>
          <w:color w:val="000000"/>
        </w:rPr>
        <w:t xml:space="preserve"> (38.5%) patients had over-the-threshold anxiety and 68 (39.5%) had over-the-threshold depression during hospitalization while these figures were 111 (64.5%) for anxiety and 63 (36.6%) for depression at the follow-up.</w:t>
      </w:r>
    </w:p>
    <w:p>
      <w:pPr>
        <w:spacing w:line="360" w:lineRule="auto"/>
        <w:ind w:firstLine="240" w:firstLineChars="100"/>
        <w:jc w:val="both"/>
        <w:rPr>
          <w:rFonts w:ascii="Book Antiqua" w:hAnsi="Book Antiqua"/>
        </w:rPr>
      </w:pPr>
      <w:r>
        <w:rPr>
          <w:rFonts w:ascii="Book Antiqua" w:hAnsi="Book Antiqua" w:eastAsia="Book Antiqua" w:cs="Book Antiqua"/>
          <w:color w:val="000000"/>
        </w:rPr>
        <w:t>Despite that we expected a decrease in anxiety after recovery from COVID-19, it increased according to both the mean scores and the cut-off values of HADS-A. Further analysis revealed that being over 50 years old, female gender, marital status (widowed), psychiatric comorbidity, and dyspnea as a residual symptom were factors associated with this increase. Old age is a period of increased physical/mental fragility. Thus, the incapacity to face major life crises may be related to anxiety (also to depression). The fact that the curfew lasted for a long time for people over 65 years in Turkey, isolation from their relatives due to the risk of contamination, and being subjected to travel ban may be among the factors that have increased their anxiety. Besides, being widowed is the loss of closest social support and relationship, and it is more common in the elderly. Residual dyspnea can also increase anxiety by causing health concerns. Female gender and comorbid psychiatric diseases are notable risk factors for anxiety disorders as in the general population</w:t>
      </w:r>
      <w:r>
        <w:rPr>
          <w:rFonts w:hint="eastAsia" w:ascii="Book Antiqua" w:hAnsi="Book Antiqua" w:cs="Book Antiqua"/>
          <w:color w:val="000000"/>
          <w:vertAlign w:val="superscript"/>
          <w:lang w:eastAsia="zh-CN"/>
        </w:rPr>
        <w:t>[9]</w:t>
      </w:r>
      <w:r>
        <w:rPr>
          <w:rFonts w:ascii="Book Antiqua" w:hAnsi="Book Antiqua" w:eastAsia="Book Antiqua" w:cs="Book Antiqua"/>
          <w:color w:val="000000"/>
        </w:rPr>
        <w:t>. Additionally, the ongoing pandemic process, the persistence of uncertainty, the loss of relatives and friends, the need for repeated vaccinations, and the economic problems experienced after the pandemic can be related to the rise in anxiety symptoms.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When depression is considered, the mean depression score was increased, but there was no significant increase in the percentage of patients who had over-the-threshold depression. Even though the acute phase of the pandemic with no vaccine has passed, we observed an increase in the depression scores while we had expected a decrease. Having a low income, being older than 50 years, and being vaccinated were found to be associated with increased depressive symptoms. Low financial status and being elderly were both expected and understandable risk factors for depression, apart from </w:t>
      </w:r>
      <w:r>
        <w:rPr>
          <w:rFonts w:ascii="Book Antiqua" w:hAnsi="Book Antiqua" w:eastAsia="Book Antiqua" w:cs="Book Antiqua"/>
          <w:caps/>
          <w:color w:val="000000"/>
        </w:rPr>
        <w:t>covid</w:t>
      </w:r>
      <w:r>
        <w:rPr>
          <w:rFonts w:ascii="Book Antiqua" w:hAnsi="Book Antiqua" w:eastAsia="Book Antiqua" w:cs="Book Antiqua"/>
          <w:color w:val="000000"/>
        </w:rPr>
        <w:t>-19. Moreover, it may be necessary to distinguish between the loss of loved ones, grieving processes, and other negative effects of the pandemic.</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In contrast to our results, the current literature shows that vaccinated people reported decreased mental distress levels. As expected, vaccinated people become less worried about getting infected, they may become more active socially, or they may venture into different work opportunities</w:t>
      </w:r>
      <w:r>
        <w:rPr>
          <w:rFonts w:hint="eastAsia" w:ascii="Book Antiqua" w:hAnsi="Book Antiqua" w:cs="Book Antiqua"/>
          <w:color w:val="000000"/>
          <w:vertAlign w:val="superscript"/>
          <w:lang w:eastAsia="zh-CN"/>
        </w:rPr>
        <w:t>[10]</w:t>
      </w:r>
      <w:r>
        <w:rPr>
          <w:rFonts w:ascii="Book Antiqua" w:hAnsi="Book Antiqua" w:eastAsia="Book Antiqua" w:cs="Book Antiqua"/>
          <w:color w:val="000000"/>
        </w:rPr>
        <w:t>. The correlation between vaccination and HADS-A and HADS-D scores in our study may be related to the tendency of people with anxiety and depression to be vaccinated.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 After the first study, the decrease in the rate of medical comorbidity in our sample was due to the death of 29 people with comorbidities. We thought that losing a relative, being reinfected, having a comorbid medical disease, and having residual complaints would be associated with an increase in anxiety and depression, but we could not find a significant difference. This may be due to the small size of our sample and should be replicated in further studies. Lack of a significant increase in anxiety in reinfected patients may be explained by the "habituation with repeated exposure".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Wuhan, following </w:t>
      </w:r>
      <w:r>
        <w:rPr>
          <w:rFonts w:ascii="Book Antiqua" w:hAnsi="Book Antiqua" w:eastAsia="Book Antiqua" w:cs="Book Antiqua"/>
          <w:caps/>
          <w:color w:val="000000"/>
        </w:rPr>
        <w:t>covid</w:t>
      </w:r>
      <w:r>
        <w:rPr>
          <w:rFonts w:ascii="Book Antiqua" w:hAnsi="Book Antiqua" w:eastAsia="Book Antiqua" w:cs="Book Antiqua"/>
          <w:color w:val="000000"/>
        </w:rPr>
        <w:t xml:space="preserve">-19 treatment in the hospital during the general quarantine period, 782 discharged patients were re-evaluated 1 mo later in home isolation. The prevalence rates of insomnia, anxiety, and depressive symptoms among discharged </w:t>
      </w:r>
      <w:r>
        <w:rPr>
          <w:rFonts w:ascii="Book Antiqua" w:hAnsi="Book Antiqua" w:eastAsia="Book Antiqua" w:cs="Book Antiqua"/>
          <w:caps/>
          <w:color w:val="000000"/>
        </w:rPr>
        <w:t>covid</w:t>
      </w:r>
      <w:r>
        <w:rPr>
          <w:rFonts w:ascii="Book Antiqua" w:hAnsi="Book Antiqua" w:eastAsia="Book Antiqua" w:cs="Book Antiqua"/>
          <w:color w:val="000000"/>
        </w:rPr>
        <w:t>-19 patients during the centralized quarantine period were 44.37</w:t>
      </w:r>
      <w:r>
        <w:rPr>
          <w:rFonts w:ascii="Book Antiqua" w:hAnsi="Book Antiqua" w:cs="Book Antiqua"/>
          <w:color w:val="000000"/>
          <w:lang w:eastAsia="zh-CN"/>
        </w:rPr>
        <w:t>%</w:t>
      </w:r>
      <w:r>
        <w:rPr>
          <w:rFonts w:ascii="Book Antiqua" w:hAnsi="Book Antiqua" w:eastAsia="Book Antiqua" w:cs="Book Antiqua"/>
          <w:color w:val="000000"/>
        </w:rPr>
        <w:t>, 31.59</w:t>
      </w:r>
      <w:r>
        <w:rPr>
          <w:rFonts w:ascii="Book Antiqua" w:hAnsi="Book Antiqua" w:cs="Book Antiqua"/>
          <w:color w:val="000000"/>
          <w:lang w:eastAsia="zh-CN"/>
        </w:rPr>
        <w:t>%</w:t>
      </w:r>
      <w:r>
        <w:rPr>
          <w:rFonts w:ascii="Book Antiqua" w:hAnsi="Book Antiqua" w:eastAsia="Book Antiqua" w:cs="Book Antiqua"/>
          <w:color w:val="000000"/>
        </w:rPr>
        <w:t>, and 27.62%, respectively. Afterward, the prevalence rates during the home isolation were 27.11%, 17.26%, and 16.11%, respectively</w:t>
      </w:r>
      <w:r>
        <w:rPr>
          <w:rFonts w:hint="eastAsia" w:ascii="Book Antiqua" w:hAnsi="Book Antiqua" w:cs="Book Antiqua"/>
          <w:color w:val="000000"/>
          <w:vertAlign w:val="superscript"/>
          <w:lang w:eastAsia="zh-CN"/>
        </w:rPr>
        <w:t>[11]</w:t>
      </w:r>
      <w:r>
        <w:rPr>
          <w:rFonts w:ascii="Book Antiqua" w:hAnsi="Book Antiqua" w:eastAsia="Book Antiqua" w:cs="Book Antiqua"/>
          <w:color w:val="000000"/>
        </w:rPr>
        <w:t>. Inconsistent with our results, anxiety and depressive symptoms were decreased. Unlike our study, they observed that mental symptoms decreased significantly when home isolation started but the period after discharge was only 1 mo in this sample. Similar to our study, being women, being elderly, and having previous medical history were associated with anxiety and depressive symptoms. In our study, the mean HADS-A score was higher in patients with medical comorbidity compared to those without, but there was no significant statistical difference. The small size of our sample compared to this study may be the reason why we could not find a difference. Surprisingly, the mean depression score was lower in those with chronic illness, although it was not statistically significant. In a study in Wuhan, fewer mental health problems were detected in alcohol and cigarette users. In our study, we also found the mean scores of both anxiety and depression in smokers to be lower, although not significantly. As stated in this study, this is possible because most of the smokers and drinkers were men who had fewer mental health problems than women. On the other hand, the decrease in psychiatric complaints was surprising since smokers may have difficulties in managing stress.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As far as we could see in the literature, the longest follow-up study was a cohort study evaluating patients between 24-60 wk after </w:t>
      </w:r>
      <w:r>
        <w:rPr>
          <w:rFonts w:ascii="Book Antiqua" w:hAnsi="Book Antiqua" w:eastAsia="Book Antiqua" w:cs="Book Antiqua"/>
          <w:caps/>
          <w:color w:val="000000"/>
        </w:rPr>
        <w:t>covid</w:t>
      </w:r>
      <w:r>
        <w:rPr>
          <w:rFonts w:ascii="Book Antiqua" w:hAnsi="Book Antiqua" w:eastAsia="Book Antiqua" w:cs="Book Antiqua"/>
          <w:color w:val="000000"/>
        </w:rPr>
        <w:t>-19. Similar to our study, symptom scale scores for depression, insomnia, and posttraumatic stress disorder were increased at the long-term follow-up</w:t>
      </w:r>
      <w:r>
        <w:rPr>
          <w:rFonts w:hint="eastAsia" w:ascii="Book Antiqua" w:hAnsi="Book Antiqua" w:cs="Book Antiqua"/>
          <w:color w:val="000000"/>
          <w:vertAlign w:val="superscript"/>
          <w:lang w:eastAsia="zh-CN"/>
        </w:rPr>
        <w:t>[12]</w:t>
      </w:r>
      <w:r>
        <w:rPr>
          <w:rFonts w:ascii="Book Antiqua" w:hAnsi="Book Antiqua" w:eastAsia="Book Antiqua" w:cs="Book Antiqua"/>
          <w:color w:val="000000"/>
        </w:rPr>
        <w:t>. As far as we can see, our study is both the longest follow-up study in the literature and the first follow-up study in Turkey investigating anxiety and depression symptoms.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fact that anxiety and depression scores increased especially in women, the elderly, patients with lower financial status, and patients with psychiatric comorbidity compared to the baseline indicates that special support by psychological counseling should be given to these groups. Women may have been affected more than men due to their gender roles (caring for children and sick family members, more responsibility for housework). People over the age of 50 may be at greater risk of anxiety and depression due to their general health concerns and their potential to experience a decrease in general functionality. Psychiatric comorbidity has always been a predictor of new psychiatric problems. Additionally, in the telepsychiatry interview, patients frequently complained about the economic difficulties experienced during the pandemic process which may cause as many adverse psychological effects as the pandemic. For this reason, the economic support strategy seen in many countries is an appropriate and necessary step to be taken.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Limitations: </w:t>
      </w:r>
      <w:r>
        <w:rPr>
          <w:rFonts w:ascii="Book Antiqua" w:hAnsi="Book Antiqua" w:eastAsia="Book Antiqua" w:cs="Book Antiqua"/>
          <w:color w:val="000000"/>
        </w:rPr>
        <w:t>Post-pandemic various issues such as boredom of living with pandemic conditions, the obligation to wear a mask, the obligation to be vaccinated, vaccine hesitancy, and economic difficulties may have an impact on the increase in anxiety and depression in Turkey. National identity and each country's unique socio-political interventions towards the pandemic process also change the course of the pandemic as a confusing factor</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It is a limitation of our study, not to review the impact of such various events separately with a control group. In this way, we have associated everything that affects anxiety and depression in the long follow-up period of about two years with </w:t>
      </w:r>
      <w:r>
        <w:rPr>
          <w:rFonts w:ascii="Book Antiqua" w:hAnsi="Book Antiqua" w:eastAsia="Book Antiqua" w:cs="Book Antiqua"/>
          <w:caps/>
          <w:color w:val="000000"/>
        </w:rPr>
        <w:t>covid</w:t>
      </w:r>
      <w:r>
        <w:rPr>
          <w:rFonts w:ascii="Book Antiqua" w:hAnsi="Book Antiqua" w:eastAsia="Book Antiqua" w:cs="Book Antiqua"/>
          <w:color w:val="000000"/>
        </w:rPr>
        <w:t>-19. The lack of face-to-face interviews and the limitations of self-report scales are our other shortcomings.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The course of long-term psychiatric symptoms related to COVID-19 is still uncertain. Contrary to what we expected in our study, we observed that anxiety and depression scores increased even more in long-term follow-up. As this is the longest follow-up study in the literature, we would like to emphasize the importance of our results in clinical practice. To prevent the deterioration of mental health, psychiatrists should play an active role in identifying emerging mental problems as soon as possible, and psychological support should be offered for discharged patients, especially for more vulnerable groups. For this purpose, we need stronger data with larger samples to properly identify the consequences of the </w:t>
      </w:r>
      <w:r>
        <w:rPr>
          <w:rFonts w:ascii="Book Antiqua" w:hAnsi="Book Antiqua" w:eastAsia="Book Antiqua" w:cs="Book Antiqua"/>
          <w:caps/>
          <w:color w:val="000000"/>
        </w:rPr>
        <w:t>covid</w:t>
      </w:r>
      <w:r>
        <w:rPr>
          <w:rFonts w:ascii="Book Antiqua" w:hAnsi="Book Antiqua" w:eastAsia="Book Antiqua" w:cs="Book Antiqua"/>
          <w:color w:val="000000"/>
        </w:rPr>
        <w:t>-19 pandemic on mental health and detect patients who might be more in need of further support and care.</w:t>
      </w:r>
    </w:p>
    <w:p>
      <w:pPr>
        <w:spacing w:line="360" w:lineRule="auto"/>
        <w:jc w:val="both"/>
        <w:rPr>
          <w:rFonts w:ascii="Book Antiqua" w:hAnsi="Book Antiqua"/>
        </w:rPr>
      </w:pPr>
    </w:p>
    <w:p>
      <w:pPr>
        <w:spacing w:line="360" w:lineRule="auto"/>
        <w:jc w:val="both"/>
        <w:rPr>
          <w:rFonts w:ascii="Book Antiqua" w:hAnsi="Book Antiqua"/>
          <w:b/>
          <w:u w:val="single"/>
        </w:rPr>
      </w:pPr>
      <w:bookmarkStart w:id="14" w:name="_Hlk10708737"/>
      <w:bookmarkStart w:id="15" w:name="OLE_LINK17"/>
      <w:bookmarkStart w:id="16" w:name="OLE_LINK61"/>
      <w:r>
        <w:rPr>
          <w:rFonts w:ascii="Book Antiqua" w:hAnsi="Book Antiqua"/>
          <w:b/>
          <w:u w:val="single"/>
        </w:rPr>
        <w:t>ARTICLE HIGHLIGHTS</w:t>
      </w:r>
    </w:p>
    <w:bookmarkEnd w:id="14"/>
    <w:bookmarkEnd w:id="15"/>
    <w:bookmarkEnd w:id="16"/>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hint="eastAsia" w:ascii="Book Antiqua" w:hAnsi="Book Antiqua"/>
          <w:bCs/>
          <w:lang w:eastAsia="zh-CN"/>
        </w:rPr>
        <w:t>The authors</w:t>
      </w:r>
      <w:r>
        <w:rPr>
          <w:rFonts w:ascii="Book Antiqua" w:hAnsi="Book Antiqua"/>
          <w:bCs/>
        </w:rPr>
        <w:t xml:space="preserve"> designed a prospective study to compare the scores at baseline (hospitalization) of patients diagnosed with </w:t>
      </w:r>
      <w:r>
        <w:rPr>
          <w:rFonts w:ascii="Book Antiqua" w:hAnsi="Book Antiqua" w:eastAsia="Book Antiqua" w:cs="Book Antiqua"/>
          <w:color w:val="000000"/>
        </w:rPr>
        <w:t>coronavirus disease 2019 (</w:t>
      </w:r>
      <w:r>
        <w:rPr>
          <w:rFonts w:ascii="Book Antiqua" w:hAnsi="Book Antiqua" w:eastAsia="Book Antiqua" w:cs="Book Antiqua"/>
          <w:caps/>
          <w:color w:val="000000"/>
        </w:rPr>
        <w:t>covid-</w:t>
      </w:r>
      <w:r>
        <w:rPr>
          <w:rFonts w:ascii="Book Antiqua" w:hAnsi="Book Antiqua" w:eastAsia="Book Antiqua" w:cs="Book Antiqua"/>
          <w:color w:val="000000"/>
        </w:rPr>
        <w:t>19)</w:t>
      </w:r>
      <w:r>
        <w:rPr>
          <w:rFonts w:ascii="Book Antiqua" w:hAnsi="Book Antiqua"/>
          <w:bCs/>
        </w:rPr>
        <w:t xml:space="preserve"> on a rating scale measuring anxiety and depression with their scores at the end (after 20-22 mo). </w:t>
      </w:r>
      <w:r>
        <w:rPr>
          <w:rFonts w:hint="eastAsia" w:ascii="Book Antiqua" w:hAnsi="Book Antiqua"/>
          <w:bCs/>
          <w:lang w:eastAsia="zh-CN"/>
        </w:rPr>
        <w:t>This</w:t>
      </w:r>
      <w:r>
        <w:rPr>
          <w:rFonts w:ascii="Book Antiqua" w:hAnsi="Book Antiqua"/>
          <w:bCs/>
        </w:rPr>
        <w:t xml:space="preserve"> is the longest follow-up study in the literatur</w:t>
      </w:r>
      <w:r>
        <w:rPr>
          <w:rFonts w:hint="eastAsia" w:ascii="Book Antiqua" w:hAnsi="Book Antiqua"/>
          <w:bCs/>
          <w:lang w:eastAsia="zh-CN"/>
        </w:rPr>
        <w:t>e</w:t>
      </w:r>
      <w:r>
        <w:rPr>
          <w:rFonts w:ascii="Book Antiqua" w:hAnsi="Book Antiqua"/>
          <w:bCs/>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course of long-term psychiatric symptoms related to COVID-19 is still unknown.</w:t>
      </w:r>
    </w:p>
    <w:p>
      <w:pPr>
        <w:spacing w:line="360" w:lineRule="auto"/>
        <w:jc w:val="both"/>
        <w:rPr>
          <w:rFonts w:ascii="Book Antiqua" w:hAnsi="Book Antiqua"/>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rPr>
        <w:t>To evaluate how anxiety and depression progress and identify the factors that play a role in this course by long-term follow-up.</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large number of patients were reached in a short time using the telepsychiatry method.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In our study, we observed that anxiety and depression scores increased during the follow-up. The continuation of long-term follow-up studies will contribute to the clarification of the subject.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eastAsia="Book Antiqua" w:cs="Book Antiqua"/>
          <w:color w:val="000000"/>
        </w:rPr>
      </w:pPr>
      <w:bookmarkStart w:id="17" w:name="OLE_LINK333"/>
      <w:bookmarkStart w:id="18" w:name="OLE_LINK332"/>
      <w:r>
        <w:rPr>
          <w:rFonts w:hint="eastAsia" w:ascii="Book Antiqua" w:hAnsi="Book Antiqua" w:cs="Book Antiqua"/>
          <w:color w:val="000000"/>
          <w:lang w:eastAsia="zh-CN"/>
        </w:rPr>
        <w:t>The authors</w:t>
      </w:r>
      <w:bookmarkEnd w:id="17"/>
      <w:bookmarkEnd w:id="18"/>
      <w:r>
        <w:rPr>
          <w:rFonts w:ascii="Book Antiqua" w:hAnsi="Book Antiqua" w:eastAsia="Book Antiqua" w:cs="Book Antiqua"/>
          <w:color w:val="000000"/>
        </w:rPr>
        <w:t xml:space="preserve"> found that the mean scores of anxiety and depression increased in the follow-up after recovery in patients who had </w:t>
      </w:r>
      <w:r>
        <w:rPr>
          <w:rFonts w:ascii="Book Antiqua" w:hAnsi="Book Antiqua" w:eastAsia="Book Antiqua" w:cs="Book Antiqua"/>
          <w:caps/>
          <w:color w:val="000000"/>
        </w:rPr>
        <w:t>covid</w:t>
      </w:r>
      <w:r>
        <w:rPr>
          <w:rFonts w:ascii="Book Antiqua" w:hAnsi="Book Antiqua" w:eastAsia="Book Antiqua" w:cs="Book Antiqua"/>
          <w:color w:val="000000"/>
        </w:rPr>
        <w:t>-19. This confirmed the knowledge that there may be various permanent or temporary mental symptoms related to COVID-19.</w:t>
      </w:r>
      <w:r>
        <w:rPr>
          <w:rFonts w:hint="eastAsia" w:ascii="Book Antiqua" w:hAnsi="Book Antiqua" w:cs="Book Antiqua"/>
          <w:color w:val="000000"/>
          <w:lang w:eastAsia="zh-CN"/>
        </w:rPr>
        <w:t xml:space="preserve"> The authors</w:t>
      </w:r>
      <w:r>
        <w:rPr>
          <w:rFonts w:ascii="Book Antiqua" w:hAnsi="Book Antiqua" w:eastAsia="Book Antiqua" w:cs="Book Antiqua"/>
          <w:color w:val="000000"/>
        </w:rPr>
        <w:t xml:space="preserve"> observed that the symptoms of anxiety and depression secondary to COVID-19 increased while we expected them to decrease in the long follow-up. </w:t>
      </w:r>
      <w:r>
        <w:rPr>
          <w:rFonts w:ascii="Book Antiqua" w:hAnsi="Book Antiqua"/>
        </w:rPr>
        <w:t>For this reason, patients with COVID-19 should be examined as soon as possible and necessary treatments should be given.</w:t>
      </w:r>
    </w:p>
    <w:p>
      <w:pPr>
        <w:spacing w:line="360" w:lineRule="auto"/>
        <w:jc w:val="both"/>
        <w:rPr>
          <w:rFonts w:ascii="Book Antiqua" w:hAnsi="Book Antiqua"/>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rPr>
        <w:t xml:space="preserve">More comprehensive follow-up studies for psychiatric symptoms secondary to </w:t>
      </w:r>
      <w:r>
        <w:rPr>
          <w:rFonts w:ascii="Book Antiqua" w:hAnsi="Book Antiqua"/>
          <w:caps/>
        </w:rPr>
        <w:t>covid</w:t>
      </w:r>
      <w:r>
        <w:rPr>
          <w:rFonts w:ascii="Book Antiqua" w:hAnsi="Book Antiqua"/>
        </w:rPr>
        <w:t>-19 should be continued and the importance of early intervention should be emphasized.</w:t>
      </w:r>
    </w:p>
    <w:p>
      <w:pPr>
        <w:spacing w:line="360" w:lineRule="auto"/>
        <w:jc w:val="both"/>
        <w:rPr>
          <w:rFonts w:ascii="Book Antiqua" w:hAnsi="Book Antiqua"/>
          <w:lang w:eastAsia="zh-CN"/>
        </w:rPr>
      </w:pPr>
    </w:p>
    <w:p>
      <w:pPr>
        <w:spacing w:line="360" w:lineRule="auto"/>
        <w:jc w:val="both"/>
        <w:rPr>
          <w:rFonts w:ascii="Book Antiqua" w:hAnsi="Book Antiqua"/>
          <w:b/>
          <w:caps/>
          <w:lang w:eastAsia="zh-CN"/>
        </w:rPr>
      </w:pPr>
      <w:r>
        <w:rPr>
          <w:rFonts w:ascii="Book Antiqua" w:hAnsi="Book Antiqua"/>
        </w:rPr>
        <w:br w:type="page"/>
      </w:r>
      <w:r>
        <w:rPr>
          <w:rFonts w:hint="eastAsia" w:ascii="Book Antiqua" w:hAnsi="Book Antiqua"/>
          <w:b/>
          <w:caps/>
          <w:lang w:eastAsia="zh-CN"/>
        </w:rPr>
        <w:t>References</w:t>
      </w:r>
    </w:p>
    <w:p>
      <w:pPr>
        <w:pStyle w:val="8"/>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Ahmed H</w:t>
      </w:r>
      <w:r>
        <w:rPr>
          <w:rFonts w:ascii="Book Antiqua" w:hAnsi="Book Antiqua"/>
        </w:rPr>
        <w:t xml:space="preserve">, Patel K, Greenwood DC, Halpin S, Lewthwaite P, Salawu A, Eyre L, Breen A, O'Connor R, Jones A, Sivan M. Long-term clinical outcomes in survivors of severe acute respiratory syndrome and Middle East respiratory syndrome coronavirus outbreaks after hospitalisation or ICU admission: A systematic review and meta-analysis. </w:t>
      </w:r>
      <w:r>
        <w:rPr>
          <w:rFonts w:ascii="Book Antiqua" w:hAnsi="Book Antiqua"/>
          <w:i/>
          <w:iCs/>
        </w:rPr>
        <w:t>J Rehabil Med</w:t>
      </w:r>
      <w:r>
        <w:rPr>
          <w:rFonts w:ascii="Book Antiqua" w:hAnsi="Book Antiqua"/>
        </w:rPr>
        <w:t xml:space="preserve"> 2020; </w:t>
      </w:r>
      <w:r>
        <w:rPr>
          <w:rFonts w:ascii="Book Antiqua" w:hAnsi="Book Antiqua"/>
          <w:b/>
          <w:bCs/>
        </w:rPr>
        <w:t>52</w:t>
      </w:r>
      <w:r>
        <w:rPr>
          <w:rFonts w:ascii="Book Antiqua" w:hAnsi="Book Antiqua"/>
        </w:rPr>
        <w:t>: jrm00063 [PMID: 32449782 DOI: 10.2340/16501977-2694]</w:t>
      </w:r>
    </w:p>
    <w:p>
      <w:pPr>
        <w:pStyle w:val="8"/>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Rogers JP</w:t>
      </w:r>
      <w:r>
        <w:rPr>
          <w:rFonts w:ascii="Book Antiqua" w:hAnsi="Book Antiqua"/>
        </w:rPr>
        <w:t xml:space="preserve">, Chesney E, Oliver D, Pollak TA, McGuire P, Fusar-Poli P, Zandi MS, Lewis G, David AS. Psychiatric and neuropsychiatric presentations associated with severe coronavirus infections: a systematic review and meta-analysis with comparison to the COVID-19 pandemic.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611-627 [PMID: 32437679 DOI: 10.1016/S2215-0366(20)30203-0]</w:t>
      </w:r>
    </w:p>
    <w:p>
      <w:pPr>
        <w:pStyle w:val="8"/>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Varatharaj A</w:t>
      </w:r>
      <w:r>
        <w:rPr>
          <w:rFonts w:ascii="Book Antiqua" w:hAnsi="Book Antiqua"/>
        </w:rPr>
        <w:t xml:space="preserve">, Thomas N, Ellul MA, Davies NWS, Pollak TA, Tenorio EL, Sultan M, Easton A, Breen G, Zandi M, Coles JP, Manji H, Al-Shahi Salman R, Menon DK, Nicholson TR, Benjamin LA, Carson A, Smith C, Turner MR, Solomon T, Kneen R, Pett SL, Galea I, Thomas RH, Michael BD; CoroNerve Study Group. Neurological and neuropsychiatric complications of COVID-19 in 153 patients: a UK-wide surveillance study.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875-882 [PMID: 32593341 DOI: 10.1016/S2215-0366(20)30287-X]</w:t>
      </w:r>
    </w:p>
    <w:p>
      <w:pPr>
        <w:pStyle w:val="8"/>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Taquet M</w:t>
      </w:r>
      <w:r>
        <w:rPr>
          <w:rFonts w:ascii="Book Antiqua" w:hAnsi="Book Antiqua"/>
        </w:rPr>
        <w:t>, Geddes JR, Husain M, Luciano S, Harrison PJ. 6-month neurological and psychiatric outcomes in 236</w:t>
      </w:r>
      <w:r>
        <w:rPr>
          <w:rFonts w:ascii="Times New Roman" w:hAnsi="Times New Roman" w:eastAsia="MS Gothic" w:cs="Times New Roman"/>
        </w:rPr>
        <w:t> </w:t>
      </w:r>
      <w:r>
        <w:rPr>
          <w:rFonts w:ascii="Book Antiqua" w:hAnsi="Book Antiqua"/>
        </w:rPr>
        <w:t xml:space="preserve">379 survivors of COVID-19: a retrospective cohort study using electronic health records. </w:t>
      </w:r>
      <w:r>
        <w:rPr>
          <w:rFonts w:ascii="Book Antiqua" w:hAnsi="Book Antiqua"/>
          <w:i/>
          <w:iCs/>
        </w:rPr>
        <w:t>Lancet Psychiatry</w:t>
      </w:r>
      <w:r>
        <w:rPr>
          <w:rFonts w:ascii="Book Antiqua" w:hAnsi="Book Antiqua"/>
        </w:rPr>
        <w:t xml:space="preserve"> 2021; </w:t>
      </w:r>
      <w:r>
        <w:rPr>
          <w:rFonts w:ascii="Book Antiqua" w:hAnsi="Book Antiqua"/>
          <w:b/>
          <w:bCs/>
        </w:rPr>
        <w:t>8</w:t>
      </w:r>
      <w:r>
        <w:rPr>
          <w:rFonts w:ascii="Book Antiqua" w:hAnsi="Book Antiqua"/>
        </w:rPr>
        <w:t>: 416-427 [PMID: 33836148 DOI: 10.1016/S2215-0366(21)00084-5]</w:t>
      </w:r>
    </w:p>
    <w:p>
      <w:pPr>
        <w:pStyle w:val="8"/>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Gramaglia C</w:t>
      </w:r>
      <w:r>
        <w:rPr>
          <w:rFonts w:ascii="Book Antiqua" w:hAnsi="Book Antiqua"/>
        </w:rPr>
        <w:t xml:space="preserve">, Gambaro E, Bellan M, Balbo PE, Baricich A, Sainaghi PP, Pirisi M, Baldon G, Battistini S, Binda V, Feggi A, Gai M, Gattoni E, Jona A, Lorenzini L, Marangon D, Martelli M, Prosperini P, Zeppegno P; NO-MORE COVID Group. </w:t>
      </w:r>
      <w:bookmarkStart w:id="19" w:name="OLE_LINK339"/>
      <w:bookmarkStart w:id="20" w:name="OLE_LINK338"/>
      <w:r>
        <w:rPr>
          <w:rFonts w:ascii="Book Antiqua" w:hAnsi="Book Antiqua"/>
        </w:rPr>
        <w:t xml:space="preserve">Mid-term Psychiatric Outcomes of Patients Recovered From COVID-19 From an Italian Cohort of Hospitalized Patients. </w:t>
      </w:r>
      <w:r>
        <w:rPr>
          <w:rFonts w:ascii="Book Antiqua" w:hAnsi="Book Antiqua"/>
          <w:i/>
          <w:iCs/>
        </w:rPr>
        <w:t>Front Psychiatry</w:t>
      </w:r>
      <w:r>
        <w:rPr>
          <w:rFonts w:ascii="Book Antiqua" w:hAnsi="Book Antiqua"/>
        </w:rPr>
        <w:t xml:space="preserve"> 2021; </w:t>
      </w:r>
      <w:r>
        <w:rPr>
          <w:rFonts w:ascii="Book Antiqua" w:hAnsi="Book Antiqua"/>
          <w:b/>
          <w:bCs/>
        </w:rPr>
        <w:t>12</w:t>
      </w:r>
      <w:r>
        <w:rPr>
          <w:rFonts w:ascii="Book Antiqua" w:hAnsi="Book Antiqua"/>
        </w:rPr>
        <w:t>: 667385</w:t>
      </w:r>
      <w:bookmarkEnd w:id="19"/>
      <w:bookmarkEnd w:id="20"/>
      <w:r>
        <w:rPr>
          <w:rFonts w:ascii="Book Antiqua" w:hAnsi="Book Antiqua"/>
        </w:rPr>
        <w:t xml:space="preserve"> [PMID: 34177656 DOI: 10.3389/fpsyt.2021.667385]</w:t>
      </w:r>
    </w:p>
    <w:p>
      <w:pPr>
        <w:pStyle w:val="8"/>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eastAsia="MS Gothic" w:cs="MS Gothic"/>
          <w:b/>
          <w:bCs/>
        </w:rPr>
        <w:t>Ş</w:t>
      </w:r>
      <w:r>
        <w:rPr>
          <w:rFonts w:ascii="Book Antiqua" w:hAnsi="Book Antiqua"/>
          <w:b/>
          <w:bCs/>
        </w:rPr>
        <w:t>ahan E</w:t>
      </w:r>
      <w:r>
        <w:rPr>
          <w:rFonts w:ascii="Book Antiqua" w:hAnsi="Book Antiqua"/>
        </w:rPr>
        <w:t>, Ünal SM, K</w:t>
      </w:r>
      <w:r>
        <w:rPr>
          <w:rFonts w:ascii="Book Antiqua" w:hAnsi="Book Antiqua" w:eastAsia="MS Gothic" w:cs="MS Gothic"/>
        </w:rPr>
        <w:t>ı</w:t>
      </w:r>
      <w:r>
        <w:rPr>
          <w:rFonts w:ascii="Book Antiqua" w:hAnsi="Book Antiqua"/>
        </w:rPr>
        <w:t>rp</w:t>
      </w:r>
      <w:r>
        <w:rPr>
          <w:rFonts w:ascii="Book Antiqua" w:hAnsi="Book Antiqua" w:eastAsia="MS Gothic" w:cs="MS Gothic"/>
        </w:rPr>
        <w:t>ı</w:t>
      </w:r>
      <w:r>
        <w:rPr>
          <w:rFonts w:ascii="Book Antiqua" w:hAnsi="Book Antiqua"/>
        </w:rPr>
        <w:t>nar</w:t>
      </w:r>
      <w:r>
        <w:rPr>
          <w:rFonts w:ascii="Book Antiqua" w:hAnsi="Book Antiqua" w:eastAsia="MS Gothic" w:cs="MS Gothic"/>
        </w:rPr>
        <w:t>İ</w:t>
      </w:r>
      <w:r>
        <w:rPr>
          <w:rFonts w:ascii="Book Antiqua" w:hAnsi="Book Antiqua"/>
        </w:rPr>
        <w:t xml:space="preserve">. Can we predict who will be more anxious and depressed in the COVID-19 ward? </w:t>
      </w:r>
      <w:r>
        <w:rPr>
          <w:rFonts w:ascii="Book Antiqua" w:hAnsi="Book Antiqua"/>
          <w:i/>
          <w:iCs/>
        </w:rPr>
        <w:t>J Psychosom Res</w:t>
      </w:r>
      <w:r>
        <w:rPr>
          <w:rFonts w:ascii="Book Antiqua" w:hAnsi="Book Antiqua"/>
        </w:rPr>
        <w:t xml:space="preserve"> 2021; </w:t>
      </w:r>
      <w:r>
        <w:rPr>
          <w:rFonts w:ascii="Book Antiqua" w:hAnsi="Book Antiqua"/>
          <w:b/>
          <w:bCs/>
        </w:rPr>
        <w:t>140</w:t>
      </w:r>
      <w:r>
        <w:rPr>
          <w:rFonts w:ascii="Book Antiqua" w:hAnsi="Book Antiqua"/>
        </w:rPr>
        <w:t>: 110302 [PMID: 33264750 DOI: 10.1016/j.jpsychores.2020.110302]</w:t>
      </w:r>
    </w:p>
    <w:p>
      <w:pPr>
        <w:pStyle w:val="8"/>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rPr>
        <w:t>Aydemir O</w:t>
      </w:r>
      <w:r>
        <w:rPr>
          <w:rFonts w:ascii="Book Antiqua" w:hAnsi="Book Antiqua"/>
        </w:rPr>
        <w:t xml:space="preserve">. Hastane anksiyete ve depresyon olcegi Turkce formunun gecerlilik ve guvenilirligi. </w:t>
      </w:r>
      <w:r>
        <w:rPr>
          <w:rFonts w:ascii="Book Antiqua" w:hAnsi="Book Antiqua"/>
          <w:i/>
        </w:rPr>
        <w:t>Turk Psikiyatri Derg</w:t>
      </w:r>
      <w:r>
        <w:rPr>
          <w:rFonts w:ascii="Book Antiqua" w:hAnsi="Book Antiqua"/>
        </w:rPr>
        <w:t xml:space="preserve"> 1997; </w:t>
      </w:r>
      <w:r>
        <w:rPr>
          <w:rFonts w:ascii="Book Antiqua" w:hAnsi="Book Antiqua"/>
          <w:b/>
          <w:bCs/>
        </w:rPr>
        <w:t>8</w:t>
      </w:r>
      <w:r>
        <w:rPr>
          <w:rFonts w:ascii="Book Antiqua" w:hAnsi="Book Antiqua"/>
        </w:rPr>
        <w:t xml:space="preserve">: 187-280 [DOI: </w:t>
      </w:r>
      <w:bookmarkStart w:id="21" w:name="OLE_LINK340"/>
      <w:r>
        <w:rPr>
          <w:rFonts w:ascii="Book Antiqua" w:hAnsi="Book Antiqua"/>
        </w:rPr>
        <w:t>10.4274/npa.y6958</w:t>
      </w:r>
      <w:bookmarkEnd w:id="21"/>
      <w:r>
        <w:rPr>
          <w:rFonts w:ascii="Book Antiqua" w:hAnsi="Book Antiqua"/>
        </w:rPr>
        <w:t>]</w:t>
      </w:r>
    </w:p>
    <w:p>
      <w:pPr>
        <w:pStyle w:val="8"/>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Gürcan MB,</w:t>
      </w:r>
      <w:r>
        <w:rPr>
          <w:rFonts w:ascii="Book Antiqua" w:hAnsi="Book Antiqua"/>
        </w:rPr>
        <w:t>Y</w:t>
      </w:r>
      <w:r>
        <w:rPr>
          <w:rFonts w:ascii="Book Antiqua" w:hAnsi="Book Antiqua" w:eastAsia="MS Gothic" w:cs="MS Gothic"/>
        </w:rPr>
        <w:t>ı</w:t>
      </w:r>
      <w:r>
        <w:rPr>
          <w:rFonts w:ascii="Book Antiqua" w:hAnsi="Book Antiqua"/>
        </w:rPr>
        <w:t>ld</w:t>
      </w:r>
      <w:r>
        <w:rPr>
          <w:rFonts w:ascii="Book Antiqua" w:hAnsi="Book Antiqua" w:eastAsia="MS Gothic" w:cs="MS Gothic"/>
        </w:rPr>
        <w:t>ı</w:t>
      </w:r>
      <w:r>
        <w:rPr>
          <w:rFonts w:ascii="Book Antiqua" w:hAnsi="Book Antiqua"/>
        </w:rPr>
        <w:t xml:space="preserve">z M. Online Group Therapy Experience with Schizophrenia Patients During the Pandemic Period. </w:t>
      </w:r>
      <w:r>
        <w:rPr>
          <w:rFonts w:ascii="Book Antiqua" w:hAnsi="Book Antiqua"/>
          <w:i/>
        </w:rPr>
        <w:t>Alpha Psychiatry</w:t>
      </w:r>
      <w:r>
        <w:rPr>
          <w:rFonts w:ascii="Book Antiqua" w:hAnsi="Book Antiqua"/>
        </w:rPr>
        <w:t xml:space="preserve"> 2021; </w:t>
      </w:r>
      <w:r>
        <w:rPr>
          <w:rFonts w:ascii="Book Antiqua" w:hAnsi="Book Antiqua"/>
          <w:b/>
        </w:rPr>
        <w:t>22</w:t>
      </w:r>
      <w:r>
        <w:rPr>
          <w:rFonts w:ascii="Book Antiqua" w:hAnsi="Book Antiqua"/>
        </w:rPr>
        <w:t xml:space="preserve">: 328-329 [DOI: </w:t>
      </w:r>
      <w:bookmarkStart w:id="22" w:name="OLE_LINK343"/>
      <w:r>
        <w:rPr>
          <w:rFonts w:ascii="Book Antiqua" w:hAnsi="Book Antiqua"/>
        </w:rPr>
        <w:t>10.5152/alphapsychiatry.2021.21594</w:t>
      </w:r>
      <w:bookmarkEnd w:id="22"/>
      <w:r>
        <w:rPr>
          <w:rFonts w:ascii="Book Antiqua" w:hAnsi="Book Antiqua"/>
        </w:rPr>
        <w:t>]</w:t>
      </w:r>
    </w:p>
    <w:p>
      <w:pPr>
        <w:pStyle w:val="8"/>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Simonds VM</w:t>
      </w:r>
      <w:r>
        <w:rPr>
          <w:rFonts w:ascii="Book Antiqua" w:hAnsi="Book Antiqua"/>
        </w:rPr>
        <w:t xml:space="preserve">, Whiffen VE. Are gender differences in depression explained by gender differences in co-morbid anxiety? </w:t>
      </w:r>
      <w:r>
        <w:rPr>
          <w:rFonts w:ascii="Book Antiqua" w:hAnsi="Book Antiqua"/>
          <w:i/>
          <w:iCs/>
        </w:rPr>
        <w:t>J Affect Disord</w:t>
      </w:r>
      <w:r>
        <w:rPr>
          <w:rFonts w:ascii="Book Antiqua" w:hAnsi="Book Antiqua"/>
        </w:rPr>
        <w:t xml:space="preserve"> 2003; </w:t>
      </w:r>
      <w:r>
        <w:rPr>
          <w:rFonts w:ascii="Book Antiqua" w:hAnsi="Book Antiqua"/>
          <w:b/>
          <w:bCs/>
        </w:rPr>
        <w:t>77</w:t>
      </w:r>
      <w:r>
        <w:rPr>
          <w:rFonts w:ascii="Book Antiqua" w:hAnsi="Book Antiqua"/>
        </w:rPr>
        <w:t>: 197-202 [PMID: 14612219 DOI: 10.1016/s0165-0327(02)00113-1]</w:t>
      </w:r>
    </w:p>
    <w:p>
      <w:pPr>
        <w:pStyle w:val="8"/>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Perez-Arce F</w:t>
      </w:r>
      <w:r>
        <w:rPr>
          <w:rFonts w:ascii="Book Antiqua" w:hAnsi="Book Antiqua"/>
        </w:rPr>
        <w:t xml:space="preserve">, Angrisani M, Bennett D, Darling J, Kapteyn A, Thomas K. COVID-19 vaccines and mental distress. </w:t>
      </w:r>
      <w:r>
        <w:rPr>
          <w:rFonts w:ascii="Book Antiqua" w:hAnsi="Book Antiqua"/>
          <w:i/>
          <w:iCs/>
        </w:rPr>
        <w:t>PLoS One</w:t>
      </w:r>
      <w:r>
        <w:rPr>
          <w:rFonts w:ascii="Book Antiqua" w:hAnsi="Book Antiqua"/>
        </w:rPr>
        <w:t xml:space="preserve"> 2021; </w:t>
      </w:r>
      <w:r>
        <w:rPr>
          <w:rFonts w:ascii="Book Antiqua" w:hAnsi="Book Antiqua"/>
          <w:b/>
          <w:bCs/>
        </w:rPr>
        <w:t>16</w:t>
      </w:r>
      <w:r>
        <w:rPr>
          <w:rFonts w:ascii="Book Antiqua" w:hAnsi="Book Antiqua"/>
        </w:rPr>
        <w:t>: e0256406 [PMID: 34496006 DOI: 10.1371/journal.pone.0256406]</w:t>
      </w:r>
    </w:p>
    <w:p>
      <w:pPr>
        <w:pStyle w:val="8"/>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Li L</w:t>
      </w:r>
      <w:r>
        <w:rPr>
          <w:rFonts w:ascii="Book Antiqua" w:hAnsi="Book Antiqua"/>
        </w:rPr>
        <w:t xml:space="preserve">, Wu MS, Tao J, Wang W, He J, Liu R, Guo J, Chen Y, Li K, Li S, Qi B, Han B. A Follow-Up Investigation of Mental Health Among Discharged COVID-19 Patients in Wuhan, China. </w:t>
      </w:r>
      <w:r>
        <w:rPr>
          <w:rFonts w:ascii="Book Antiqua" w:hAnsi="Book Antiqua"/>
          <w:i/>
          <w:iCs/>
        </w:rPr>
        <w:t>Front Public Health</w:t>
      </w:r>
      <w:r>
        <w:rPr>
          <w:rFonts w:ascii="Book Antiqua" w:hAnsi="Book Antiqua"/>
        </w:rPr>
        <w:t xml:space="preserve"> 2021; </w:t>
      </w:r>
      <w:r>
        <w:rPr>
          <w:rFonts w:ascii="Book Antiqua" w:hAnsi="Book Antiqua"/>
          <w:b/>
          <w:bCs/>
        </w:rPr>
        <w:t>9</w:t>
      </w:r>
      <w:r>
        <w:rPr>
          <w:rFonts w:ascii="Book Antiqua" w:hAnsi="Book Antiqua"/>
        </w:rPr>
        <w:t>: 640352 [PMID: 33912531 DOI: 10.3389/fpubh.2021.640352]</w:t>
      </w:r>
    </w:p>
    <w:p>
      <w:pPr>
        <w:pStyle w:val="8"/>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Kyzar EJ</w:t>
      </w:r>
      <w:r>
        <w:rPr>
          <w:rFonts w:ascii="Book Antiqua" w:hAnsi="Book Antiqua"/>
        </w:rPr>
        <w:t xml:space="preserve">, Purpura LJ, Shah J, Cantos A, Nordvig AS, Yin MT. Anxiety, depression, insomnia, and trauma-related symptoms following COVID-19 infection at long-term follow-up. </w:t>
      </w:r>
      <w:r>
        <w:rPr>
          <w:rFonts w:ascii="Book Antiqua" w:hAnsi="Book Antiqua"/>
          <w:i/>
          <w:iCs/>
        </w:rPr>
        <w:t>Brain BehavImmun Health</w:t>
      </w:r>
      <w:r>
        <w:rPr>
          <w:rFonts w:ascii="Book Antiqua" w:hAnsi="Book Antiqua"/>
        </w:rPr>
        <w:t xml:space="preserve"> 2021; </w:t>
      </w:r>
      <w:r>
        <w:rPr>
          <w:rFonts w:ascii="Book Antiqua" w:hAnsi="Book Antiqua"/>
          <w:b/>
          <w:bCs/>
        </w:rPr>
        <w:t>16</w:t>
      </w:r>
      <w:r>
        <w:rPr>
          <w:rFonts w:ascii="Book Antiqua" w:hAnsi="Book Antiqua"/>
        </w:rPr>
        <w:t>: 100315 [PMID: 34345869 DOI: 10.1016/j.bbih.2021.100315]</w:t>
      </w:r>
    </w:p>
    <w:p>
      <w:pPr>
        <w:pStyle w:val="8"/>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Van Bavel JJ</w:t>
      </w:r>
      <w:r>
        <w:rPr>
          <w:rFonts w:ascii="Book Antiqua" w:hAnsi="Book Antiqua"/>
        </w:rPr>
        <w:t>, Cichocka A, Capraro V, Sjåstad H, Nezlek JB, Pavlovi</w:t>
      </w:r>
      <w:r>
        <w:rPr>
          <w:rFonts w:ascii="Book Antiqua" w:hAnsi="Book Antiqua" w:eastAsia="MS Gothic" w:cs="MS Gothic"/>
        </w:rPr>
        <w:t>ć</w:t>
      </w:r>
      <w:r>
        <w:rPr>
          <w:rFonts w:ascii="Book Antiqua" w:hAnsi="Book Antiqua"/>
        </w:rPr>
        <w:t xml:space="preserve"> T, Alfano M, Gelfand MJ, Azevedo F, Birtel MD, Cislak A, Lockwood PL, Ross RM, Abts K, Agadullina E, Aruta JJB, Besharati SN, Bor A, Choma BL, Crabtree CD, Cunningham WA, De K, Ejaz W, Elbaek CT, Findor A, Flichtentrei D, Franc R, Gjoneska B, Gruber J, Gualda E, Horiuchi Y, Huynh TLD, Ibanez A, Imran MA, Israelashvili J, Jasko K, Kantorowicz J, Kantorowicz-Reznichenko E, Krouwel A, Laakasuo M, Lamm C, Leygue C, Lin MJ, Mansoor MS, Marie A, Mayiwar L, Mazepus H, McHugh C, Minda JP, Mitkidis P, Olsson A, Otterbring T, Packer DJ, Perry A, Petersen MB, Puthillam A, Riaño-Moreno JC, Rothmund T, Santamaría-García H, Schmid PC, Stoyanov D, Tewari S, Todosijevi</w:t>
      </w:r>
      <w:r>
        <w:rPr>
          <w:rFonts w:ascii="Book Antiqua" w:hAnsi="Book Antiqua" w:eastAsia="MS Gothic" w:cs="MS Gothic"/>
        </w:rPr>
        <w:t>ć</w:t>
      </w:r>
      <w:r>
        <w:rPr>
          <w:rFonts w:ascii="Book Antiqua" w:hAnsi="Book Antiqua"/>
        </w:rPr>
        <w:t xml:space="preserve"> B, Tsakiris M, Tung HH, Umbre</w:t>
      </w:r>
      <w:r>
        <w:rPr>
          <w:rFonts w:ascii="Times New Roman" w:hAnsi="Times New Roman" w:cs="Times New Roman"/>
        </w:rPr>
        <w:t>ș</w:t>
      </w:r>
      <w:r>
        <w:rPr>
          <w:rFonts w:ascii="Book Antiqua" w:hAnsi="Book Antiqua"/>
        </w:rPr>
        <w:t xml:space="preserve"> RG, Vanags E, Vlasceanu M, Vonasch A, Yucel M, Zhang Y, Abad M, Adler E, Akrawi N, Mdarhri HA, Amara H, Amodio DM, Antazo BG, Apps M, Ay FC, Ba MH, Barbosa S, Bastian B, Berg A, Bernal-Zárate MP, Bernstein M, Bia</w:t>
      </w:r>
      <w:r>
        <w:rPr>
          <w:rFonts w:ascii="Book Antiqua" w:hAnsi="Book Antiqua" w:eastAsia="MS Gothic" w:cs="MS Gothic"/>
        </w:rPr>
        <w:t>ł</w:t>
      </w:r>
      <w:r>
        <w:rPr>
          <w:rFonts w:ascii="Book Antiqua" w:hAnsi="Book Antiqua"/>
        </w:rPr>
        <w:t>ek M, Bilancini E, Bogatyreva N, Boncinelli L, Booth JE, Borau S, Buchel O, Cameron CD, Carvalho CF, Celadin T, Cerami C, Chalise HN, Cheng X, Cian L, Cockcroft K, Conway J, Córdoba-Delgado MA, Crespi C, Crouzevialle M, Cutler J, Cypryańska M, Dabrowska J, Daniels MA, Davis VH, Dayley PN, Delouvee S, Denkovski O, Dezecache G, Dhaliwal NA, Diato AB, Di Paolo R, Drosinou M, Dulleck U, Ekmanis J, Ertan AS, Etienne TW, Farhana HH, Farkhari F, Farmer H, Fenwick A, Fidanovski K, Flew T, Fraser S, Frempong RB, Fugelsang JA, Gale J, Garcia-Navarro EB, Garladinne P, Ghajjou O, Gkinopoulos T, Gray K, Griffin SM, Gronfeldt B, Gümren M, Gurung RL, Halperin E, Harris E, Herzon V, Hruška M, Huang G, Hudecek MFC, Isler O, Jangard S, Jørgensen FJ, Kachanoff F, Kahn J, Dangol AK, Keudel O, Koppel L, Koverola M, Kubin E, Kunnari A, Kutiyski Y, Laguna O, Leota J, Lermer E, Levy J, Levy N, Li C, Long EU, Longoni C, Magli</w:t>
      </w:r>
      <w:r>
        <w:rPr>
          <w:rFonts w:ascii="Book Antiqua" w:hAnsi="Book Antiqua" w:eastAsia="MS Gothic" w:cs="MS Gothic"/>
        </w:rPr>
        <w:t>ć</w:t>
      </w:r>
      <w:r>
        <w:rPr>
          <w:rFonts w:ascii="Book Antiqua" w:hAnsi="Book Antiqua"/>
        </w:rPr>
        <w:t xml:space="preserve"> M, McCashin D, Metcalf AL, Miklouši</w:t>
      </w:r>
      <w:r>
        <w:rPr>
          <w:rFonts w:ascii="Book Antiqua" w:hAnsi="Book Antiqua" w:eastAsia="MS Gothic" w:cs="MS Gothic"/>
        </w:rPr>
        <w:t>ć</w:t>
      </w:r>
      <w:r>
        <w:rPr>
          <w:rFonts w:ascii="Book Antiqua" w:hAnsi="Book Antiqua"/>
        </w:rPr>
        <w:t xml:space="preserve"> I, El Mimouni S, Miura A, Molina-Paredes J, Monroy-Fonseca C, Morales-Marente E, Moreau D, Muda R, Myer A, Nash K, Nesh-Nash T, Nitschke JP, Nurse MS, Ohtsubo Y, Oldemburgo de Mello V, O'Madagain C, Onderco M, Palacios-Galvez MS, Palomäki J, Pan Y, Papp Z, Pärnamets P, Paruzel-Czachura M, Pavlovi</w:t>
      </w:r>
      <w:r>
        <w:rPr>
          <w:rFonts w:ascii="Book Antiqua" w:hAnsi="Book Antiqua" w:eastAsia="MS Gothic" w:cs="MS Gothic"/>
        </w:rPr>
        <w:t>ć</w:t>
      </w:r>
      <w:r>
        <w:rPr>
          <w:rFonts w:ascii="Book Antiqua" w:hAnsi="Book Antiqua"/>
        </w:rPr>
        <w:t xml:space="preserve"> Z, Payán-Gómez C, Perander S, Pitman MM, Prasad R, Pyrkosz-Pacyna J, Rathje S, Raza A, Rêgo GG, Rhee K, Robertson CE, Rodríguez-Pascual I, Saikkonen T, Salvador-Ginez O, Sampaio WM, Santi GC, Santiago-Tovar N, Savage D, Scheffer JA, Schönegger P, Schultner DT, Schutte EM, Scott A, Sharma M, Sharma P, Skali A, Stadelmann D, Stafford CA, Stanojevi</w:t>
      </w:r>
      <w:r>
        <w:rPr>
          <w:rFonts w:ascii="Book Antiqua" w:hAnsi="Book Antiqua" w:eastAsia="MS Gothic" w:cs="MS Gothic"/>
        </w:rPr>
        <w:t>ć</w:t>
      </w:r>
      <w:r>
        <w:rPr>
          <w:rFonts w:ascii="Book Antiqua" w:hAnsi="Book Antiqua"/>
        </w:rPr>
        <w:t xml:space="preserve"> D, Stefaniak A, Sternisko A, Stoica A, Stoyanova KK, Strickland B, Sundvall J, Thomas JP, Tinghög G, Torgler B, Traast IJ, Tucciarelli R, Tyrala M, Ungson ND, Uysal MS, Van Lange PAM, van Prooijen JW, van Rooy D, Västfjäll D, Verkoeijen P, Vieira JB, von Sikorski C, Walker AC, Watermeyer J, Wetter E, Whillans A, Willardt R, Wohl MJA, Wójcik AD, Wu K, Yamada Y, Yilmaz O, Yogeeswaran K, Ziemer CT, Zwaan RA, Boggio PS. National identity predicts public health support during a global pandemic. </w:t>
      </w:r>
      <w:r>
        <w:rPr>
          <w:rFonts w:ascii="Book Antiqua" w:hAnsi="Book Antiqua"/>
          <w:i/>
          <w:iCs/>
        </w:rPr>
        <w:t>Nat Commun</w:t>
      </w:r>
      <w:r>
        <w:rPr>
          <w:rFonts w:ascii="Book Antiqua" w:hAnsi="Book Antiqua"/>
        </w:rPr>
        <w:t xml:space="preserve"> 2022; </w:t>
      </w:r>
      <w:r>
        <w:rPr>
          <w:rFonts w:ascii="Book Antiqua" w:hAnsi="Book Antiqua"/>
          <w:b/>
          <w:bCs/>
        </w:rPr>
        <w:t>13</w:t>
      </w:r>
      <w:r>
        <w:rPr>
          <w:rFonts w:ascii="Book Antiqua" w:hAnsi="Book Antiqua"/>
        </w:rPr>
        <w:t>: 517 [PMID: 35082277 DOI: 10.1038/s41467-021-27668-9]</w:t>
      </w:r>
    </w:p>
    <w:p>
      <w:pPr>
        <w:spacing w:line="360" w:lineRule="auto"/>
        <w:jc w:val="both"/>
        <w:rPr>
          <w:rFonts w:ascii="Book Antiqua" w:hAnsi="Book Antiqua"/>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bookmarkStart w:id="23" w:name="OLE_LINK370"/>
      <w:bookmarkStart w:id="24" w:name="OLE_LINK371"/>
      <w:r>
        <w:rPr>
          <w:rFonts w:ascii="Book Antiqua" w:hAnsi="Book Antiqua" w:eastAsia="Book Antiqua" w:cs="Book Antiqua"/>
          <w:b/>
          <w:bCs/>
          <w:color w:val="000000"/>
        </w:rPr>
        <w:t>Institutional review board statement</w:t>
      </w:r>
      <w:bookmarkEnd w:id="23"/>
      <w:bookmarkEnd w:id="24"/>
      <w:r>
        <w:rPr>
          <w:rFonts w:ascii="Book Antiqua" w:hAnsi="Book Antiqua" w:eastAsia="Book Antiqua" w:cs="Book Antiqua"/>
          <w:b/>
          <w:bCs/>
          <w:color w:val="000000"/>
        </w:rPr>
        <w:t xml:space="preserve">: </w:t>
      </w:r>
      <w:r>
        <w:rPr>
          <w:rFonts w:ascii="Book Antiqua" w:hAnsi="Book Antiqua" w:eastAsia="Book Antiqua" w:cs="Book Antiqua"/>
          <w:color w:val="000000"/>
        </w:rPr>
        <w:t>This study was conducted in accordance with the Declaration of Helsinki Ethical Principles and was approved by the Ethical Committee of the BezmialemVakıf University (2021/414).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provided informed consent prior to study enrollment.</w:t>
      </w:r>
    </w:p>
    <w:p>
      <w:pPr>
        <w:spacing w:line="360" w:lineRule="auto"/>
        <w:jc w:val="both"/>
        <w:rPr>
          <w:rFonts w:ascii="Book Antiqua" w:hAnsi="Book Antiqua"/>
        </w:rPr>
      </w:pPr>
    </w:p>
    <w:p>
      <w:pPr>
        <w:autoSpaceDE w:val="0"/>
        <w:autoSpaceDN w:val="0"/>
        <w:adjustRightInd w:val="0"/>
        <w:spacing w:line="360" w:lineRule="auto"/>
        <w:jc w:val="both"/>
        <w:rPr>
          <w:rFonts w:ascii="Book Antiqua" w:hAnsi="Book Antiqua" w:cs="TimesNewRomanPSMT"/>
          <w:lang w:val="en-GB"/>
        </w:rPr>
      </w:pPr>
      <w:r>
        <w:rPr>
          <w:rFonts w:ascii="Book Antiqua" w:hAnsi="Book Antiqua" w:eastAsia="Book Antiqua" w:cs="Book Antiqua"/>
          <w:b/>
          <w:bCs/>
          <w:color w:val="000000"/>
        </w:rPr>
        <w:t xml:space="preserve">Conflict-of-interest statement: </w:t>
      </w:r>
      <w:bookmarkStart w:id="25" w:name="OLE_LINK126"/>
      <w:bookmarkStart w:id="26" w:name="OLE_LINK125"/>
      <w:r>
        <w:rPr>
          <w:rFonts w:ascii="Book Antiqua" w:hAnsi="Book Antiqua" w:cs="TimesNewRomanPSMT"/>
          <w:lang w:val="en-GB"/>
        </w:rPr>
        <w:t>All authors report no relevant conflicts of interest for this article.</w:t>
      </w:r>
    </w:p>
    <w:bookmarkEnd w:id="25"/>
    <w:bookmarkEnd w:id="26"/>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Data sharing statement:</w:t>
      </w:r>
      <w:r>
        <w:rPr>
          <w:rFonts w:ascii="Book Antiqua" w:hAnsi="Book Antiqua" w:eastAsia="Book Antiqua" w:cs="Book Antiqua"/>
          <w:color w:val="000000"/>
        </w:rPr>
        <w:t xml:space="preserve"> Additional SPSS data could be shared when requested.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18,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July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Goldstein Ferber S, Israel; Stoyanov D, Bulgaria; Troisi A</w:t>
      </w:r>
      <w:r>
        <w:rPr>
          <w:rFonts w:hint="eastAsia" w:ascii="Book Antiqua" w:hAnsi="Book Antiqua" w:cs="Book Antiqua"/>
          <w:color w:val="000000"/>
          <w:lang w:eastAsia="zh-CN"/>
        </w:rPr>
        <w:t xml:space="preserve">, </w:t>
      </w:r>
      <w:r>
        <w:rPr>
          <w:rFonts w:ascii="Book Antiqua" w:hAnsi="Book Antiqua" w:cs="Book Antiqua"/>
          <w:color w:val="000000"/>
          <w:lang w:eastAsia="zh-CN"/>
        </w:rPr>
        <w:t>Italy</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S-Editor:</w:t>
      </w:r>
      <w:r>
        <w:rPr>
          <w:rFonts w:hint="eastAsia" w:ascii="Book Antiqua" w:hAnsi="Book Antiqua" w:cs="Book Antiqua"/>
          <w:b/>
          <w:color w:val="000000"/>
          <w:lang w:eastAsia="zh-CN"/>
        </w:rPr>
        <w:t xml:space="preserve"> </w:t>
      </w:r>
      <w:r>
        <w:rPr>
          <w:rFonts w:ascii="Book Antiqua" w:hAnsi="Book Antiqua" w:cs="Book Antiqua"/>
          <w:color w:val="000000"/>
          <w:lang w:eastAsia="zh-CN"/>
        </w:rPr>
        <w:t>Ma YJ</w:t>
      </w:r>
      <w:r>
        <w:rPr>
          <w:rFonts w:hint="eastAsia" w:ascii="Book Antiqua" w:hAnsi="Book Antiqua" w:cs="Book Antiqua"/>
          <w:color w:val="000000"/>
          <w:lang w:eastAsia="zh-CN"/>
        </w:rPr>
        <w:t xml:space="preserve"> </w:t>
      </w:r>
      <w:r>
        <w:rPr>
          <w:rFonts w:ascii="Book Antiqua" w:hAnsi="Book Antiqua" w:eastAsia="Book Antiqua" w:cs="Book Antiqua"/>
          <w:b/>
          <w:color w:val="000000"/>
        </w:rPr>
        <w:t>L-Editor:</w:t>
      </w:r>
      <w:r>
        <w:rPr>
          <w:rFonts w:hint="eastAsia" w:ascii="Book Antiqua" w:hAnsi="Book Antiqua" w:cs="Book Antiqua"/>
          <w:b/>
          <w:color w:val="000000"/>
          <w:lang w:eastAsia="zh-CN"/>
        </w:rPr>
        <w:t xml:space="preserve"> </w:t>
      </w:r>
      <w:r>
        <w:rPr>
          <w:rFonts w:ascii="Book Antiqua" w:hAnsi="Book Antiqua" w:cs="Book Antiqua"/>
          <w:color w:val="000000"/>
          <w:lang w:eastAsia="zh-CN"/>
        </w:rPr>
        <w:t>Wang TQ</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P-Editor: </w:t>
      </w:r>
      <w:r>
        <w:rPr>
          <w:rFonts w:ascii="Book Antiqua" w:hAnsi="Book Antiqua" w:cs="Book Antiqua"/>
          <w:color w:val="000000"/>
          <w:lang w:eastAsia="zh-CN"/>
        </w:rPr>
        <w:t>Ma YJ</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lang w:eastAsia="zh-CN"/>
        </w:rPr>
      </w:pPr>
    </w:p>
    <w:p>
      <w:pPr>
        <w:spacing w:line="360" w:lineRule="auto"/>
        <w:jc w:val="both"/>
        <w:rPr>
          <w:rFonts w:ascii="Book Antiqua" w:hAnsi="Book Antiqua" w:cs="Book Antiqua"/>
          <w:b/>
          <w:color w:val="000000"/>
          <w:lang w:eastAsia="zh-CN"/>
        </w:rPr>
      </w:pPr>
      <w:r>
        <w:rPr>
          <w:rFonts w:ascii="Book Antiqua" w:hAnsi="Book Antiqua" w:cs="Book Antiqua"/>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b/>
          <w:lang w:eastAsia="zh-CN"/>
        </w:rPr>
      </w:pPr>
      <w:bookmarkStart w:id="27" w:name="_GoBack"/>
      <w:r>
        <w:rPr>
          <w:rFonts w:ascii="Book Antiqua" w:hAnsi="Book Antiqua"/>
          <w:b/>
          <w:lang w:eastAsia="zh-CN"/>
        </w:rPr>
        <w:drawing>
          <wp:inline distT="0" distB="0" distL="114300" distR="114300">
            <wp:extent cx="5938520" cy="1224280"/>
            <wp:effectExtent l="0" t="0" r="5080" b="10160"/>
            <wp:docPr id="1" name="图片 1" descr="WJCC-10-783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7832-g001"/>
                    <pic:cNvPicPr>
                      <a:picLocks noChangeAspect="1"/>
                    </pic:cNvPicPr>
                  </pic:nvPicPr>
                  <pic:blipFill>
                    <a:blip r:embed="rId5"/>
                    <a:stretch>
                      <a:fillRect/>
                    </a:stretch>
                  </pic:blipFill>
                  <pic:spPr>
                    <a:xfrm>
                      <a:off x="0" y="0"/>
                      <a:ext cx="5938520" cy="1224280"/>
                    </a:xfrm>
                    <a:prstGeom prst="rect">
                      <a:avLst/>
                    </a:prstGeom>
                  </pic:spPr>
                </pic:pic>
              </a:graphicData>
            </a:graphic>
          </wp:inline>
        </w:drawing>
      </w:r>
      <w:bookmarkEnd w:id="27"/>
    </w:p>
    <w:p>
      <w:pPr>
        <w:spacing w:line="360" w:lineRule="auto"/>
        <w:jc w:val="both"/>
        <w:rPr>
          <w:rFonts w:ascii="Book Antiqua" w:hAnsi="Book Antiqua"/>
          <w:b/>
          <w:lang w:eastAsia="zh-CN"/>
        </w:rPr>
      </w:pPr>
      <w:r>
        <w:rPr>
          <w:rFonts w:ascii="Book Antiqua" w:hAnsi="Book Antiqua"/>
          <w:b/>
        </w:rPr>
        <w:t>Figure 1</w:t>
      </w:r>
      <w:r>
        <w:rPr>
          <w:rFonts w:hint="eastAsia" w:ascii="Book Antiqua" w:hAnsi="Book Antiqua"/>
          <w:b/>
          <w:lang w:eastAsia="zh-CN"/>
        </w:rPr>
        <w:t xml:space="preserve"> </w:t>
      </w:r>
      <w:r>
        <w:rPr>
          <w:rFonts w:ascii="Book Antiqua" w:hAnsi="Book Antiqua"/>
          <w:b/>
        </w:rPr>
        <w:t>Flowchart of excluded cases</w:t>
      </w:r>
      <w:r>
        <w:rPr>
          <w:rFonts w:hint="eastAsia" w:ascii="Book Antiqua" w:hAnsi="Book Antiqua"/>
          <w:b/>
          <w:lang w:eastAsia="zh-CN"/>
        </w:rPr>
        <w:t>.</w:t>
      </w:r>
    </w:p>
    <w:p>
      <w:pPr>
        <w:spacing w:line="360" w:lineRule="auto"/>
        <w:jc w:val="both"/>
        <w:rPr>
          <w:rFonts w:ascii="Book Antiqua" w:hAnsi="Book Antiqua" w:cs="Book Antiqua"/>
          <w:b/>
          <w:color w:val="000000"/>
          <w:lang w:eastAsia="zh-CN"/>
        </w:rPr>
      </w:pPr>
    </w:p>
    <w:p>
      <w:pPr>
        <w:pStyle w:val="8"/>
        <w:spacing w:before="0" w:beforeAutospacing="0" w:after="0" w:afterAutospacing="0" w:line="360" w:lineRule="auto"/>
        <w:jc w:val="both"/>
        <w:rPr>
          <w:rFonts w:ascii="Book Antiqua" w:hAnsi="Book Antiqua" w:cs="Times New Roman"/>
        </w:rPr>
      </w:pPr>
      <w:r>
        <w:rPr>
          <w:rFonts w:ascii="Book Antiqua" w:hAnsi="Book Antiqua" w:cs="Times New Roman"/>
          <w:b/>
          <w:bCs/>
          <w:color w:val="000000"/>
        </w:rPr>
        <w:br w:type="page"/>
      </w:r>
      <w:r>
        <w:rPr>
          <w:rFonts w:ascii="Book Antiqua" w:hAnsi="Book Antiqua" w:cs="Times New Roman"/>
          <w:b/>
          <w:bCs/>
          <w:color w:val="000000"/>
        </w:rPr>
        <w:t>Table 1</w:t>
      </w:r>
      <w:r>
        <w:rPr>
          <w:rFonts w:hint="eastAsia" w:ascii="Book Antiqua" w:hAnsi="Book Antiqua" w:cs="Times New Roman"/>
          <w:b/>
          <w:bCs/>
          <w:color w:val="000000"/>
        </w:rPr>
        <w:t xml:space="preserve"> </w:t>
      </w:r>
      <w:r>
        <w:rPr>
          <w:rFonts w:ascii="Book Antiqua" w:hAnsi="Book Antiqua" w:cs="Times New Roman"/>
          <w:b/>
          <w:bCs/>
          <w:color w:val="000000"/>
        </w:rPr>
        <w:t>Sociodemographic and clinical features of participants</w:t>
      </w: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86"/>
        <w:gridCol w:w="2256"/>
        <w:gridCol w:w="28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6642" w:type="dxa"/>
            <w:gridSpan w:val="2"/>
            <w:tcBorders>
              <w:top w:val="single" w:color="auto" w:sz="4" w:space="0"/>
              <w:bottom w:val="single" w:color="auto" w:sz="4" w:space="0"/>
            </w:tcBorders>
          </w:tcPr>
          <w:p>
            <w:pPr>
              <w:spacing w:line="360" w:lineRule="auto"/>
              <w:jc w:val="both"/>
              <w:rPr>
                <w:rFonts w:ascii="Book Antiqua" w:hAnsi="Book Antiqua" w:eastAsia="Times New Roman"/>
                <w:lang w:eastAsia="tr-TR"/>
              </w:rPr>
            </w:pPr>
            <w:r>
              <w:rPr>
                <w:rFonts w:ascii="Book Antiqua" w:hAnsi="Book Antiqua" w:eastAsia="Times New Roman"/>
                <w:b/>
                <w:bCs/>
                <w:color w:val="000000"/>
                <w:lang w:eastAsia="tr-TR"/>
              </w:rPr>
              <w:t>Sociodemographic features </w:t>
            </w:r>
          </w:p>
        </w:tc>
        <w:tc>
          <w:tcPr>
            <w:tcW w:w="2822" w:type="dxa"/>
            <w:tcBorders>
              <w:top w:val="single" w:color="auto" w:sz="4" w:space="0"/>
              <w:bottom w:val="single" w:color="auto" w:sz="4" w:space="0"/>
            </w:tcBorders>
          </w:tcPr>
          <w:p>
            <w:pPr>
              <w:spacing w:line="360" w:lineRule="auto"/>
              <w:jc w:val="both"/>
              <w:rPr>
                <w:rFonts w:ascii="Book Antiqua" w:hAnsi="Book Antiqua"/>
                <w:lang w:eastAsia="zh-CN"/>
              </w:rPr>
            </w:pPr>
            <w:r>
              <w:rPr>
                <w:rFonts w:ascii="Book Antiqua" w:hAnsi="Book Antiqua" w:eastAsia="Times New Roman"/>
                <w:b/>
                <w:bCs/>
                <w:i/>
                <w:color w:val="000000"/>
                <w:lang w:eastAsia="tr-TR"/>
              </w:rPr>
              <w:t>n</w:t>
            </w:r>
            <w:r>
              <w:rPr>
                <w:rFonts w:hint="eastAsia" w:ascii="Book Antiqua" w:hAnsi="Book Antiqua"/>
                <w:b/>
                <w:bCs/>
                <w:i/>
                <w:color w:val="000000"/>
                <w:lang w:eastAsia="zh-CN"/>
              </w:rPr>
              <w:t xml:space="preserve"> </w:t>
            </w:r>
            <w:r>
              <w:rPr>
                <w:rFonts w:hint="eastAsia" w:ascii="Book Antiqua" w:hAnsi="Book Antiqua"/>
                <w:b/>
                <w:bCs/>
                <w:color w:val="000000"/>
                <w:lang w:eastAsia="zh-CN"/>
              </w:rPr>
              <w:t>(</w:t>
            </w:r>
            <w:r>
              <w:rPr>
                <w:rFonts w:ascii="Book Antiqua" w:hAnsi="Book Antiqua" w:eastAsia="Times New Roman"/>
                <w:bCs/>
                <w:color w:val="000000"/>
                <w:lang w:eastAsia="tr-TR"/>
              </w:rPr>
              <w:t>%</w:t>
            </w:r>
            <w:r>
              <w:rPr>
                <w:rFonts w:hint="eastAsia" w:ascii="Book Antiqua" w:hAnsi="Book Antiqua"/>
                <w:b/>
                <w:bCs/>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 w:hRule="atLeast"/>
        </w:trPr>
        <w:tc>
          <w:tcPr>
            <w:tcW w:w="0" w:type="auto"/>
            <w:tcBorders>
              <w:top w:val="single" w:color="auto" w:sz="4" w:space="0"/>
            </w:tcBorders>
          </w:tcPr>
          <w:p>
            <w:pPr>
              <w:spacing w:line="360" w:lineRule="auto"/>
              <w:jc w:val="both"/>
              <w:rPr>
                <w:rFonts w:ascii="Book Antiqua" w:hAnsi="Book Antiqua" w:eastAsia="Times New Roman"/>
                <w:lang w:eastAsia="tr-TR"/>
              </w:rPr>
            </w:pPr>
          </w:p>
        </w:tc>
        <w:tc>
          <w:tcPr>
            <w:tcW w:w="2256" w:type="dxa"/>
            <w:tcBorders>
              <w:top w:val="single" w:color="auto" w:sz="4" w:space="0"/>
            </w:tcBorders>
          </w:tcPr>
          <w:p>
            <w:pPr>
              <w:spacing w:line="360" w:lineRule="auto"/>
              <w:jc w:val="both"/>
              <w:rPr>
                <w:rFonts w:ascii="Book Antiqua" w:hAnsi="Book Antiqua" w:eastAsia="Times New Roman"/>
                <w:lang w:eastAsia="tr-TR"/>
              </w:rPr>
            </w:pPr>
          </w:p>
        </w:tc>
        <w:tc>
          <w:tcPr>
            <w:tcW w:w="2822" w:type="dxa"/>
            <w:tcBorders>
              <w:top w:val="single" w:color="auto" w:sz="4" w:space="0"/>
            </w:tcBorders>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Sex</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Female</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89</w:t>
            </w:r>
            <w:r>
              <w:rPr>
                <w:rFonts w:hint="eastAsia" w:ascii="Book Antiqua" w:hAnsi="Book Antiqua"/>
                <w:color w:val="000000"/>
                <w:lang w:eastAsia="zh-CN"/>
              </w:rPr>
              <w:t xml:space="preserve"> (</w:t>
            </w:r>
            <w:r>
              <w:rPr>
                <w:rFonts w:ascii="Book Antiqua" w:hAnsi="Book Antiqua" w:eastAsia="Times New Roman"/>
                <w:color w:val="000000"/>
                <w:lang w:eastAsia="tr-TR"/>
              </w:rPr>
              <w:t>51.7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Male</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83</w:t>
            </w:r>
            <w:r>
              <w:rPr>
                <w:rFonts w:hint="eastAsia" w:ascii="Book Antiqua" w:hAnsi="Book Antiqua"/>
                <w:color w:val="000000"/>
                <w:lang w:eastAsia="zh-CN"/>
              </w:rPr>
              <w:t xml:space="preserve"> (</w:t>
            </w:r>
            <w:r>
              <w:rPr>
                <w:rFonts w:ascii="Book Antiqua" w:hAnsi="Book Antiqua" w:eastAsia="Times New Roman"/>
                <w:color w:val="000000"/>
                <w:lang w:eastAsia="tr-TR"/>
              </w:rPr>
              <w:t>48.3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Age (yr)</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18-50</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72</w:t>
            </w:r>
            <w:r>
              <w:rPr>
                <w:rFonts w:hint="eastAsia" w:ascii="Book Antiqua" w:hAnsi="Book Antiqua"/>
                <w:color w:val="000000"/>
                <w:lang w:eastAsia="zh-CN"/>
              </w:rPr>
              <w:t xml:space="preserve"> (</w:t>
            </w:r>
            <w:r>
              <w:rPr>
                <w:rFonts w:ascii="Book Antiqua" w:hAnsi="Book Antiqua" w:eastAsia="Times New Roman"/>
                <w:color w:val="000000"/>
                <w:lang w:eastAsia="tr-TR"/>
              </w:rPr>
              <w:t>41.9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50-86</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100</w:t>
            </w:r>
            <w:r>
              <w:rPr>
                <w:rFonts w:hint="eastAsia" w:ascii="Book Antiqua" w:hAnsi="Book Antiqua"/>
                <w:color w:val="000000"/>
                <w:lang w:eastAsia="zh-CN"/>
              </w:rPr>
              <w:t xml:space="preserve"> (</w:t>
            </w:r>
            <w:r>
              <w:rPr>
                <w:rFonts w:ascii="Book Antiqua" w:hAnsi="Book Antiqua" w:eastAsia="Times New Roman"/>
                <w:color w:val="000000"/>
                <w:lang w:eastAsia="tr-TR"/>
              </w:rPr>
              <w:t>58.1</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Marital status</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Married </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137</w:t>
            </w:r>
            <w:r>
              <w:rPr>
                <w:rFonts w:hint="eastAsia" w:ascii="Book Antiqua" w:hAnsi="Book Antiqua"/>
                <w:color w:val="000000"/>
                <w:lang w:eastAsia="zh-CN"/>
              </w:rPr>
              <w:t xml:space="preserve"> (</w:t>
            </w:r>
            <w:r>
              <w:rPr>
                <w:rFonts w:ascii="Book Antiqua" w:hAnsi="Book Antiqua" w:eastAsia="Times New Roman"/>
                <w:color w:val="000000"/>
                <w:lang w:eastAsia="tr-TR"/>
              </w:rPr>
              <w:t>79.7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Single </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13</w:t>
            </w:r>
            <w:r>
              <w:rPr>
                <w:rFonts w:hint="eastAsia" w:ascii="Book Antiqua" w:hAnsi="Book Antiqua"/>
                <w:color w:val="000000"/>
                <w:lang w:eastAsia="zh-CN"/>
              </w:rPr>
              <w:t xml:space="preserve"> (</w:t>
            </w:r>
            <w:r>
              <w:rPr>
                <w:rFonts w:ascii="Book Antiqua" w:hAnsi="Book Antiqua" w:eastAsia="Times New Roman"/>
                <w:color w:val="000000"/>
                <w:lang w:eastAsia="tr-TR"/>
              </w:rPr>
              <w:t>7.6</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Divorced </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7</w:t>
            </w:r>
            <w:r>
              <w:rPr>
                <w:rFonts w:hint="eastAsia" w:ascii="Book Antiqua" w:hAnsi="Book Antiqua"/>
                <w:color w:val="000000"/>
                <w:lang w:eastAsia="zh-CN"/>
              </w:rPr>
              <w:t xml:space="preserve"> (</w:t>
            </w:r>
            <w:r>
              <w:rPr>
                <w:rFonts w:ascii="Book Antiqua" w:hAnsi="Book Antiqua" w:eastAsia="Times New Roman"/>
                <w:color w:val="000000"/>
                <w:lang w:eastAsia="tr-TR"/>
              </w:rPr>
              <w:t>4.1</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Widowed</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15</w:t>
            </w:r>
            <w:r>
              <w:rPr>
                <w:rFonts w:hint="eastAsia" w:ascii="Book Antiqua" w:hAnsi="Book Antiqua"/>
                <w:color w:val="000000"/>
                <w:lang w:eastAsia="zh-CN"/>
              </w:rPr>
              <w:t xml:space="preserve"> (</w:t>
            </w:r>
            <w:r>
              <w:rPr>
                <w:rFonts w:ascii="Book Antiqua" w:hAnsi="Book Antiqua" w:eastAsia="Times New Roman"/>
                <w:color w:val="000000"/>
                <w:lang w:eastAsia="tr-TR"/>
              </w:rPr>
              <w:t>8.7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Household</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Family</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137</w:t>
            </w:r>
            <w:r>
              <w:rPr>
                <w:rFonts w:hint="eastAsia" w:ascii="Book Antiqua" w:hAnsi="Book Antiqua"/>
                <w:color w:val="000000"/>
                <w:lang w:eastAsia="zh-CN"/>
              </w:rPr>
              <w:t xml:space="preserve"> (</w:t>
            </w:r>
            <w:r>
              <w:rPr>
                <w:rFonts w:ascii="Book Antiqua" w:hAnsi="Book Antiqua" w:eastAsia="Times New Roman"/>
                <w:color w:val="000000"/>
                <w:lang w:eastAsia="tr-TR"/>
              </w:rPr>
              <w:t>79.7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Roommate</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3</w:t>
            </w:r>
            <w:r>
              <w:rPr>
                <w:rFonts w:hint="eastAsia" w:ascii="Book Antiqua" w:hAnsi="Book Antiqua"/>
                <w:color w:val="000000"/>
                <w:lang w:eastAsia="zh-CN"/>
              </w:rPr>
              <w:t xml:space="preserve"> (</w:t>
            </w:r>
            <w:r>
              <w:rPr>
                <w:rFonts w:ascii="Book Antiqua" w:hAnsi="Book Antiqua" w:eastAsia="Times New Roman"/>
                <w:color w:val="000000"/>
                <w:lang w:eastAsia="tr-TR"/>
              </w:rPr>
              <w:t>1.7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Partner</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23</w:t>
            </w:r>
            <w:r>
              <w:rPr>
                <w:rFonts w:hint="eastAsia" w:ascii="Book Antiqua" w:hAnsi="Book Antiqua"/>
                <w:color w:val="000000"/>
                <w:lang w:eastAsia="zh-CN"/>
              </w:rPr>
              <w:t xml:space="preserve"> (</w:t>
            </w:r>
            <w:r>
              <w:rPr>
                <w:rFonts w:ascii="Book Antiqua" w:hAnsi="Book Antiqua" w:eastAsia="Times New Roman"/>
                <w:color w:val="000000"/>
                <w:lang w:eastAsia="tr-TR"/>
              </w:rPr>
              <w:t>13.4</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Alone</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9</w:t>
            </w:r>
            <w:r>
              <w:rPr>
                <w:rFonts w:hint="eastAsia" w:ascii="Book Antiqua" w:hAnsi="Book Antiqua"/>
                <w:color w:val="000000"/>
                <w:lang w:eastAsia="zh-CN"/>
              </w:rPr>
              <w:t xml:space="preserve"> (</w:t>
            </w:r>
            <w:r>
              <w:rPr>
                <w:rFonts w:ascii="Book Antiqua" w:hAnsi="Book Antiqua" w:eastAsia="Times New Roman"/>
                <w:color w:val="000000"/>
                <w:lang w:eastAsia="tr-TR"/>
              </w:rPr>
              <w:t>5.2</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Children</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17</w:t>
            </w:r>
            <w:r>
              <w:rPr>
                <w:rFonts w:hint="eastAsia" w:ascii="Book Antiqua" w:hAnsi="Book Antiqua"/>
                <w:color w:val="000000"/>
                <w:lang w:eastAsia="zh-CN"/>
              </w:rPr>
              <w:t xml:space="preserve"> (</w:t>
            </w:r>
            <w:r>
              <w:rPr>
                <w:rFonts w:ascii="Book Antiqua" w:hAnsi="Book Antiqua" w:eastAsia="Times New Roman"/>
                <w:color w:val="000000"/>
                <w:lang w:eastAsia="tr-TR"/>
              </w:rPr>
              <w:t>9.9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155</w:t>
            </w:r>
            <w:r>
              <w:rPr>
                <w:rFonts w:hint="eastAsia" w:ascii="Book Antiqua" w:hAnsi="Book Antiqua"/>
                <w:color w:val="000000"/>
                <w:lang w:eastAsia="zh-CN"/>
              </w:rPr>
              <w:t xml:space="preserve"> (</w:t>
            </w:r>
            <w:r>
              <w:rPr>
                <w:rFonts w:ascii="Book Antiqua" w:hAnsi="Book Antiqua" w:eastAsia="Times New Roman"/>
                <w:color w:val="000000"/>
                <w:lang w:eastAsia="tr-TR"/>
              </w:rPr>
              <w:t>90.1</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Employment</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Employed</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52</w:t>
            </w:r>
            <w:r>
              <w:rPr>
                <w:rFonts w:hint="eastAsia" w:ascii="Book Antiqua" w:hAnsi="Book Antiqua"/>
                <w:color w:val="000000"/>
                <w:lang w:eastAsia="zh-CN"/>
              </w:rPr>
              <w:t xml:space="preserve"> (</w:t>
            </w:r>
            <w:r>
              <w:rPr>
                <w:rFonts w:ascii="Book Antiqua" w:hAnsi="Book Antiqua" w:eastAsia="Times New Roman"/>
                <w:color w:val="000000"/>
                <w:lang w:eastAsia="tr-TR"/>
              </w:rPr>
              <w:t>30.2</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Unemployed</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4</w:t>
            </w:r>
            <w:r>
              <w:rPr>
                <w:rFonts w:hint="eastAsia" w:ascii="Book Antiqua" w:hAnsi="Book Antiqua"/>
                <w:color w:val="000000"/>
                <w:lang w:eastAsia="zh-CN"/>
              </w:rPr>
              <w:t xml:space="preserve"> (</w:t>
            </w:r>
            <w:r>
              <w:rPr>
                <w:rFonts w:ascii="Book Antiqua" w:hAnsi="Book Antiqua" w:eastAsia="Times New Roman"/>
                <w:color w:val="000000"/>
                <w:lang w:eastAsia="tr-TR"/>
              </w:rPr>
              <w:t>2.3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Retired</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40</w:t>
            </w:r>
            <w:r>
              <w:rPr>
                <w:rFonts w:hint="eastAsia" w:ascii="Book Antiqua" w:hAnsi="Book Antiqua"/>
                <w:color w:val="000000"/>
                <w:lang w:eastAsia="zh-CN"/>
              </w:rPr>
              <w:t xml:space="preserve"> (</w:t>
            </w:r>
            <w:r>
              <w:rPr>
                <w:rFonts w:ascii="Book Antiqua" w:hAnsi="Book Antiqua" w:eastAsia="Times New Roman"/>
                <w:color w:val="000000"/>
                <w:lang w:eastAsia="tr-TR"/>
              </w:rPr>
              <w:t>23.3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Housewife</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71</w:t>
            </w:r>
            <w:r>
              <w:rPr>
                <w:rFonts w:hint="eastAsia" w:ascii="Book Antiqua" w:hAnsi="Book Antiqua"/>
                <w:color w:val="000000"/>
                <w:lang w:eastAsia="zh-CN"/>
              </w:rPr>
              <w:t xml:space="preserve"> (</w:t>
            </w:r>
            <w:r>
              <w:rPr>
                <w:rFonts w:ascii="Book Antiqua" w:hAnsi="Book Antiqua" w:eastAsia="Times New Roman"/>
                <w:color w:val="000000"/>
                <w:lang w:eastAsia="tr-TR"/>
              </w:rPr>
              <w:t>41.3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Other</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5</w:t>
            </w:r>
            <w:r>
              <w:rPr>
                <w:rFonts w:hint="eastAsia" w:ascii="Book Antiqua" w:hAnsi="Book Antiqua"/>
                <w:color w:val="000000"/>
                <w:lang w:eastAsia="zh-CN"/>
              </w:rPr>
              <w:t xml:space="preserve"> (</w:t>
            </w:r>
            <w:r>
              <w:rPr>
                <w:rFonts w:ascii="Book Antiqua" w:hAnsi="Book Antiqua" w:eastAsia="Times New Roman"/>
                <w:color w:val="000000"/>
                <w:lang w:eastAsia="tr-TR"/>
              </w:rPr>
              <w:t>2.9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Financial status</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Low income</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73</w:t>
            </w:r>
            <w:r>
              <w:rPr>
                <w:rFonts w:hint="eastAsia" w:ascii="Book Antiqua" w:hAnsi="Book Antiqua"/>
                <w:color w:val="000000"/>
                <w:lang w:eastAsia="zh-CN"/>
              </w:rPr>
              <w:t xml:space="preserve"> (</w:t>
            </w:r>
            <w:r>
              <w:rPr>
                <w:rFonts w:ascii="Book Antiqua" w:hAnsi="Book Antiqua" w:eastAsia="Times New Roman"/>
                <w:color w:val="000000"/>
                <w:lang w:eastAsia="tr-TR"/>
              </w:rPr>
              <w:t>42.4</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Middle income</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82</w:t>
            </w:r>
            <w:r>
              <w:rPr>
                <w:rFonts w:hint="eastAsia" w:ascii="Book Antiqua" w:hAnsi="Book Antiqua"/>
                <w:color w:val="000000"/>
                <w:lang w:eastAsia="zh-CN"/>
              </w:rPr>
              <w:t xml:space="preserve"> (</w:t>
            </w:r>
            <w:r>
              <w:rPr>
                <w:rFonts w:ascii="Book Antiqua" w:hAnsi="Book Antiqua" w:eastAsia="Times New Roman"/>
                <w:color w:val="000000"/>
                <w:lang w:eastAsia="tr-TR"/>
              </w:rPr>
              <w:t>47.7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High income</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17</w:t>
            </w:r>
            <w:r>
              <w:rPr>
                <w:rFonts w:hint="eastAsia" w:ascii="Book Antiqua" w:hAnsi="Book Antiqua"/>
                <w:color w:val="000000"/>
                <w:lang w:eastAsia="zh-CN"/>
              </w:rPr>
              <w:t xml:space="preserve"> (</w:t>
            </w:r>
            <w:r>
              <w:rPr>
                <w:rFonts w:ascii="Book Antiqua" w:hAnsi="Book Antiqua" w:eastAsia="Times New Roman"/>
                <w:color w:val="000000"/>
                <w:lang w:eastAsia="tr-TR"/>
              </w:rPr>
              <w:t>9.9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Smoking history</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29</w:t>
            </w:r>
            <w:r>
              <w:rPr>
                <w:rFonts w:hint="eastAsia" w:ascii="Book Antiqua" w:hAnsi="Book Antiqua"/>
                <w:color w:val="000000"/>
                <w:lang w:eastAsia="zh-CN"/>
              </w:rPr>
              <w:t xml:space="preserve"> (</w:t>
            </w:r>
            <w:r>
              <w:rPr>
                <w:rFonts w:ascii="Book Antiqua" w:hAnsi="Book Antiqua" w:eastAsia="Times New Roman"/>
                <w:color w:val="000000"/>
                <w:lang w:eastAsia="tr-TR"/>
              </w:rPr>
              <w:t>16.9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143</w:t>
            </w:r>
            <w:r>
              <w:rPr>
                <w:rFonts w:hint="eastAsia" w:ascii="Book Antiqua" w:hAnsi="Book Antiqua"/>
                <w:color w:val="000000"/>
                <w:lang w:eastAsia="zh-CN"/>
              </w:rPr>
              <w:t xml:space="preserve"> (</w:t>
            </w:r>
            <w:r>
              <w:rPr>
                <w:rFonts w:ascii="Book Antiqua" w:hAnsi="Book Antiqua" w:eastAsia="Times New Roman"/>
                <w:color w:val="000000"/>
                <w:lang w:eastAsia="tr-TR"/>
              </w:rPr>
              <w:t>83.1</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Alcohol</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6</w:t>
            </w:r>
            <w:r>
              <w:rPr>
                <w:rFonts w:hint="eastAsia" w:ascii="Book Antiqua" w:hAnsi="Book Antiqua"/>
                <w:color w:val="000000"/>
                <w:lang w:eastAsia="zh-CN"/>
              </w:rPr>
              <w:t xml:space="preserve"> (</w:t>
            </w:r>
            <w:r>
              <w:rPr>
                <w:rFonts w:ascii="Book Antiqua" w:hAnsi="Book Antiqua" w:eastAsia="Times New Roman"/>
                <w:color w:val="000000"/>
                <w:lang w:eastAsia="tr-TR"/>
              </w:rPr>
              <w:t>3.5</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166</w:t>
            </w:r>
            <w:r>
              <w:rPr>
                <w:rFonts w:hint="eastAsia" w:ascii="Book Antiqua" w:hAnsi="Book Antiqua"/>
                <w:color w:val="000000"/>
                <w:lang w:eastAsia="zh-CN"/>
              </w:rPr>
              <w:t xml:space="preserve"> (</w:t>
            </w:r>
            <w:r>
              <w:rPr>
                <w:rFonts w:ascii="Book Antiqua" w:hAnsi="Book Antiqua" w:eastAsia="Times New Roman"/>
                <w:color w:val="000000"/>
                <w:lang w:eastAsia="tr-TR"/>
              </w:rPr>
              <w:t>96.5</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
                <w:bCs/>
                <w:color w:val="000000"/>
                <w:lang w:eastAsia="tr-TR"/>
              </w:rPr>
              <w:t>Clinical features </w:t>
            </w:r>
          </w:p>
        </w:tc>
        <w:tc>
          <w:tcPr>
            <w:tcW w:w="2256" w:type="dxa"/>
          </w:tcPr>
          <w:p>
            <w:pPr>
              <w:spacing w:line="360" w:lineRule="auto"/>
              <w:jc w:val="both"/>
              <w:rPr>
                <w:rFonts w:ascii="Book Antiqua" w:hAnsi="Book Antiqua" w:eastAsia="Times New Roman"/>
                <w:lang w:eastAsia="tr-TR"/>
              </w:rPr>
            </w:pPr>
          </w:p>
        </w:tc>
        <w:tc>
          <w:tcPr>
            <w:tcW w:w="2822" w:type="dxa"/>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Chronic disease</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 comorbidity</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85</w:t>
            </w:r>
            <w:r>
              <w:rPr>
                <w:rFonts w:hint="eastAsia" w:ascii="Book Antiqua" w:hAnsi="Book Antiqua"/>
                <w:color w:val="000000"/>
                <w:lang w:eastAsia="zh-CN"/>
              </w:rPr>
              <w:t xml:space="preserve"> (</w:t>
            </w:r>
            <w:r>
              <w:rPr>
                <w:rFonts w:ascii="Book Antiqua" w:hAnsi="Book Antiqua" w:eastAsia="Times New Roman"/>
                <w:color w:val="000000"/>
                <w:lang w:eastAsia="tr-TR"/>
              </w:rPr>
              <w:t>49.4</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Hypertension</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10</w:t>
            </w:r>
            <w:r>
              <w:rPr>
                <w:rFonts w:hint="eastAsia" w:ascii="Book Antiqua" w:hAnsi="Book Antiqua"/>
                <w:color w:val="000000"/>
                <w:lang w:eastAsia="zh-CN"/>
              </w:rPr>
              <w:t xml:space="preserve"> (</w:t>
            </w:r>
            <w:r>
              <w:rPr>
                <w:rFonts w:ascii="Book Antiqua" w:hAnsi="Book Antiqua" w:eastAsia="Times New Roman"/>
                <w:color w:val="000000"/>
                <w:lang w:eastAsia="tr-TR"/>
              </w:rPr>
              <w:t>5.8</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Diabetes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8</w:t>
            </w:r>
            <w:r>
              <w:rPr>
                <w:rFonts w:hint="eastAsia" w:ascii="Book Antiqua" w:hAnsi="Book Antiqua"/>
                <w:color w:val="000000"/>
                <w:lang w:eastAsia="zh-CN"/>
              </w:rPr>
              <w:t xml:space="preserve"> (</w:t>
            </w:r>
            <w:r>
              <w:rPr>
                <w:rFonts w:ascii="Book Antiqua" w:hAnsi="Book Antiqua" w:eastAsia="Times New Roman"/>
                <w:color w:val="000000"/>
                <w:lang w:eastAsia="tr-TR"/>
              </w:rPr>
              <w:t>4.7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Cardiovascular</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6</w:t>
            </w:r>
            <w:r>
              <w:rPr>
                <w:rFonts w:hint="eastAsia" w:ascii="Book Antiqua" w:hAnsi="Book Antiqua"/>
                <w:color w:val="000000"/>
                <w:lang w:eastAsia="zh-CN"/>
              </w:rPr>
              <w:t xml:space="preserve"> (</w:t>
            </w:r>
            <w:r>
              <w:rPr>
                <w:rFonts w:ascii="Book Antiqua" w:hAnsi="Book Antiqua" w:eastAsia="Times New Roman"/>
                <w:color w:val="000000"/>
                <w:lang w:eastAsia="tr-TR"/>
              </w:rPr>
              <w:t>3.5</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Cancer</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3</w:t>
            </w:r>
            <w:r>
              <w:rPr>
                <w:rFonts w:hint="eastAsia" w:ascii="Book Antiqua" w:hAnsi="Book Antiqua"/>
                <w:color w:val="000000"/>
                <w:lang w:eastAsia="zh-CN"/>
              </w:rPr>
              <w:t xml:space="preserve"> (</w:t>
            </w:r>
            <w:r>
              <w:rPr>
                <w:rFonts w:ascii="Book Antiqua" w:hAnsi="Book Antiqua" w:eastAsia="Times New Roman"/>
                <w:color w:val="000000"/>
                <w:lang w:eastAsia="tr-TR"/>
              </w:rPr>
              <w:t>1.7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Pulmonary</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13</w:t>
            </w:r>
            <w:r>
              <w:rPr>
                <w:rFonts w:hint="eastAsia" w:ascii="Book Antiqua" w:hAnsi="Book Antiqua"/>
                <w:color w:val="000000"/>
                <w:lang w:eastAsia="zh-CN"/>
              </w:rPr>
              <w:t xml:space="preserve"> (</w:t>
            </w:r>
            <w:r>
              <w:rPr>
                <w:rFonts w:ascii="Book Antiqua" w:hAnsi="Book Antiqua" w:eastAsia="Times New Roman"/>
                <w:color w:val="000000"/>
                <w:lang w:eastAsia="tr-TR"/>
              </w:rPr>
              <w:t>7.6</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Neurologic</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3</w:t>
            </w:r>
            <w:r>
              <w:rPr>
                <w:rFonts w:hint="eastAsia" w:ascii="Book Antiqua" w:hAnsi="Book Antiqua"/>
                <w:color w:val="000000"/>
                <w:lang w:eastAsia="zh-CN"/>
              </w:rPr>
              <w:t xml:space="preserve"> (</w:t>
            </w:r>
            <w:r>
              <w:rPr>
                <w:rFonts w:ascii="Book Antiqua" w:hAnsi="Book Antiqua" w:eastAsia="Times New Roman"/>
                <w:color w:val="000000"/>
                <w:lang w:eastAsia="tr-TR"/>
              </w:rPr>
              <w:t>1.7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Gastrointestinal</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w:t>
            </w:r>
            <w:r>
              <w:rPr>
                <w:rFonts w:hint="eastAsia" w:ascii="Book Antiqua" w:hAnsi="Book Antiqua"/>
                <w:color w:val="000000"/>
                <w:lang w:eastAsia="zh-CN"/>
              </w:rPr>
              <w:t xml:space="preserve"> (0.6)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Thyroid</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w:t>
            </w:r>
            <w:r>
              <w:rPr>
                <w:rFonts w:hint="eastAsia" w:ascii="Book Antiqua" w:hAnsi="Book Antiqua"/>
                <w:color w:val="000000"/>
                <w:lang w:eastAsia="zh-CN"/>
              </w:rPr>
              <w:t xml:space="preserve"> (0.6)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Allergic</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2</w:t>
            </w:r>
            <w:r>
              <w:rPr>
                <w:rFonts w:hint="eastAsia" w:ascii="Book Antiqua" w:hAnsi="Book Antiqua"/>
                <w:color w:val="000000"/>
                <w:lang w:eastAsia="zh-CN"/>
              </w:rPr>
              <w:t xml:space="preserve"> (1.2)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Rheumatologic</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w:t>
            </w:r>
            <w:r>
              <w:rPr>
                <w:rFonts w:hint="eastAsia" w:ascii="Book Antiqua" w:hAnsi="Book Antiqua"/>
                <w:color w:val="000000"/>
                <w:lang w:eastAsia="zh-CN"/>
              </w:rPr>
              <w:t xml:space="preserve"> (0.6)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Endocrinology</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w:t>
            </w:r>
            <w:r>
              <w:rPr>
                <w:rFonts w:hint="eastAsia" w:ascii="Book Antiqua" w:hAnsi="Book Antiqua"/>
                <w:color w:val="000000"/>
                <w:lang w:eastAsia="zh-CN"/>
              </w:rPr>
              <w:t xml:space="preserve"> (0.6)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Metabolic</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w:t>
            </w:r>
            <w:r>
              <w:rPr>
                <w:rFonts w:hint="eastAsia" w:ascii="Book Antiqua" w:hAnsi="Book Antiqua"/>
                <w:color w:val="000000"/>
                <w:lang w:eastAsia="zh-CN"/>
              </w:rPr>
              <w:t xml:space="preserve"> (0.6)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Other infections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w:t>
            </w:r>
            <w:r>
              <w:rPr>
                <w:rFonts w:hint="eastAsia" w:ascii="Book Antiqua" w:hAnsi="Book Antiqua"/>
                <w:color w:val="000000"/>
                <w:lang w:eastAsia="zh-CN"/>
              </w:rPr>
              <w:t xml:space="preserve"> (0.6)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Fibromyalgia</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w:t>
            </w:r>
            <w:r>
              <w:rPr>
                <w:rFonts w:hint="eastAsia" w:ascii="Book Antiqua" w:hAnsi="Book Antiqua"/>
                <w:color w:val="000000"/>
                <w:lang w:eastAsia="zh-CN"/>
              </w:rPr>
              <w:t xml:space="preserve"> (0.6)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 medical diseases, one from first 5</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16</w:t>
            </w:r>
            <w:r>
              <w:rPr>
                <w:rFonts w:hint="eastAsia" w:ascii="Book Antiqua" w:hAnsi="Book Antiqua"/>
                <w:color w:val="000000"/>
                <w:lang w:eastAsia="zh-CN"/>
              </w:rPr>
              <w:t xml:space="preserve"> (</w:t>
            </w:r>
            <w:r>
              <w:rPr>
                <w:rFonts w:ascii="Book Antiqua" w:hAnsi="Book Antiqua" w:eastAsia="Times New Roman"/>
                <w:color w:val="000000"/>
                <w:lang w:eastAsia="tr-TR"/>
              </w:rPr>
              <w:t>9.3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 medical diseases, two from the first 5</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2</w:t>
            </w:r>
            <w:r>
              <w:rPr>
                <w:rFonts w:hint="eastAsia" w:ascii="Book Antiqua" w:hAnsi="Book Antiqua"/>
                <w:color w:val="000000"/>
                <w:lang w:eastAsia="zh-CN"/>
              </w:rPr>
              <w:t xml:space="preserve"> (</w:t>
            </w:r>
            <w:r>
              <w:rPr>
                <w:rFonts w:ascii="Book Antiqua" w:hAnsi="Book Antiqua" w:eastAsia="Times New Roman"/>
                <w:color w:val="000000"/>
                <w:lang w:eastAsia="tr-TR"/>
              </w:rPr>
              <w:t>1.2</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 or more of first 5</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17</w:t>
            </w:r>
            <w:r>
              <w:rPr>
                <w:rFonts w:hint="eastAsia" w:ascii="Book Antiqua" w:hAnsi="Book Antiqua"/>
                <w:color w:val="000000"/>
                <w:lang w:eastAsia="zh-CN"/>
              </w:rPr>
              <w:t xml:space="preserve"> (</w:t>
            </w:r>
            <w:r>
              <w:rPr>
                <w:rFonts w:ascii="Book Antiqua" w:hAnsi="Book Antiqua" w:eastAsia="Times New Roman"/>
                <w:color w:val="000000"/>
                <w:lang w:eastAsia="tr-TR"/>
              </w:rPr>
              <w:t>9.9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Psychiatric comorbidity</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46</w:t>
            </w:r>
            <w:r>
              <w:rPr>
                <w:rFonts w:hint="eastAsia" w:ascii="Book Antiqua" w:hAnsi="Book Antiqua"/>
                <w:color w:val="000000"/>
                <w:lang w:eastAsia="zh-CN"/>
              </w:rPr>
              <w:t xml:space="preserve"> (</w:t>
            </w:r>
            <w:r>
              <w:rPr>
                <w:rFonts w:ascii="Book Antiqua" w:hAnsi="Book Antiqua" w:eastAsia="Times New Roman"/>
                <w:color w:val="000000"/>
                <w:lang w:eastAsia="tr-TR"/>
              </w:rPr>
              <w:t>26.7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126</w:t>
            </w:r>
            <w:r>
              <w:rPr>
                <w:rFonts w:hint="eastAsia" w:ascii="Book Antiqua" w:hAnsi="Book Antiqua"/>
                <w:color w:val="000000"/>
                <w:lang w:eastAsia="zh-CN"/>
              </w:rPr>
              <w:t xml:space="preserve"> (</w:t>
            </w:r>
            <w:r>
              <w:rPr>
                <w:rFonts w:ascii="Book Antiqua" w:hAnsi="Book Antiqua" w:eastAsia="Times New Roman"/>
                <w:color w:val="000000"/>
                <w:lang w:eastAsia="tr-TR"/>
              </w:rPr>
              <w:t>73.3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Reinfection</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32</w:t>
            </w:r>
            <w:r>
              <w:rPr>
                <w:rFonts w:hint="eastAsia" w:ascii="Book Antiqua" w:hAnsi="Book Antiqua"/>
                <w:color w:val="000000"/>
                <w:lang w:eastAsia="zh-CN"/>
              </w:rPr>
              <w:t xml:space="preserve"> (</w:t>
            </w:r>
            <w:r>
              <w:rPr>
                <w:rFonts w:ascii="Book Antiqua" w:hAnsi="Book Antiqua" w:eastAsia="Times New Roman"/>
                <w:color w:val="000000"/>
                <w:lang w:eastAsia="tr-TR"/>
              </w:rPr>
              <w:t>18.6</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140</w:t>
            </w:r>
            <w:r>
              <w:rPr>
                <w:rFonts w:hint="eastAsia" w:ascii="Book Antiqua" w:hAnsi="Book Antiqua"/>
                <w:color w:val="000000"/>
                <w:lang w:eastAsia="zh-CN"/>
              </w:rPr>
              <w:t xml:space="preserve"> (</w:t>
            </w:r>
            <w:r>
              <w:rPr>
                <w:rFonts w:ascii="Book Antiqua" w:hAnsi="Book Antiqua" w:eastAsia="Times New Roman"/>
                <w:color w:val="000000"/>
                <w:lang w:eastAsia="tr-TR"/>
              </w:rPr>
              <w:t>81.4</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Vaccination</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153</w:t>
            </w:r>
            <w:r>
              <w:rPr>
                <w:rFonts w:hint="eastAsia" w:ascii="Book Antiqua" w:hAnsi="Book Antiqua"/>
                <w:color w:val="000000"/>
                <w:lang w:eastAsia="zh-CN"/>
              </w:rPr>
              <w:t xml:space="preserve"> (</w:t>
            </w:r>
            <w:r>
              <w:rPr>
                <w:rFonts w:ascii="Book Antiqua" w:hAnsi="Book Antiqua" w:eastAsia="Times New Roman"/>
                <w:color w:val="000000"/>
                <w:lang w:eastAsia="tr-TR"/>
              </w:rPr>
              <w:t>89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19</w:t>
            </w:r>
            <w:r>
              <w:rPr>
                <w:rFonts w:hint="eastAsia" w:ascii="Book Antiqua" w:hAnsi="Book Antiqua"/>
                <w:color w:val="000000"/>
                <w:lang w:eastAsia="zh-CN"/>
              </w:rPr>
              <w:t xml:space="preserve"> (</w:t>
            </w:r>
            <w:r>
              <w:rPr>
                <w:rFonts w:ascii="Book Antiqua" w:hAnsi="Book Antiqua" w:eastAsia="Times New Roman"/>
                <w:color w:val="000000"/>
                <w:lang w:eastAsia="tr-TR"/>
              </w:rPr>
              <w:t>11</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Which vaccine</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None</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17</w:t>
            </w:r>
            <w:r>
              <w:rPr>
                <w:rFonts w:hint="eastAsia" w:ascii="Book Antiqua" w:hAnsi="Book Antiqua"/>
                <w:color w:val="000000"/>
                <w:lang w:eastAsia="zh-CN"/>
              </w:rPr>
              <w:t xml:space="preserve"> (</w:t>
            </w:r>
            <w:r>
              <w:rPr>
                <w:rFonts w:ascii="Book Antiqua" w:hAnsi="Book Antiqua" w:eastAsia="Times New Roman"/>
                <w:color w:val="000000"/>
                <w:lang w:eastAsia="tr-TR"/>
              </w:rPr>
              <w:t>9.9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 Sinovac</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22</w:t>
            </w:r>
            <w:r>
              <w:rPr>
                <w:rFonts w:hint="eastAsia" w:ascii="Book Antiqua" w:hAnsi="Book Antiqua"/>
                <w:color w:val="000000"/>
                <w:lang w:eastAsia="zh-CN"/>
              </w:rPr>
              <w:t xml:space="preserve"> (</w:t>
            </w:r>
            <w:r>
              <w:rPr>
                <w:rFonts w:ascii="Book Antiqua" w:hAnsi="Book Antiqua" w:eastAsia="Times New Roman"/>
                <w:color w:val="000000"/>
                <w:lang w:eastAsia="tr-TR"/>
              </w:rPr>
              <w:t>12.9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3 Sinovac</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33</w:t>
            </w:r>
            <w:r>
              <w:rPr>
                <w:rFonts w:hint="eastAsia" w:ascii="Book Antiqua" w:hAnsi="Book Antiqua"/>
                <w:color w:val="000000"/>
                <w:lang w:eastAsia="zh-CN"/>
              </w:rPr>
              <w:t xml:space="preserve"> (</w:t>
            </w:r>
            <w:r>
              <w:rPr>
                <w:rFonts w:ascii="Book Antiqua" w:hAnsi="Book Antiqua" w:eastAsia="Times New Roman"/>
                <w:color w:val="000000"/>
                <w:lang w:eastAsia="tr-TR"/>
              </w:rPr>
              <w:t>19.3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 BioNTech</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55</w:t>
            </w:r>
            <w:r>
              <w:rPr>
                <w:rFonts w:hint="eastAsia" w:ascii="Book Antiqua" w:hAnsi="Book Antiqua"/>
                <w:color w:val="000000"/>
                <w:lang w:eastAsia="zh-CN"/>
              </w:rPr>
              <w:t xml:space="preserve"> (</w:t>
            </w:r>
            <w:r>
              <w:rPr>
                <w:rFonts w:ascii="Book Antiqua" w:hAnsi="Book Antiqua" w:eastAsia="Times New Roman"/>
                <w:color w:val="000000"/>
                <w:lang w:eastAsia="tr-TR"/>
              </w:rPr>
              <w:t>32.2</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 Sinovac+1 BioNTech</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36</w:t>
            </w:r>
            <w:r>
              <w:rPr>
                <w:rFonts w:hint="eastAsia" w:ascii="Book Antiqua" w:hAnsi="Book Antiqua"/>
                <w:color w:val="000000"/>
                <w:lang w:eastAsia="zh-CN"/>
              </w:rPr>
              <w:t xml:space="preserve"> (</w:t>
            </w:r>
            <w:r>
              <w:rPr>
                <w:rFonts w:ascii="Book Antiqua" w:hAnsi="Book Antiqua" w:eastAsia="Times New Roman"/>
                <w:color w:val="000000"/>
                <w:lang w:eastAsia="tr-TR"/>
              </w:rPr>
              <w:t>21.1</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 Sinovac+2 BioNTech</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3</w:t>
            </w:r>
            <w:r>
              <w:rPr>
                <w:rFonts w:hint="eastAsia" w:ascii="Book Antiqua" w:hAnsi="Book Antiqua"/>
                <w:color w:val="000000"/>
                <w:lang w:eastAsia="zh-CN"/>
              </w:rPr>
              <w:t xml:space="preserve"> (</w:t>
            </w:r>
            <w:r>
              <w:rPr>
                <w:rFonts w:ascii="Book Antiqua" w:hAnsi="Book Antiqua" w:eastAsia="Times New Roman"/>
                <w:color w:val="000000"/>
                <w:lang w:eastAsia="tr-TR"/>
              </w:rPr>
              <w:t>1.8</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 BioNTech</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4</w:t>
            </w:r>
            <w:r>
              <w:rPr>
                <w:rFonts w:hint="eastAsia" w:ascii="Book Antiqua" w:hAnsi="Book Antiqua"/>
                <w:color w:val="000000"/>
                <w:lang w:eastAsia="zh-CN"/>
              </w:rPr>
              <w:t xml:space="preserve"> (</w:t>
            </w:r>
            <w:r>
              <w:rPr>
                <w:rFonts w:ascii="Book Antiqua" w:hAnsi="Book Antiqua" w:eastAsia="Times New Roman"/>
                <w:color w:val="000000"/>
                <w:lang w:eastAsia="tr-TR"/>
              </w:rPr>
              <w:t>2.3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 Sinovac</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w:t>
            </w:r>
            <w:r>
              <w:rPr>
                <w:rFonts w:hint="eastAsia" w:ascii="Book Antiqua" w:hAnsi="Book Antiqua"/>
                <w:color w:val="000000"/>
                <w:lang w:eastAsia="zh-CN"/>
              </w:rPr>
              <w:t xml:space="preserve"> (0.6)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p>
        </w:tc>
        <w:tc>
          <w:tcPr>
            <w:tcW w:w="2822" w:type="dxa"/>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 xml:space="preserve">Death of relatives caused by </w:t>
            </w:r>
            <w:r>
              <w:rPr>
                <w:rFonts w:ascii="Book Antiqua" w:hAnsi="Book Antiqua" w:eastAsia="Times New Roman"/>
                <w:caps/>
                <w:color w:val="000000"/>
                <w:lang w:eastAsia="tr-TR"/>
              </w:rPr>
              <w:t>covid</w:t>
            </w:r>
            <w:r>
              <w:rPr>
                <w:rFonts w:ascii="Book Antiqua" w:hAnsi="Book Antiqua" w:eastAsia="Times New Roman"/>
                <w:color w:val="000000"/>
                <w:lang w:eastAsia="tr-TR"/>
              </w:rPr>
              <w:t>-19</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51</w:t>
            </w:r>
            <w:r>
              <w:rPr>
                <w:rFonts w:hint="eastAsia" w:ascii="Book Antiqua" w:hAnsi="Book Antiqua"/>
                <w:color w:val="000000"/>
                <w:lang w:eastAsia="zh-CN"/>
              </w:rPr>
              <w:t xml:space="preserve"> (</w:t>
            </w:r>
            <w:r>
              <w:rPr>
                <w:rFonts w:ascii="Book Antiqua" w:hAnsi="Book Antiqua" w:eastAsia="Times New Roman"/>
                <w:color w:val="000000"/>
                <w:lang w:eastAsia="tr-TR"/>
              </w:rPr>
              <w:t>29.7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121</w:t>
            </w:r>
            <w:r>
              <w:rPr>
                <w:rFonts w:hint="eastAsia" w:ascii="Book Antiqua" w:hAnsi="Book Antiqua"/>
                <w:color w:val="000000"/>
                <w:lang w:eastAsia="zh-CN"/>
              </w:rPr>
              <w:t xml:space="preserve"> (</w:t>
            </w:r>
            <w:r>
              <w:rPr>
                <w:rFonts w:ascii="Book Antiqua" w:hAnsi="Book Antiqua" w:eastAsia="Times New Roman"/>
                <w:color w:val="000000"/>
                <w:lang w:eastAsia="tr-TR"/>
              </w:rPr>
              <w:t>70.3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color w:val="000000"/>
                <w:lang w:eastAsia="tr-TR"/>
              </w:rPr>
            </w:pPr>
          </w:p>
        </w:tc>
        <w:tc>
          <w:tcPr>
            <w:tcW w:w="2822" w:type="dxa"/>
          </w:tcPr>
          <w:p>
            <w:pPr>
              <w:spacing w:line="360" w:lineRule="auto"/>
              <w:jc w:val="both"/>
              <w:rPr>
                <w:rFonts w:ascii="Book Antiqua" w:hAnsi="Book Antiqua" w:eastAsia="Times New Roman"/>
                <w:color w:val="000000"/>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Persistent symptoms</w:t>
            </w: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83</w:t>
            </w:r>
            <w:r>
              <w:rPr>
                <w:rFonts w:hint="eastAsia" w:ascii="Book Antiqua" w:hAnsi="Book Antiqua"/>
                <w:color w:val="000000"/>
                <w:lang w:eastAsia="zh-CN"/>
              </w:rPr>
              <w:t xml:space="preserve"> (</w:t>
            </w:r>
            <w:r>
              <w:rPr>
                <w:rFonts w:ascii="Book Antiqua" w:hAnsi="Book Antiqua" w:eastAsia="Times New Roman"/>
                <w:color w:val="000000"/>
                <w:lang w:eastAsia="tr-TR"/>
              </w:rPr>
              <w:t>48.3</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89</w:t>
            </w:r>
            <w:r>
              <w:rPr>
                <w:rFonts w:hint="eastAsia" w:ascii="Book Antiqua" w:hAnsi="Book Antiqua"/>
                <w:color w:val="000000"/>
                <w:lang w:eastAsia="zh-CN"/>
              </w:rPr>
              <w:t xml:space="preserve"> (</w:t>
            </w:r>
            <w:r>
              <w:rPr>
                <w:rFonts w:ascii="Book Antiqua" w:hAnsi="Book Antiqua" w:eastAsia="Times New Roman"/>
                <w:color w:val="000000"/>
                <w:lang w:eastAsia="tr-TR"/>
              </w:rPr>
              <w:t>51.7</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Tiredness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67</w:t>
            </w:r>
            <w:r>
              <w:rPr>
                <w:rFonts w:hint="eastAsia" w:ascii="Book Antiqua" w:hAnsi="Book Antiqua"/>
                <w:color w:val="000000"/>
                <w:lang w:eastAsia="zh-CN"/>
              </w:rPr>
              <w:t xml:space="preserve"> (</w:t>
            </w:r>
            <w:r>
              <w:rPr>
                <w:rFonts w:ascii="Book Antiqua" w:hAnsi="Book Antiqua" w:eastAsia="Times New Roman"/>
                <w:color w:val="000000"/>
                <w:lang w:eastAsia="tr-TR"/>
              </w:rPr>
              <w:t>39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Palpitation</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30</w:t>
            </w:r>
            <w:r>
              <w:rPr>
                <w:rFonts w:hint="eastAsia" w:ascii="Book Antiqua" w:hAnsi="Book Antiqua"/>
                <w:color w:val="000000"/>
                <w:lang w:eastAsia="zh-CN"/>
              </w:rPr>
              <w:t xml:space="preserve"> (</w:t>
            </w:r>
            <w:r>
              <w:rPr>
                <w:rFonts w:ascii="Book Antiqua" w:hAnsi="Book Antiqua" w:eastAsia="Times New Roman"/>
                <w:color w:val="000000"/>
                <w:lang w:eastAsia="tr-TR"/>
              </w:rPr>
              <w:t>17.4</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Dyspnea</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30</w:t>
            </w:r>
            <w:r>
              <w:rPr>
                <w:rFonts w:hint="eastAsia" w:ascii="Book Antiqua" w:hAnsi="Book Antiqua"/>
                <w:color w:val="000000"/>
                <w:lang w:eastAsia="zh-CN"/>
              </w:rPr>
              <w:t xml:space="preserve"> (</w:t>
            </w:r>
            <w:r>
              <w:rPr>
                <w:rFonts w:ascii="Book Antiqua" w:hAnsi="Book Antiqua" w:eastAsia="Times New Roman"/>
                <w:color w:val="000000"/>
                <w:lang w:eastAsia="tr-TR"/>
              </w:rPr>
              <w:t>17.4</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Sleep disorders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5</w:t>
            </w:r>
            <w:r>
              <w:rPr>
                <w:rFonts w:hint="eastAsia" w:ascii="Book Antiqua" w:hAnsi="Book Antiqua"/>
                <w:color w:val="000000"/>
                <w:lang w:eastAsia="zh-CN"/>
              </w:rPr>
              <w:t xml:space="preserve"> (</w:t>
            </w:r>
            <w:r>
              <w:rPr>
                <w:rFonts w:ascii="Book Antiqua" w:hAnsi="Book Antiqua" w:eastAsia="Times New Roman"/>
                <w:color w:val="000000"/>
                <w:lang w:eastAsia="tr-TR"/>
              </w:rPr>
              <w:t>2.9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Easy fatigue</w:t>
            </w:r>
          </w:p>
        </w:tc>
        <w:tc>
          <w:tcPr>
            <w:tcW w:w="2822"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5</w:t>
            </w:r>
            <w:r>
              <w:rPr>
                <w:rFonts w:hint="eastAsia" w:ascii="Book Antiqua" w:hAnsi="Book Antiqua"/>
                <w:color w:val="000000"/>
                <w:lang w:eastAsia="zh-CN"/>
              </w:rPr>
              <w:t xml:space="preserve"> (</w:t>
            </w:r>
            <w:r>
              <w:rPr>
                <w:rFonts w:ascii="Book Antiqua" w:hAnsi="Book Antiqua" w:eastAsia="Times New Roman"/>
                <w:color w:val="000000"/>
                <w:lang w:eastAsia="tr-TR"/>
              </w:rPr>
              <w:t>2.9</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p>
        </w:tc>
        <w:tc>
          <w:tcPr>
            <w:tcW w:w="2256"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Other symptoms</w:t>
            </w:r>
          </w:p>
        </w:tc>
        <w:tc>
          <w:tcPr>
            <w:tcW w:w="2822" w:type="dxa"/>
          </w:tcPr>
          <w:p>
            <w:pPr>
              <w:spacing w:line="360" w:lineRule="auto"/>
              <w:jc w:val="both"/>
              <w:rPr>
                <w:rFonts w:ascii="Book Antiqua" w:hAnsi="Book Antiqua"/>
                <w:lang w:eastAsia="zh-CN"/>
              </w:rPr>
            </w:pPr>
            <w:r>
              <w:rPr>
                <w:rFonts w:ascii="Book Antiqua" w:hAnsi="Book Antiqua" w:eastAsia="Times New Roman"/>
                <w:color w:val="000000"/>
                <w:lang w:eastAsia="tr-TR"/>
              </w:rPr>
              <w:t>9</w:t>
            </w:r>
            <w:r>
              <w:rPr>
                <w:rFonts w:hint="eastAsia" w:ascii="Book Antiqua" w:hAnsi="Book Antiqua"/>
                <w:color w:val="000000"/>
                <w:lang w:eastAsia="zh-CN"/>
              </w:rPr>
              <w:t xml:space="preserve"> (</w:t>
            </w:r>
            <w:r>
              <w:rPr>
                <w:rFonts w:ascii="Book Antiqua" w:hAnsi="Book Antiqua" w:eastAsia="Times New Roman"/>
                <w:color w:val="000000"/>
                <w:lang w:eastAsia="tr-TR"/>
              </w:rPr>
              <w:t>5.2</w:t>
            </w:r>
            <w:r>
              <w:rPr>
                <w:rFonts w:hint="eastAsia" w:ascii="Book Antiqua" w:hAnsi="Book Antiqua"/>
                <w:color w:val="000000"/>
                <w:lang w:eastAsia="zh-CN"/>
              </w:rPr>
              <w:t>)</w:t>
            </w:r>
          </w:p>
        </w:tc>
      </w:tr>
    </w:tbl>
    <w:p>
      <w:pPr>
        <w:spacing w:line="360" w:lineRule="auto"/>
        <w:jc w:val="both"/>
        <w:rPr>
          <w:rFonts w:ascii="Book Antiqua" w:hAnsi="Book Antiqua" w:eastAsia="Times New Roman"/>
          <w:lang w:eastAsia="tr-TR"/>
        </w:rPr>
      </w:pPr>
    </w:p>
    <w:p>
      <w:pPr>
        <w:spacing w:line="360" w:lineRule="auto"/>
        <w:jc w:val="both"/>
        <w:rPr>
          <w:rFonts w:ascii="Book Antiqua" w:hAnsi="Book Antiqua"/>
          <w:lang w:eastAsia="zh-CN"/>
        </w:rPr>
      </w:pPr>
      <w:r>
        <w:rPr>
          <w:rFonts w:ascii="Book Antiqua" w:hAnsi="Book Antiqua" w:eastAsia="Times New Roman"/>
          <w:b/>
          <w:bCs/>
          <w:color w:val="000000"/>
          <w:lang w:eastAsia="tr-TR"/>
        </w:rPr>
        <w:br w:type="page"/>
      </w:r>
      <w:r>
        <w:rPr>
          <w:rFonts w:ascii="Book Antiqua" w:hAnsi="Book Antiqua" w:eastAsia="Times New Roman"/>
          <w:b/>
          <w:bCs/>
          <w:color w:val="000000"/>
          <w:lang w:eastAsia="tr-TR"/>
        </w:rPr>
        <w:t>Table 2 Comparison of anxiety and depression scores by different variables</w:t>
      </w: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6"/>
        <w:gridCol w:w="1425"/>
        <w:gridCol w:w="1873"/>
        <w:gridCol w:w="1428"/>
        <w:gridCol w:w="266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spacing w:line="360" w:lineRule="auto"/>
              <w:jc w:val="both"/>
              <w:rPr>
                <w:rFonts w:ascii="Book Antiqua" w:hAnsi="Book Antiqua" w:eastAsia="Times New Roman"/>
                <w:lang w:eastAsia="tr-TR"/>
              </w:rPr>
            </w:pPr>
          </w:p>
        </w:tc>
        <w:tc>
          <w:tcPr>
            <w:tcW w:w="0" w:type="auto"/>
            <w:tcBorders>
              <w:top w:val="single" w:color="auto" w:sz="4" w:space="0"/>
              <w:bottom w:val="single" w:color="auto" w:sz="4" w:space="0"/>
            </w:tcBorders>
          </w:tcPr>
          <w:p>
            <w:pPr>
              <w:spacing w:line="360" w:lineRule="auto"/>
              <w:jc w:val="both"/>
              <w:rPr>
                <w:rFonts w:ascii="Book Antiqua" w:hAnsi="Book Antiqua" w:eastAsia="Times New Roman"/>
                <w:lang w:eastAsia="tr-TR"/>
              </w:rPr>
            </w:pPr>
            <w:r>
              <w:rPr>
                <w:rFonts w:ascii="Book Antiqua" w:hAnsi="Book Antiqua" w:eastAsia="Times New Roman"/>
                <w:b/>
                <w:bCs/>
                <w:color w:val="000000"/>
                <w:lang w:eastAsia="tr-TR"/>
              </w:rPr>
              <w:t>HADS-A score (mean</w:t>
            </w:r>
            <w:r>
              <w:rPr>
                <w:rFonts w:hint="eastAsia" w:ascii="Book Antiqua" w:hAnsi="Book Antiqua"/>
                <w:b/>
                <w:bCs/>
                <w:color w:val="000000"/>
                <w:lang w:eastAsia="zh-CN"/>
              </w:rPr>
              <w:t xml:space="preserve"> </w:t>
            </w:r>
            <w:r>
              <w:rPr>
                <w:rFonts w:ascii="Book Antiqua" w:hAnsi="Book Antiqua" w:eastAsia="Times New Roman"/>
                <w:b/>
                <w:bCs/>
                <w:color w:val="000000"/>
                <w:lang w:eastAsia="tr-TR"/>
              </w:rPr>
              <w:t>± SD</w:t>
            </w:r>
            <w:r>
              <w:rPr>
                <w:rFonts w:ascii="Book Antiqua" w:hAnsi="Book Antiqua"/>
                <w:b/>
                <w:bCs/>
                <w:color w:val="000000"/>
                <w:lang w:eastAsia="zh-CN"/>
              </w:rPr>
              <w:t>)</w:t>
            </w:r>
          </w:p>
        </w:tc>
        <w:tc>
          <w:tcPr>
            <w:tcW w:w="0" w:type="auto"/>
            <w:tcBorders>
              <w:top w:val="single" w:color="auto" w:sz="4" w:space="0"/>
              <w:bottom w:val="single" w:color="auto" w:sz="4" w:space="0"/>
            </w:tcBorders>
          </w:tcPr>
          <w:p>
            <w:pPr>
              <w:spacing w:line="360" w:lineRule="auto"/>
              <w:jc w:val="both"/>
              <w:rPr>
                <w:rFonts w:ascii="Book Antiqua" w:hAnsi="Book Antiqua"/>
                <w:b/>
                <w:lang w:eastAsia="zh-CN"/>
              </w:rPr>
            </w:pPr>
            <w:r>
              <w:rPr>
                <w:rFonts w:ascii="Book Antiqua" w:hAnsi="Book Antiqua"/>
                <w:b/>
                <w:i/>
                <w:lang w:eastAsia="zh-CN"/>
              </w:rPr>
              <w:t>P</w:t>
            </w:r>
            <w:r>
              <w:rPr>
                <w:rFonts w:hint="eastAsia" w:ascii="Book Antiqua" w:hAnsi="Book Antiqua"/>
                <w:b/>
                <w:lang w:eastAsia="zh-CN"/>
              </w:rPr>
              <w:t xml:space="preserve"> value</w:t>
            </w:r>
          </w:p>
        </w:tc>
        <w:tc>
          <w:tcPr>
            <w:tcW w:w="0" w:type="auto"/>
            <w:tcBorders>
              <w:top w:val="single" w:color="auto" w:sz="4" w:space="0"/>
              <w:bottom w:val="single" w:color="auto" w:sz="4" w:space="0"/>
            </w:tcBorders>
          </w:tcPr>
          <w:p>
            <w:pPr>
              <w:spacing w:line="360" w:lineRule="auto"/>
              <w:jc w:val="both"/>
              <w:rPr>
                <w:rFonts w:ascii="Book Antiqua" w:hAnsi="Book Antiqua"/>
                <w:lang w:eastAsia="zh-CN"/>
              </w:rPr>
            </w:pPr>
            <w:r>
              <w:rPr>
                <w:rFonts w:ascii="Book Antiqua" w:hAnsi="Book Antiqua" w:eastAsia="Times New Roman"/>
                <w:b/>
                <w:bCs/>
                <w:color w:val="000000"/>
                <w:lang w:eastAsia="tr-TR"/>
              </w:rPr>
              <w:t>HADS-D score (mean</w:t>
            </w:r>
            <w:r>
              <w:rPr>
                <w:rFonts w:hint="eastAsia" w:ascii="Book Antiqua" w:hAnsi="Book Antiqua"/>
                <w:b/>
                <w:bCs/>
                <w:color w:val="000000"/>
                <w:lang w:eastAsia="zh-CN"/>
              </w:rPr>
              <w:t xml:space="preserve"> </w:t>
            </w:r>
            <w:r>
              <w:rPr>
                <w:rFonts w:ascii="Book Antiqua" w:hAnsi="Book Antiqua" w:eastAsia="Times New Roman"/>
                <w:b/>
                <w:bCs/>
                <w:color w:val="000000"/>
                <w:lang w:eastAsia="tr-TR"/>
              </w:rPr>
              <w:t>± SD)</w:t>
            </w:r>
          </w:p>
        </w:tc>
        <w:tc>
          <w:tcPr>
            <w:tcW w:w="0" w:type="auto"/>
            <w:tcBorders>
              <w:top w:val="single" w:color="auto" w:sz="4" w:space="0"/>
              <w:bottom w:val="single" w:color="auto" w:sz="4" w:space="0"/>
            </w:tcBorders>
          </w:tcPr>
          <w:p>
            <w:pPr>
              <w:spacing w:line="360" w:lineRule="auto"/>
              <w:jc w:val="both"/>
              <w:rPr>
                <w:rFonts w:ascii="Book Antiqua" w:hAnsi="Book Antiqua" w:eastAsia="Times New Roman"/>
                <w:lang w:eastAsia="tr-TR"/>
              </w:rPr>
            </w:pPr>
            <w:r>
              <w:rPr>
                <w:rFonts w:ascii="Book Antiqua" w:hAnsi="Book Antiqua"/>
                <w:b/>
                <w:i/>
                <w:lang w:eastAsia="zh-CN"/>
              </w:rPr>
              <w:t>P</w:t>
            </w:r>
            <w:r>
              <w:rPr>
                <w:rFonts w:hint="eastAsia" w:ascii="Book Antiqua" w:hAnsi="Book Antiqua"/>
                <w:b/>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Sex</w:t>
            </w:r>
          </w:p>
        </w:tc>
        <w:tc>
          <w:tcPr>
            <w:tcW w:w="0" w:type="auto"/>
            <w:tcBorders>
              <w:top w:val="single" w:color="auto" w:sz="4" w:space="0"/>
            </w:tcBorders>
          </w:tcPr>
          <w:p>
            <w:pPr>
              <w:spacing w:line="360" w:lineRule="auto"/>
              <w:jc w:val="both"/>
              <w:rPr>
                <w:rFonts w:ascii="Book Antiqua" w:hAnsi="Book Antiqua" w:eastAsia="Times New Roman"/>
                <w:lang w:eastAsia="tr-TR"/>
              </w:rPr>
            </w:pPr>
          </w:p>
        </w:tc>
        <w:tc>
          <w:tcPr>
            <w:tcW w:w="0" w:type="auto"/>
            <w:tcBorders>
              <w:top w:val="single" w:color="auto" w:sz="4" w:space="0"/>
            </w:tcBorders>
          </w:tcPr>
          <w:p>
            <w:pPr>
              <w:spacing w:line="360" w:lineRule="auto"/>
              <w:jc w:val="both"/>
              <w:rPr>
                <w:rFonts w:ascii="Book Antiqua" w:hAnsi="Book Antiqua"/>
                <w:lang w:eastAsia="zh-CN"/>
              </w:rPr>
            </w:pPr>
          </w:p>
        </w:tc>
        <w:tc>
          <w:tcPr>
            <w:tcW w:w="0" w:type="auto"/>
            <w:tcBorders>
              <w:top w:val="single" w:color="auto" w:sz="4" w:space="0"/>
            </w:tcBorders>
          </w:tcPr>
          <w:p>
            <w:pPr>
              <w:spacing w:line="360" w:lineRule="auto"/>
              <w:jc w:val="both"/>
              <w:rPr>
                <w:rFonts w:ascii="Book Antiqua" w:hAnsi="Book Antiqua" w:eastAsia="Times New Roman"/>
                <w:lang w:eastAsia="tr-TR"/>
              </w:rPr>
            </w:pPr>
          </w:p>
        </w:tc>
        <w:tc>
          <w:tcPr>
            <w:tcW w:w="0" w:type="auto"/>
            <w:tcBorders>
              <w:top w:val="single" w:color="auto" w:sz="4" w:space="0"/>
            </w:tcBorders>
          </w:tcPr>
          <w:p>
            <w:pPr>
              <w:spacing w:line="360" w:lineRule="auto"/>
              <w:jc w:val="both"/>
              <w:rPr>
                <w:rFonts w:ascii="Book Antiqua" w:hAnsi="Book Antiqua"/>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Female</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10.65 ± 5.16</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0.0</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8.65 ± 4.14</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Male </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7.40 ± 4.01</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8.44 ± 4.67</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Age (yr)</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w:t>
            </w:r>
            <w:r>
              <w:rPr>
                <w:rFonts w:hint="eastAsia" w:ascii="Book Antiqua" w:hAnsi="Book Antiqua"/>
                <w:color w:val="000000"/>
                <w:lang w:eastAsia="zh-CN"/>
              </w:rPr>
              <w:t xml:space="preserve"> </w:t>
            </w:r>
            <w:r>
              <w:rPr>
                <w:rFonts w:ascii="Book Antiqua" w:hAnsi="Book Antiqua" w:eastAsia="Times New Roman"/>
                <w:color w:val="000000"/>
                <w:lang w:eastAsia="tr-TR"/>
              </w:rPr>
              <w:t>50</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7.50 ± 4.73</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0.000 </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7.12 ± 4.66</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&gt;</w:t>
            </w:r>
            <w:r>
              <w:rPr>
                <w:rFonts w:hint="eastAsia" w:ascii="Book Antiqua" w:hAnsi="Book Antiqua"/>
                <w:color w:val="000000"/>
                <w:lang w:eastAsia="zh-CN"/>
              </w:rPr>
              <w:t xml:space="preserve"> </w:t>
            </w:r>
            <w:r>
              <w:rPr>
                <w:rFonts w:ascii="Book Antiqua" w:hAnsi="Book Antiqua" w:eastAsia="Times New Roman"/>
                <w:color w:val="000000"/>
                <w:lang w:eastAsia="tr-TR"/>
              </w:rPr>
              <w:t>50</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10.23 ± 4.73</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9.58 ± 3.90</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Marital status</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eastAsia="Times New Roman"/>
                <w:color w:val="000000"/>
                <w:lang w:eastAsia="tr-TR"/>
              </w:rPr>
              <w:t>Married</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8.73 ± 4.93</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0.003</w:t>
            </w:r>
            <w:r>
              <w:rPr>
                <w:rFonts w:ascii="Book Antiqua" w:hAnsi="Book Antiqua" w:eastAsia="Times New Roman"/>
                <w:color w:val="000000"/>
                <w:lang w:eastAsia="tr-TR"/>
              </w:rPr>
              <w:t xml:space="preserve"> ( between married and widowed)</w:t>
            </w:r>
          </w:p>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8.59 ± 4.34</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&gt;</w:t>
            </w:r>
            <w:r>
              <w:rPr>
                <w:rFonts w:hint="eastAsia" w:ascii="Book Antiqua" w:hAnsi="Book Antiqua"/>
                <w:color w:val="000000"/>
                <w:lang w:eastAsia="zh-CN"/>
              </w:rPr>
              <w:t xml:space="preserve"> </w:t>
            </w:r>
            <w:r>
              <w:rPr>
                <w:rFonts w:ascii="Book Antiqua" w:hAnsi="Book Antiqua" w:eastAsia="Times New Roman"/>
                <w:color w:val="000000"/>
                <w:lang w:eastAsia="tr-TR"/>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Single</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8.38 ± 4.48</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6.61 ± 4.42</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Divorced</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10.57 ± 6.57</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9.42 ± 6.60</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eastAsia="Times New Roman"/>
                <w:color w:val="000000"/>
                <w:lang w:eastAsia="tr-TR"/>
              </w:rPr>
              <w:t>Widowed</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12.2 ± 2.98</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9.40 ± 3.54</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Having children</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8.64 ± 4.22</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0.69</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6.94 ± 4.13</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9.13 ± 4.98</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8.72 ± 4.40</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Employment</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eastAsia="Times New Roman"/>
                <w:color w:val="000000"/>
                <w:lang w:eastAsia="tr-TR"/>
              </w:rPr>
              <w:t>Employed</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7.11 ± 4.57</w:t>
            </w:r>
          </w:p>
        </w:tc>
        <w:tc>
          <w:tcPr>
            <w:tcW w:w="0" w:type="auto"/>
            <w:vMerge w:val="restart"/>
          </w:tcPr>
          <w:p>
            <w:pPr>
              <w:spacing w:line="360" w:lineRule="auto"/>
              <w:jc w:val="both"/>
              <w:rPr>
                <w:rFonts w:ascii="Book Antiqua" w:hAnsi="Book Antiqua"/>
                <w:lang w:eastAsia="zh-CN"/>
              </w:rPr>
            </w:pPr>
            <w:r>
              <w:rPr>
                <w:rFonts w:ascii="Book Antiqua" w:hAnsi="Book Antiqua" w:eastAsia="Times New Roman"/>
                <w:bCs/>
                <w:color w:val="000000"/>
                <w:lang w:eastAsia="tr-TR"/>
              </w:rPr>
              <w:t>0.000</w:t>
            </w:r>
            <w:r>
              <w:rPr>
                <w:rFonts w:ascii="Book Antiqua" w:hAnsi="Book Antiqua" w:eastAsia="Times New Roman"/>
                <w:color w:val="000000"/>
                <w:lang w:eastAsia="tr-TR"/>
              </w:rPr>
              <w:t xml:space="preserve"> between employed and housewife</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7.76 ± 4.80</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&gt;</w:t>
            </w:r>
            <w:r>
              <w:rPr>
                <w:rFonts w:hint="eastAsia" w:ascii="Book Antiqua" w:hAnsi="Book Antiqua"/>
                <w:color w:val="000000"/>
                <w:lang w:eastAsia="zh-CN"/>
              </w:rPr>
              <w:t xml:space="preserve"> </w:t>
            </w:r>
            <w:r>
              <w:rPr>
                <w:rFonts w:ascii="Book Antiqua" w:hAnsi="Book Antiqua" w:eastAsia="Times New Roman"/>
                <w:color w:val="000000"/>
                <w:lang w:eastAsia="tr-TR"/>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Unemployed</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5.50 ± 3.51</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8.50 ± 8.34</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Retired</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9.00 ± 3.96</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9.15 ± 3.81</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eastAsia="Times New Roman"/>
                <w:color w:val="000000"/>
                <w:lang w:eastAsia="tr-TR"/>
              </w:rPr>
              <w:t>Housewife</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10.80 ± 5.19</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9.05 ± 4.13</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Other</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8.80 ± 3.49</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4.80 ± 2.28</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Financial status</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eastAsia="Times New Roman"/>
                <w:color w:val="000000"/>
                <w:lang w:eastAsia="tr-TR"/>
              </w:rPr>
              <w:t>Low income</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9.86 ± 4.25</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&gt;</w:t>
            </w:r>
            <w:r>
              <w:rPr>
                <w:rFonts w:hint="eastAsia" w:ascii="Book Antiqua" w:hAnsi="Book Antiqua"/>
                <w:color w:val="000000"/>
                <w:lang w:eastAsia="zh-CN"/>
              </w:rPr>
              <w:t xml:space="preserve"> </w:t>
            </w:r>
            <w:r>
              <w:rPr>
                <w:rFonts w:ascii="Book Antiqua" w:hAnsi="Book Antiqua" w:eastAsia="Times New Roman"/>
                <w:color w:val="000000"/>
                <w:lang w:eastAsia="tr-TR"/>
              </w:rPr>
              <w:t>0.05</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9.16 ± 3.60</w:t>
            </w:r>
          </w:p>
        </w:tc>
        <w:tc>
          <w:tcPr>
            <w:tcW w:w="0" w:type="auto"/>
            <w:vMerge w:val="restart"/>
          </w:tcPr>
          <w:p>
            <w:pPr>
              <w:spacing w:line="360" w:lineRule="auto"/>
              <w:jc w:val="both"/>
              <w:rPr>
                <w:rFonts w:ascii="Book Antiqua" w:hAnsi="Book Antiqua"/>
                <w:lang w:eastAsia="zh-CN"/>
              </w:rPr>
            </w:pPr>
            <w:r>
              <w:rPr>
                <w:rFonts w:ascii="Book Antiqua" w:hAnsi="Book Antiqua" w:eastAsia="Times New Roman"/>
                <w:bCs/>
                <w:color w:val="000000"/>
                <w:lang w:eastAsia="tr-TR"/>
              </w:rPr>
              <w:t>0.009</w:t>
            </w:r>
            <w:r>
              <w:rPr>
                <w:rFonts w:ascii="Book Antiqua" w:hAnsi="Book Antiqua" w:eastAsia="Times New Roman"/>
                <w:color w:val="000000"/>
                <w:lang w:eastAsia="tr-TR"/>
              </w:rPr>
              <w:t xml:space="preserve"> between low income and high income; </w:t>
            </w:r>
            <w:r>
              <w:rPr>
                <w:rFonts w:ascii="Book Antiqua" w:hAnsi="Book Antiqua" w:eastAsia="Times New Roman"/>
                <w:bCs/>
                <w:color w:val="000000"/>
                <w:lang w:eastAsia="tr-TR"/>
              </w:rPr>
              <w:t>0.03</w:t>
            </w:r>
            <w:r>
              <w:rPr>
                <w:rFonts w:ascii="Book Antiqua" w:hAnsi="Book Antiqua" w:eastAsia="Times New Roman"/>
                <w:color w:val="000000"/>
                <w:lang w:eastAsia="tr-TR"/>
              </w:rPr>
              <w:t xml:space="preserve"> between middle income and high income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eastAsia="Times New Roman"/>
                <w:color w:val="000000"/>
                <w:lang w:eastAsia="tr-TR"/>
              </w:rPr>
              <w:t>Middle income</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8.79 ± 5.26</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8.59 ± 4.78</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eastAsia="Times New Roman"/>
                <w:color w:val="000000"/>
                <w:lang w:eastAsia="tr-TR"/>
              </w:rPr>
              <w:t>High income</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7.17 ± 5.36</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5.70 ± 4.66</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Household</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Family</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8.68 ± 4.87</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&gt;</w:t>
            </w:r>
            <w:r>
              <w:rPr>
                <w:rFonts w:hint="eastAsia" w:ascii="Book Antiqua" w:hAnsi="Book Antiqua"/>
                <w:color w:val="000000"/>
                <w:lang w:eastAsia="zh-CN"/>
              </w:rPr>
              <w:t xml:space="preserve"> </w:t>
            </w:r>
            <w:r>
              <w:rPr>
                <w:rFonts w:ascii="Book Antiqua" w:hAnsi="Book Antiqua" w:eastAsia="Times New Roman"/>
                <w:color w:val="000000"/>
                <w:lang w:eastAsia="tr-TR"/>
              </w:rPr>
              <w:t>0.05</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8.31 ± 4.52</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&gt;</w:t>
            </w:r>
            <w:r>
              <w:rPr>
                <w:rFonts w:hint="eastAsia" w:ascii="Book Antiqua" w:hAnsi="Book Antiqua"/>
                <w:color w:val="000000"/>
                <w:lang w:eastAsia="zh-CN"/>
              </w:rPr>
              <w:t xml:space="preserve"> </w:t>
            </w:r>
            <w:r>
              <w:rPr>
                <w:rFonts w:ascii="Book Antiqua" w:hAnsi="Book Antiqua" w:eastAsia="Times New Roman"/>
                <w:color w:val="000000"/>
                <w:lang w:eastAsia="tr-TR"/>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Roommate</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10.00 ± 5.29</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8.66 ± 1.52</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Partner</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11.08 ± 4.07</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9.73 ± 3.10</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Alone</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9.77 ± 6.55</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9.11 ± 5.77</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Smoking</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9.33 ± 5.08</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0.14</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8.58 ± 4.38</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 </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7.86 ± 3.73</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8.37 ± 4.53</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Chronic medical disease</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9.01 ± 4.48</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0.84</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8.59 ± 4.25</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9.16 ± 5.32</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8.51 ± 4.55</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Lifetime psychiatric disorder</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8.28 ± 4.90</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0.00</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8.29 ± 4.51</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 </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11.28 ± 4.24</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9.26 ± 4.02</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color w:val="000000"/>
                <w:lang w:eastAsia="tr-TR"/>
              </w:rPr>
            </w:pPr>
            <w:r>
              <w:rPr>
                <w:rFonts w:ascii="Book Antiqua" w:hAnsi="Book Antiqua" w:eastAsia="Times New Roman"/>
                <w:bCs/>
                <w:color w:val="000000"/>
                <w:lang w:eastAsia="tr-TR"/>
              </w:rPr>
              <w:t xml:space="preserve">Family member death caused by </w:t>
            </w:r>
            <w:r>
              <w:rPr>
                <w:rFonts w:ascii="Book Antiqua" w:hAnsi="Book Antiqua" w:eastAsia="Times New Roman"/>
                <w:bCs/>
                <w:caps/>
                <w:color w:val="000000"/>
                <w:lang w:eastAsia="tr-TR"/>
              </w:rPr>
              <w:t>covid</w:t>
            </w:r>
            <w:r>
              <w:rPr>
                <w:rFonts w:ascii="Book Antiqua" w:hAnsi="Book Antiqua" w:eastAsia="Times New Roman"/>
                <w:bCs/>
                <w:color w:val="000000"/>
                <w:lang w:eastAsia="tr-TR"/>
              </w:rPr>
              <w:t>-19</w:t>
            </w:r>
          </w:p>
        </w:tc>
        <w:tc>
          <w:tcPr>
            <w:tcW w:w="0" w:type="auto"/>
          </w:tcPr>
          <w:p>
            <w:pPr>
              <w:spacing w:line="360" w:lineRule="auto"/>
              <w:jc w:val="both"/>
              <w:rPr>
                <w:rFonts w:ascii="Book Antiqua" w:hAnsi="Book Antiqua" w:eastAsia="Times New Roman"/>
                <w:color w:val="000000"/>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color w:val="000000"/>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8.71 ± 4.80</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0.13</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8.38 ± 4.27</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9.96 ± 5.07</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8.96 ± 4.69</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Vaccination</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6.00 ± 5.2</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0.003</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4.36 ± 4.07</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 </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9.47 ± 4.73</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9.07 ± 4.16</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Reinfection</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8.82 ± 4.83</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0.14</w:t>
            </w:r>
          </w:p>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8.44 ± 4.31</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10.21 ± 5.12</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9.03 ± 4.80</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Symptoms</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8.00 ± 5.26</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0.002</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7.98 ± 4.85</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10.25 ± 4.21</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9.15 ± 3.78</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eastAsia="Times New Roman"/>
                <w:lang w:eastAsia="tr-TR"/>
              </w:rPr>
            </w:pPr>
            <w:r>
              <w:rPr>
                <w:rFonts w:ascii="Book Antiqua" w:hAnsi="Book Antiqua" w:eastAsia="Times New Roman"/>
                <w:bCs/>
                <w:color w:val="000000"/>
                <w:lang w:eastAsia="tr-TR"/>
              </w:rPr>
              <w:t>&gt;</w:t>
            </w:r>
            <w:r>
              <w:rPr>
                <w:rFonts w:hint="eastAsia" w:ascii="Book Antiqua" w:hAnsi="Book Antiqua"/>
                <w:bCs/>
                <w:color w:val="000000"/>
                <w:lang w:eastAsia="zh-CN"/>
              </w:rPr>
              <w:t xml:space="preserve"> </w:t>
            </w:r>
            <w:r>
              <w:rPr>
                <w:rFonts w:ascii="Book Antiqua" w:hAnsi="Book Antiqua" w:eastAsia="Times New Roman"/>
                <w:bCs/>
                <w:color w:val="000000"/>
                <w:lang w:eastAsia="tr-TR"/>
              </w:rPr>
              <w:t>tiredness</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8.30 ± 5.27</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0.10</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8.06 ± 4.77</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 </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10.26 ± 4.06</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9.19 ± 3.59</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eastAsia="Times New Roman"/>
                <w:lang w:eastAsia="tr-TR"/>
              </w:rPr>
            </w:pPr>
            <w:r>
              <w:rPr>
                <w:rFonts w:ascii="Book Antiqua" w:hAnsi="Book Antiqua" w:eastAsia="Times New Roman"/>
                <w:bCs/>
                <w:color w:val="000000"/>
                <w:lang w:eastAsia="tr-TR"/>
              </w:rPr>
              <w:t>&gt;</w:t>
            </w:r>
            <w:r>
              <w:rPr>
                <w:rFonts w:hint="eastAsia" w:ascii="Book Antiqua" w:hAnsi="Book Antiqua"/>
                <w:bCs/>
                <w:color w:val="000000"/>
                <w:lang w:eastAsia="zh-CN"/>
              </w:rPr>
              <w:t xml:space="preserve"> </w:t>
            </w:r>
            <w:r>
              <w:rPr>
                <w:rFonts w:ascii="Book Antiqua" w:hAnsi="Book Antiqua" w:eastAsia="Times New Roman"/>
                <w:bCs/>
                <w:color w:val="000000"/>
                <w:lang w:eastAsia="tr-TR"/>
              </w:rPr>
              <w:t>palpitation</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8.71 ± 5.01</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0.03</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8.29 ± 4.44</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10.83 ± 4.00</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9.76 ± 3.99</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eastAsia="Times New Roman"/>
                <w:lang w:eastAsia="tr-TR"/>
              </w:rPr>
            </w:pPr>
            <w:r>
              <w:rPr>
                <w:rFonts w:ascii="Book Antiqua" w:hAnsi="Book Antiqua" w:eastAsia="Times New Roman"/>
                <w:bCs/>
                <w:color w:val="000000"/>
                <w:lang w:eastAsia="tr-TR"/>
              </w:rPr>
              <w:t>&gt;</w:t>
            </w:r>
            <w:r>
              <w:rPr>
                <w:rFonts w:hint="eastAsia" w:ascii="Book Antiqua" w:hAnsi="Book Antiqua"/>
                <w:bCs/>
                <w:color w:val="000000"/>
                <w:lang w:eastAsia="zh-CN"/>
              </w:rPr>
              <w:t xml:space="preserve"> </w:t>
            </w:r>
            <w:r>
              <w:rPr>
                <w:rFonts w:ascii="Book Antiqua" w:hAnsi="Book Antiqua" w:eastAsia="Times New Roman"/>
                <w:bCs/>
                <w:color w:val="000000"/>
                <w:lang w:eastAsia="tr-TR"/>
              </w:rPr>
              <w:t>dyspnea</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8.68 ± 4.99</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0.18</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8.49 ± 4.50</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11.00 ± 3.99</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8.83 ± 3.92</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eastAsia="Times New Roman"/>
                <w:lang w:eastAsia="tr-TR"/>
              </w:rPr>
            </w:pPr>
            <w:r>
              <w:rPr>
                <w:rFonts w:ascii="Book Antiqua" w:hAnsi="Book Antiqua" w:eastAsia="Times New Roman"/>
                <w:bCs/>
                <w:color w:val="000000"/>
                <w:lang w:eastAsia="tr-TR"/>
              </w:rPr>
              <w:t>&gt;</w:t>
            </w:r>
            <w:r>
              <w:rPr>
                <w:rFonts w:hint="eastAsia" w:ascii="Book Antiqua" w:hAnsi="Book Antiqua"/>
                <w:bCs/>
                <w:color w:val="000000"/>
                <w:lang w:eastAsia="zh-CN"/>
              </w:rPr>
              <w:t xml:space="preserve"> </w:t>
            </w:r>
            <w:r>
              <w:rPr>
                <w:rFonts w:ascii="Book Antiqua" w:hAnsi="Book Antiqua" w:eastAsia="Times New Roman"/>
                <w:bCs/>
                <w:color w:val="000000"/>
                <w:lang w:eastAsia="tr-TR"/>
              </w:rPr>
              <w:t>sleep disorders</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9.02 ± 4.90</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0.33</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8.53 ± 4.41</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11.20 ± 4.96</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9.00 ± 4.18</w:t>
            </w:r>
          </w:p>
        </w:tc>
        <w:tc>
          <w:tcPr>
            <w:tcW w:w="0" w:type="auto"/>
            <w:vMerge w:val="continue"/>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&gt;</w:t>
            </w:r>
            <w:r>
              <w:rPr>
                <w:rFonts w:hint="eastAsia" w:ascii="Book Antiqua" w:hAnsi="Book Antiqua"/>
                <w:bCs/>
                <w:color w:val="000000"/>
                <w:lang w:eastAsia="zh-CN"/>
              </w:rPr>
              <w:t xml:space="preserve"> </w:t>
            </w:r>
            <w:r>
              <w:rPr>
                <w:rFonts w:ascii="Book Antiqua" w:hAnsi="Book Antiqua" w:eastAsia="Times New Roman"/>
                <w:bCs/>
                <w:color w:val="000000"/>
                <w:lang w:eastAsia="tr-TR"/>
              </w:rPr>
              <w:t>easy fatigue</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No</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9.07 ± 4.90</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0.81</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8.64 ± 4.40</w:t>
            </w:r>
          </w:p>
        </w:tc>
        <w:tc>
          <w:tcPr>
            <w:tcW w:w="0" w:type="auto"/>
            <w:vMerge w:val="restart"/>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Yes </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9.60 ± 5.54</w:t>
            </w:r>
          </w:p>
        </w:tc>
        <w:tc>
          <w:tcPr>
            <w:tcW w:w="0" w:type="auto"/>
            <w:vMerge w:val="continue"/>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5.40 ± 2.70</w:t>
            </w:r>
          </w:p>
        </w:tc>
        <w:tc>
          <w:tcPr>
            <w:tcW w:w="0" w:type="auto"/>
            <w:vMerge w:val="continue"/>
          </w:tcPr>
          <w:p>
            <w:pPr>
              <w:spacing w:line="360" w:lineRule="auto"/>
              <w:jc w:val="both"/>
              <w:rPr>
                <w:rFonts w:ascii="Book Antiqua" w:hAnsi="Book Antiqua" w:eastAsia="Times New Roman"/>
                <w:lang w:eastAsia="tr-TR"/>
              </w:rPr>
            </w:pPr>
          </w:p>
        </w:tc>
      </w:tr>
    </w:tbl>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 xml:space="preserve">Adjusted </w:t>
      </w:r>
      <w:r>
        <w:rPr>
          <w:rFonts w:ascii="Book Antiqua" w:hAnsi="Book Antiqua" w:eastAsia="Times New Roman"/>
          <w:i/>
          <w:caps/>
          <w:color w:val="000000"/>
          <w:lang w:eastAsia="tr-TR"/>
        </w:rPr>
        <w:t>p</w:t>
      </w:r>
      <w:r>
        <w:rPr>
          <w:rFonts w:hint="eastAsia" w:ascii="Book Antiqua" w:hAnsi="Book Antiqua"/>
          <w:i/>
          <w:caps/>
          <w:color w:val="000000"/>
          <w:lang w:eastAsia="zh-CN"/>
        </w:rPr>
        <w:t xml:space="preserve"> </w:t>
      </w:r>
      <w:r>
        <w:rPr>
          <w:rFonts w:ascii="Book Antiqua" w:hAnsi="Book Antiqua" w:eastAsia="Times New Roman"/>
          <w:color w:val="000000"/>
          <w:lang w:eastAsia="tr-TR"/>
        </w:rPr>
        <w:t>&lt;</w:t>
      </w:r>
      <w:r>
        <w:rPr>
          <w:rFonts w:hint="eastAsia" w:ascii="Book Antiqua" w:hAnsi="Book Antiqua"/>
          <w:color w:val="000000"/>
          <w:lang w:eastAsia="zh-CN"/>
        </w:rPr>
        <w:t xml:space="preserve"> 0</w:t>
      </w:r>
      <w:r>
        <w:rPr>
          <w:rFonts w:ascii="Book Antiqua" w:hAnsi="Book Antiqua" w:eastAsia="Times New Roman"/>
          <w:color w:val="000000"/>
          <w:lang w:eastAsia="tr-TR"/>
        </w:rPr>
        <w:t xml:space="preserve">.025. HADS-A: Hospital anxiety and depression scale-anxiety score; HADS-D: Hospital anxiety and depression scale-depression score. </w:t>
      </w:r>
    </w:p>
    <w:p>
      <w:pPr>
        <w:spacing w:line="360" w:lineRule="auto"/>
        <w:jc w:val="both"/>
        <w:rPr>
          <w:rFonts w:ascii="Book Antiqua" w:hAnsi="Book Antiqua" w:eastAsia="Times New Roman"/>
          <w:b/>
          <w:bCs/>
          <w:color w:val="000000"/>
          <w:lang w:eastAsia="tr-TR"/>
        </w:rPr>
      </w:pPr>
    </w:p>
    <w:p>
      <w:pPr>
        <w:spacing w:line="360" w:lineRule="auto"/>
        <w:jc w:val="both"/>
        <w:rPr>
          <w:rFonts w:ascii="Book Antiqua" w:hAnsi="Book Antiqua" w:eastAsia="Times New Roman"/>
          <w:lang w:eastAsia="tr-TR"/>
        </w:rPr>
      </w:pPr>
      <w:r>
        <w:rPr>
          <w:rFonts w:ascii="Book Antiqua" w:hAnsi="Book Antiqua" w:eastAsia="Times New Roman"/>
          <w:b/>
          <w:bCs/>
          <w:color w:val="000000"/>
          <w:lang w:eastAsia="tr-TR"/>
        </w:rPr>
        <w:br w:type="page"/>
      </w:r>
      <w:r>
        <w:rPr>
          <w:rFonts w:ascii="Book Antiqua" w:hAnsi="Book Antiqua" w:eastAsia="Times New Roman"/>
          <w:b/>
          <w:bCs/>
          <w:color w:val="000000"/>
          <w:lang w:eastAsia="tr-TR"/>
        </w:rPr>
        <w:t>Table 3 Multivariate regression analysis of factors associated with depressive symptoms </w:t>
      </w: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39"/>
        <w:gridCol w:w="920"/>
        <w:gridCol w:w="1283"/>
        <w:gridCol w:w="1910"/>
        <w:gridCol w:w="996"/>
        <w:gridCol w:w="756"/>
        <w:gridCol w:w="1086"/>
        <w:gridCol w:w="10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gridSpan w:val="8"/>
            <w:tcBorders>
              <w:top w:val="single" w:color="auto" w:sz="4" w:space="0"/>
              <w:bottom w:val="single" w:color="auto" w:sz="4" w:space="0"/>
            </w:tcBorders>
          </w:tcPr>
          <w:p>
            <w:pPr>
              <w:spacing w:line="360" w:lineRule="auto"/>
              <w:jc w:val="both"/>
              <w:rPr>
                <w:rFonts w:ascii="Book Antiqua" w:hAnsi="Book Antiqua"/>
                <w:b/>
                <w:lang w:eastAsia="zh-CN"/>
              </w:rPr>
            </w:pPr>
            <w:r>
              <w:rPr>
                <w:rFonts w:ascii="Book Antiqua" w:hAnsi="Book Antiqua" w:eastAsia="Times New Roman"/>
                <w:b/>
                <w:color w:val="000000"/>
                <w:lang w:eastAsia="tr-TR"/>
              </w:rPr>
              <w:t>Coefficients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restart"/>
            <w:tcBorders>
              <w:top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Model</w:t>
            </w:r>
          </w:p>
        </w:tc>
        <w:tc>
          <w:tcPr>
            <w:tcW w:w="0" w:type="auto"/>
            <w:gridSpan w:val="2"/>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Unstandardized coefficients</w:t>
            </w: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Standardized coefficients</w:t>
            </w: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T</w:t>
            </w: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Sig.</w:t>
            </w:r>
          </w:p>
        </w:tc>
        <w:tc>
          <w:tcPr>
            <w:tcW w:w="0" w:type="auto"/>
            <w:gridSpan w:val="2"/>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95.0% confidence interval for 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bottom w:val="single" w:color="auto" w:sz="4" w:space="0"/>
            </w:tcBorders>
          </w:tcPr>
          <w:p>
            <w:pPr>
              <w:spacing w:line="360" w:lineRule="auto"/>
              <w:jc w:val="both"/>
              <w:rPr>
                <w:rFonts w:ascii="Book Antiqua" w:hAnsi="Book Antiqua" w:eastAsia="Times New Roman"/>
                <w:lang w:eastAsia="tr-TR"/>
              </w:rPr>
            </w:pPr>
          </w:p>
        </w:tc>
        <w:tc>
          <w:tcPr>
            <w:tcW w:w="0" w:type="auto"/>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B</w:t>
            </w:r>
          </w:p>
        </w:tc>
        <w:tc>
          <w:tcPr>
            <w:tcW w:w="0" w:type="auto"/>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Std. error</w:t>
            </w:r>
          </w:p>
        </w:tc>
        <w:tc>
          <w:tcPr>
            <w:tcW w:w="0" w:type="auto"/>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Beta</w:t>
            </w:r>
          </w:p>
        </w:tc>
        <w:tc>
          <w:tcPr>
            <w:tcW w:w="0" w:type="auto"/>
            <w:tcBorders>
              <w:bottom w:val="single" w:color="auto" w:sz="4" w:space="0"/>
            </w:tcBorders>
          </w:tcPr>
          <w:p>
            <w:pPr>
              <w:spacing w:line="360" w:lineRule="auto"/>
              <w:jc w:val="both"/>
              <w:rPr>
                <w:rFonts w:ascii="Book Antiqua" w:hAnsi="Book Antiqua" w:eastAsia="Times New Roman"/>
                <w:b/>
                <w:lang w:eastAsia="tr-TR"/>
              </w:rPr>
            </w:pPr>
          </w:p>
        </w:tc>
        <w:tc>
          <w:tcPr>
            <w:tcW w:w="0" w:type="auto"/>
            <w:tcBorders>
              <w:bottom w:val="single" w:color="auto" w:sz="4" w:space="0"/>
            </w:tcBorders>
          </w:tcPr>
          <w:p>
            <w:pPr>
              <w:spacing w:line="360" w:lineRule="auto"/>
              <w:jc w:val="both"/>
              <w:rPr>
                <w:rFonts w:ascii="Book Antiqua" w:hAnsi="Book Antiqua" w:eastAsia="Times New Roman"/>
                <w:b/>
                <w:lang w:eastAsia="tr-TR"/>
              </w:rPr>
            </w:pPr>
          </w:p>
        </w:tc>
        <w:tc>
          <w:tcPr>
            <w:tcW w:w="0" w:type="auto"/>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Lower bound</w:t>
            </w:r>
          </w:p>
        </w:tc>
        <w:tc>
          <w:tcPr>
            <w:tcW w:w="0" w:type="auto"/>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Upper bound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(Constant)</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5.381</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1.8439</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2.92679</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bCs/>
                <w:color w:val="000000"/>
                <w:lang w:eastAsia="tr-TR"/>
              </w:rPr>
              <w:t>0.004</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1.750</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9.012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Vaccination</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4.172</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1.002</w:t>
            </w:r>
          </w:p>
        </w:tc>
        <w:tc>
          <w:tcPr>
            <w:tcW w:w="0" w:type="auto"/>
            <w:tcBorders>
              <w:top w:val="nil"/>
            </w:tcBorders>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.298</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4.162</w:t>
            </w:r>
          </w:p>
        </w:tc>
        <w:tc>
          <w:tcPr>
            <w:tcW w:w="0" w:type="auto"/>
            <w:tcBorders>
              <w:top w:val="nil"/>
            </w:tcBorders>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.000</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2.193</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6.151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eastAsia="Times New Roman"/>
                <w:color w:val="000000"/>
                <w:lang w:eastAsia="tr-TR"/>
              </w:rPr>
              <w:t>&gt;</w:t>
            </w:r>
            <w:r>
              <w:rPr>
                <w:rFonts w:hint="eastAsia" w:ascii="Book Antiqua" w:hAnsi="Book Antiqua"/>
                <w:color w:val="000000"/>
                <w:lang w:eastAsia="zh-CN"/>
              </w:rPr>
              <w:t xml:space="preserve"> </w:t>
            </w:r>
            <w:r>
              <w:rPr>
                <w:rFonts w:ascii="Book Antiqua" w:hAnsi="Book Antiqua" w:eastAsia="Times New Roman"/>
                <w:color w:val="000000"/>
                <w:lang w:eastAsia="tr-TR"/>
              </w:rPr>
              <w:t>50</w:t>
            </w:r>
            <w:r>
              <w:rPr>
                <w:rFonts w:hint="eastAsia" w:ascii="Book Antiqua" w:hAnsi="Book Antiqua"/>
                <w:color w:val="000000"/>
                <w:lang w:eastAsia="zh-CN"/>
              </w:rPr>
              <w:t xml:space="preserve"> </w:t>
            </w:r>
            <w:r>
              <w:rPr>
                <w:rFonts w:ascii="Book Antiqua" w:hAnsi="Book Antiqua" w:eastAsia="Times New Roman"/>
                <w:color w:val="000000"/>
                <w:lang w:eastAsia="tr-TR"/>
              </w:rPr>
              <w:t>yr</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1.644</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.643</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.185</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2.558</w:t>
            </w:r>
          </w:p>
        </w:tc>
        <w:tc>
          <w:tcPr>
            <w:tcW w:w="0" w:type="auto"/>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.011</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.375</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2.912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Financial status</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-1.174</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.478</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w:t>
            </w:r>
            <w:r>
              <w:rPr>
                <w:rFonts w:hint="eastAsia" w:ascii="Book Antiqua" w:hAnsi="Book Antiqua"/>
                <w:color w:val="000000"/>
                <w:lang w:eastAsia="zh-CN"/>
              </w:rPr>
              <w:t>0</w:t>
            </w:r>
            <w:r>
              <w:rPr>
                <w:rFonts w:ascii="Book Antiqua" w:hAnsi="Book Antiqua" w:eastAsia="Times New Roman"/>
                <w:color w:val="000000"/>
                <w:lang w:eastAsia="tr-TR"/>
              </w:rPr>
              <w:t>.173</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-2.455</w:t>
            </w:r>
          </w:p>
        </w:tc>
        <w:tc>
          <w:tcPr>
            <w:tcW w:w="0" w:type="auto"/>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.015</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-2.118</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w:t>
            </w:r>
            <w:r>
              <w:rPr>
                <w:rFonts w:hint="eastAsia" w:ascii="Book Antiqua" w:hAnsi="Book Antiqua"/>
                <w:color w:val="000000"/>
                <w:lang w:eastAsia="zh-CN"/>
              </w:rPr>
              <w:t>0</w:t>
            </w:r>
            <w:r>
              <w:rPr>
                <w:rFonts w:ascii="Book Antiqua" w:hAnsi="Book Antiqua" w:eastAsia="Times New Roman"/>
                <w:color w:val="000000"/>
                <w:lang w:eastAsia="tr-TR"/>
              </w:rPr>
              <w:t>.230</w:t>
            </w:r>
          </w:p>
        </w:tc>
      </w:tr>
    </w:tbl>
    <w:p>
      <w:pPr>
        <w:spacing w:line="360" w:lineRule="auto"/>
        <w:jc w:val="both"/>
        <w:rPr>
          <w:rFonts w:ascii="Book Antiqua" w:hAnsi="Book Antiqua"/>
          <w:color w:val="000000"/>
          <w:lang w:eastAsia="zh-CN"/>
        </w:rPr>
      </w:pPr>
    </w:p>
    <w:p>
      <w:pPr>
        <w:spacing w:line="360" w:lineRule="auto"/>
        <w:jc w:val="both"/>
        <w:rPr>
          <w:rFonts w:ascii="Book Antiqua" w:hAnsi="Book Antiqua" w:eastAsia="Times New Roman"/>
          <w:lang w:eastAsia="tr-TR"/>
        </w:rPr>
      </w:pPr>
      <w:r>
        <w:rPr>
          <w:rFonts w:ascii="Book Antiqua" w:hAnsi="Book Antiqua" w:eastAsia="Times New Roman"/>
          <w:b/>
          <w:bCs/>
          <w:color w:val="000000"/>
          <w:lang w:eastAsia="tr-TR"/>
        </w:rPr>
        <w:br w:type="page"/>
      </w:r>
      <w:r>
        <w:rPr>
          <w:rFonts w:ascii="Book Antiqua" w:hAnsi="Book Antiqua" w:eastAsia="Times New Roman"/>
          <w:b/>
          <w:bCs/>
          <w:color w:val="000000"/>
          <w:lang w:eastAsia="tr-TR"/>
        </w:rPr>
        <w:t>Table 4 Multivariate regression analysis of factors associated with anxiety symptoms </w:t>
      </w: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9"/>
        <w:gridCol w:w="923"/>
        <w:gridCol w:w="1288"/>
        <w:gridCol w:w="1918"/>
        <w:gridCol w:w="770"/>
        <w:gridCol w:w="756"/>
        <w:gridCol w:w="1091"/>
        <w:gridCol w:w="109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gridSpan w:val="8"/>
            <w:tcBorders>
              <w:bottom w:val="single" w:color="auto" w:sz="4" w:space="0"/>
            </w:tcBorders>
          </w:tcPr>
          <w:p>
            <w:pPr>
              <w:spacing w:line="360" w:lineRule="auto"/>
              <w:jc w:val="both"/>
              <w:rPr>
                <w:rFonts w:ascii="Book Antiqua" w:hAnsi="Book Antiqua"/>
                <w:b/>
                <w:lang w:eastAsia="zh-CN"/>
              </w:rPr>
            </w:pPr>
            <w:r>
              <w:rPr>
                <w:rFonts w:ascii="Book Antiqua" w:hAnsi="Book Antiqua" w:eastAsia="Times New Roman"/>
                <w:b/>
                <w:color w:val="000000"/>
                <w:lang w:eastAsia="tr-TR"/>
              </w:rPr>
              <w:t>Coefficients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restart"/>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Model</w:t>
            </w:r>
          </w:p>
        </w:tc>
        <w:tc>
          <w:tcPr>
            <w:tcW w:w="0" w:type="auto"/>
            <w:gridSpan w:val="2"/>
            <w:tcBorders>
              <w:top w:val="single" w:color="auto" w:sz="4" w:space="0"/>
              <w:bottom w:val="nil"/>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Unstandardized coefficients</w:t>
            </w:r>
          </w:p>
        </w:tc>
        <w:tc>
          <w:tcPr>
            <w:tcW w:w="0" w:type="auto"/>
            <w:tcBorders>
              <w:top w:val="single" w:color="auto" w:sz="4" w:space="0"/>
              <w:bottom w:val="nil"/>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Standardized coefficients</w:t>
            </w:r>
          </w:p>
        </w:tc>
        <w:tc>
          <w:tcPr>
            <w:tcW w:w="0" w:type="auto"/>
            <w:tcBorders>
              <w:top w:val="single" w:color="auto" w:sz="4" w:space="0"/>
              <w:bottom w:val="nil"/>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T</w:t>
            </w:r>
          </w:p>
        </w:tc>
        <w:tc>
          <w:tcPr>
            <w:tcW w:w="0" w:type="auto"/>
            <w:tcBorders>
              <w:top w:val="single" w:color="auto" w:sz="4" w:space="0"/>
              <w:bottom w:val="nil"/>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Sig.</w:t>
            </w:r>
          </w:p>
        </w:tc>
        <w:tc>
          <w:tcPr>
            <w:tcW w:w="0" w:type="auto"/>
            <w:gridSpan w:val="2"/>
            <w:tcBorders>
              <w:top w:val="single" w:color="auto" w:sz="4" w:space="0"/>
              <w:bottom w:val="nil"/>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95.0% confidence interval for 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single" w:color="auto" w:sz="4" w:space="0"/>
              <w:bottom w:val="single" w:color="auto" w:sz="4" w:space="0"/>
            </w:tcBorders>
          </w:tcPr>
          <w:p>
            <w:pPr>
              <w:spacing w:line="360" w:lineRule="auto"/>
              <w:jc w:val="both"/>
              <w:rPr>
                <w:rFonts w:ascii="Book Antiqua" w:hAnsi="Book Antiqua" w:eastAsia="Times New Roman"/>
                <w:b/>
                <w:lang w:eastAsia="tr-TR"/>
              </w:rPr>
            </w:pP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B</w:t>
            </w: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Std. error</w:t>
            </w: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Beta</w:t>
            </w: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Lower bound</w:t>
            </w:r>
          </w:p>
        </w:tc>
        <w:tc>
          <w:tcPr>
            <w:tcW w:w="0" w:type="auto"/>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Upper bound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(Constant)</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8.678</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2.232</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3.887</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.000</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4.270</w:t>
            </w:r>
          </w:p>
        </w:tc>
        <w:tc>
          <w:tcPr>
            <w:tcW w:w="0" w:type="auto"/>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13.086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Vaccination</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3.355</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1.108</w:t>
            </w:r>
          </w:p>
        </w:tc>
        <w:tc>
          <w:tcPr>
            <w:tcW w:w="0" w:type="auto"/>
            <w:tcBorders>
              <w:top w:val="nil"/>
            </w:tcBorders>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.215</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3.028</w:t>
            </w:r>
          </w:p>
        </w:tc>
        <w:tc>
          <w:tcPr>
            <w:tcW w:w="0" w:type="auto"/>
            <w:tcBorders>
              <w:top w:val="nil"/>
            </w:tcBorders>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.003</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1.167</w:t>
            </w:r>
          </w:p>
        </w:tc>
        <w:tc>
          <w:tcPr>
            <w:tcW w:w="0" w:type="auto"/>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5.543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eastAsia="Times New Roman"/>
                <w:color w:val="000000"/>
                <w:lang w:eastAsia="tr-TR"/>
              </w:rPr>
              <w:t>&gt;</w:t>
            </w:r>
            <w:r>
              <w:rPr>
                <w:rFonts w:hint="eastAsia" w:ascii="Book Antiqua" w:hAnsi="Book Antiqua"/>
                <w:color w:val="000000"/>
                <w:lang w:eastAsia="zh-CN"/>
              </w:rPr>
              <w:t xml:space="preserve"> </w:t>
            </w:r>
            <w:r>
              <w:rPr>
                <w:rFonts w:ascii="Book Antiqua" w:hAnsi="Book Antiqua" w:eastAsia="Times New Roman"/>
                <w:color w:val="000000"/>
                <w:lang w:eastAsia="tr-TR"/>
              </w:rPr>
              <w:t>50 yr</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1.656</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.695</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.167</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2.384</w:t>
            </w:r>
          </w:p>
        </w:tc>
        <w:tc>
          <w:tcPr>
            <w:tcW w:w="0" w:type="auto"/>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.018</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.284</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3.028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Dyspnea</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1.747</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.874</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.135</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2.000</w:t>
            </w:r>
          </w:p>
        </w:tc>
        <w:tc>
          <w:tcPr>
            <w:tcW w:w="0" w:type="auto"/>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.047</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.022</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3.472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Sex</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-2.747</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.702</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w:t>
            </w:r>
            <w:r>
              <w:rPr>
                <w:rFonts w:hint="eastAsia" w:ascii="Book Antiqua" w:hAnsi="Book Antiqua"/>
                <w:color w:val="000000"/>
                <w:lang w:eastAsia="zh-CN"/>
              </w:rPr>
              <w:t>0</w:t>
            </w:r>
            <w:r>
              <w:rPr>
                <w:rFonts w:ascii="Book Antiqua" w:hAnsi="Book Antiqua" w:eastAsia="Times New Roman"/>
                <w:color w:val="000000"/>
                <w:lang w:eastAsia="tr-TR"/>
              </w:rPr>
              <w:t>.280</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-3.914</w:t>
            </w:r>
          </w:p>
        </w:tc>
        <w:tc>
          <w:tcPr>
            <w:tcW w:w="0" w:type="auto"/>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.000</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-4.133</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-1.361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Marital status</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.641</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.364</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.121</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1.761</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.080</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1.360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Psychiatric comorbidity</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-1.348</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.789</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w:t>
            </w:r>
            <w:r>
              <w:rPr>
                <w:rFonts w:hint="eastAsia" w:ascii="Book Antiqua" w:hAnsi="Book Antiqua"/>
                <w:color w:val="000000"/>
                <w:lang w:eastAsia="zh-CN"/>
              </w:rPr>
              <w:t>0</w:t>
            </w:r>
            <w:r>
              <w:rPr>
                <w:rFonts w:ascii="Book Antiqua" w:hAnsi="Book Antiqua" w:eastAsia="Times New Roman"/>
                <w:color w:val="000000"/>
                <w:lang w:eastAsia="tr-TR"/>
              </w:rPr>
              <w:t>.122</w:t>
            </w:r>
          </w:p>
        </w:tc>
        <w:tc>
          <w:tcPr>
            <w:tcW w:w="0" w:type="auto"/>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-1.709</w:t>
            </w: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.089</w:t>
            </w:r>
          </w:p>
        </w:tc>
        <w:tc>
          <w:tcPr>
            <w:tcW w:w="0" w:type="auto"/>
          </w:tcPr>
          <w:p>
            <w:pPr>
              <w:spacing w:line="360" w:lineRule="auto"/>
              <w:jc w:val="both"/>
              <w:rPr>
                <w:rFonts w:ascii="Book Antiqua" w:hAnsi="Book Antiqua" w:eastAsia="Times New Roman"/>
                <w:lang w:eastAsia="tr-TR"/>
              </w:rPr>
            </w:pPr>
          </w:p>
        </w:tc>
        <w:tc>
          <w:tcPr>
            <w:tcW w:w="0" w:type="auto"/>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.209</w:t>
            </w:r>
          </w:p>
        </w:tc>
      </w:tr>
    </w:tbl>
    <w:p>
      <w:pPr>
        <w:spacing w:line="360" w:lineRule="auto"/>
        <w:jc w:val="both"/>
        <w:rPr>
          <w:rFonts w:ascii="Book Antiqua" w:hAnsi="Book Antiqua"/>
          <w:b/>
          <w:color w:val="000000"/>
          <w:lang w:eastAsia="zh-CN"/>
        </w:rPr>
      </w:pPr>
      <w:r>
        <w:rPr>
          <w:rFonts w:ascii="Book Antiqua" w:hAnsi="Book Antiqua"/>
          <w:b/>
          <w:color w:val="000000"/>
          <w:lang w:eastAsia="zh-CN"/>
        </w:rPr>
        <w:br w:type="page"/>
      </w:r>
      <w:r>
        <w:rPr>
          <w:rFonts w:ascii="Book Antiqua" w:hAnsi="Book Antiqua"/>
          <w:b/>
          <w:color w:val="000000"/>
          <w:lang w:eastAsia="zh-CN"/>
        </w:rPr>
        <w:t xml:space="preserve">Table 5 </w:t>
      </w:r>
      <w:r>
        <w:rPr>
          <w:rFonts w:ascii="Book Antiqua" w:hAnsi="Book Antiqua"/>
          <w:b/>
          <w:lang w:eastAsia="zh-CN"/>
        </w:rPr>
        <w:t>T</w:t>
      </w:r>
      <w:r>
        <w:rPr>
          <w:rFonts w:ascii="Book Antiqua" w:hAnsi="Book Antiqua" w:eastAsia="Book Antiqua" w:cs="Book Antiqua"/>
          <w:b/>
          <w:color w:val="000000"/>
        </w:rPr>
        <w:t xml:space="preserve">iredness” and </w:t>
      </w:r>
      <w:r>
        <w:rPr>
          <w:rFonts w:ascii="Book Antiqua" w:hAnsi="Book Antiqua" w:eastAsia="Times New Roman"/>
          <w:b/>
          <w:color w:val="000000"/>
          <w:lang w:eastAsia="tr-TR"/>
        </w:rPr>
        <w:t>hospital anxiety and depression scale-depression</w:t>
      </w:r>
      <w:r>
        <w:rPr>
          <w:rFonts w:ascii="Book Antiqua" w:hAnsi="Book Antiqua" w:eastAsia="Book Antiqua" w:cs="Book Antiqua"/>
          <w:b/>
          <w:color w:val="000000"/>
        </w:rPr>
        <w:t xml:space="preserve"> score changes are associated with increased anxiety symptoms</w:t>
      </w: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7"/>
        <w:gridCol w:w="963"/>
        <w:gridCol w:w="1129"/>
        <w:gridCol w:w="1838"/>
        <w:gridCol w:w="972"/>
        <w:gridCol w:w="724"/>
        <w:gridCol w:w="1109"/>
        <w:gridCol w:w="11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gridSpan w:val="8"/>
            <w:tcBorders>
              <w:top w:val="single" w:color="auto" w:sz="4" w:space="0"/>
              <w:bottom w:val="single" w:color="auto" w:sz="4" w:space="0"/>
            </w:tcBorders>
          </w:tcPr>
          <w:p>
            <w:pPr>
              <w:spacing w:line="360" w:lineRule="auto"/>
              <w:jc w:val="both"/>
              <w:rPr>
                <w:rFonts w:ascii="Book Antiqua" w:hAnsi="Book Antiqua"/>
                <w:b/>
                <w:lang w:eastAsia="zh-CN"/>
              </w:rPr>
            </w:pPr>
            <w:r>
              <w:rPr>
                <w:rFonts w:ascii="Book Antiqua" w:hAnsi="Book Antiqua" w:eastAsia="Times New Roman"/>
                <w:b/>
                <w:color w:val="000000"/>
                <w:lang w:eastAsia="tr-TR"/>
              </w:rPr>
              <w:t>Coefficients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vMerge w:val="restart"/>
            <w:tcBorders>
              <w:top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Model</w:t>
            </w:r>
          </w:p>
        </w:tc>
        <w:tc>
          <w:tcPr>
            <w:tcW w:w="2092" w:type="dxa"/>
            <w:gridSpan w:val="2"/>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Unstandardized coefficients</w:t>
            </w:r>
          </w:p>
        </w:tc>
        <w:tc>
          <w:tcPr>
            <w:tcW w:w="1838" w:type="dxa"/>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Standardized coefficients</w:t>
            </w:r>
          </w:p>
        </w:tc>
        <w:tc>
          <w:tcPr>
            <w:tcW w:w="972" w:type="dxa"/>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T</w:t>
            </w:r>
          </w:p>
        </w:tc>
        <w:tc>
          <w:tcPr>
            <w:tcW w:w="724" w:type="dxa"/>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Sig.</w:t>
            </w:r>
          </w:p>
        </w:tc>
        <w:tc>
          <w:tcPr>
            <w:tcW w:w="2223" w:type="dxa"/>
            <w:gridSpan w:val="2"/>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95.0% confidence interval for 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vMerge w:val="continue"/>
            <w:tcBorders>
              <w:bottom w:val="single" w:color="auto" w:sz="4" w:space="0"/>
            </w:tcBorders>
          </w:tcPr>
          <w:p>
            <w:pPr>
              <w:spacing w:line="360" w:lineRule="auto"/>
              <w:jc w:val="both"/>
              <w:rPr>
                <w:rFonts w:ascii="Book Antiqua" w:hAnsi="Book Antiqua" w:eastAsia="Times New Roman"/>
                <w:b/>
                <w:lang w:eastAsia="tr-TR"/>
              </w:rPr>
            </w:pPr>
          </w:p>
        </w:tc>
        <w:tc>
          <w:tcPr>
            <w:tcW w:w="963"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B</w:t>
            </w:r>
          </w:p>
        </w:tc>
        <w:tc>
          <w:tcPr>
            <w:tcW w:w="1129"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Std. error</w:t>
            </w:r>
          </w:p>
        </w:tc>
        <w:tc>
          <w:tcPr>
            <w:tcW w:w="1838"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Beta</w:t>
            </w:r>
          </w:p>
        </w:tc>
        <w:tc>
          <w:tcPr>
            <w:tcW w:w="972" w:type="dxa"/>
            <w:tcBorders>
              <w:bottom w:val="single" w:color="auto" w:sz="4" w:space="0"/>
            </w:tcBorders>
          </w:tcPr>
          <w:p>
            <w:pPr>
              <w:spacing w:line="360" w:lineRule="auto"/>
              <w:jc w:val="both"/>
              <w:rPr>
                <w:rFonts w:ascii="Book Antiqua" w:hAnsi="Book Antiqua" w:eastAsia="Times New Roman"/>
                <w:b/>
                <w:lang w:eastAsia="tr-TR"/>
              </w:rPr>
            </w:pPr>
          </w:p>
        </w:tc>
        <w:tc>
          <w:tcPr>
            <w:tcW w:w="724" w:type="dxa"/>
            <w:tcBorders>
              <w:bottom w:val="single" w:color="auto" w:sz="4" w:space="0"/>
            </w:tcBorders>
          </w:tcPr>
          <w:p>
            <w:pPr>
              <w:spacing w:line="360" w:lineRule="auto"/>
              <w:jc w:val="both"/>
              <w:rPr>
                <w:rFonts w:ascii="Book Antiqua" w:hAnsi="Book Antiqua" w:eastAsia="Times New Roman"/>
                <w:b/>
                <w:lang w:eastAsia="tr-TR"/>
              </w:rPr>
            </w:pPr>
          </w:p>
        </w:tc>
        <w:tc>
          <w:tcPr>
            <w:tcW w:w="1109"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Lower bound</w:t>
            </w:r>
          </w:p>
        </w:tc>
        <w:tc>
          <w:tcPr>
            <w:tcW w:w="1114"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Upper bound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(Constant)</w:t>
            </w:r>
          </w:p>
        </w:tc>
        <w:tc>
          <w:tcPr>
            <w:tcW w:w="963"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-1.226</w:t>
            </w:r>
          </w:p>
        </w:tc>
        <w:tc>
          <w:tcPr>
            <w:tcW w:w="1129"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1.151</w:t>
            </w:r>
          </w:p>
        </w:tc>
        <w:tc>
          <w:tcPr>
            <w:tcW w:w="1838" w:type="dxa"/>
            <w:tcBorders>
              <w:top w:val="single" w:color="auto" w:sz="4" w:space="0"/>
              <w:bottom w:val="nil"/>
            </w:tcBorders>
          </w:tcPr>
          <w:p>
            <w:pPr>
              <w:spacing w:line="360" w:lineRule="auto"/>
              <w:jc w:val="both"/>
              <w:rPr>
                <w:rFonts w:ascii="Book Antiqua" w:hAnsi="Book Antiqua" w:eastAsia="Times New Roman"/>
                <w:lang w:eastAsia="tr-TR"/>
              </w:rPr>
            </w:pPr>
          </w:p>
        </w:tc>
        <w:tc>
          <w:tcPr>
            <w:tcW w:w="972"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-1.065</w:t>
            </w:r>
          </w:p>
        </w:tc>
        <w:tc>
          <w:tcPr>
            <w:tcW w:w="724" w:type="dxa"/>
            <w:tcBorders>
              <w:top w:val="single" w:color="auto" w:sz="4" w:space="0"/>
              <w:bottom w:val="nil"/>
            </w:tcBorders>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.288</w:t>
            </w:r>
          </w:p>
        </w:tc>
        <w:tc>
          <w:tcPr>
            <w:tcW w:w="1109"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-3.499</w:t>
            </w:r>
          </w:p>
        </w:tc>
        <w:tc>
          <w:tcPr>
            <w:tcW w:w="1114"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1.047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Delta HADS-D</w:t>
            </w:r>
          </w:p>
        </w:tc>
        <w:tc>
          <w:tcPr>
            <w:tcW w:w="963" w:type="dxa"/>
            <w:tcBorders>
              <w:top w:val="nil"/>
            </w:tcBorders>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.634</w:t>
            </w:r>
          </w:p>
        </w:tc>
        <w:tc>
          <w:tcPr>
            <w:tcW w:w="1129" w:type="dxa"/>
            <w:tcBorders>
              <w:top w:val="nil"/>
            </w:tcBorders>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.054</w:t>
            </w:r>
          </w:p>
        </w:tc>
        <w:tc>
          <w:tcPr>
            <w:tcW w:w="1838" w:type="dxa"/>
            <w:tcBorders>
              <w:top w:val="nil"/>
            </w:tcBorders>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.675</w:t>
            </w:r>
          </w:p>
        </w:tc>
        <w:tc>
          <w:tcPr>
            <w:tcW w:w="972" w:type="dxa"/>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3.028</w:t>
            </w:r>
          </w:p>
        </w:tc>
        <w:tc>
          <w:tcPr>
            <w:tcW w:w="724" w:type="dxa"/>
            <w:tcBorders>
              <w:top w:val="nil"/>
            </w:tcBorders>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.000</w:t>
            </w:r>
          </w:p>
        </w:tc>
        <w:tc>
          <w:tcPr>
            <w:tcW w:w="1109" w:type="dxa"/>
            <w:tcBorders>
              <w:top w:val="nil"/>
            </w:tcBorders>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.528</w:t>
            </w:r>
          </w:p>
        </w:tc>
        <w:tc>
          <w:tcPr>
            <w:tcW w:w="1114" w:type="dxa"/>
            <w:tcBorders>
              <w:top w:val="nil"/>
            </w:tcBorders>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Tiredness</w:t>
            </w:r>
          </w:p>
        </w:tc>
        <w:tc>
          <w:tcPr>
            <w:tcW w:w="963"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1.793</w:t>
            </w:r>
          </w:p>
        </w:tc>
        <w:tc>
          <w:tcPr>
            <w:tcW w:w="1129" w:type="dxa"/>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.761</w:t>
            </w:r>
          </w:p>
        </w:tc>
        <w:tc>
          <w:tcPr>
            <w:tcW w:w="1838" w:type="dxa"/>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.131</w:t>
            </w:r>
          </w:p>
        </w:tc>
        <w:tc>
          <w:tcPr>
            <w:tcW w:w="972"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2.384</w:t>
            </w:r>
          </w:p>
        </w:tc>
        <w:tc>
          <w:tcPr>
            <w:tcW w:w="724" w:type="dxa"/>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.020</w:t>
            </w:r>
          </w:p>
        </w:tc>
        <w:tc>
          <w:tcPr>
            <w:tcW w:w="1109" w:type="dxa"/>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.290</w:t>
            </w:r>
          </w:p>
        </w:tc>
        <w:tc>
          <w:tcPr>
            <w:tcW w:w="1114"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3.296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Vaccination</w:t>
            </w:r>
          </w:p>
        </w:tc>
        <w:tc>
          <w:tcPr>
            <w:tcW w:w="963" w:type="dxa"/>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.002</w:t>
            </w:r>
          </w:p>
        </w:tc>
        <w:tc>
          <w:tcPr>
            <w:tcW w:w="1129"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1.209</w:t>
            </w:r>
          </w:p>
        </w:tc>
        <w:tc>
          <w:tcPr>
            <w:tcW w:w="1838" w:type="dxa"/>
          </w:tcPr>
          <w:p>
            <w:pPr>
              <w:spacing w:line="360" w:lineRule="auto"/>
              <w:jc w:val="both"/>
              <w:rPr>
                <w:rFonts w:ascii="Book Antiqua" w:hAnsi="Book Antiqua" w:eastAsia="Times New Roman"/>
                <w:lang w:eastAsia="tr-TR"/>
              </w:rPr>
            </w:pPr>
            <w:r>
              <w:rPr>
                <w:rFonts w:hint="eastAsia" w:ascii="Book Antiqua" w:hAnsi="Book Antiqua"/>
                <w:color w:val="000000"/>
                <w:lang w:eastAsia="zh-CN"/>
              </w:rPr>
              <w:t>0</w:t>
            </w:r>
            <w:r>
              <w:rPr>
                <w:rFonts w:ascii="Book Antiqua" w:hAnsi="Book Antiqua" w:eastAsia="Times New Roman"/>
                <w:color w:val="000000"/>
                <w:lang w:eastAsia="tr-TR"/>
              </w:rPr>
              <w:t>.000</w:t>
            </w:r>
          </w:p>
        </w:tc>
        <w:tc>
          <w:tcPr>
            <w:tcW w:w="972"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2.000</w:t>
            </w:r>
          </w:p>
        </w:tc>
        <w:tc>
          <w:tcPr>
            <w:tcW w:w="724" w:type="dxa"/>
          </w:tcPr>
          <w:p>
            <w:pPr>
              <w:spacing w:line="360" w:lineRule="auto"/>
              <w:jc w:val="both"/>
              <w:rPr>
                <w:rFonts w:ascii="Book Antiqua" w:hAnsi="Book Antiqua" w:eastAsia="Times New Roman"/>
                <w:lang w:eastAsia="tr-TR"/>
              </w:rPr>
            </w:pPr>
            <w:r>
              <w:rPr>
                <w:rFonts w:hint="eastAsia" w:ascii="Book Antiqua" w:hAnsi="Book Antiqua"/>
                <w:bCs/>
                <w:color w:val="000000"/>
                <w:lang w:eastAsia="zh-CN"/>
              </w:rPr>
              <w:t>0</w:t>
            </w:r>
            <w:r>
              <w:rPr>
                <w:rFonts w:ascii="Book Antiqua" w:hAnsi="Book Antiqua" w:eastAsia="Times New Roman"/>
                <w:bCs/>
                <w:color w:val="000000"/>
                <w:lang w:eastAsia="tr-TR"/>
              </w:rPr>
              <w:t>.999</w:t>
            </w:r>
          </w:p>
        </w:tc>
        <w:tc>
          <w:tcPr>
            <w:tcW w:w="1109"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-2.386</w:t>
            </w:r>
          </w:p>
        </w:tc>
        <w:tc>
          <w:tcPr>
            <w:tcW w:w="1114"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2.389</w:t>
            </w:r>
          </w:p>
        </w:tc>
      </w:tr>
    </w:tbl>
    <w:p>
      <w:pPr>
        <w:spacing w:line="360" w:lineRule="auto"/>
        <w:jc w:val="both"/>
        <w:rPr>
          <w:rFonts w:ascii="Book Antiqua" w:hAnsi="Book Antiqua"/>
          <w:lang w:eastAsia="zh-CN"/>
        </w:rPr>
      </w:pPr>
      <w:r>
        <w:rPr>
          <w:rFonts w:ascii="Book Antiqua" w:hAnsi="Book Antiqua" w:eastAsia="Times New Roman"/>
          <w:color w:val="000000"/>
          <w:lang w:eastAsia="tr-TR"/>
        </w:rPr>
        <w:t>Delta-HADS-</w:t>
      </w:r>
      <w:r>
        <w:rPr>
          <w:rFonts w:hint="eastAsia" w:ascii="Book Antiqua" w:hAnsi="Book Antiqua"/>
          <w:color w:val="000000"/>
          <w:lang w:eastAsia="zh-CN"/>
        </w:rPr>
        <w:t>D</w:t>
      </w:r>
      <w:r>
        <w:rPr>
          <w:rFonts w:ascii="Book Antiqua" w:hAnsi="Book Antiqua" w:eastAsia="Times New Roman"/>
          <w:color w:val="000000"/>
          <w:lang w:eastAsia="tr-TR"/>
        </w:rPr>
        <w:t>: Delta-hospital anxiety and depression scale-depression score</w:t>
      </w:r>
      <w:r>
        <w:rPr>
          <w:rFonts w:hint="eastAsia" w:ascii="Book Antiqua" w:hAnsi="Book Antiqua"/>
          <w:color w:val="000000"/>
          <w:lang w:eastAsia="zh-CN"/>
        </w:rPr>
        <w:t>.</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 xml:space="preserve">Table 6 </w:t>
      </w:r>
      <w:r>
        <w:rPr>
          <w:rFonts w:ascii="Book Antiqua" w:hAnsi="Book Antiqua" w:eastAsia="Book Antiqua" w:cs="Book Antiqua"/>
          <w:b/>
          <w:color w:val="000000"/>
        </w:rPr>
        <w:t>Being vaccinated and baseline HADS-D score are significantly associated with increased depressive symptoms</w:t>
      </w: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7"/>
        <w:gridCol w:w="963"/>
        <w:gridCol w:w="1129"/>
        <w:gridCol w:w="1838"/>
        <w:gridCol w:w="972"/>
        <w:gridCol w:w="724"/>
        <w:gridCol w:w="1109"/>
        <w:gridCol w:w="11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6" w:type="dxa"/>
            <w:gridSpan w:val="8"/>
            <w:tcBorders>
              <w:top w:val="single" w:color="auto" w:sz="4" w:space="0"/>
              <w:bottom w:val="single" w:color="auto" w:sz="4" w:space="0"/>
            </w:tcBorders>
          </w:tcPr>
          <w:p>
            <w:pPr>
              <w:spacing w:line="360" w:lineRule="auto"/>
              <w:jc w:val="both"/>
              <w:rPr>
                <w:rFonts w:ascii="Book Antiqua" w:hAnsi="Book Antiqua"/>
                <w:b/>
                <w:lang w:eastAsia="zh-CN"/>
              </w:rPr>
            </w:pPr>
            <w:r>
              <w:rPr>
                <w:rFonts w:ascii="Book Antiqua" w:hAnsi="Book Antiqua" w:eastAsia="Times New Roman"/>
                <w:b/>
                <w:color w:val="000000"/>
                <w:lang w:eastAsia="tr-TR"/>
              </w:rPr>
              <w:t>Coefficients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vMerge w:val="restart"/>
            <w:tcBorders>
              <w:top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Model</w:t>
            </w:r>
          </w:p>
        </w:tc>
        <w:tc>
          <w:tcPr>
            <w:tcW w:w="2092" w:type="dxa"/>
            <w:gridSpan w:val="2"/>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Unstandardized coefficients</w:t>
            </w:r>
          </w:p>
        </w:tc>
        <w:tc>
          <w:tcPr>
            <w:tcW w:w="1838" w:type="dxa"/>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Standardized coefficients</w:t>
            </w:r>
          </w:p>
        </w:tc>
        <w:tc>
          <w:tcPr>
            <w:tcW w:w="972" w:type="dxa"/>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T</w:t>
            </w:r>
          </w:p>
        </w:tc>
        <w:tc>
          <w:tcPr>
            <w:tcW w:w="724" w:type="dxa"/>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Sig.</w:t>
            </w:r>
          </w:p>
        </w:tc>
        <w:tc>
          <w:tcPr>
            <w:tcW w:w="2223" w:type="dxa"/>
            <w:gridSpan w:val="2"/>
            <w:tcBorders>
              <w:top w:val="single" w:color="auto" w:sz="4" w:space="0"/>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95.0% confidence interval for 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vMerge w:val="continue"/>
            <w:tcBorders>
              <w:bottom w:val="single" w:color="auto" w:sz="4" w:space="0"/>
            </w:tcBorders>
          </w:tcPr>
          <w:p>
            <w:pPr>
              <w:spacing w:line="360" w:lineRule="auto"/>
              <w:jc w:val="both"/>
              <w:rPr>
                <w:rFonts w:ascii="Book Antiqua" w:hAnsi="Book Antiqua" w:eastAsia="Times New Roman"/>
                <w:b/>
                <w:lang w:eastAsia="tr-TR"/>
              </w:rPr>
            </w:pPr>
          </w:p>
        </w:tc>
        <w:tc>
          <w:tcPr>
            <w:tcW w:w="963"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B</w:t>
            </w:r>
          </w:p>
        </w:tc>
        <w:tc>
          <w:tcPr>
            <w:tcW w:w="1129"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Std. error</w:t>
            </w:r>
          </w:p>
        </w:tc>
        <w:tc>
          <w:tcPr>
            <w:tcW w:w="1838"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Beta</w:t>
            </w:r>
          </w:p>
        </w:tc>
        <w:tc>
          <w:tcPr>
            <w:tcW w:w="972" w:type="dxa"/>
            <w:tcBorders>
              <w:bottom w:val="single" w:color="auto" w:sz="4" w:space="0"/>
            </w:tcBorders>
          </w:tcPr>
          <w:p>
            <w:pPr>
              <w:spacing w:line="360" w:lineRule="auto"/>
              <w:jc w:val="both"/>
              <w:rPr>
                <w:rFonts w:ascii="Book Antiqua" w:hAnsi="Book Antiqua" w:eastAsia="Times New Roman"/>
                <w:b/>
                <w:lang w:eastAsia="tr-TR"/>
              </w:rPr>
            </w:pPr>
          </w:p>
        </w:tc>
        <w:tc>
          <w:tcPr>
            <w:tcW w:w="724" w:type="dxa"/>
            <w:tcBorders>
              <w:bottom w:val="single" w:color="auto" w:sz="4" w:space="0"/>
            </w:tcBorders>
          </w:tcPr>
          <w:p>
            <w:pPr>
              <w:spacing w:line="360" w:lineRule="auto"/>
              <w:jc w:val="both"/>
              <w:rPr>
                <w:rFonts w:ascii="Book Antiqua" w:hAnsi="Book Antiqua" w:eastAsia="Times New Roman"/>
                <w:b/>
                <w:lang w:eastAsia="tr-TR"/>
              </w:rPr>
            </w:pPr>
          </w:p>
        </w:tc>
        <w:tc>
          <w:tcPr>
            <w:tcW w:w="1109"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Lower bound</w:t>
            </w:r>
          </w:p>
        </w:tc>
        <w:tc>
          <w:tcPr>
            <w:tcW w:w="1114" w:type="dxa"/>
            <w:tcBorders>
              <w:bottom w:val="single" w:color="auto" w:sz="4" w:space="0"/>
            </w:tcBorders>
          </w:tcPr>
          <w:p>
            <w:pPr>
              <w:spacing w:line="360" w:lineRule="auto"/>
              <w:jc w:val="both"/>
              <w:rPr>
                <w:rFonts w:ascii="Book Antiqua" w:hAnsi="Book Antiqua" w:eastAsia="Times New Roman"/>
                <w:b/>
                <w:lang w:eastAsia="tr-TR"/>
              </w:rPr>
            </w:pPr>
            <w:r>
              <w:rPr>
                <w:rFonts w:ascii="Book Antiqua" w:hAnsi="Book Antiqua" w:eastAsia="Times New Roman"/>
                <w:b/>
                <w:color w:val="000000"/>
                <w:lang w:eastAsia="tr-TR"/>
              </w:rPr>
              <w:t>Upper bound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(Constant)</w:t>
            </w:r>
          </w:p>
        </w:tc>
        <w:tc>
          <w:tcPr>
            <w:tcW w:w="963"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4.592</w:t>
            </w:r>
          </w:p>
        </w:tc>
        <w:tc>
          <w:tcPr>
            <w:tcW w:w="1129"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1.113</w:t>
            </w:r>
          </w:p>
        </w:tc>
        <w:tc>
          <w:tcPr>
            <w:tcW w:w="1838" w:type="dxa"/>
            <w:tcBorders>
              <w:top w:val="single" w:color="auto" w:sz="4" w:space="0"/>
              <w:bottom w:val="nil"/>
            </w:tcBorders>
          </w:tcPr>
          <w:p>
            <w:pPr>
              <w:spacing w:line="360" w:lineRule="auto"/>
              <w:jc w:val="both"/>
              <w:rPr>
                <w:rFonts w:ascii="Book Antiqua" w:hAnsi="Book Antiqua" w:eastAsia="Times New Roman"/>
                <w:lang w:eastAsia="tr-TR"/>
              </w:rPr>
            </w:pPr>
          </w:p>
        </w:tc>
        <w:tc>
          <w:tcPr>
            <w:tcW w:w="972"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4.125</w:t>
            </w:r>
          </w:p>
        </w:tc>
        <w:tc>
          <w:tcPr>
            <w:tcW w:w="724" w:type="dxa"/>
            <w:tcBorders>
              <w:top w:val="single" w:color="auto" w:sz="4" w:space="0"/>
              <w:bottom w:val="nil"/>
            </w:tcBorders>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.000</w:t>
            </w:r>
          </w:p>
        </w:tc>
        <w:tc>
          <w:tcPr>
            <w:tcW w:w="1109"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2.394</w:t>
            </w:r>
          </w:p>
        </w:tc>
        <w:tc>
          <w:tcPr>
            <w:tcW w:w="1114" w:type="dxa"/>
            <w:tcBorders>
              <w:top w:val="single" w:color="auto" w:sz="4" w:space="0"/>
              <w:bottom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6.789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tcBorders>
              <w:top w:val="nil"/>
            </w:tcBorders>
          </w:tcPr>
          <w:p>
            <w:pPr>
              <w:spacing w:line="360" w:lineRule="auto"/>
              <w:jc w:val="both"/>
              <w:rPr>
                <w:rFonts w:ascii="Book Antiqua" w:hAnsi="Book Antiqua" w:eastAsia="Times New Roman"/>
                <w:color w:val="000000"/>
                <w:lang w:eastAsia="tr-TR"/>
              </w:rPr>
            </w:pPr>
            <w:r>
              <w:rPr>
                <w:rFonts w:ascii="Book Antiqua" w:hAnsi="Book Antiqua" w:eastAsia="Times New Roman"/>
                <w:color w:val="000000"/>
                <w:lang w:eastAsia="tr-TR"/>
              </w:rPr>
              <w:t>Reinfection</w:t>
            </w:r>
          </w:p>
        </w:tc>
        <w:tc>
          <w:tcPr>
            <w:tcW w:w="963" w:type="dxa"/>
            <w:tcBorders>
              <w:top w:val="nil"/>
            </w:tcBorders>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.600</w:t>
            </w:r>
          </w:p>
        </w:tc>
        <w:tc>
          <w:tcPr>
            <w:tcW w:w="1129" w:type="dxa"/>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1.113</w:t>
            </w:r>
          </w:p>
        </w:tc>
        <w:tc>
          <w:tcPr>
            <w:tcW w:w="1838" w:type="dxa"/>
            <w:tcBorders>
              <w:top w:val="nil"/>
            </w:tcBorders>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.032</w:t>
            </w:r>
          </w:p>
        </w:tc>
        <w:tc>
          <w:tcPr>
            <w:tcW w:w="972" w:type="dxa"/>
            <w:tcBorders>
              <w:top w:val="nil"/>
            </w:tcBorders>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.723</w:t>
            </w:r>
          </w:p>
        </w:tc>
        <w:tc>
          <w:tcPr>
            <w:tcW w:w="724" w:type="dxa"/>
            <w:tcBorders>
              <w:top w:val="nil"/>
            </w:tcBorders>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.471</w:t>
            </w:r>
          </w:p>
        </w:tc>
        <w:tc>
          <w:tcPr>
            <w:tcW w:w="1109" w:type="dxa"/>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-1.038</w:t>
            </w:r>
          </w:p>
        </w:tc>
        <w:tc>
          <w:tcPr>
            <w:tcW w:w="1114" w:type="dxa"/>
            <w:tcBorders>
              <w:top w:val="nil"/>
            </w:tcBorders>
          </w:tcPr>
          <w:p>
            <w:pPr>
              <w:spacing w:line="360" w:lineRule="auto"/>
              <w:jc w:val="both"/>
              <w:rPr>
                <w:rFonts w:ascii="Book Antiqua" w:hAnsi="Book Antiqua" w:eastAsia="Times New Roman"/>
                <w:lang w:eastAsia="tr-TR"/>
              </w:rPr>
            </w:pPr>
            <w:r>
              <w:rPr>
                <w:rFonts w:ascii="Book Antiqua" w:hAnsi="Book Antiqua" w:eastAsia="Times New Roman"/>
                <w:lang w:eastAsia="tr-TR"/>
              </w:rPr>
              <w:t>2.238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tcPr>
          <w:p>
            <w:pPr>
              <w:spacing w:line="360" w:lineRule="auto"/>
              <w:jc w:val="both"/>
              <w:rPr>
                <w:rFonts w:ascii="Book Antiqua" w:hAnsi="Book Antiqua" w:eastAsia="Times New Roman"/>
                <w:color w:val="000000"/>
                <w:lang w:eastAsia="tr-TR"/>
              </w:rPr>
            </w:pPr>
            <w:r>
              <w:rPr>
                <w:rFonts w:ascii="Book Antiqua" w:hAnsi="Book Antiqua" w:eastAsia="Times New Roman"/>
                <w:color w:val="000000"/>
                <w:lang w:eastAsia="tr-TR"/>
              </w:rPr>
              <w:t>Vaccination</w:t>
            </w:r>
          </w:p>
        </w:tc>
        <w:tc>
          <w:tcPr>
            <w:tcW w:w="963"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4.680</w:t>
            </w:r>
          </w:p>
        </w:tc>
        <w:tc>
          <w:tcPr>
            <w:tcW w:w="1129"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1.012</w:t>
            </w:r>
          </w:p>
        </w:tc>
        <w:tc>
          <w:tcPr>
            <w:tcW w:w="1838" w:type="dxa"/>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.204</w:t>
            </w:r>
          </w:p>
        </w:tc>
        <w:tc>
          <w:tcPr>
            <w:tcW w:w="972"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4.626</w:t>
            </w:r>
          </w:p>
        </w:tc>
        <w:tc>
          <w:tcPr>
            <w:tcW w:w="724" w:type="dxa"/>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.000</w:t>
            </w:r>
          </w:p>
        </w:tc>
        <w:tc>
          <w:tcPr>
            <w:tcW w:w="1109"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2.683</w:t>
            </w:r>
          </w:p>
        </w:tc>
        <w:tc>
          <w:tcPr>
            <w:tcW w:w="1114"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6.677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HADS-A</w:t>
            </w:r>
          </w:p>
        </w:tc>
        <w:tc>
          <w:tcPr>
            <w:tcW w:w="963"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w:t>
            </w:r>
            <w:r>
              <w:rPr>
                <w:rFonts w:hint="eastAsia" w:ascii="Book Antiqua" w:hAnsi="Book Antiqua"/>
                <w:lang w:eastAsia="zh-CN"/>
              </w:rPr>
              <w:t>0</w:t>
            </w:r>
            <w:r>
              <w:rPr>
                <w:rFonts w:ascii="Book Antiqua" w:hAnsi="Book Antiqua" w:eastAsia="Times New Roman"/>
                <w:lang w:eastAsia="tr-TR"/>
              </w:rPr>
              <w:t>.014</w:t>
            </w:r>
          </w:p>
        </w:tc>
        <w:tc>
          <w:tcPr>
            <w:tcW w:w="1129" w:type="dxa"/>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.093</w:t>
            </w:r>
          </w:p>
        </w:tc>
        <w:tc>
          <w:tcPr>
            <w:tcW w:w="1838"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w:t>
            </w:r>
            <w:r>
              <w:rPr>
                <w:rFonts w:hint="eastAsia" w:ascii="Book Antiqua" w:hAnsi="Book Antiqua"/>
                <w:lang w:eastAsia="zh-CN"/>
              </w:rPr>
              <w:t>0</w:t>
            </w:r>
            <w:r>
              <w:rPr>
                <w:rFonts w:ascii="Book Antiqua" w:hAnsi="Book Antiqua" w:eastAsia="Times New Roman"/>
                <w:lang w:eastAsia="tr-TR"/>
              </w:rPr>
              <w:t>.010</w:t>
            </w:r>
          </w:p>
        </w:tc>
        <w:tc>
          <w:tcPr>
            <w:tcW w:w="972"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w:t>
            </w:r>
            <w:r>
              <w:rPr>
                <w:rFonts w:hint="eastAsia" w:ascii="Book Antiqua" w:hAnsi="Book Antiqua"/>
                <w:lang w:eastAsia="zh-CN"/>
              </w:rPr>
              <w:t>0</w:t>
            </w:r>
            <w:r>
              <w:rPr>
                <w:rFonts w:ascii="Book Antiqua" w:hAnsi="Book Antiqua" w:eastAsia="Times New Roman"/>
                <w:lang w:eastAsia="tr-TR"/>
              </w:rPr>
              <w:t>.149</w:t>
            </w:r>
          </w:p>
        </w:tc>
        <w:tc>
          <w:tcPr>
            <w:tcW w:w="724" w:type="dxa"/>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.881</w:t>
            </w:r>
          </w:p>
        </w:tc>
        <w:tc>
          <w:tcPr>
            <w:tcW w:w="1109"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w:t>
            </w:r>
            <w:r>
              <w:rPr>
                <w:rFonts w:hint="eastAsia" w:ascii="Book Antiqua" w:hAnsi="Book Antiqua"/>
                <w:lang w:eastAsia="zh-CN"/>
              </w:rPr>
              <w:t>0</w:t>
            </w:r>
            <w:r>
              <w:rPr>
                <w:rFonts w:ascii="Book Antiqua" w:hAnsi="Book Antiqua" w:eastAsia="Times New Roman"/>
                <w:lang w:eastAsia="tr-TR"/>
              </w:rPr>
              <w:t>.197</w:t>
            </w:r>
          </w:p>
        </w:tc>
        <w:tc>
          <w:tcPr>
            <w:tcW w:w="1114" w:type="dxa"/>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7" w:type="dxa"/>
          </w:tcPr>
          <w:p>
            <w:pPr>
              <w:spacing w:line="360" w:lineRule="auto"/>
              <w:jc w:val="both"/>
              <w:rPr>
                <w:rFonts w:ascii="Book Antiqua" w:hAnsi="Book Antiqua" w:eastAsia="Times New Roman"/>
                <w:lang w:eastAsia="tr-TR"/>
              </w:rPr>
            </w:pPr>
            <w:r>
              <w:rPr>
                <w:rFonts w:ascii="Book Antiqua" w:hAnsi="Book Antiqua" w:eastAsia="Times New Roman"/>
                <w:color w:val="000000"/>
                <w:lang w:eastAsia="tr-TR"/>
              </w:rPr>
              <w:t>HADS-D</w:t>
            </w:r>
          </w:p>
        </w:tc>
        <w:tc>
          <w:tcPr>
            <w:tcW w:w="963"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-1.015</w:t>
            </w:r>
          </w:p>
        </w:tc>
        <w:tc>
          <w:tcPr>
            <w:tcW w:w="1129" w:type="dxa"/>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.093</w:t>
            </w:r>
          </w:p>
        </w:tc>
        <w:tc>
          <w:tcPr>
            <w:tcW w:w="1838"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w:t>
            </w:r>
            <w:r>
              <w:rPr>
                <w:rFonts w:hint="eastAsia" w:ascii="Book Antiqua" w:hAnsi="Book Antiqua"/>
                <w:lang w:eastAsia="zh-CN"/>
              </w:rPr>
              <w:t>0</w:t>
            </w:r>
            <w:r>
              <w:rPr>
                <w:rFonts w:ascii="Book Antiqua" w:hAnsi="Book Antiqua" w:eastAsia="Times New Roman"/>
                <w:lang w:eastAsia="tr-TR"/>
              </w:rPr>
              <w:t>.773</w:t>
            </w:r>
          </w:p>
        </w:tc>
        <w:tc>
          <w:tcPr>
            <w:tcW w:w="972" w:type="dxa"/>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.10951</w:t>
            </w:r>
          </w:p>
        </w:tc>
        <w:tc>
          <w:tcPr>
            <w:tcW w:w="724" w:type="dxa"/>
          </w:tcPr>
          <w:p>
            <w:pPr>
              <w:spacing w:line="360" w:lineRule="auto"/>
              <w:jc w:val="both"/>
              <w:rPr>
                <w:rFonts w:ascii="Book Antiqua" w:hAnsi="Book Antiqua" w:eastAsia="Times New Roman"/>
                <w:lang w:eastAsia="tr-TR"/>
              </w:rPr>
            </w:pPr>
            <w:r>
              <w:rPr>
                <w:rFonts w:hint="eastAsia" w:ascii="Book Antiqua" w:hAnsi="Book Antiqua"/>
                <w:lang w:eastAsia="zh-CN"/>
              </w:rPr>
              <w:t>0</w:t>
            </w:r>
            <w:r>
              <w:rPr>
                <w:rFonts w:ascii="Book Antiqua" w:hAnsi="Book Antiqua" w:eastAsia="Times New Roman"/>
                <w:lang w:eastAsia="tr-TR"/>
              </w:rPr>
              <w:t>.000</w:t>
            </w:r>
          </w:p>
        </w:tc>
        <w:tc>
          <w:tcPr>
            <w:tcW w:w="1109"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-1.198</w:t>
            </w:r>
          </w:p>
        </w:tc>
        <w:tc>
          <w:tcPr>
            <w:tcW w:w="1114" w:type="dxa"/>
          </w:tcPr>
          <w:p>
            <w:pPr>
              <w:spacing w:line="360" w:lineRule="auto"/>
              <w:jc w:val="both"/>
              <w:rPr>
                <w:rFonts w:ascii="Book Antiqua" w:hAnsi="Book Antiqua" w:eastAsia="Times New Roman"/>
                <w:lang w:eastAsia="tr-TR"/>
              </w:rPr>
            </w:pPr>
            <w:r>
              <w:rPr>
                <w:rFonts w:ascii="Book Antiqua" w:hAnsi="Book Antiqua" w:eastAsia="Times New Roman"/>
                <w:lang w:eastAsia="tr-TR"/>
              </w:rPr>
              <w:t>-</w:t>
            </w:r>
            <w:r>
              <w:rPr>
                <w:rFonts w:hint="eastAsia" w:ascii="Book Antiqua" w:hAnsi="Book Antiqua"/>
                <w:lang w:eastAsia="zh-CN"/>
              </w:rPr>
              <w:t>0</w:t>
            </w:r>
            <w:r>
              <w:rPr>
                <w:rFonts w:ascii="Book Antiqua" w:hAnsi="Book Antiqua" w:eastAsia="Times New Roman"/>
                <w:lang w:eastAsia="tr-TR"/>
              </w:rPr>
              <w:t>.832</w:t>
            </w:r>
          </w:p>
        </w:tc>
      </w:tr>
    </w:tbl>
    <w:p>
      <w:pPr>
        <w:spacing w:line="360" w:lineRule="auto"/>
        <w:jc w:val="both"/>
        <w:rPr>
          <w:rFonts w:hint="eastAsia" w:ascii="Book Antiqua" w:hAnsi="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Times New Roman"/>
          <w:color w:val="000000"/>
          <w:lang w:eastAsia="tr-TR"/>
        </w:rPr>
        <w:t>HADS-</w:t>
      </w:r>
      <w:r>
        <w:rPr>
          <w:rFonts w:hint="eastAsia" w:ascii="Book Antiqua" w:hAnsi="Book Antiqua"/>
          <w:color w:val="000000"/>
          <w:lang w:eastAsia="zh-CN"/>
        </w:rPr>
        <w:t>A</w:t>
      </w:r>
      <w:r>
        <w:rPr>
          <w:rFonts w:ascii="Book Antiqua" w:hAnsi="Book Antiqua" w:eastAsia="Times New Roman"/>
          <w:color w:val="000000"/>
          <w:lang w:eastAsia="tr-TR"/>
        </w:rPr>
        <w:t>: Hospital anxiety and depression scale-</w:t>
      </w:r>
      <w:r>
        <w:rPr>
          <w:rFonts w:ascii="Book Antiqua" w:hAnsi="Book Antiqua" w:eastAsia="Book Antiqua" w:cs="Book Antiqua"/>
          <w:color w:val="000000"/>
        </w:rPr>
        <w:t xml:space="preserve">anxiety </w:t>
      </w:r>
      <w:r>
        <w:rPr>
          <w:rFonts w:ascii="Book Antiqua" w:hAnsi="Book Antiqua" w:eastAsia="Times New Roman"/>
          <w:color w:val="000000"/>
          <w:lang w:eastAsia="tr-TR"/>
        </w:rPr>
        <w:t>score</w:t>
      </w:r>
      <w:r>
        <w:rPr>
          <w:rFonts w:hint="eastAsia" w:ascii="Book Antiqua" w:hAnsi="Book Antiqua"/>
          <w:lang w:eastAsia="zh-CN"/>
        </w:rPr>
        <w:t xml:space="preserve">; </w:t>
      </w:r>
      <w:r>
        <w:rPr>
          <w:rFonts w:ascii="Book Antiqua" w:hAnsi="Book Antiqua" w:eastAsia="Times New Roman"/>
          <w:color w:val="000000"/>
          <w:lang w:eastAsia="tr-TR"/>
        </w:rPr>
        <w:t>HADS-D: Hospital anxiety and depression scale-depression score</w:t>
      </w:r>
      <w:r>
        <w:rPr>
          <w:rFonts w:hint="eastAsia" w:ascii="Book Antiqua" w:hAnsi="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TimesNewRomanPSMT">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545424"/>
      <w:docPartObj>
        <w:docPartGallery w:val="autotext"/>
      </w:docPartObj>
    </w:sdtPr>
    <w:sdtContent>
      <w:sdt>
        <w:sdtPr>
          <w:id w:val="98381352"/>
          <w:docPartObj>
            <w:docPartGallery w:val="autotext"/>
          </w:docPartObj>
        </w:sdtPr>
        <w:sdtContent>
          <w:p>
            <w:pPr>
              <w:pStyle w:val="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zNjY2NzEyM7cwNrNQ0lEKTi0uzszPAykwrAUAZVCm3ywAAAA="/>
    <w:docVar w:name="commondata" w:val="eyJoZGlkIjoiNzQxMjQ0YTQ0ZmU3OTI5ZWNhNzI4MzQxYjA4YWJlOTIifQ=="/>
    <w:docVar w:name="EN.InstantFormat" w:val="&lt;ENInstantFormat&gt;&lt;Enabled&gt;1&lt;/Enabled&gt;&lt;ScanUnformatted&gt;1&lt;/ScanUnformatted&gt;&lt;ScanChanges&gt;1&lt;/ScanChanges&gt;&lt;Suspended&gt;1&lt;/Suspended&gt;&lt;/ENInstantFormat&gt;"/>
    <w:docVar w:name="EN.Layout" w:val="&lt;ENLayout&gt;&lt;Style&gt;Molecular Neurobi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w02vp25es0vne92eqp9050t95x00vvrwex&quot;&gt;covid&lt;record-ids&gt;&lt;item&gt;1&lt;/item&gt;&lt;item&gt;2&lt;/item&gt;&lt;item&gt;4&lt;/item&gt;&lt;item&gt;5&lt;/item&gt;&lt;item&gt;7&lt;/item&gt;&lt;item&gt;8&lt;/item&gt;&lt;item&gt;9&lt;/item&gt;&lt;item&gt;12&lt;/item&gt;&lt;/record-ids&gt;&lt;/item&gt;&lt;/Libraries&gt;"/>
  </w:docVars>
  <w:rsids>
    <w:rsidRoot w:val="00A77B3E"/>
    <w:rsid w:val="00015538"/>
    <w:rsid w:val="00023CC2"/>
    <w:rsid w:val="000513C1"/>
    <w:rsid w:val="0005713A"/>
    <w:rsid w:val="00074894"/>
    <w:rsid w:val="00092989"/>
    <w:rsid w:val="000D1956"/>
    <w:rsid w:val="000F6981"/>
    <w:rsid w:val="00102AF7"/>
    <w:rsid w:val="001406A1"/>
    <w:rsid w:val="00160A49"/>
    <w:rsid w:val="0016213F"/>
    <w:rsid w:val="001756B5"/>
    <w:rsid w:val="00186659"/>
    <w:rsid w:val="0018718E"/>
    <w:rsid w:val="0019080F"/>
    <w:rsid w:val="001C61F8"/>
    <w:rsid w:val="001F26DD"/>
    <w:rsid w:val="00203900"/>
    <w:rsid w:val="00221238"/>
    <w:rsid w:val="002318AB"/>
    <w:rsid w:val="0023344D"/>
    <w:rsid w:val="00235466"/>
    <w:rsid w:val="0027280E"/>
    <w:rsid w:val="00273A79"/>
    <w:rsid w:val="002B45B8"/>
    <w:rsid w:val="002B4B69"/>
    <w:rsid w:val="002B4FD5"/>
    <w:rsid w:val="002D39FB"/>
    <w:rsid w:val="002F1EDA"/>
    <w:rsid w:val="003B2B6E"/>
    <w:rsid w:val="003F666A"/>
    <w:rsid w:val="00402E77"/>
    <w:rsid w:val="00403853"/>
    <w:rsid w:val="004565A8"/>
    <w:rsid w:val="00464361"/>
    <w:rsid w:val="00484522"/>
    <w:rsid w:val="00484FCB"/>
    <w:rsid w:val="004A4FF4"/>
    <w:rsid w:val="004E2164"/>
    <w:rsid w:val="004E2E2E"/>
    <w:rsid w:val="004F7503"/>
    <w:rsid w:val="00501337"/>
    <w:rsid w:val="005B01EA"/>
    <w:rsid w:val="005B4420"/>
    <w:rsid w:val="005C78A8"/>
    <w:rsid w:val="00631D6F"/>
    <w:rsid w:val="0064702A"/>
    <w:rsid w:val="00667427"/>
    <w:rsid w:val="00684447"/>
    <w:rsid w:val="0069420D"/>
    <w:rsid w:val="006A0C9F"/>
    <w:rsid w:val="006A78D4"/>
    <w:rsid w:val="006B1D05"/>
    <w:rsid w:val="006C5A16"/>
    <w:rsid w:val="00714998"/>
    <w:rsid w:val="007371CA"/>
    <w:rsid w:val="007606D2"/>
    <w:rsid w:val="00762847"/>
    <w:rsid w:val="00763446"/>
    <w:rsid w:val="007A6997"/>
    <w:rsid w:val="007B46FC"/>
    <w:rsid w:val="007D142A"/>
    <w:rsid w:val="007F3139"/>
    <w:rsid w:val="008A003C"/>
    <w:rsid w:val="008C18DD"/>
    <w:rsid w:val="008C526F"/>
    <w:rsid w:val="008E50F0"/>
    <w:rsid w:val="00910E79"/>
    <w:rsid w:val="0094396F"/>
    <w:rsid w:val="009460E7"/>
    <w:rsid w:val="00950109"/>
    <w:rsid w:val="0096579A"/>
    <w:rsid w:val="00977647"/>
    <w:rsid w:val="009B3BBD"/>
    <w:rsid w:val="009B40A6"/>
    <w:rsid w:val="009C12BA"/>
    <w:rsid w:val="009C18C2"/>
    <w:rsid w:val="009F73B1"/>
    <w:rsid w:val="00A13FAC"/>
    <w:rsid w:val="00A30ECA"/>
    <w:rsid w:val="00A4418E"/>
    <w:rsid w:val="00A45341"/>
    <w:rsid w:val="00A56DFF"/>
    <w:rsid w:val="00A75086"/>
    <w:rsid w:val="00A77B3E"/>
    <w:rsid w:val="00A86E6D"/>
    <w:rsid w:val="00AA63C4"/>
    <w:rsid w:val="00AF3342"/>
    <w:rsid w:val="00B7657E"/>
    <w:rsid w:val="00BD1AC4"/>
    <w:rsid w:val="00BD3949"/>
    <w:rsid w:val="00BE5609"/>
    <w:rsid w:val="00C31260"/>
    <w:rsid w:val="00C34219"/>
    <w:rsid w:val="00C35F8F"/>
    <w:rsid w:val="00C50E6C"/>
    <w:rsid w:val="00C63487"/>
    <w:rsid w:val="00C87A51"/>
    <w:rsid w:val="00CA2A55"/>
    <w:rsid w:val="00CA56FA"/>
    <w:rsid w:val="00CA6EEA"/>
    <w:rsid w:val="00CA7069"/>
    <w:rsid w:val="00CC6834"/>
    <w:rsid w:val="00D33216"/>
    <w:rsid w:val="00D70E82"/>
    <w:rsid w:val="00D76B2E"/>
    <w:rsid w:val="00DA5934"/>
    <w:rsid w:val="00DB08D2"/>
    <w:rsid w:val="00DB670A"/>
    <w:rsid w:val="00DC2C11"/>
    <w:rsid w:val="00DD28EC"/>
    <w:rsid w:val="00DE7068"/>
    <w:rsid w:val="00E05861"/>
    <w:rsid w:val="00E13662"/>
    <w:rsid w:val="00E26864"/>
    <w:rsid w:val="00E92E71"/>
    <w:rsid w:val="00EE0CAB"/>
    <w:rsid w:val="00EE7328"/>
    <w:rsid w:val="00F5131F"/>
    <w:rsid w:val="00F62A6B"/>
    <w:rsid w:val="00F73C83"/>
    <w:rsid w:val="00F74E87"/>
    <w:rsid w:val="00F82399"/>
    <w:rsid w:val="00F82866"/>
    <w:rsid w:val="00FB637C"/>
    <w:rsid w:val="00FE7FC9"/>
    <w:rsid w:val="2A380F62"/>
    <w:rsid w:val="397D5F71"/>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99"/>
    <w:pPr>
      <w:widowControl w:val="0"/>
    </w:pPr>
    <w:rPr>
      <w:rFonts w:eastAsia="宋体"/>
      <w:kern w:val="2"/>
      <w:sz w:val="21"/>
      <w:szCs w:val="20"/>
      <w:lang w:eastAsia="zh-CN"/>
    </w:rPr>
  </w:style>
  <w:style w:type="paragraph" w:styleId="3">
    <w:name w:val="Plain Text"/>
    <w:basedOn w:val="1"/>
    <w:link w:val="19"/>
    <w:qFormat/>
    <w:uiPriority w:val="0"/>
    <w:pPr>
      <w:widowControl w:val="0"/>
      <w:jc w:val="both"/>
    </w:pPr>
    <w:rPr>
      <w:rFonts w:ascii="宋体" w:hAnsi="Courier New" w:eastAsia="宋体" w:cs="Courier New"/>
      <w:kern w:val="2"/>
      <w:sz w:val="21"/>
      <w:szCs w:val="21"/>
      <w:lang w:eastAsia="zh-CN"/>
    </w:rPr>
  </w:style>
  <w:style w:type="paragraph" w:styleId="4">
    <w:name w:val="Balloon Text"/>
    <w:basedOn w:val="1"/>
    <w:link w:val="17"/>
    <w:qFormat/>
    <w:uiPriority w:val="0"/>
    <w:rPr>
      <w:sz w:val="18"/>
      <w:szCs w:val="18"/>
    </w:rPr>
  </w:style>
  <w:style w:type="paragraph" w:styleId="5">
    <w:name w:val="footer"/>
    <w:basedOn w:val="1"/>
    <w:link w:val="15"/>
    <w:qFormat/>
    <w:uiPriority w:val="99"/>
    <w:pPr>
      <w:tabs>
        <w:tab w:val="center" w:pos="4153"/>
        <w:tab w:val="right" w:pos="8306"/>
      </w:tabs>
      <w:snapToGrid w:val="0"/>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val="tr-TR" w:eastAsia="tr-TR"/>
    </w:rPr>
  </w:style>
  <w:style w:type="paragraph" w:styleId="8">
    <w:name w:val="Normal (Web)"/>
    <w:basedOn w:val="1"/>
    <w:link w:val="23"/>
    <w:unhideWhenUsed/>
    <w:qFormat/>
    <w:uiPriority w:val="99"/>
    <w:pPr>
      <w:spacing w:before="100" w:beforeAutospacing="1" w:after="100" w:afterAutospacing="1"/>
    </w:pPr>
    <w:rPr>
      <w:rFonts w:ascii="宋体" w:hAnsi="宋体" w:eastAsia="宋体" w:cs="宋体"/>
      <w:lang w:eastAsia="zh-CN"/>
    </w:rPr>
  </w:style>
  <w:style w:type="paragraph" w:styleId="9">
    <w:name w:val="annotation subject"/>
    <w:basedOn w:val="2"/>
    <w:next w:val="2"/>
    <w:link w:val="18"/>
    <w:qFormat/>
    <w:uiPriority w:val="0"/>
    <w:pPr>
      <w:widowControl/>
    </w:pPr>
    <w:rPr>
      <w:rFonts w:eastAsiaTheme="minorEastAsia"/>
      <w:b/>
      <w:bCs/>
      <w:kern w:val="0"/>
      <w:sz w:val="24"/>
      <w:szCs w:val="24"/>
      <w:lang w:eastAsia="en-US"/>
    </w:rPr>
  </w:style>
  <w:style w:type="table" w:styleId="11">
    <w:name w:val="Light Shading Accent 4"/>
    <w:basedOn w:val="10"/>
    <w:qFormat/>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13">
    <w:name w:val="annotation reference"/>
    <w:qFormat/>
    <w:uiPriority w:val="99"/>
    <w:rPr>
      <w:sz w:val="21"/>
      <w:szCs w:val="21"/>
    </w:rPr>
  </w:style>
  <w:style w:type="character" w:customStyle="1" w:styleId="14">
    <w:name w:val="页眉 字符"/>
    <w:basedOn w:val="12"/>
    <w:link w:val="6"/>
    <w:qFormat/>
    <w:uiPriority w:val="0"/>
    <w:rPr>
      <w:sz w:val="18"/>
      <w:szCs w:val="18"/>
    </w:rPr>
  </w:style>
  <w:style w:type="character" w:customStyle="1" w:styleId="15">
    <w:name w:val="页脚 字符"/>
    <w:basedOn w:val="12"/>
    <w:link w:val="5"/>
    <w:qFormat/>
    <w:uiPriority w:val="99"/>
    <w:rPr>
      <w:sz w:val="18"/>
      <w:szCs w:val="18"/>
    </w:rPr>
  </w:style>
  <w:style w:type="character" w:customStyle="1" w:styleId="16">
    <w:name w:val="批注文字 字符"/>
    <w:basedOn w:val="12"/>
    <w:link w:val="2"/>
    <w:qFormat/>
    <w:uiPriority w:val="99"/>
    <w:rPr>
      <w:rFonts w:eastAsia="宋体"/>
      <w:kern w:val="2"/>
      <w:sz w:val="21"/>
      <w:lang w:eastAsia="zh-CN"/>
    </w:rPr>
  </w:style>
  <w:style w:type="character" w:customStyle="1" w:styleId="17">
    <w:name w:val="批注框文本 字符"/>
    <w:basedOn w:val="12"/>
    <w:link w:val="4"/>
    <w:qFormat/>
    <w:uiPriority w:val="0"/>
    <w:rPr>
      <w:sz w:val="18"/>
      <w:szCs w:val="18"/>
    </w:rPr>
  </w:style>
  <w:style w:type="character" w:customStyle="1" w:styleId="18">
    <w:name w:val="批注主题 字符"/>
    <w:basedOn w:val="16"/>
    <w:link w:val="9"/>
    <w:qFormat/>
    <w:uiPriority w:val="0"/>
    <w:rPr>
      <w:rFonts w:eastAsia="宋体"/>
      <w:b/>
      <w:bCs/>
      <w:kern w:val="2"/>
      <w:sz w:val="24"/>
      <w:szCs w:val="24"/>
      <w:lang w:eastAsia="zh-CN"/>
    </w:rPr>
  </w:style>
  <w:style w:type="character" w:customStyle="1" w:styleId="19">
    <w:name w:val="纯文本 字符"/>
    <w:basedOn w:val="12"/>
    <w:link w:val="3"/>
    <w:qFormat/>
    <w:uiPriority w:val="0"/>
    <w:rPr>
      <w:rFonts w:ascii="宋体" w:hAnsi="Courier New" w:eastAsia="宋体" w:cs="Courier New"/>
      <w:kern w:val="2"/>
      <w:sz w:val="21"/>
      <w:szCs w:val="21"/>
      <w:lang w:eastAsia="zh-CN"/>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1">
    <w:name w:val="HTML 预设格式 字符"/>
    <w:basedOn w:val="12"/>
    <w:link w:val="7"/>
    <w:qFormat/>
    <w:uiPriority w:val="99"/>
    <w:rPr>
      <w:rFonts w:ascii="Courier New" w:hAnsi="Courier New" w:eastAsia="Times New Roman" w:cs="Courier New"/>
      <w:lang w:val="tr-TR" w:eastAsia="tr-TR"/>
    </w:rPr>
  </w:style>
  <w:style w:type="character" w:customStyle="1" w:styleId="22">
    <w:name w:val="y2ıqfc"/>
    <w:basedOn w:val="12"/>
    <w:qFormat/>
    <w:uiPriority w:val="0"/>
  </w:style>
  <w:style w:type="character" w:customStyle="1" w:styleId="23">
    <w:name w:val="普通(网站) 字符"/>
    <w:basedOn w:val="12"/>
    <w:link w:val="8"/>
    <w:qFormat/>
    <w:locked/>
    <w:uiPriority w:val="99"/>
    <w:rPr>
      <w:rFonts w:ascii="宋体" w:hAnsi="宋体" w:eastAsia="宋体" w:cs="宋体"/>
      <w:sz w:val="24"/>
      <w:szCs w:val="24"/>
      <w:lang w:eastAsia="zh-CN"/>
    </w:rPr>
  </w:style>
  <w:style w:type="paragraph" w:customStyle="1" w:styleId="24">
    <w:name w:val="EndNote Bibliography Title"/>
    <w:basedOn w:val="1"/>
    <w:link w:val="25"/>
    <w:qFormat/>
    <w:uiPriority w:val="0"/>
    <w:pPr>
      <w:jc w:val="center"/>
    </w:pPr>
  </w:style>
  <w:style w:type="character" w:customStyle="1" w:styleId="25">
    <w:name w:val="EndNote Bibliography Title Char"/>
    <w:basedOn w:val="12"/>
    <w:link w:val="24"/>
    <w:qFormat/>
    <w:uiPriority w:val="0"/>
    <w:rPr>
      <w:sz w:val="24"/>
      <w:szCs w:val="24"/>
    </w:rPr>
  </w:style>
  <w:style w:type="paragraph" w:customStyle="1" w:styleId="26">
    <w:name w:val="EndNote Bibliography"/>
    <w:basedOn w:val="1"/>
    <w:link w:val="27"/>
    <w:qFormat/>
    <w:uiPriority w:val="0"/>
    <w:pPr>
      <w:jc w:val="both"/>
    </w:pPr>
  </w:style>
  <w:style w:type="character" w:customStyle="1" w:styleId="27">
    <w:name w:val="EndNote Bibliography Char"/>
    <w:basedOn w:val="12"/>
    <w:link w:val="26"/>
    <w:qFormat/>
    <w:uiPriority w:val="0"/>
    <w:rPr>
      <w:sz w:val="24"/>
      <w:szCs w:val="24"/>
    </w:rPr>
  </w:style>
  <w:style w:type="character" w:styleId="28">
    <w:name w:val="Placeholder Text"/>
    <w:basedOn w:val="12"/>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35</Pages>
  <Words>6245</Words>
  <Characters>34765</Characters>
  <Lines>291</Lines>
  <Paragraphs>82</Paragraphs>
  <TotalTime>0</TotalTime>
  <ScaleCrop>false</ScaleCrop>
  <LinksUpToDate>false</LinksUpToDate>
  <CharactersWithSpaces>40338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2022-07-05T19:38:00Z</dcterms:created>
  <dc:creator>Hp</dc:creator>
  <cp:lastModifiedBy>晓晨</cp:lastModifiedBy>
  <dcterms:modified xsi:type="dcterms:W3CDTF">2022-07-21T09:33:08Z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B4A13F2866F04B2794E362F7979E99BC</vt:lpwstr>
  </property>
</Properties>
</file>