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D1" w:rsidRPr="00F86968" w:rsidRDefault="002C62D1" w:rsidP="00F86968">
      <w:pPr>
        <w:spacing w:line="360" w:lineRule="auto"/>
        <w:rPr>
          <w:rFonts w:ascii="Book Antiqua" w:hAnsi="Book Antiqua" w:cs="Tahoma"/>
          <w:b/>
          <w:color w:val="000000"/>
          <w:sz w:val="24"/>
          <w:szCs w:val="24"/>
        </w:rPr>
      </w:pPr>
      <w:r w:rsidRPr="00F86968">
        <w:rPr>
          <w:rFonts w:ascii="Book Antiqua" w:hAnsi="Book Antiqua" w:cs="Tahoma"/>
          <w:b/>
          <w:color w:val="0000FF"/>
          <w:sz w:val="24"/>
          <w:szCs w:val="24"/>
        </w:rPr>
        <w:t xml:space="preserve">Name of journal: </w:t>
      </w:r>
      <w:r w:rsidRPr="00F86968">
        <w:rPr>
          <w:rFonts w:ascii="Book Antiqua" w:hAnsi="Book Antiqua" w:cs="Tahoma"/>
          <w:b/>
          <w:color w:val="000000"/>
          <w:sz w:val="24"/>
          <w:szCs w:val="24"/>
        </w:rPr>
        <w:t>World Journal of Gastroenterology</w:t>
      </w:r>
    </w:p>
    <w:p w:rsidR="002C62D1" w:rsidRPr="00F86968" w:rsidRDefault="002C62D1" w:rsidP="00F86968">
      <w:pPr>
        <w:spacing w:line="360" w:lineRule="auto"/>
        <w:rPr>
          <w:rFonts w:ascii="Book Antiqua" w:hAnsi="Book Antiqua" w:cs="Tahoma"/>
          <w:b/>
          <w:color w:val="0000FF"/>
          <w:sz w:val="24"/>
          <w:szCs w:val="24"/>
        </w:rPr>
      </w:pPr>
      <w:r w:rsidRPr="00F86968">
        <w:rPr>
          <w:rFonts w:ascii="Book Antiqua" w:hAnsi="Book Antiqua" w:cs="Tahoma"/>
          <w:b/>
          <w:color w:val="0000FF"/>
          <w:sz w:val="24"/>
          <w:szCs w:val="24"/>
        </w:rPr>
        <w:t>ESPS Manuscript NO: 7547</w:t>
      </w:r>
    </w:p>
    <w:p w:rsidR="002C62D1" w:rsidRPr="00F86968" w:rsidRDefault="002C62D1" w:rsidP="00F86968">
      <w:pPr>
        <w:spacing w:line="360" w:lineRule="auto"/>
        <w:rPr>
          <w:rFonts w:ascii="Book Antiqua" w:hAnsi="Book Antiqua"/>
          <w:b/>
          <w:sz w:val="24"/>
          <w:szCs w:val="24"/>
        </w:rPr>
      </w:pPr>
      <w:r w:rsidRPr="00F86968">
        <w:rPr>
          <w:rFonts w:ascii="Book Antiqua" w:hAnsi="Book Antiqua" w:cs="Tahoma"/>
          <w:b/>
          <w:color w:val="0000FF"/>
          <w:sz w:val="24"/>
          <w:szCs w:val="24"/>
        </w:rPr>
        <w:t>Columns:</w:t>
      </w:r>
      <w:r w:rsidRPr="00F86968">
        <w:rPr>
          <w:rFonts w:ascii="Book Antiqua" w:hAnsi="Book Antiqua"/>
          <w:b/>
          <w:sz w:val="24"/>
          <w:szCs w:val="24"/>
        </w:rPr>
        <w:t xml:space="preserve"> META-ANALYSIS</w:t>
      </w:r>
    </w:p>
    <w:p w:rsidR="002C62D1" w:rsidRPr="00F86968" w:rsidRDefault="002C62D1" w:rsidP="00F86968">
      <w:pPr>
        <w:spacing w:line="360" w:lineRule="auto"/>
        <w:rPr>
          <w:rFonts w:ascii="Book Antiqua" w:hAnsi="Book Antiqua"/>
          <w:b/>
          <w:sz w:val="24"/>
          <w:szCs w:val="24"/>
        </w:rPr>
      </w:pP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No association of g-Protein beta polypeptide 3 polymorphisms with irritable bowel syndrome:</w:t>
      </w:r>
      <w:r>
        <w:rPr>
          <w:rFonts w:ascii="Book Antiqua" w:hAnsi="Book Antiqua"/>
          <w:b/>
          <w:sz w:val="24"/>
          <w:szCs w:val="24"/>
        </w:rPr>
        <w:t xml:space="preserve"> Evidences from a meta-analysis</w:t>
      </w:r>
    </w:p>
    <w:p w:rsidR="002C62D1" w:rsidRPr="00F86968" w:rsidRDefault="002C62D1" w:rsidP="00F86968">
      <w:pPr>
        <w:spacing w:line="360" w:lineRule="auto"/>
        <w:rPr>
          <w:rFonts w:ascii="Book Antiqua" w:hAnsi="Book Antiqua"/>
          <w:b/>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Pan</w:t>
      </w:r>
      <w:r w:rsidRPr="00F86968">
        <w:rPr>
          <w:rFonts w:ascii="Book Antiqua" w:hAnsi="Book Antiqua"/>
          <w:b/>
          <w:sz w:val="24"/>
          <w:szCs w:val="24"/>
        </w:rPr>
        <w:t xml:space="preserve"> </w:t>
      </w:r>
      <w:r w:rsidRPr="00F86968">
        <w:rPr>
          <w:rFonts w:ascii="Book Antiqua" w:hAnsi="Book Antiqua"/>
          <w:sz w:val="24"/>
          <w:szCs w:val="24"/>
        </w:rPr>
        <w:t xml:space="preserve">ZG </w:t>
      </w:r>
      <w:r w:rsidRPr="00F86968">
        <w:rPr>
          <w:rFonts w:ascii="Book Antiqua" w:hAnsi="Book Antiqua"/>
          <w:i/>
          <w:sz w:val="24"/>
          <w:szCs w:val="24"/>
        </w:rPr>
        <w:t>et al.</w:t>
      </w:r>
      <w:r w:rsidRPr="00F86968">
        <w:rPr>
          <w:rFonts w:ascii="Book Antiqua" w:hAnsi="Book Antiqua"/>
          <w:sz w:val="24"/>
          <w:szCs w:val="24"/>
        </w:rPr>
        <w:t xml:space="preserve"> </w:t>
      </w:r>
      <w:r w:rsidRPr="009162C8">
        <w:rPr>
          <w:rFonts w:ascii="Book Antiqua" w:hAnsi="Book Antiqua"/>
          <w:sz w:val="24"/>
          <w:szCs w:val="24"/>
        </w:rPr>
        <w:t>GNB3 with IBS risk</w:t>
      </w:r>
    </w:p>
    <w:p w:rsidR="002C62D1" w:rsidRPr="00F86968" w:rsidRDefault="002C62D1" w:rsidP="00F86968">
      <w:pPr>
        <w:spacing w:line="360" w:lineRule="auto"/>
        <w:rPr>
          <w:rFonts w:ascii="Book Antiqua" w:hAnsi="Book Antiqua"/>
          <w:b/>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Zhi-Gang Pan, Chen Xiao, Dong-Xing Su</w:t>
      </w:r>
    </w:p>
    <w:p w:rsidR="002C62D1" w:rsidRPr="00F86968" w:rsidRDefault="003162EB" w:rsidP="00F86968">
      <w:pPr>
        <w:spacing w:line="360" w:lineRule="auto"/>
        <w:rPr>
          <w:rFonts w:ascii="Book Antiqua" w:hAnsi="Book Antiqua"/>
          <w:color w:val="000000"/>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204469</wp:posOffset>
                </wp:positionV>
                <wp:extent cx="5724525" cy="0"/>
                <wp:effectExtent l="0" t="19050" r="952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6.1pt" to="45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" strokecolor="gray" strokeweight="3pt"/>
            </w:pict>
          </mc:Fallback>
        </mc:AlternateContent>
      </w:r>
    </w:p>
    <w:p w:rsidR="002C62D1" w:rsidRPr="00F86968" w:rsidRDefault="002C62D1" w:rsidP="00F86968">
      <w:pPr>
        <w:spacing w:line="360" w:lineRule="auto"/>
        <w:rPr>
          <w:rFonts w:ascii="Book Antiqua" w:hAnsi="Book Antiqua"/>
          <w:sz w:val="24"/>
          <w:szCs w:val="24"/>
        </w:rPr>
      </w:pPr>
      <w:r w:rsidRPr="00F86968">
        <w:rPr>
          <w:rFonts w:ascii="Book Antiqua" w:hAnsi="Book Antiqua"/>
          <w:b/>
          <w:color w:val="000000"/>
          <w:sz w:val="24"/>
          <w:szCs w:val="24"/>
        </w:rPr>
        <w:t xml:space="preserve">Zhi-Gang Pan, Chen Xiao, Dong-Xing Su, </w:t>
      </w:r>
      <w:r w:rsidRPr="00F86968">
        <w:rPr>
          <w:rFonts w:ascii="Book Antiqua" w:hAnsi="Book Antiqua"/>
          <w:color w:val="000000"/>
          <w:sz w:val="24"/>
          <w:szCs w:val="24"/>
        </w:rPr>
        <w:t>Department of Gastroenterology</w:t>
      </w:r>
      <w:r w:rsidRPr="00F86968">
        <w:rPr>
          <w:rFonts w:ascii="Book Antiqua" w:hAnsi="Book Antiqua"/>
          <w:sz w:val="24"/>
          <w:szCs w:val="24"/>
        </w:rPr>
        <w:t>, the Third Affiliated Hospital of Guangxi Medical University, Naning 533031, Guangxi Zhuang Autonomous Region, China</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eastAsia="MS Mincho" w:hAnsi="Book Antiqua"/>
          <w:b/>
          <w:sz w:val="24"/>
          <w:szCs w:val="24"/>
          <w:lang w:eastAsia="ja-JP"/>
        </w:rPr>
        <w:t>Author contributions:</w:t>
      </w:r>
      <w:r w:rsidRPr="00F86968">
        <w:rPr>
          <w:rFonts w:ascii="Book Antiqua" w:hAnsi="Book Antiqua"/>
          <w:sz w:val="24"/>
          <w:szCs w:val="24"/>
        </w:rPr>
        <w:t xml:space="preserve"> Su DX and Pan ZG conceived the study and implemented the final draft of the manuscript; Pan ZG and </w:t>
      </w:r>
      <w:r w:rsidRPr="00F86968">
        <w:rPr>
          <w:rFonts w:ascii="Book Antiqua" w:hAnsi="Book Antiqua"/>
          <w:color w:val="000000"/>
          <w:sz w:val="24"/>
          <w:szCs w:val="24"/>
        </w:rPr>
        <w:t>Xiao</w:t>
      </w:r>
      <w:r w:rsidRPr="00F86968">
        <w:rPr>
          <w:rFonts w:ascii="Book Antiqua" w:hAnsi="Book Antiqua"/>
          <w:sz w:val="24"/>
          <w:szCs w:val="24"/>
        </w:rPr>
        <w:t xml:space="preserve"> C performed the statistical analysis and wrote the paper; Pan ZG and </w:t>
      </w:r>
      <w:r w:rsidRPr="00F86968">
        <w:rPr>
          <w:rFonts w:ascii="Book Antiqua" w:hAnsi="Book Antiqua"/>
          <w:color w:val="000000"/>
          <w:sz w:val="24"/>
          <w:szCs w:val="24"/>
        </w:rPr>
        <w:t>Xiao</w:t>
      </w:r>
      <w:r w:rsidRPr="00F86968">
        <w:rPr>
          <w:rFonts w:ascii="Book Antiqua" w:hAnsi="Book Antiqua"/>
          <w:sz w:val="24"/>
          <w:szCs w:val="24"/>
        </w:rPr>
        <w:t xml:space="preserve"> C searched the studies and extracted the data; all authors read and approved the final manuscript.</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b/>
          <w:color w:val="000000"/>
          <w:sz w:val="24"/>
          <w:szCs w:val="24"/>
        </w:rPr>
        <w:t>Correspondence to:</w:t>
      </w:r>
      <w:r w:rsidRPr="00F86968">
        <w:rPr>
          <w:rFonts w:ascii="Book Antiqua" w:hAnsi="Book Antiqua"/>
          <w:sz w:val="24"/>
          <w:szCs w:val="24"/>
        </w:rPr>
        <w:t xml:space="preserve"> </w:t>
      </w:r>
      <w:r w:rsidRPr="00F86968">
        <w:rPr>
          <w:rFonts w:ascii="Book Antiqua" w:hAnsi="Book Antiqua"/>
          <w:b/>
          <w:sz w:val="24"/>
          <w:szCs w:val="24"/>
        </w:rPr>
        <w:t xml:space="preserve">Dr. </w:t>
      </w:r>
      <w:r w:rsidRPr="00F86968">
        <w:rPr>
          <w:rFonts w:ascii="Book Antiqua" w:hAnsi="Book Antiqua"/>
          <w:b/>
          <w:color w:val="000000"/>
          <w:sz w:val="24"/>
          <w:szCs w:val="24"/>
        </w:rPr>
        <w:t xml:space="preserve">Dong-Xing Su, </w:t>
      </w:r>
      <w:r w:rsidRPr="00F86968">
        <w:rPr>
          <w:rFonts w:ascii="Book Antiqua" w:hAnsi="Book Antiqua"/>
          <w:sz w:val="24"/>
          <w:szCs w:val="24"/>
        </w:rPr>
        <w:t xml:space="preserve">Department of </w:t>
      </w:r>
      <w:r w:rsidRPr="00F86968">
        <w:rPr>
          <w:rFonts w:ascii="Book Antiqua" w:hAnsi="Book Antiqua"/>
          <w:color w:val="000000"/>
          <w:sz w:val="24"/>
          <w:szCs w:val="24"/>
        </w:rPr>
        <w:t>Gastroenterology</w:t>
      </w:r>
      <w:r w:rsidRPr="00F86968">
        <w:rPr>
          <w:rFonts w:ascii="Book Antiqua" w:hAnsi="Book Antiqua"/>
          <w:sz w:val="24"/>
          <w:szCs w:val="24"/>
        </w:rPr>
        <w:t xml:space="preserve">, the Third Affiliated Hospital of Guangxi Medical University, 13 Dancun Road, Nanning 530031, Guangxi Zhuang Autonomous Region, China. </w:t>
      </w:r>
      <w:hyperlink r:id="rId7" w:history="1">
        <w:r w:rsidRPr="00F86968">
          <w:rPr>
            <w:rStyle w:val="a4"/>
            <w:rFonts w:ascii="Book Antiqua" w:hAnsi="Book Antiqua"/>
            <w:color w:val="auto"/>
            <w:sz w:val="24"/>
            <w:szCs w:val="24"/>
            <w:u w:val="none"/>
          </w:rPr>
          <w:t>553851548@qq.com</w:t>
        </w:r>
      </w:hyperlink>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Telephone</w:t>
      </w:r>
      <w:r w:rsidRPr="00F86968">
        <w:rPr>
          <w:rFonts w:ascii="Book Antiqua" w:hAnsi="Book Antiqua"/>
          <w:sz w:val="24"/>
          <w:szCs w:val="24"/>
        </w:rPr>
        <w:t>: +86-771-</w:t>
      </w:r>
      <w:r w:rsidRPr="009162C8">
        <w:rPr>
          <w:rFonts w:ascii="Book Antiqua" w:hAnsi="Book Antiqua"/>
          <w:sz w:val="24"/>
          <w:szCs w:val="24"/>
        </w:rPr>
        <w:t>2246364</w:t>
      </w:r>
      <w:r w:rsidRPr="00F86968">
        <w:rPr>
          <w:rFonts w:ascii="Book Antiqua" w:hAnsi="Book Antiqua"/>
          <w:sz w:val="24"/>
          <w:szCs w:val="24"/>
        </w:rPr>
        <w:tab/>
        <w:t xml:space="preserve"> </w:t>
      </w:r>
      <w:r w:rsidRPr="00F86968">
        <w:rPr>
          <w:rFonts w:ascii="Book Antiqua" w:hAnsi="Book Antiqua"/>
          <w:b/>
          <w:sz w:val="24"/>
          <w:szCs w:val="24"/>
        </w:rPr>
        <w:t>Fax</w:t>
      </w:r>
      <w:r w:rsidRPr="00F86968">
        <w:rPr>
          <w:rFonts w:ascii="Book Antiqua" w:hAnsi="Book Antiqua"/>
          <w:sz w:val="24"/>
          <w:szCs w:val="24"/>
        </w:rPr>
        <w:t>: +86-771-2246523</w:t>
      </w:r>
    </w:p>
    <w:p w:rsidR="002C62D1" w:rsidRPr="00F86968" w:rsidRDefault="002C62D1" w:rsidP="00F86968">
      <w:pPr>
        <w:spacing w:line="360" w:lineRule="auto"/>
        <w:rPr>
          <w:rFonts w:ascii="Book Antiqua" w:hAnsi="Book Antiqua"/>
          <w:bCs/>
          <w:color w:val="0000FF"/>
          <w:sz w:val="24"/>
          <w:szCs w:val="24"/>
        </w:rPr>
      </w:pPr>
    </w:p>
    <w:p w:rsidR="002C62D1" w:rsidRPr="00F86968" w:rsidRDefault="002C62D1" w:rsidP="00F86968">
      <w:pPr>
        <w:spacing w:line="360" w:lineRule="auto"/>
        <w:rPr>
          <w:rFonts w:ascii="Book Antiqua" w:hAnsi="Book Antiqua"/>
          <w:b/>
          <w:color w:val="000000"/>
          <w:sz w:val="24"/>
          <w:szCs w:val="24"/>
        </w:rPr>
      </w:pPr>
      <w:bookmarkStart w:id="0" w:name="OLE_LINK4"/>
      <w:bookmarkStart w:id="1" w:name="OLE_LINK5"/>
      <w:r w:rsidRPr="00F86968">
        <w:rPr>
          <w:rFonts w:ascii="Book Antiqua" w:hAnsi="Book Antiqua"/>
          <w:b/>
          <w:color w:val="000000"/>
          <w:sz w:val="24"/>
          <w:szCs w:val="24"/>
        </w:rPr>
        <w:t xml:space="preserve">Received: </w:t>
      </w:r>
      <w:r w:rsidRPr="00F86968">
        <w:rPr>
          <w:rFonts w:ascii="Book Antiqua" w:hAnsi="Book Antiqua"/>
          <w:color w:val="000000"/>
          <w:sz w:val="24"/>
          <w:szCs w:val="24"/>
        </w:rPr>
        <w:t>November 23, 2013</w:t>
      </w:r>
      <w:r w:rsidRPr="00F86968">
        <w:rPr>
          <w:rFonts w:ascii="Book Antiqua" w:hAnsi="Book Antiqua"/>
          <w:color w:val="000000"/>
          <w:sz w:val="24"/>
          <w:szCs w:val="24"/>
        </w:rPr>
        <w:tab/>
      </w:r>
      <w:r w:rsidRPr="00F86968">
        <w:rPr>
          <w:rFonts w:ascii="Book Antiqua" w:hAnsi="Book Antiqua"/>
          <w:color w:val="000000"/>
          <w:sz w:val="24"/>
          <w:szCs w:val="24"/>
        </w:rPr>
        <w:tab/>
      </w:r>
      <w:r w:rsidRPr="00F86968">
        <w:rPr>
          <w:rFonts w:ascii="Book Antiqua" w:hAnsi="Book Antiqua"/>
          <w:b/>
          <w:color w:val="000000"/>
          <w:sz w:val="24"/>
          <w:szCs w:val="24"/>
        </w:rPr>
        <w:t xml:space="preserve">Revised: </w:t>
      </w:r>
      <w:r w:rsidRPr="00F86968">
        <w:rPr>
          <w:rFonts w:ascii="Book Antiqua" w:hAnsi="Book Antiqua"/>
          <w:color w:val="000000"/>
          <w:sz w:val="24"/>
          <w:szCs w:val="24"/>
        </w:rPr>
        <w:t>December 15, 2013</w:t>
      </w:r>
    </w:p>
    <w:p w:rsidR="003162EB" w:rsidRPr="0064057D" w:rsidRDefault="002C62D1" w:rsidP="003162EB">
      <w:pPr>
        <w:rPr>
          <w:rFonts w:ascii="Book Antiqua" w:hAnsi="Book Antiqua"/>
          <w:sz w:val="24"/>
          <w:szCs w:val="24"/>
        </w:rPr>
      </w:pPr>
      <w:r w:rsidRPr="00F86968">
        <w:rPr>
          <w:rFonts w:ascii="Book Antiqua" w:hAnsi="Book Antiqua"/>
          <w:b/>
          <w:color w:val="000000"/>
          <w:sz w:val="24"/>
          <w:szCs w:val="24"/>
        </w:rPr>
        <w:t xml:space="preserve">Accepted: </w:t>
      </w:r>
      <w:r w:rsidR="003162EB" w:rsidRPr="0064057D">
        <w:rPr>
          <w:rFonts w:ascii="Book Antiqua" w:hAnsi="Book Antiqua"/>
          <w:sz w:val="24"/>
          <w:szCs w:val="24"/>
        </w:rPr>
        <w:t>January 14, 2014</w:t>
      </w:r>
    </w:p>
    <w:p w:rsidR="002C62D1" w:rsidRPr="00F86968" w:rsidRDefault="002C62D1" w:rsidP="00F86968">
      <w:pPr>
        <w:spacing w:line="360" w:lineRule="auto"/>
        <w:rPr>
          <w:rFonts w:ascii="Book Antiqua" w:hAnsi="Book Antiqua"/>
          <w:b/>
          <w:color w:val="000000"/>
          <w:sz w:val="24"/>
          <w:szCs w:val="24"/>
        </w:rPr>
      </w:pPr>
      <w:bookmarkStart w:id="2" w:name="_GoBack"/>
      <w:bookmarkEnd w:id="2"/>
    </w:p>
    <w:p w:rsidR="002C62D1" w:rsidRPr="00F86968" w:rsidRDefault="002C62D1" w:rsidP="00F86968">
      <w:pPr>
        <w:spacing w:line="360" w:lineRule="auto"/>
        <w:rPr>
          <w:rFonts w:ascii="Book Antiqua" w:hAnsi="Book Antiqua"/>
          <w:color w:val="000000"/>
          <w:sz w:val="24"/>
          <w:szCs w:val="24"/>
        </w:rPr>
      </w:pPr>
      <w:r w:rsidRPr="00F86968">
        <w:rPr>
          <w:rFonts w:ascii="Book Antiqua" w:hAnsi="Book Antiqua"/>
          <w:b/>
          <w:color w:val="000000"/>
          <w:sz w:val="24"/>
          <w:szCs w:val="24"/>
        </w:rPr>
        <w:t xml:space="preserve">Published online: </w:t>
      </w:r>
    </w:p>
    <w:bookmarkEnd w:id="0"/>
    <w:bookmarkEnd w:id="1"/>
    <w:p w:rsidR="002C62D1" w:rsidRPr="00F86968" w:rsidRDefault="002C62D1" w:rsidP="00F86968">
      <w:pPr>
        <w:spacing w:line="360" w:lineRule="auto"/>
        <w:rPr>
          <w:rFonts w:ascii="Book Antiqua" w:hAnsi="Book Antiqua"/>
          <w:sz w:val="24"/>
          <w:szCs w:val="24"/>
        </w:rPr>
      </w:pPr>
    </w:p>
    <w:p w:rsidR="002C62D1" w:rsidRPr="00F86968" w:rsidRDefault="002C62D1" w:rsidP="00F86968">
      <w:pPr>
        <w:widowControl/>
        <w:spacing w:line="360" w:lineRule="auto"/>
        <w:rPr>
          <w:rFonts w:ascii="Book Antiqua" w:hAnsi="Book Antiqua"/>
          <w:b/>
          <w:sz w:val="24"/>
          <w:szCs w:val="24"/>
        </w:rPr>
      </w:pPr>
      <w:r w:rsidRPr="00F86968">
        <w:rPr>
          <w:rFonts w:ascii="Book Antiqua" w:hAnsi="Book Antiqua"/>
          <w:b/>
          <w:sz w:val="24"/>
          <w:szCs w:val="24"/>
        </w:rPr>
        <w:br w:type="page"/>
      </w: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Abstract</w:t>
      </w:r>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 xml:space="preserve">AIM: </w:t>
      </w:r>
      <w:r w:rsidRPr="00F86968">
        <w:rPr>
          <w:rFonts w:ascii="Book Antiqua" w:hAnsi="Book Antiqua"/>
          <w:sz w:val="24"/>
          <w:szCs w:val="24"/>
        </w:rPr>
        <w:t>To clarify these associations between G-protein beta polypeptide 3 (GNB3) C825T polymorphisms and risk of the irritable bowel syndrome (IBS) are controversial by a meta-analysis.</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METHODS:</w:t>
      </w:r>
      <w:r w:rsidRPr="00F86968">
        <w:rPr>
          <w:rFonts w:ascii="Book Antiqua" w:hAnsi="Book Antiqua"/>
          <w:sz w:val="24"/>
          <w:szCs w:val="24"/>
        </w:rPr>
        <w:t xml:space="preserve"> We searched relevant studies in PubMed, EMBASE, CNKI, Google Scholar, Ovid and Cochrane library prior to October 2013. The strengths of the associations between GNB3 C825T polymorphisms and IBS risk were estimated by OR with 95%CI.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 xml:space="preserve">RESULTS: </w:t>
      </w:r>
      <w:r w:rsidRPr="00F86968">
        <w:rPr>
          <w:rFonts w:ascii="Book Antiqua" w:hAnsi="Book Antiqua"/>
          <w:sz w:val="24"/>
          <w:szCs w:val="24"/>
        </w:rPr>
        <w:t xml:space="preserve">We identified seven case-control studies with 1085 IBS cases and 1695 controls for the analysis. We found no significantly associations of GNB3 C825T polymorphisms with IBS risk in the overall population (CC </w:t>
      </w:r>
      <w:r w:rsidRPr="00F86968">
        <w:rPr>
          <w:rFonts w:ascii="Book Antiqua" w:hAnsi="Book Antiqua"/>
          <w:i/>
          <w:sz w:val="24"/>
          <w:szCs w:val="24"/>
        </w:rPr>
        <w:t>vs</w:t>
      </w:r>
      <w:r w:rsidRPr="00F86968">
        <w:rPr>
          <w:rFonts w:ascii="Book Antiqua" w:hAnsi="Book Antiqua"/>
          <w:sz w:val="24"/>
          <w:szCs w:val="24"/>
        </w:rPr>
        <w:t xml:space="preserve"> TT, OR = 1.12, 95%CI: 0.86-1.45; CC+CT </w:t>
      </w:r>
      <w:r w:rsidRPr="00F86968">
        <w:rPr>
          <w:rFonts w:ascii="Book Antiqua" w:hAnsi="Book Antiqua"/>
          <w:i/>
          <w:sz w:val="24"/>
          <w:szCs w:val="24"/>
        </w:rPr>
        <w:t>vs</w:t>
      </w:r>
      <w:r w:rsidRPr="00F86968">
        <w:rPr>
          <w:rFonts w:ascii="Book Antiqua" w:hAnsi="Book Antiqua"/>
          <w:sz w:val="24"/>
          <w:szCs w:val="24"/>
        </w:rPr>
        <w:t xml:space="preserve"> TT, OR = 1.17, 95%CI: 0.92-1.49; TT+CT </w:t>
      </w:r>
      <w:r w:rsidRPr="00F86968">
        <w:rPr>
          <w:rFonts w:ascii="Book Antiqua" w:hAnsi="Book Antiqua"/>
          <w:i/>
          <w:sz w:val="24"/>
          <w:szCs w:val="24"/>
        </w:rPr>
        <w:t>vs</w:t>
      </w:r>
      <w:r w:rsidRPr="00F86968">
        <w:rPr>
          <w:rFonts w:ascii="Book Antiqua" w:hAnsi="Book Antiqua"/>
          <w:sz w:val="24"/>
          <w:szCs w:val="24"/>
        </w:rPr>
        <w:t xml:space="preserve"> CC, OR = 0.93, 95%CI: 0.80-1.08; C </w:t>
      </w:r>
      <w:r w:rsidRPr="00F86968">
        <w:rPr>
          <w:rFonts w:ascii="Book Antiqua" w:hAnsi="Book Antiqua"/>
          <w:i/>
          <w:sz w:val="24"/>
          <w:szCs w:val="24"/>
        </w:rPr>
        <w:t>vs</w:t>
      </w:r>
      <w:r w:rsidRPr="00F86968">
        <w:rPr>
          <w:rFonts w:ascii="Book Antiqua" w:hAnsi="Book Antiqua"/>
          <w:sz w:val="24"/>
          <w:szCs w:val="24"/>
        </w:rPr>
        <w:t xml:space="preserve"> T, OR = 1.08, 95%CI: 0.97-1.21). Subgroup analysis did not reveal significant associations either in Asian population or Caucasian population (all </w:t>
      </w:r>
      <w:r w:rsidRPr="00F86968">
        <w:rPr>
          <w:rFonts w:ascii="Book Antiqua" w:hAnsi="Book Antiqua"/>
          <w:i/>
          <w:sz w:val="24"/>
          <w:szCs w:val="24"/>
        </w:rPr>
        <w:t xml:space="preserve">P </w:t>
      </w:r>
      <w:r w:rsidRPr="00F86968">
        <w:rPr>
          <w:rFonts w:ascii="Book Antiqua" w:hAnsi="Book Antiqua"/>
          <w:sz w:val="24"/>
          <w:szCs w:val="24"/>
        </w:rPr>
        <w:t xml:space="preserve">&gt; 0.05). The pooled results of four studies fail to show associations of GNB3 C825T polymorphisms with subtypes of IBS (constipation-dominant type, diarrhea-dominant type and mixed type). </w:t>
      </w:r>
    </w:p>
    <w:p w:rsidR="002C62D1" w:rsidRPr="00F86968" w:rsidRDefault="002C62D1" w:rsidP="00F86968">
      <w:pPr>
        <w:spacing w:line="360" w:lineRule="auto"/>
        <w:rPr>
          <w:rFonts w:ascii="Book Antiqua" w:hAnsi="Book Antiqua"/>
          <w:sz w:val="24"/>
          <w:szCs w:val="24"/>
        </w:rPr>
      </w:pPr>
    </w:p>
    <w:p w:rsidR="002C62D1" w:rsidRDefault="002C62D1" w:rsidP="00F86968">
      <w:pPr>
        <w:spacing w:line="360" w:lineRule="auto"/>
        <w:rPr>
          <w:rFonts w:ascii="Book Antiqua" w:hAnsi="Book Antiqua"/>
          <w:sz w:val="24"/>
          <w:szCs w:val="24"/>
        </w:rPr>
      </w:pPr>
      <w:r w:rsidRPr="00F86968">
        <w:rPr>
          <w:rFonts w:ascii="Book Antiqua" w:hAnsi="Book Antiqua"/>
          <w:b/>
          <w:sz w:val="24"/>
          <w:szCs w:val="24"/>
        </w:rPr>
        <w:t>CONCLUSIONS:</w:t>
      </w:r>
      <w:r w:rsidRPr="00F86968">
        <w:rPr>
          <w:rFonts w:ascii="Book Antiqua" w:hAnsi="Book Antiqua"/>
          <w:sz w:val="24"/>
          <w:szCs w:val="24"/>
        </w:rPr>
        <w:t xml:space="preserve"> The present study suggests that no associations of GNB3 C825T polymorphisms with IBS risk.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201</w:t>
      </w:r>
      <w:r>
        <w:rPr>
          <w:rFonts w:ascii="Book Antiqua" w:hAnsi="Book Antiqua"/>
          <w:sz w:val="24"/>
          <w:szCs w:val="24"/>
        </w:rPr>
        <w:t>4</w:t>
      </w:r>
      <w:r w:rsidRPr="00F86968">
        <w:rPr>
          <w:rFonts w:ascii="Book Antiqua" w:hAnsi="Book Antiqua"/>
          <w:sz w:val="24"/>
          <w:szCs w:val="24"/>
        </w:rPr>
        <w:t xml:space="preserve"> Baishideng Publishing Group Co., Limited. All rights reserved.</w:t>
      </w:r>
    </w:p>
    <w:p w:rsidR="002C62D1" w:rsidRPr="00F86968" w:rsidRDefault="002C62D1" w:rsidP="00F86968">
      <w:pPr>
        <w:spacing w:line="360" w:lineRule="auto"/>
        <w:rPr>
          <w:rFonts w:ascii="Book Antiqua" w:hAnsi="Book Antiqua"/>
          <w:b/>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Key words:</w:t>
      </w:r>
      <w:r w:rsidRPr="00F86968">
        <w:rPr>
          <w:rFonts w:ascii="Book Antiqua" w:hAnsi="Book Antiqua"/>
          <w:sz w:val="24"/>
          <w:szCs w:val="24"/>
        </w:rPr>
        <w:t xml:space="preserve"> Irritable bowel syndrome; G-protein beta polypeptide 3; Polymorphisms; Meta- analysis</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Core tip:</w:t>
      </w:r>
      <w:r w:rsidRPr="00F86968">
        <w:rPr>
          <w:rFonts w:ascii="Book Antiqua" w:hAnsi="Book Antiqua"/>
          <w:sz w:val="24"/>
          <w:szCs w:val="24"/>
        </w:rPr>
        <w:t xml:space="preserve"> GNB3 polymorphisms have been identified as an independent risk factor </w:t>
      </w:r>
      <w:r w:rsidRPr="00F86968">
        <w:rPr>
          <w:rFonts w:ascii="Book Antiqua" w:hAnsi="Book Antiqua"/>
          <w:sz w:val="24"/>
          <w:szCs w:val="24"/>
        </w:rPr>
        <w:lastRenderedPageBreak/>
        <w:t>causally associated with functional gastrointestinal disorder and receives extensive interest. However, its association with IBS remains controversial. In the present paper, the authors combing the data from seven case-control studies with 1085 IBS cases and 1695 controls, their results failed to show that there were associations between GNB3 C825T polymorphisms and IBS risk in the overall population; subgroup analysis did not reveal significant associations either in Asian population or Caucasian population. In regard to the subtypes of IBS (constipation-dominant type, diarrhea-dominant type and mixed type), no associations were found either.</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bookmarkStart w:id="3" w:name="OLE_LINK130"/>
      <w:bookmarkStart w:id="4" w:name="OLE_LINK134"/>
      <w:r w:rsidRPr="00F86968">
        <w:rPr>
          <w:rFonts w:ascii="Book Antiqua" w:hAnsi="Book Antiqua"/>
          <w:sz w:val="24"/>
          <w:szCs w:val="24"/>
        </w:rPr>
        <w:t>Pan ZG, Xiao C, Su DX. No association of g-protein beta polypeptide 3 polymorphisms with irritable bowel syndrome: Evidences from a meta-analysis.</w:t>
      </w:r>
    </w:p>
    <w:p w:rsidR="002C62D1" w:rsidRPr="00F86968" w:rsidRDefault="002C62D1" w:rsidP="00F86968">
      <w:pPr>
        <w:adjustRightInd w:val="0"/>
        <w:snapToGrid w:val="0"/>
        <w:spacing w:line="360" w:lineRule="auto"/>
        <w:ind w:rightChars="-506" w:right="-1063"/>
        <w:rPr>
          <w:rFonts w:ascii="Book Antiqua" w:hAnsi="Book Antiqua"/>
          <w:sz w:val="24"/>
          <w:szCs w:val="24"/>
        </w:rPr>
      </w:pPr>
      <w:r w:rsidRPr="00F86968">
        <w:rPr>
          <w:rFonts w:ascii="Book Antiqua" w:hAnsi="Book Antiqua"/>
          <w:i/>
          <w:sz w:val="24"/>
          <w:szCs w:val="24"/>
        </w:rPr>
        <w:t>World J Gastroenterol</w:t>
      </w:r>
      <w:r w:rsidRPr="00F86968">
        <w:rPr>
          <w:rFonts w:ascii="Book Antiqua" w:hAnsi="Book Antiqua"/>
          <w:sz w:val="24"/>
          <w:szCs w:val="24"/>
        </w:rPr>
        <w:t xml:space="preserve"> 2013; </w:t>
      </w:r>
    </w:p>
    <w:p w:rsidR="002C62D1" w:rsidRPr="00F86968" w:rsidRDefault="002C62D1" w:rsidP="00F86968">
      <w:pPr>
        <w:pStyle w:val="p0"/>
        <w:adjustRightInd w:val="0"/>
        <w:snapToGrid w:val="0"/>
        <w:spacing w:line="360" w:lineRule="auto"/>
        <w:jc w:val="both"/>
        <w:rPr>
          <w:rFonts w:ascii="Book Antiqua" w:hAnsi="Book Antiqua"/>
          <w:sz w:val="24"/>
          <w:szCs w:val="24"/>
        </w:rPr>
      </w:pPr>
      <w:r w:rsidRPr="00F86968">
        <w:rPr>
          <w:rFonts w:ascii="Book Antiqua" w:hAnsi="Book Antiqua"/>
          <w:b/>
          <w:bCs/>
          <w:sz w:val="24"/>
          <w:szCs w:val="24"/>
        </w:rPr>
        <w:t>Available from:</w:t>
      </w:r>
    </w:p>
    <w:p w:rsidR="002C62D1" w:rsidRPr="00F86968" w:rsidRDefault="002C62D1" w:rsidP="00F86968">
      <w:pPr>
        <w:pStyle w:val="p0"/>
        <w:adjustRightInd w:val="0"/>
        <w:snapToGrid w:val="0"/>
        <w:spacing w:line="360" w:lineRule="auto"/>
        <w:jc w:val="both"/>
        <w:rPr>
          <w:rFonts w:ascii="Book Antiqua" w:hAnsi="Book Antiqua"/>
          <w:kern w:val="2"/>
          <w:sz w:val="24"/>
          <w:szCs w:val="24"/>
        </w:rPr>
      </w:pPr>
      <w:r w:rsidRPr="00F86968">
        <w:rPr>
          <w:rFonts w:ascii="Book Antiqua" w:hAnsi="Book Antiqua"/>
          <w:b/>
          <w:kern w:val="2"/>
          <w:sz w:val="24"/>
          <w:szCs w:val="24"/>
        </w:rPr>
        <w:t>DOI:</w:t>
      </w:r>
      <w:r w:rsidRPr="00F86968">
        <w:rPr>
          <w:rFonts w:ascii="Book Antiqua" w:hAnsi="Book Antiqua"/>
          <w:kern w:val="2"/>
          <w:sz w:val="24"/>
          <w:szCs w:val="24"/>
        </w:rPr>
        <w:t xml:space="preserve"> </w:t>
      </w:r>
    </w:p>
    <w:bookmarkEnd w:id="3"/>
    <w:bookmarkEnd w:id="4"/>
    <w:p w:rsidR="002C62D1" w:rsidRPr="00F86968" w:rsidRDefault="002C62D1" w:rsidP="00F86968">
      <w:pPr>
        <w:spacing w:line="360" w:lineRule="auto"/>
        <w:rPr>
          <w:rFonts w:ascii="Book Antiqua" w:hAnsi="Book Antiqua"/>
          <w:sz w:val="24"/>
          <w:szCs w:val="24"/>
        </w:rPr>
      </w:pPr>
    </w:p>
    <w:p w:rsidR="002C62D1" w:rsidRPr="00F86968" w:rsidRDefault="002C62D1" w:rsidP="00F86968">
      <w:pPr>
        <w:widowControl/>
        <w:spacing w:line="360" w:lineRule="auto"/>
        <w:rPr>
          <w:rFonts w:ascii="Book Antiqua" w:hAnsi="Book Antiqua"/>
          <w:b/>
          <w:sz w:val="24"/>
          <w:szCs w:val="24"/>
        </w:rPr>
      </w:pPr>
      <w:r w:rsidRPr="00F86968">
        <w:rPr>
          <w:rFonts w:ascii="Book Antiqua" w:hAnsi="Book Antiqua"/>
          <w:b/>
          <w:sz w:val="24"/>
          <w:szCs w:val="24"/>
        </w:rPr>
        <w:br w:type="page"/>
      </w: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INTRODUCTION</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Irritable bowel syndrome (IBS) is a functional gastrointestinal disorder (FGID) of multifactorial origin. Population-based studies show that the prevalence and annual incidence of IBS ranges from 10%–20% and 1%–2%, respectively</w:t>
      </w:r>
      <w:r w:rsidRPr="00F86968">
        <w:rPr>
          <w:rFonts w:ascii="Book Antiqua" w:hAnsi="Book Antiqua"/>
          <w:sz w:val="24"/>
          <w:szCs w:val="24"/>
          <w:vertAlign w:val="superscript"/>
        </w:rPr>
        <w:t>[1]</w:t>
      </w:r>
      <w:r w:rsidRPr="00F86968">
        <w:rPr>
          <w:rFonts w:ascii="Book Antiqua" w:hAnsi="Book Antiqua"/>
          <w:sz w:val="24"/>
          <w:szCs w:val="24"/>
        </w:rPr>
        <w:t>. Several factors are associated with IBS, including abnormal gastrointestinal motor function, visceral hypersensitivity, psychological distress (including depression, anxiety, and abuse), immune dysregulation, dietary factors, and family history of IBS</w:t>
      </w:r>
      <w:r w:rsidRPr="00F86968">
        <w:rPr>
          <w:rFonts w:ascii="Book Antiqua" w:hAnsi="Book Antiqua"/>
          <w:sz w:val="24"/>
          <w:szCs w:val="24"/>
          <w:vertAlign w:val="superscript"/>
        </w:rPr>
        <w:t>[2]</w:t>
      </w:r>
      <w:r w:rsidRPr="00F86968">
        <w:rPr>
          <w:rFonts w:ascii="Book Antiqua" w:hAnsi="Book Antiqua"/>
          <w:sz w:val="24"/>
          <w:szCs w:val="24"/>
        </w:rPr>
        <w:t>. In addition, evidence indicating that IBS cases cluster in families</w:t>
      </w:r>
      <w:r w:rsidRPr="00F86968">
        <w:rPr>
          <w:rFonts w:ascii="Book Antiqua" w:hAnsi="Book Antiqua"/>
          <w:sz w:val="24"/>
          <w:szCs w:val="24"/>
          <w:vertAlign w:val="superscript"/>
        </w:rPr>
        <w:t>[3]</w:t>
      </w:r>
      <w:r w:rsidRPr="00F86968">
        <w:rPr>
          <w:rFonts w:ascii="Book Antiqua" w:hAnsi="Book Antiqua"/>
          <w:sz w:val="24"/>
          <w:szCs w:val="24"/>
        </w:rPr>
        <w:t xml:space="preserve"> and that identical twins have a greater chance of developing IBS than dizygotic twins</w:t>
      </w:r>
      <w:r w:rsidRPr="00F86968">
        <w:rPr>
          <w:rFonts w:ascii="Book Antiqua" w:hAnsi="Book Antiqua"/>
          <w:sz w:val="24"/>
          <w:szCs w:val="24"/>
          <w:vertAlign w:val="superscript"/>
        </w:rPr>
        <w:t>[4]</w:t>
      </w:r>
      <w:r w:rsidRPr="00F86968">
        <w:rPr>
          <w:rFonts w:ascii="Book Antiqua" w:hAnsi="Book Antiqua"/>
          <w:sz w:val="24"/>
          <w:szCs w:val="24"/>
        </w:rPr>
        <w:t xml:space="preserve"> suggests that genetic factors also contribute to the pathogenesis of IBS. Accordingly, the genes encoding several proteins, such as serotonin (5-hydroxytryptamine, 5-HT), interleukin (IL)-10, and tumor necrosis factor (TNF)-</w:t>
      </w:r>
      <w:r>
        <w:rPr>
          <w:rFonts w:ascii="Book Antiqua" w:hAnsi="Book Antiqua"/>
          <w:sz w:val="24"/>
          <w:szCs w:val="24"/>
        </w:rPr>
        <w:t></w:t>
      </w:r>
      <w:r w:rsidRPr="00F86968">
        <w:rPr>
          <w:rFonts w:ascii="Book Antiqua" w:hAnsi="Book Antiqua"/>
          <w:sz w:val="24"/>
          <w:szCs w:val="24"/>
        </w:rPr>
        <w:t xml:space="preserve"> have been proven to be associated with the risk of IBS</w:t>
      </w:r>
      <w:r w:rsidRPr="00F86968">
        <w:rPr>
          <w:rFonts w:ascii="Book Antiqua" w:hAnsi="Book Antiqua"/>
          <w:sz w:val="24"/>
          <w:szCs w:val="24"/>
          <w:vertAlign w:val="superscript"/>
        </w:rPr>
        <w:t>[5,6]</w:t>
      </w:r>
      <w:r w:rsidRPr="00F86968">
        <w:rPr>
          <w:rFonts w:ascii="Book Antiqua" w:hAnsi="Book Antiqua"/>
          <w:sz w:val="24"/>
          <w:szCs w:val="24"/>
        </w:rPr>
        <w:t xml:space="preserve">. </w:t>
      </w:r>
    </w:p>
    <w:p w:rsidR="002C62D1" w:rsidRPr="00F86968" w:rsidRDefault="002C62D1" w:rsidP="00F86968">
      <w:pPr>
        <w:spacing w:line="360" w:lineRule="auto"/>
        <w:ind w:firstLineChars="300" w:firstLine="720"/>
        <w:rPr>
          <w:rFonts w:ascii="Book Antiqua" w:hAnsi="Book Antiqua"/>
          <w:sz w:val="24"/>
          <w:szCs w:val="24"/>
        </w:rPr>
      </w:pPr>
      <w:r w:rsidRPr="00F86968">
        <w:rPr>
          <w:rFonts w:ascii="Book Antiqua" w:hAnsi="Book Antiqua"/>
          <w:sz w:val="24"/>
          <w:szCs w:val="24"/>
        </w:rPr>
        <w:t>G-protein was also recently indicated to be another emerging candidate gene for the risk of IBS</w:t>
      </w:r>
      <w:r w:rsidRPr="00F86968">
        <w:rPr>
          <w:rFonts w:ascii="Book Antiqua" w:hAnsi="Book Antiqua"/>
          <w:sz w:val="24"/>
          <w:szCs w:val="24"/>
          <w:vertAlign w:val="superscript"/>
        </w:rPr>
        <w:t>[5]</w:t>
      </w:r>
      <w:r w:rsidRPr="00F86968">
        <w:rPr>
          <w:rFonts w:ascii="Book Antiqua" w:hAnsi="Book Antiqua"/>
          <w:sz w:val="24"/>
          <w:szCs w:val="24"/>
        </w:rPr>
        <w:t>. G-protein, which comprises an α, a β, and a γ subunit, integrates signals between receptors and effector proteins. The G-protein β polypeptide 3 (</w:t>
      </w:r>
      <w:r w:rsidRPr="00F86968">
        <w:rPr>
          <w:rFonts w:ascii="Book Antiqua" w:hAnsi="Book Antiqua"/>
          <w:i/>
          <w:sz w:val="24"/>
          <w:szCs w:val="24"/>
        </w:rPr>
        <w:t>GNB3</w:t>
      </w:r>
      <w:r w:rsidRPr="00F86968">
        <w:rPr>
          <w:rFonts w:ascii="Book Antiqua" w:hAnsi="Book Antiqua"/>
          <w:sz w:val="24"/>
          <w:szCs w:val="24"/>
        </w:rPr>
        <w:t>) gene is implicated in the pathogenesis of FGID</w:t>
      </w:r>
      <w:r w:rsidRPr="00F86968">
        <w:rPr>
          <w:rFonts w:ascii="Book Antiqua" w:hAnsi="Book Antiqua"/>
          <w:sz w:val="24"/>
          <w:szCs w:val="24"/>
          <w:vertAlign w:val="superscript"/>
        </w:rPr>
        <w:t>[7,8]</w:t>
      </w:r>
      <w:r w:rsidRPr="00F86968">
        <w:rPr>
          <w:rFonts w:ascii="Book Antiqua" w:hAnsi="Book Antiqua"/>
          <w:sz w:val="24"/>
          <w:szCs w:val="24"/>
        </w:rPr>
        <w:t xml:space="preserve"> and IBS</w:t>
      </w:r>
      <w:r w:rsidRPr="00F86968">
        <w:rPr>
          <w:rFonts w:ascii="Book Antiqua" w:hAnsi="Book Antiqua"/>
          <w:sz w:val="24"/>
          <w:szCs w:val="24"/>
          <w:vertAlign w:val="superscript"/>
        </w:rPr>
        <w:t>[6,9,10]</w:t>
      </w:r>
      <w:r w:rsidRPr="00F86968">
        <w:rPr>
          <w:rFonts w:ascii="Book Antiqua" w:hAnsi="Book Antiqua"/>
          <w:sz w:val="24"/>
          <w:szCs w:val="24"/>
        </w:rPr>
        <w:t xml:space="preserve">. The C825T polymorphism in the </w:t>
      </w:r>
      <w:r w:rsidRPr="00F86968">
        <w:rPr>
          <w:rFonts w:ascii="Book Antiqua" w:hAnsi="Book Antiqua"/>
          <w:i/>
          <w:sz w:val="24"/>
          <w:szCs w:val="24"/>
        </w:rPr>
        <w:t>GNB3</w:t>
      </w:r>
      <w:r w:rsidRPr="00F86968">
        <w:rPr>
          <w:rFonts w:ascii="Book Antiqua" w:hAnsi="Book Antiqua"/>
          <w:sz w:val="24"/>
          <w:szCs w:val="24"/>
        </w:rPr>
        <w:t xml:space="preserve"> gene encodes the β3 subunit of heterotrimeric G-proteins</w:t>
      </w:r>
      <w:r w:rsidRPr="00F86968">
        <w:rPr>
          <w:rFonts w:ascii="Book Antiqua" w:hAnsi="Book Antiqua"/>
          <w:sz w:val="24"/>
          <w:szCs w:val="24"/>
          <w:vertAlign w:val="superscript"/>
        </w:rPr>
        <w:t>[11,12]</w:t>
      </w:r>
      <w:r w:rsidRPr="00F86968">
        <w:rPr>
          <w:rFonts w:ascii="Book Antiqua" w:hAnsi="Book Antiqua"/>
          <w:sz w:val="24"/>
          <w:szCs w:val="24"/>
        </w:rPr>
        <w:t xml:space="preserve">. Furthermore, the T allele of </w:t>
      </w:r>
      <w:r w:rsidRPr="00F86968">
        <w:rPr>
          <w:rFonts w:ascii="Book Antiqua" w:hAnsi="Book Antiqua"/>
          <w:i/>
          <w:sz w:val="24"/>
          <w:szCs w:val="24"/>
        </w:rPr>
        <w:t>GNB3</w:t>
      </w:r>
      <w:r w:rsidRPr="00F86968">
        <w:rPr>
          <w:rFonts w:ascii="Book Antiqua" w:hAnsi="Book Antiqua"/>
          <w:sz w:val="24"/>
          <w:szCs w:val="24"/>
        </w:rPr>
        <w:t xml:space="preserve"> C825T is associated with alternative splicing of the gene and the formation of a truncated but functionally active splice variant</w:t>
      </w:r>
      <w:r w:rsidRPr="00F86968">
        <w:rPr>
          <w:rFonts w:ascii="Book Antiqua" w:hAnsi="Book Antiqua"/>
          <w:sz w:val="24"/>
          <w:szCs w:val="24"/>
          <w:vertAlign w:val="superscript"/>
        </w:rPr>
        <w:t>[13]</w:t>
      </w:r>
      <w:r w:rsidRPr="00F86968">
        <w:rPr>
          <w:rFonts w:ascii="Book Antiqua" w:hAnsi="Book Antiqua"/>
          <w:sz w:val="24"/>
          <w:szCs w:val="24"/>
        </w:rPr>
        <w:t xml:space="preserve">. Although several studies have investigated the association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 the results are inconsistent</w:t>
      </w:r>
      <w:r w:rsidRPr="00F86968">
        <w:rPr>
          <w:rFonts w:ascii="Book Antiqua" w:hAnsi="Book Antiqua"/>
          <w:sz w:val="24"/>
          <w:szCs w:val="24"/>
          <w:vertAlign w:val="superscript"/>
        </w:rPr>
        <w:t>[5,10,14,15]</w:t>
      </w:r>
      <w:r w:rsidRPr="00F86968">
        <w:rPr>
          <w:rFonts w:ascii="Book Antiqua" w:hAnsi="Book Antiqua"/>
          <w:sz w:val="24"/>
          <w:szCs w:val="24"/>
        </w:rPr>
        <w:t xml:space="preserve">. Such inconsistencies are generally due to ethnic differences or variations in sample size. Therefore, the present meta-analysis aimed to clarify the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MATERIALS AND METHODS</w:t>
      </w: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Search strategy and study selection</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In order to find all studies investigating the associations between </w:t>
      </w:r>
      <w:r w:rsidRPr="00F86968">
        <w:rPr>
          <w:rFonts w:ascii="Book Antiqua" w:hAnsi="Book Antiqua"/>
          <w:i/>
          <w:sz w:val="24"/>
          <w:szCs w:val="24"/>
        </w:rPr>
        <w:t>GNB3</w:t>
      </w:r>
      <w:r w:rsidRPr="00F86968">
        <w:rPr>
          <w:rFonts w:ascii="Book Antiqua" w:hAnsi="Book Antiqua"/>
          <w:sz w:val="24"/>
          <w:szCs w:val="24"/>
        </w:rPr>
        <w:t xml:space="preserve"> </w:t>
      </w:r>
      <w:r w:rsidRPr="00F86968">
        <w:rPr>
          <w:rFonts w:ascii="Book Antiqua" w:hAnsi="Book Antiqua"/>
          <w:sz w:val="24"/>
          <w:szCs w:val="24"/>
        </w:rPr>
        <w:lastRenderedPageBreak/>
        <w:t>polymorphisms and IBS risk, we searched the Cochrane Clinical Trials Database, Medline, EMBASE and the Chinese National Knowledge Infrastructure, Google Scholar, the Ovid Library, and conference abstracts prior to October 2013 using the following search terms: “irritable bowel syndrome,” “G-protein beta3 subunit,” and “polymorphism.” The search was not limited by language or publication status. Potentially relevant articles were screened by at least 2 independent reviewers, and disagreements were resolved by discussion or input from a third reviewer if required.</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Inclusion and exclusion criteria</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The inclusion criteria were as follows: (1) a study examining the association between </w:t>
      </w:r>
      <w:r w:rsidRPr="00F86968">
        <w:rPr>
          <w:rFonts w:ascii="Book Antiqua" w:hAnsi="Book Antiqua"/>
          <w:i/>
          <w:sz w:val="24"/>
          <w:szCs w:val="24"/>
        </w:rPr>
        <w:t>GNB3</w:t>
      </w:r>
      <w:r w:rsidRPr="00F86968">
        <w:rPr>
          <w:rFonts w:ascii="Book Antiqua" w:hAnsi="Book Antiqua"/>
          <w:sz w:val="24"/>
          <w:szCs w:val="24"/>
        </w:rPr>
        <w:t xml:space="preserve"> polymorphisms and IBS risk; (2) case–control design; and (3) sufficient information of genotype frequency. In cases of studies with the overlapping data, the most recent one was selected.</w:t>
      </w:r>
    </w:p>
    <w:p w:rsidR="002C62D1" w:rsidRPr="00F86968" w:rsidRDefault="002C62D1" w:rsidP="00F86968">
      <w:pPr>
        <w:spacing w:line="360" w:lineRule="auto"/>
        <w:ind w:firstLineChars="200" w:firstLine="480"/>
        <w:rPr>
          <w:rFonts w:ascii="Book Antiqua" w:hAnsi="Book Antiqua"/>
          <w:sz w:val="24"/>
          <w:szCs w:val="24"/>
        </w:rPr>
      </w:pPr>
      <w:r w:rsidRPr="00F86968">
        <w:rPr>
          <w:rFonts w:ascii="Book Antiqua" w:hAnsi="Book Antiqua"/>
          <w:sz w:val="24"/>
          <w:szCs w:val="24"/>
        </w:rPr>
        <w:t xml:space="preserve">The exclusion criteria were as follows: (1) non-case–control design; and (2) genotype frequency or allele frequency not adequately reported/data unable to be obtained by contacting the authors.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Data extraction</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Two investigators independently extracted data from the identified publications, including the first author’s name, year of publication, source of publication, IBS diagnostic criteria, genotyping method, numbers of cases and controls, genotype frequency, and allele frequency. Discrepancies in data extraction were resolved by repeating the study review and discussing the results.</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 xml:space="preserve">Statistical analysis </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Hardy–Weinberg equilibrium (HWE) was applied to the control population to evaluate the data quality, and HWE analysis was carried out using the </w:t>
      </w:r>
      <w:r w:rsidRPr="00F86968">
        <w:rPr>
          <w:rFonts w:ascii="Book Antiqua" w:hAnsi="Book Antiqua"/>
          <w:i/>
          <w:sz w:val="24"/>
          <w:szCs w:val="24"/>
        </w:rPr>
        <w:t>χ</w:t>
      </w:r>
      <w:r w:rsidRPr="00F86968">
        <w:rPr>
          <w:rFonts w:ascii="Book Antiqua" w:hAnsi="Book Antiqua"/>
          <w:sz w:val="24"/>
          <w:szCs w:val="24"/>
          <w:vertAlign w:val="superscript"/>
        </w:rPr>
        <w:t>2</w:t>
      </w:r>
      <w:r w:rsidRPr="00F86968">
        <w:rPr>
          <w:rFonts w:ascii="Book Antiqua" w:hAnsi="Book Antiqua"/>
          <w:sz w:val="24"/>
          <w:szCs w:val="24"/>
        </w:rPr>
        <w:t xml:space="preserve"> test. The respective associations under the allele contrast, codominant, dominant, and recessive models were analyzed. The strengths of the associations between </w:t>
      </w:r>
      <w:r w:rsidRPr="00F86968">
        <w:rPr>
          <w:rFonts w:ascii="Book Antiqua" w:hAnsi="Book Antiqua"/>
          <w:i/>
          <w:sz w:val="24"/>
          <w:szCs w:val="24"/>
        </w:rPr>
        <w:t>GNB3</w:t>
      </w:r>
      <w:r w:rsidRPr="00F86968">
        <w:rPr>
          <w:rFonts w:ascii="Book Antiqua" w:hAnsi="Book Antiqua"/>
          <w:sz w:val="24"/>
          <w:szCs w:val="24"/>
        </w:rPr>
        <w:t xml:space="preserve"> </w:t>
      </w:r>
      <w:r w:rsidRPr="00F86968">
        <w:rPr>
          <w:rFonts w:ascii="Book Antiqua" w:hAnsi="Book Antiqua"/>
          <w:sz w:val="24"/>
          <w:szCs w:val="24"/>
        </w:rPr>
        <w:lastRenderedPageBreak/>
        <w:t xml:space="preserve">polymorphisms and IBS risk were estimated according to odds ratios (ORs) with 95% confidence intervals (CIs). The heterogeneity among studies was assessed in a meta-analysis using the Cochran </w:t>
      </w:r>
      <w:r w:rsidRPr="00F86968">
        <w:rPr>
          <w:rFonts w:ascii="Book Antiqua" w:hAnsi="Book Antiqua"/>
          <w:i/>
          <w:sz w:val="24"/>
          <w:szCs w:val="24"/>
        </w:rPr>
        <w:t>Q</w:t>
      </w:r>
      <w:r w:rsidRPr="00F86968">
        <w:rPr>
          <w:rFonts w:ascii="Book Antiqua" w:hAnsi="Book Antiqua"/>
          <w:sz w:val="24"/>
          <w:szCs w:val="24"/>
        </w:rPr>
        <w:t xml:space="preserve"> test. The inconsistency index </w:t>
      </w:r>
      <w:r w:rsidRPr="00F86968">
        <w:rPr>
          <w:rFonts w:ascii="Book Antiqua" w:hAnsi="Book Antiqua"/>
          <w:i/>
          <w:sz w:val="24"/>
          <w:szCs w:val="24"/>
        </w:rPr>
        <w:t>I</w:t>
      </w:r>
      <w:r w:rsidRPr="00F86968">
        <w:rPr>
          <w:rFonts w:ascii="Book Antiqua" w:hAnsi="Book Antiqua"/>
          <w:sz w:val="24"/>
          <w:szCs w:val="24"/>
          <w:vertAlign w:val="superscript"/>
        </w:rPr>
        <w:t>2</w:t>
      </w:r>
      <w:r w:rsidRPr="00F86968">
        <w:rPr>
          <w:rFonts w:ascii="Book Antiqua" w:hAnsi="Book Antiqua"/>
          <w:sz w:val="24"/>
          <w:szCs w:val="24"/>
        </w:rPr>
        <w:t xml:space="preserve"> was also calculated to quantify heterogeneity</w:t>
      </w:r>
      <w:r w:rsidRPr="00F86968">
        <w:rPr>
          <w:rFonts w:ascii="Book Antiqua" w:hAnsi="Book Antiqua"/>
          <w:sz w:val="24"/>
          <w:szCs w:val="24"/>
          <w:vertAlign w:val="superscript"/>
        </w:rPr>
        <w:t>[16]</w:t>
      </w:r>
      <w:r w:rsidRPr="00F86968">
        <w:rPr>
          <w:rFonts w:ascii="Book Antiqua" w:hAnsi="Book Antiqua"/>
          <w:sz w:val="24"/>
          <w:szCs w:val="24"/>
        </w:rPr>
        <w:t>. A fixed-effects model (</w:t>
      </w:r>
      <w:r w:rsidRPr="00F86968">
        <w:rPr>
          <w:rFonts w:ascii="Book Antiqua" w:hAnsi="Book Antiqua"/>
          <w:i/>
          <w:sz w:val="24"/>
          <w:szCs w:val="24"/>
        </w:rPr>
        <w:t xml:space="preserve">P </w:t>
      </w:r>
      <w:r w:rsidRPr="00F86968">
        <w:rPr>
          <w:rFonts w:ascii="Book Antiqua" w:hAnsi="Book Antiqua"/>
          <w:sz w:val="24"/>
          <w:szCs w:val="24"/>
        </w:rPr>
        <w:t>&gt; 0.05) was used to pool the results if the result of the heterogeneity test was not significant; otherwise, a random-effects model was selected (</w:t>
      </w:r>
      <w:r w:rsidRPr="00F86968">
        <w:rPr>
          <w:rFonts w:ascii="Book Antiqua" w:hAnsi="Book Antiqua"/>
          <w:i/>
          <w:sz w:val="24"/>
          <w:szCs w:val="24"/>
        </w:rPr>
        <w:t xml:space="preserve">P </w:t>
      </w:r>
      <w:r w:rsidRPr="00F86968">
        <w:rPr>
          <w:rFonts w:ascii="Book Antiqua" w:hAnsi="Book Antiqua"/>
          <w:sz w:val="24"/>
          <w:szCs w:val="24"/>
        </w:rPr>
        <w:t>&lt; 0.05). Sensitivity analysis was performed by excluding studies that deviated from HWE</w:t>
      </w:r>
      <w:r w:rsidRPr="00F86968">
        <w:rPr>
          <w:rFonts w:ascii="Book Antiqua" w:hAnsi="Book Antiqua"/>
          <w:sz w:val="24"/>
          <w:szCs w:val="24"/>
          <w:vertAlign w:val="superscript"/>
        </w:rPr>
        <w:t>[17]</w:t>
      </w:r>
      <w:r w:rsidRPr="00F86968">
        <w:rPr>
          <w:rFonts w:ascii="Book Antiqua" w:hAnsi="Book Antiqua"/>
          <w:sz w:val="24"/>
          <w:szCs w:val="24"/>
        </w:rPr>
        <w:t xml:space="preserve">. Subgroup analyses were carried out with respect to ethnicity and IBS subtype. Publication bias was examined by using the Begg test and Egger test. </w:t>
      </w:r>
      <w:r w:rsidRPr="00F86968">
        <w:rPr>
          <w:rFonts w:ascii="Book Antiqua" w:hAnsi="Book Antiqua" w:cs="Times"/>
          <w:kern w:val="0"/>
          <w:sz w:val="24"/>
          <w:szCs w:val="24"/>
          <w:lang w:eastAsia="en-US"/>
        </w:rPr>
        <w:t>All statistical tests were 2-sided</w:t>
      </w:r>
      <w:r w:rsidRPr="00F86968">
        <w:rPr>
          <w:rFonts w:ascii="Book Antiqua" w:hAnsi="Book Antiqua"/>
          <w:sz w:val="24"/>
          <w:szCs w:val="24"/>
        </w:rPr>
        <w:t xml:space="preserve"> and the level of significance was set at </w:t>
      </w:r>
      <w:r w:rsidRPr="00F86968">
        <w:rPr>
          <w:rFonts w:ascii="Book Antiqua" w:hAnsi="Book Antiqua"/>
          <w:i/>
          <w:sz w:val="24"/>
          <w:szCs w:val="24"/>
        </w:rPr>
        <w:t>P</w:t>
      </w:r>
      <w:r w:rsidRPr="00F86968">
        <w:rPr>
          <w:rFonts w:ascii="Book Antiqua" w:hAnsi="Book Antiqua"/>
          <w:sz w:val="24"/>
          <w:szCs w:val="24"/>
        </w:rPr>
        <w:t xml:space="preserve"> &lt; 0.05.</w:t>
      </w:r>
      <w:r w:rsidRPr="00F86968">
        <w:rPr>
          <w:rFonts w:ascii="Book Antiqua" w:hAnsi="Book Antiqua" w:cs="Times"/>
          <w:kern w:val="0"/>
          <w:sz w:val="24"/>
          <w:szCs w:val="24"/>
          <w:lang w:eastAsia="en-US"/>
        </w:rPr>
        <w:t xml:space="preserve"> STATA version 1</w:t>
      </w:r>
      <w:r w:rsidRPr="00F86968">
        <w:rPr>
          <w:rFonts w:ascii="Book Antiqua" w:hAnsi="Book Antiqua" w:cs="Times"/>
          <w:kern w:val="0"/>
          <w:sz w:val="24"/>
          <w:szCs w:val="24"/>
        </w:rPr>
        <w:t>1</w:t>
      </w:r>
      <w:r w:rsidRPr="00F86968">
        <w:rPr>
          <w:rFonts w:ascii="Book Antiqua" w:hAnsi="Book Antiqua" w:cs="Times"/>
          <w:kern w:val="0"/>
          <w:sz w:val="24"/>
          <w:szCs w:val="24"/>
          <w:lang w:eastAsia="en-US"/>
        </w:rPr>
        <w:t>.</w:t>
      </w:r>
      <w:r w:rsidRPr="00F86968">
        <w:rPr>
          <w:rFonts w:ascii="Book Antiqua" w:hAnsi="Book Antiqua" w:cs="Times"/>
          <w:kern w:val="0"/>
          <w:sz w:val="24"/>
          <w:szCs w:val="24"/>
        </w:rPr>
        <w:t>2</w:t>
      </w:r>
      <w:r w:rsidRPr="00F86968">
        <w:rPr>
          <w:rFonts w:ascii="Book Antiqua" w:hAnsi="Book Antiqua" w:cs="Times"/>
          <w:kern w:val="0"/>
          <w:sz w:val="24"/>
          <w:szCs w:val="24"/>
          <w:lang w:eastAsia="en-US"/>
        </w:rPr>
        <w:t xml:space="preserve"> (Stata Corporation, College Station, TX, United States) was used for all analyses.</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RESULTS</w:t>
      </w: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 xml:space="preserve">Study selection </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Seven case–control studies</w:t>
      </w:r>
      <w:r w:rsidRPr="00F86968">
        <w:rPr>
          <w:rFonts w:ascii="Book Antiqua" w:hAnsi="Book Antiqua"/>
          <w:sz w:val="24"/>
          <w:szCs w:val="24"/>
          <w:vertAlign w:val="superscript"/>
        </w:rPr>
        <w:t>[5,6,9,10,14,15,18]</w:t>
      </w:r>
      <w:r w:rsidRPr="00F86968">
        <w:rPr>
          <w:rFonts w:ascii="Book Antiqua" w:hAnsi="Book Antiqua"/>
          <w:sz w:val="24"/>
          <w:szCs w:val="24"/>
        </w:rPr>
        <w:t xml:space="preserve"> with a total of 1085 cases and 1695 controls were finally included in the present meta-analysis. Four of them</w:t>
      </w:r>
      <w:r w:rsidRPr="00F86968">
        <w:rPr>
          <w:rFonts w:ascii="Book Antiqua" w:hAnsi="Book Antiqua"/>
          <w:sz w:val="24"/>
          <w:szCs w:val="24"/>
          <w:vertAlign w:val="superscript"/>
        </w:rPr>
        <w:t>[10,14,18]</w:t>
      </w:r>
      <w:r w:rsidRPr="00F86968">
        <w:rPr>
          <w:rFonts w:ascii="Book Antiqua" w:hAnsi="Book Antiqua"/>
          <w:sz w:val="24"/>
          <w:szCs w:val="24"/>
        </w:rPr>
        <w:t xml:space="preserve"> specifically investigated the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3 IBS subtypes including the constipation-dominant type (IBS-C), diarrhea-dominant type (IBS-D), and mixed (IBS-M).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tabs>
          <w:tab w:val="left" w:pos="3700"/>
        </w:tabs>
        <w:spacing w:line="360" w:lineRule="auto"/>
        <w:rPr>
          <w:rFonts w:ascii="Book Antiqua" w:hAnsi="Book Antiqua"/>
          <w:b/>
          <w:i/>
          <w:sz w:val="24"/>
          <w:szCs w:val="24"/>
        </w:rPr>
      </w:pPr>
      <w:r w:rsidRPr="00F86968">
        <w:rPr>
          <w:rFonts w:ascii="Book Antiqua" w:hAnsi="Book Antiqua"/>
          <w:b/>
          <w:i/>
          <w:sz w:val="24"/>
          <w:szCs w:val="24"/>
        </w:rPr>
        <w:t>Characteristics of included studies</w:t>
      </w:r>
      <w:r w:rsidRPr="00F86968">
        <w:rPr>
          <w:rFonts w:ascii="Book Antiqua" w:hAnsi="Book Antiqua"/>
          <w:b/>
          <w:i/>
          <w:sz w:val="24"/>
          <w:szCs w:val="24"/>
        </w:rPr>
        <w:tab/>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Four studies</w:t>
      </w:r>
      <w:r w:rsidRPr="00F86968">
        <w:rPr>
          <w:rFonts w:ascii="Book Antiqua" w:hAnsi="Book Antiqua"/>
          <w:sz w:val="24"/>
          <w:szCs w:val="24"/>
          <w:vertAlign w:val="superscript"/>
        </w:rPr>
        <w:t>[5,6,10,15]</w:t>
      </w:r>
      <w:r w:rsidRPr="00F86968">
        <w:rPr>
          <w:rFonts w:ascii="Book Antiqua" w:hAnsi="Book Antiqua"/>
          <w:sz w:val="24"/>
          <w:szCs w:val="24"/>
        </w:rPr>
        <w:t xml:space="preserve"> used the Rome III criteria to select IBS patients, while the other 3</w:t>
      </w:r>
      <w:r w:rsidRPr="00F86968">
        <w:rPr>
          <w:rFonts w:ascii="Book Antiqua" w:hAnsi="Book Antiqua"/>
          <w:sz w:val="24"/>
          <w:szCs w:val="24"/>
          <w:vertAlign w:val="superscript"/>
        </w:rPr>
        <w:t>[9,14,18]</w:t>
      </w:r>
      <w:r w:rsidRPr="00F86968">
        <w:rPr>
          <w:rFonts w:ascii="Book Antiqua" w:hAnsi="Book Antiqua"/>
          <w:sz w:val="24"/>
          <w:szCs w:val="24"/>
        </w:rPr>
        <w:t xml:space="preserve"> used the Rome II criteria. The subjects from 4 studies</w:t>
      </w:r>
      <w:r w:rsidRPr="00F86968">
        <w:rPr>
          <w:rFonts w:ascii="Book Antiqua" w:hAnsi="Book Antiqua"/>
          <w:sz w:val="24"/>
          <w:szCs w:val="24"/>
          <w:vertAlign w:val="superscript"/>
        </w:rPr>
        <w:t>[6,9,14,18]</w:t>
      </w:r>
      <w:r w:rsidRPr="00F86968">
        <w:rPr>
          <w:rFonts w:ascii="Book Antiqua" w:hAnsi="Book Antiqua"/>
          <w:sz w:val="24"/>
          <w:szCs w:val="24"/>
        </w:rPr>
        <w:t xml:space="preserve"> were Caucasian, while those in the other 3 studies</w:t>
      </w:r>
      <w:r w:rsidRPr="00F86968">
        <w:rPr>
          <w:rFonts w:ascii="Book Antiqua" w:hAnsi="Book Antiqua"/>
          <w:sz w:val="24"/>
          <w:szCs w:val="24"/>
          <w:vertAlign w:val="superscript"/>
        </w:rPr>
        <w:t>[5,10,15]</w:t>
      </w:r>
      <w:r w:rsidRPr="00F86968">
        <w:rPr>
          <w:rFonts w:ascii="Book Antiqua" w:hAnsi="Book Antiqua"/>
          <w:sz w:val="24"/>
          <w:szCs w:val="24"/>
        </w:rPr>
        <w:t xml:space="preserve"> were Asian. The characteristics of the 7 studies are shown in Table 1.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 xml:space="preserve">Overall analysis </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There were no significant associations between </w:t>
      </w:r>
      <w:r w:rsidRPr="00F86968">
        <w:rPr>
          <w:rFonts w:ascii="Book Antiqua" w:hAnsi="Book Antiqua"/>
          <w:i/>
          <w:sz w:val="24"/>
          <w:szCs w:val="24"/>
        </w:rPr>
        <w:t>GNB3</w:t>
      </w:r>
      <w:r w:rsidRPr="00F86968">
        <w:rPr>
          <w:rFonts w:ascii="Book Antiqua" w:hAnsi="Book Antiqua"/>
          <w:sz w:val="24"/>
          <w:szCs w:val="24"/>
        </w:rPr>
        <w:t xml:space="preserve"> C825T and IBS risk among the 4 models (CC </w:t>
      </w:r>
      <w:r w:rsidRPr="00F86968">
        <w:rPr>
          <w:rFonts w:ascii="Book Antiqua" w:hAnsi="Book Antiqua"/>
          <w:i/>
          <w:sz w:val="24"/>
          <w:szCs w:val="24"/>
        </w:rPr>
        <w:t>vs</w:t>
      </w:r>
      <w:r w:rsidRPr="00F86968">
        <w:rPr>
          <w:rFonts w:ascii="Book Antiqua" w:hAnsi="Book Antiqua"/>
          <w:sz w:val="24"/>
          <w:szCs w:val="24"/>
        </w:rPr>
        <w:t xml:space="preserve"> TT, OR = 1.12, 95%CI: 0.86–1.45; CC+CT </w:t>
      </w:r>
      <w:r w:rsidRPr="00F86968">
        <w:rPr>
          <w:rFonts w:ascii="Book Antiqua" w:hAnsi="Book Antiqua"/>
          <w:i/>
          <w:sz w:val="24"/>
          <w:szCs w:val="24"/>
        </w:rPr>
        <w:t>vs</w:t>
      </w:r>
      <w:r w:rsidRPr="00F86968">
        <w:rPr>
          <w:rFonts w:ascii="Book Antiqua" w:hAnsi="Book Antiqua"/>
          <w:sz w:val="24"/>
          <w:szCs w:val="24"/>
        </w:rPr>
        <w:t xml:space="preserve"> TT, OR = 1.17, 95%CI: 0.92–1.49; TT+CT </w:t>
      </w:r>
      <w:r w:rsidRPr="00F86968">
        <w:rPr>
          <w:rFonts w:ascii="Book Antiqua" w:hAnsi="Book Antiqua"/>
          <w:i/>
          <w:sz w:val="24"/>
          <w:szCs w:val="24"/>
        </w:rPr>
        <w:t>vs</w:t>
      </w:r>
      <w:r w:rsidRPr="00F86968">
        <w:rPr>
          <w:rFonts w:ascii="Book Antiqua" w:hAnsi="Book Antiqua"/>
          <w:sz w:val="24"/>
          <w:szCs w:val="24"/>
        </w:rPr>
        <w:t xml:space="preserve"> CC, OR = 0.93, 95% CI: 0.80–1.08; C </w:t>
      </w:r>
      <w:r w:rsidRPr="00F86968">
        <w:rPr>
          <w:rFonts w:ascii="Book Antiqua" w:hAnsi="Book Antiqua"/>
          <w:i/>
          <w:sz w:val="24"/>
          <w:szCs w:val="24"/>
        </w:rPr>
        <w:t>vs</w:t>
      </w:r>
      <w:r w:rsidRPr="00F86968">
        <w:rPr>
          <w:rFonts w:ascii="Book Antiqua" w:hAnsi="Book Antiqua"/>
          <w:sz w:val="24"/>
          <w:szCs w:val="24"/>
        </w:rPr>
        <w:t xml:space="preserve"> T, OR = 1.08, 95%CI: </w:t>
      </w:r>
      <w:r w:rsidRPr="00F86968">
        <w:rPr>
          <w:rFonts w:ascii="Book Antiqua" w:hAnsi="Book Antiqua"/>
          <w:sz w:val="24"/>
          <w:szCs w:val="24"/>
        </w:rPr>
        <w:lastRenderedPageBreak/>
        <w:t xml:space="preserve">0.97–1.21). There was no significant heterogeneity among the 4 models (all </w:t>
      </w:r>
      <w:r w:rsidRPr="00F86968">
        <w:rPr>
          <w:rFonts w:ascii="Book Antiqua" w:hAnsi="Book Antiqua"/>
          <w:i/>
          <w:sz w:val="24"/>
          <w:szCs w:val="24"/>
        </w:rPr>
        <w:t xml:space="preserve">P </w:t>
      </w:r>
      <w:r w:rsidRPr="00F86968">
        <w:rPr>
          <w:rFonts w:ascii="Book Antiqua" w:hAnsi="Book Antiqua"/>
          <w:sz w:val="24"/>
          <w:szCs w:val="24"/>
        </w:rPr>
        <w:t xml:space="preserve">&gt; 0.05). The results of the sensitivity analysis were similar to the overall results after excluding 1 study in which the controls deviated from HWE (Figure 1, Table 2). The publication bias test showed little publication bias among the 4 models (all </w:t>
      </w:r>
      <w:r w:rsidRPr="00F86968">
        <w:rPr>
          <w:rFonts w:ascii="Book Antiqua" w:hAnsi="Book Antiqua"/>
          <w:i/>
          <w:sz w:val="24"/>
          <w:szCs w:val="24"/>
        </w:rPr>
        <w:t xml:space="preserve">P </w:t>
      </w:r>
      <w:r w:rsidRPr="00F86968">
        <w:rPr>
          <w:rFonts w:ascii="Book Antiqua" w:hAnsi="Book Antiqua"/>
          <w:sz w:val="24"/>
          <w:szCs w:val="24"/>
        </w:rPr>
        <w:t>&gt; 0.05).</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 xml:space="preserve">Subgroup analysis </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The studies were divided into subgroups according Caucasian and Asian ethnicity. However, there were no associations among the 4 models of </w:t>
      </w:r>
      <w:r w:rsidRPr="00F86968">
        <w:rPr>
          <w:rFonts w:ascii="Book Antiqua" w:hAnsi="Book Antiqua"/>
          <w:i/>
          <w:sz w:val="24"/>
          <w:szCs w:val="24"/>
        </w:rPr>
        <w:t>GNB3</w:t>
      </w:r>
      <w:r w:rsidRPr="00F86968">
        <w:rPr>
          <w:rFonts w:ascii="Book Antiqua" w:hAnsi="Book Antiqua"/>
          <w:sz w:val="24"/>
          <w:szCs w:val="24"/>
        </w:rPr>
        <w:t xml:space="preserve"> and IBS risk (all </w:t>
      </w:r>
      <w:r w:rsidRPr="00F86968">
        <w:rPr>
          <w:rFonts w:ascii="Book Antiqua" w:hAnsi="Book Antiqua"/>
          <w:i/>
          <w:sz w:val="24"/>
          <w:szCs w:val="24"/>
        </w:rPr>
        <w:t>P</w:t>
      </w:r>
      <w:r w:rsidRPr="00F86968">
        <w:rPr>
          <w:rFonts w:ascii="Book Antiqua" w:hAnsi="Book Antiqua"/>
          <w:sz w:val="24"/>
          <w:szCs w:val="24"/>
        </w:rPr>
        <w:t xml:space="preserve"> &gt; 0.05). Next, the 3 subtypes of IBS (</w:t>
      </w:r>
      <w:r w:rsidRPr="00313B70">
        <w:rPr>
          <w:rFonts w:ascii="Book Antiqua" w:hAnsi="Book Antiqua"/>
          <w:i/>
          <w:sz w:val="24"/>
          <w:szCs w:val="24"/>
        </w:rPr>
        <w:t>i.e.,</w:t>
      </w:r>
      <w:r w:rsidRPr="00F86968">
        <w:rPr>
          <w:rFonts w:ascii="Book Antiqua" w:hAnsi="Book Antiqua"/>
          <w:sz w:val="24"/>
          <w:szCs w:val="24"/>
        </w:rPr>
        <w:t xml:space="preserve"> IBS-C, IBS-D, and IBS-M) were analyzed from the data of 4 studies. However, there were no associations between </w:t>
      </w:r>
      <w:r w:rsidRPr="00F86968">
        <w:rPr>
          <w:rFonts w:ascii="Book Antiqua" w:hAnsi="Book Antiqua"/>
          <w:i/>
          <w:sz w:val="24"/>
          <w:szCs w:val="24"/>
        </w:rPr>
        <w:t>GNB3</w:t>
      </w:r>
      <w:r w:rsidRPr="00F86968">
        <w:rPr>
          <w:rFonts w:ascii="Book Antiqua" w:hAnsi="Book Antiqua"/>
          <w:sz w:val="24"/>
          <w:szCs w:val="24"/>
        </w:rPr>
        <w:t xml:space="preserve"> polymorphisms and the risk of IBS-C, IBS-D, or IBS-M (Figure 2).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 xml:space="preserve">DISCUSSION </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The results of the present study indicate </w:t>
      </w:r>
      <w:r w:rsidRPr="00F86968">
        <w:rPr>
          <w:rFonts w:ascii="Book Antiqua" w:hAnsi="Book Antiqua"/>
          <w:i/>
          <w:sz w:val="24"/>
          <w:szCs w:val="24"/>
        </w:rPr>
        <w:t>GNB3</w:t>
      </w:r>
      <w:r w:rsidRPr="00F86968">
        <w:rPr>
          <w:rFonts w:ascii="Book Antiqua" w:hAnsi="Book Antiqua"/>
          <w:sz w:val="24"/>
          <w:szCs w:val="24"/>
        </w:rPr>
        <w:t xml:space="preserve"> C825T polymorphisms are not associated with IBS risk regardless of Caucasian or Asian ethnicity. Pooling the data of 4 studies also revealed no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the 3 subtypes of IBS. The present results are of particular clinical significance because of the inconsistency regarding the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w:t>
      </w:r>
    </w:p>
    <w:p w:rsidR="002C62D1" w:rsidRPr="00F86968" w:rsidRDefault="002C62D1" w:rsidP="00313B70">
      <w:pPr>
        <w:spacing w:line="360" w:lineRule="auto"/>
        <w:ind w:firstLineChars="250" w:firstLine="600"/>
        <w:rPr>
          <w:rFonts w:ascii="Book Antiqua" w:hAnsi="Book Antiqua"/>
          <w:sz w:val="24"/>
          <w:szCs w:val="24"/>
        </w:rPr>
      </w:pPr>
      <w:r w:rsidRPr="00F86968">
        <w:rPr>
          <w:rFonts w:ascii="Book Antiqua" w:hAnsi="Book Antiqua"/>
          <w:sz w:val="24"/>
          <w:szCs w:val="24"/>
        </w:rPr>
        <w:t>G-protein regulates the functions of ion channels and protein kinases, and is essential for stimulus-response coupling in the intracellular system. It acts as the main mediator of signal transport into the cellular system</w:t>
      </w:r>
      <w:r w:rsidRPr="00F86968">
        <w:rPr>
          <w:rFonts w:ascii="Book Antiqua" w:hAnsi="Book Antiqua"/>
          <w:sz w:val="24"/>
          <w:szCs w:val="24"/>
          <w:vertAlign w:val="superscript"/>
        </w:rPr>
        <w:t>[19]</w:t>
      </w:r>
      <w:r w:rsidRPr="00F86968">
        <w:rPr>
          <w:rFonts w:ascii="Book Antiqua" w:hAnsi="Book Antiqua"/>
          <w:sz w:val="24"/>
          <w:szCs w:val="24"/>
        </w:rPr>
        <w:t xml:space="preserve">. The </w:t>
      </w:r>
      <w:r w:rsidRPr="00F86968">
        <w:rPr>
          <w:rFonts w:ascii="Book Antiqua" w:hAnsi="Book Antiqua"/>
          <w:i/>
          <w:sz w:val="24"/>
          <w:szCs w:val="24"/>
        </w:rPr>
        <w:t>GNB3</w:t>
      </w:r>
      <w:r w:rsidRPr="00F86968">
        <w:rPr>
          <w:rFonts w:ascii="Book Antiqua" w:hAnsi="Book Antiqua"/>
          <w:sz w:val="24"/>
          <w:szCs w:val="24"/>
        </w:rPr>
        <w:t xml:space="preserve"> gene encodes the β3 subunit of heterotrimeric G-proteins and can affect intracellular signal transduction and biological activity. The T allele of </w:t>
      </w:r>
      <w:r w:rsidRPr="00F86968">
        <w:rPr>
          <w:rFonts w:ascii="Book Antiqua" w:hAnsi="Book Antiqua"/>
          <w:i/>
          <w:sz w:val="24"/>
          <w:szCs w:val="24"/>
        </w:rPr>
        <w:t>GNB3</w:t>
      </w:r>
      <w:r w:rsidRPr="00F86968">
        <w:rPr>
          <w:rFonts w:ascii="Book Antiqua" w:hAnsi="Book Antiqua"/>
          <w:sz w:val="24"/>
          <w:szCs w:val="24"/>
        </w:rPr>
        <w:t xml:space="preserve"> C825T is associated with enhanced G-protein activation, and the CC genotype results in reduced G-protein translation</w:t>
      </w:r>
      <w:r w:rsidRPr="00F86968">
        <w:rPr>
          <w:rFonts w:ascii="Book Antiqua" w:hAnsi="Book Antiqua"/>
          <w:sz w:val="24"/>
          <w:szCs w:val="24"/>
          <w:vertAlign w:val="superscript"/>
        </w:rPr>
        <w:t>[20]</w:t>
      </w:r>
      <w:r w:rsidRPr="00F86968">
        <w:rPr>
          <w:rFonts w:ascii="Book Antiqua" w:hAnsi="Book Antiqua"/>
          <w:sz w:val="24"/>
          <w:szCs w:val="24"/>
        </w:rPr>
        <w:t>. In addition, patients with the CC genotype may have decreased immune response to infection and thus require a prolonged recovery period from any infection</w:t>
      </w:r>
      <w:r w:rsidRPr="00F86968">
        <w:rPr>
          <w:rFonts w:ascii="Book Antiqua" w:hAnsi="Book Antiqua"/>
          <w:sz w:val="24"/>
          <w:szCs w:val="24"/>
          <w:vertAlign w:val="superscript"/>
        </w:rPr>
        <w:t>[11]</w:t>
      </w:r>
      <w:r w:rsidRPr="00F86968">
        <w:rPr>
          <w:rFonts w:ascii="Book Antiqua" w:hAnsi="Book Antiqua"/>
          <w:sz w:val="24"/>
          <w:szCs w:val="24"/>
        </w:rPr>
        <w:t>; this may predispose such individuals to visceral hypersensitivity. The T allele is associated with depression</w:t>
      </w:r>
      <w:r w:rsidRPr="00F86968">
        <w:rPr>
          <w:rFonts w:ascii="Book Antiqua" w:hAnsi="Book Antiqua"/>
          <w:sz w:val="24"/>
          <w:szCs w:val="24"/>
          <w:vertAlign w:val="superscript"/>
        </w:rPr>
        <w:t>[21]</w:t>
      </w:r>
      <w:r w:rsidRPr="00F86968">
        <w:rPr>
          <w:rFonts w:ascii="Book Antiqua" w:hAnsi="Book Antiqua"/>
          <w:sz w:val="24"/>
          <w:szCs w:val="24"/>
        </w:rPr>
        <w:t>, lymphocyte chemotaxis</w:t>
      </w:r>
      <w:r w:rsidRPr="00F86968">
        <w:rPr>
          <w:rFonts w:ascii="Book Antiqua" w:hAnsi="Book Antiqua"/>
          <w:sz w:val="24"/>
          <w:szCs w:val="24"/>
          <w:vertAlign w:val="superscript"/>
        </w:rPr>
        <w:t>[22]</w:t>
      </w:r>
      <w:r w:rsidRPr="00F86968">
        <w:rPr>
          <w:rFonts w:ascii="Book Antiqua" w:hAnsi="Book Antiqua"/>
          <w:sz w:val="24"/>
          <w:szCs w:val="24"/>
        </w:rPr>
        <w:t>, and hypertension</w:t>
      </w:r>
      <w:r w:rsidRPr="00F86968">
        <w:rPr>
          <w:rFonts w:ascii="Book Antiqua" w:hAnsi="Book Antiqua"/>
          <w:sz w:val="24"/>
          <w:szCs w:val="24"/>
          <w:vertAlign w:val="superscript"/>
        </w:rPr>
        <w:t>[23]</w:t>
      </w:r>
      <w:r w:rsidRPr="00F86968">
        <w:rPr>
          <w:rFonts w:ascii="Book Antiqua" w:hAnsi="Book Antiqua"/>
          <w:sz w:val="24"/>
          <w:szCs w:val="24"/>
        </w:rPr>
        <w:t xml:space="preserve">. The C allele, which is predictive of diminished </w:t>
      </w:r>
      <w:r w:rsidRPr="00F86968">
        <w:rPr>
          <w:rFonts w:ascii="Book Antiqua" w:hAnsi="Book Antiqua"/>
          <w:sz w:val="24"/>
          <w:szCs w:val="24"/>
        </w:rPr>
        <w:lastRenderedPageBreak/>
        <w:t>G-protein activation, is associated with functional dyspepsia</w:t>
      </w:r>
      <w:r w:rsidRPr="00F86968">
        <w:rPr>
          <w:rFonts w:ascii="Book Antiqua" w:hAnsi="Book Antiqua"/>
          <w:sz w:val="24"/>
          <w:szCs w:val="24"/>
          <w:vertAlign w:val="superscript"/>
        </w:rPr>
        <w:t>[24]</w:t>
      </w:r>
      <w:r w:rsidRPr="00F86968">
        <w:rPr>
          <w:rFonts w:ascii="Book Antiqua" w:hAnsi="Book Antiqua"/>
          <w:sz w:val="24"/>
          <w:szCs w:val="24"/>
        </w:rPr>
        <w:t>. Furthermore, reports from the USA indicate that meal-unrelated dyspepsia is associated with both the homozygous T and C genotypes</w:t>
      </w:r>
      <w:r w:rsidRPr="00F86968">
        <w:rPr>
          <w:rFonts w:ascii="Book Antiqua" w:hAnsi="Book Antiqua"/>
          <w:sz w:val="24"/>
          <w:szCs w:val="24"/>
          <w:vertAlign w:val="superscript"/>
        </w:rPr>
        <w:t>[25]</w:t>
      </w:r>
      <w:r w:rsidRPr="00F86968">
        <w:rPr>
          <w:rFonts w:ascii="Book Antiqua" w:hAnsi="Book Antiqua"/>
          <w:sz w:val="24"/>
          <w:szCs w:val="24"/>
        </w:rPr>
        <w:t>. Perturbed gut sensory and motor function, autonomic nervous system dysfunction, and psychiatric disturbances are common causes of IBS; all of these factors can alter intracellular signal transduction</w:t>
      </w:r>
      <w:r w:rsidRPr="00F86968">
        <w:rPr>
          <w:rFonts w:ascii="Book Antiqua" w:hAnsi="Book Antiqua"/>
          <w:sz w:val="24"/>
          <w:szCs w:val="24"/>
          <w:vertAlign w:val="superscript"/>
        </w:rPr>
        <w:t>[26]</w:t>
      </w:r>
      <w:r w:rsidRPr="00F86968">
        <w:rPr>
          <w:rFonts w:ascii="Book Antiqua" w:hAnsi="Book Antiqua"/>
          <w:sz w:val="24"/>
          <w:szCs w:val="24"/>
        </w:rPr>
        <w:t>. About 80% of all known membrane receptors linked to intracellular effector systems are coupled to G-proteins</w:t>
      </w:r>
      <w:r w:rsidRPr="00F86968">
        <w:rPr>
          <w:rFonts w:ascii="Book Antiqua" w:hAnsi="Book Antiqua"/>
          <w:sz w:val="24"/>
          <w:szCs w:val="24"/>
          <w:vertAlign w:val="superscript"/>
        </w:rPr>
        <w:t>[27]</w:t>
      </w:r>
      <w:r w:rsidRPr="00F86968">
        <w:rPr>
          <w:rFonts w:ascii="Book Antiqua" w:hAnsi="Book Antiqua"/>
          <w:sz w:val="24"/>
          <w:szCs w:val="24"/>
        </w:rPr>
        <w:t xml:space="preserve">. Accordingly, changes in G-proteins may lead to functional changes in intracellular signal transduction. Therefore, the </w:t>
      </w:r>
      <w:r w:rsidRPr="00F86968">
        <w:rPr>
          <w:rFonts w:ascii="Book Antiqua" w:hAnsi="Book Antiqua"/>
          <w:i/>
          <w:sz w:val="24"/>
          <w:szCs w:val="24"/>
        </w:rPr>
        <w:t>GNB3</w:t>
      </w:r>
      <w:r w:rsidRPr="00F86968">
        <w:rPr>
          <w:rFonts w:ascii="Book Antiqua" w:hAnsi="Book Antiqua"/>
          <w:sz w:val="24"/>
          <w:szCs w:val="24"/>
        </w:rPr>
        <w:t xml:space="preserve"> gene is likely involved in the generation of common pathophysiologic mechanisms of IBS. To date, several studies have investigated the association between </w:t>
      </w:r>
      <w:r w:rsidRPr="00F86968">
        <w:rPr>
          <w:rFonts w:ascii="Book Antiqua" w:hAnsi="Book Antiqua"/>
          <w:i/>
          <w:sz w:val="24"/>
          <w:szCs w:val="24"/>
        </w:rPr>
        <w:t>GNB3</w:t>
      </w:r>
      <w:r w:rsidRPr="00F86968">
        <w:rPr>
          <w:rFonts w:ascii="Book Antiqua" w:hAnsi="Book Antiqua"/>
          <w:sz w:val="24"/>
          <w:szCs w:val="24"/>
        </w:rPr>
        <w:t xml:space="preserve"> polymorphism and IBS. However, current findings regarding these associations are controversial and therefore require further study. </w:t>
      </w:r>
    </w:p>
    <w:p w:rsidR="002C62D1" w:rsidRPr="00F86968" w:rsidRDefault="002C62D1" w:rsidP="00F86968">
      <w:pPr>
        <w:spacing w:line="360" w:lineRule="auto"/>
        <w:ind w:firstLineChars="300" w:firstLine="720"/>
        <w:rPr>
          <w:rFonts w:ascii="Book Antiqua" w:hAnsi="Book Antiqua"/>
          <w:sz w:val="24"/>
          <w:szCs w:val="24"/>
        </w:rPr>
      </w:pPr>
      <w:r w:rsidRPr="00F86968">
        <w:rPr>
          <w:rFonts w:ascii="Book Antiqua" w:hAnsi="Book Antiqua"/>
          <w:sz w:val="24"/>
          <w:szCs w:val="24"/>
        </w:rPr>
        <w:t xml:space="preserve">Ethnicity is generally one of the causes of discrepancies in the associations between gene polymorphisms and disease risk. In the case of </w:t>
      </w:r>
      <w:r w:rsidRPr="00F86968">
        <w:rPr>
          <w:rFonts w:ascii="Book Antiqua" w:hAnsi="Book Antiqua"/>
          <w:i/>
          <w:sz w:val="24"/>
          <w:szCs w:val="24"/>
        </w:rPr>
        <w:t>GNB3</w:t>
      </w:r>
      <w:r w:rsidRPr="00F86968">
        <w:rPr>
          <w:rFonts w:ascii="Book Antiqua" w:hAnsi="Book Antiqua"/>
          <w:sz w:val="24"/>
          <w:szCs w:val="24"/>
        </w:rPr>
        <w:t xml:space="preserve"> polymorphisms, the T allele frequency is reported to be higher in Asian populations (42%–53%) than Caucasian populations (27%–42%)</w:t>
      </w:r>
      <w:r w:rsidRPr="00F86968">
        <w:rPr>
          <w:rFonts w:ascii="Book Antiqua" w:hAnsi="Book Antiqua"/>
          <w:sz w:val="24"/>
          <w:szCs w:val="24"/>
          <w:vertAlign w:val="superscript"/>
        </w:rPr>
        <w:t>[13,28]</w:t>
      </w:r>
      <w:r w:rsidRPr="00F86968">
        <w:rPr>
          <w:rFonts w:ascii="Book Antiqua" w:hAnsi="Book Antiqua"/>
          <w:sz w:val="24"/>
          <w:szCs w:val="24"/>
        </w:rPr>
        <w:t xml:space="preserve">. Furthermore, inconsistent results regarding the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 have been reported in studies with either Caucasian or Asian subjects. Two studies</w:t>
      </w:r>
      <w:r w:rsidRPr="00F86968">
        <w:rPr>
          <w:rFonts w:ascii="Book Antiqua" w:hAnsi="Book Antiqua"/>
          <w:sz w:val="24"/>
          <w:szCs w:val="24"/>
          <w:vertAlign w:val="superscript"/>
        </w:rPr>
        <w:t>[14,18]</w:t>
      </w:r>
      <w:r w:rsidRPr="00F86968">
        <w:rPr>
          <w:rFonts w:ascii="Book Antiqua" w:hAnsi="Book Antiqua"/>
          <w:sz w:val="24"/>
          <w:szCs w:val="24"/>
        </w:rPr>
        <w:t xml:space="preserve"> involving American populations do not show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 However, 2 other studies</w:t>
      </w:r>
      <w:r w:rsidRPr="00F86968">
        <w:rPr>
          <w:rFonts w:ascii="Book Antiqua" w:hAnsi="Book Antiqua"/>
          <w:sz w:val="24"/>
          <w:szCs w:val="24"/>
          <w:vertAlign w:val="superscript"/>
        </w:rPr>
        <w:t>[6,9]</w:t>
      </w:r>
      <w:r w:rsidRPr="00F86968">
        <w:rPr>
          <w:rFonts w:ascii="Book Antiqua" w:hAnsi="Book Antiqua"/>
          <w:sz w:val="24"/>
          <w:szCs w:val="24"/>
        </w:rPr>
        <w:t xml:space="preserve"> involving Europeans support such associations. Likewise, Kim </w:t>
      </w:r>
      <w:r w:rsidRPr="00F86968">
        <w:rPr>
          <w:rFonts w:ascii="Book Antiqua" w:hAnsi="Book Antiqua"/>
          <w:i/>
          <w:sz w:val="24"/>
          <w:szCs w:val="24"/>
        </w:rPr>
        <w:t>et al</w:t>
      </w:r>
      <w:r w:rsidRPr="00F86968">
        <w:rPr>
          <w:rFonts w:ascii="Book Antiqua" w:hAnsi="Book Antiqua"/>
          <w:sz w:val="24"/>
          <w:szCs w:val="24"/>
          <w:vertAlign w:val="superscript"/>
        </w:rPr>
        <w:t>[15]</w:t>
      </w:r>
      <w:r w:rsidRPr="00F86968">
        <w:rPr>
          <w:rFonts w:ascii="Book Antiqua" w:hAnsi="Book Antiqua"/>
          <w:sz w:val="24"/>
          <w:szCs w:val="24"/>
        </w:rPr>
        <w:t xml:space="preserve"> do not show that </w:t>
      </w:r>
      <w:r w:rsidRPr="00F86968">
        <w:rPr>
          <w:rFonts w:ascii="Book Antiqua" w:hAnsi="Book Antiqua"/>
          <w:i/>
          <w:sz w:val="24"/>
          <w:szCs w:val="24"/>
        </w:rPr>
        <w:t>GNB3</w:t>
      </w:r>
      <w:r w:rsidRPr="00F86968">
        <w:rPr>
          <w:rFonts w:ascii="Book Antiqua" w:hAnsi="Book Antiqua"/>
          <w:sz w:val="24"/>
          <w:szCs w:val="24"/>
        </w:rPr>
        <w:t xml:space="preserve"> C825T polymorphisms are associated with susceptibility to IBS in a Korean population, whereas 2 other Korean studies</w:t>
      </w:r>
      <w:r w:rsidRPr="00F86968">
        <w:rPr>
          <w:rFonts w:ascii="Book Antiqua" w:hAnsi="Book Antiqua"/>
          <w:sz w:val="24"/>
          <w:szCs w:val="24"/>
          <w:vertAlign w:val="superscript"/>
        </w:rPr>
        <w:t>[5,10]</w:t>
      </w:r>
      <w:r w:rsidRPr="00F86968">
        <w:rPr>
          <w:rFonts w:ascii="Book Antiqua" w:hAnsi="Book Antiqua"/>
          <w:sz w:val="24"/>
          <w:szCs w:val="24"/>
        </w:rPr>
        <w:t xml:space="preserve"> show that the T allele is associated with IBS risk. In the present study, neither the overall results with the whole population nor the subgroup analysis by Caucasian and Asian ethnicity indicates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 Thus, the results indicate that </w:t>
      </w:r>
      <w:r w:rsidRPr="00F86968">
        <w:rPr>
          <w:rFonts w:ascii="Book Antiqua" w:hAnsi="Book Antiqua"/>
          <w:i/>
          <w:sz w:val="24"/>
          <w:szCs w:val="24"/>
        </w:rPr>
        <w:t>GNB3</w:t>
      </w:r>
      <w:r w:rsidRPr="00F86968">
        <w:rPr>
          <w:rFonts w:ascii="Book Antiqua" w:hAnsi="Book Antiqua"/>
          <w:sz w:val="24"/>
          <w:szCs w:val="24"/>
        </w:rPr>
        <w:t xml:space="preserve"> C825T polymorphisms may not contribute to the development of IBS. </w:t>
      </w:r>
    </w:p>
    <w:p w:rsidR="002C62D1" w:rsidRPr="00F86968" w:rsidRDefault="002C62D1" w:rsidP="00F86968">
      <w:pPr>
        <w:spacing w:line="360" w:lineRule="auto"/>
        <w:ind w:firstLineChars="300" w:firstLine="720"/>
        <w:rPr>
          <w:rFonts w:ascii="Book Antiqua" w:hAnsi="Book Antiqua"/>
          <w:sz w:val="24"/>
          <w:szCs w:val="24"/>
        </w:rPr>
      </w:pPr>
      <w:r w:rsidRPr="00F86968">
        <w:rPr>
          <w:rFonts w:ascii="Book Antiqua" w:hAnsi="Book Antiqua"/>
          <w:sz w:val="24"/>
          <w:szCs w:val="24"/>
        </w:rPr>
        <w:t xml:space="preserve">Because the present results do not appear to support the notion that the disparity is due to ethnic differences, we further analyzed the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subtypes. There are 4 subtypes of IBS: IBS-C, </w:t>
      </w:r>
      <w:r w:rsidRPr="00F86968">
        <w:rPr>
          <w:rFonts w:ascii="Book Antiqua" w:hAnsi="Book Antiqua"/>
          <w:sz w:val="24"/>
          <w:szCs w:val="24"/>
        </w:rPr>
        <w:lastRenderedPageBreak/>
        <w:t>IBS-D, IBS-M, and unclassified IBS. The prevalence of IBS subtypes varies in the literature</w:t>
      </w:r>
      <w:r w:rsidRPr="00F86968">
        <w:rPr>
          <w:rFonts w:ascii="Book Antiqua" w:hAnsi="Book Antiqua"/>
          <w:sz w:val="24"/>
          <w:szCs w:val="24"/>
          <w:vertAlign w:val="superscript"/>
        </w:rPr>
        <w:t>[29-31]</w:t>
      </w:r>
      <w:r w:rsidRPr="00F86968">
        <w:rPr>
          <w:rFonts w:ascii="Book Antiqua" w:hAnsi="Book Antiqua"/>
          <w:sz w:val="24"/>
          <w:szCs w:val="24"/>
        </w:rPr>
        <w:t xml:space="preserve">. Early studies report varying susceptibility of </w:t>
      </w:r>
      <w:r w:rsidRPr="00F86968">
        <w:rPr>
          <w:rFonts w:ascii="Book Antiqua" w:hAnsi="Book Antiqua"/>
          <w:i/>
          <w:sz w:val="24"/>
          <w:szCs w:val="24"/>
        </w:rPr>
        <w:t>GNB3</w:t>
      </w:r>
      <w:r w:rsidRPr="00F86968">
        <w:rPr>
          <w:rFonts w:ascii="Book Antiqua" w:hAnsi="Book Antiqua"/>
          <w:sz w:val="24"/>
          <w:szCs w:val="24"/>
        </w:rPr>
        <w:t xml:space="preserve"> C825T to IBS subtypes. Lee</w:t>
      </w:r>
      <w:r w:rsidRPr="00F86968">
        <w:rPr>
          <w:rFonts w:ascii="Book Antiqua" w:hAnsi="Book Antiqua"/>
          <w:i/>
          <w:sz w:val="24"/>
          <w:szCs w:val="24"/>
        </w:rPr>
        <w:t xml:space="preserve"> et al</w:t>
      </w:r>
      <w:r w:rsidRPr="00F86968">
        <w:rPr>
          <w:rFonts w:ascii="Book Antiqua" w:hAnsi="Book Antiqua"/>
          <w:sz w:val="24"/>
          <w:szCs w:val="24"/>
          <w:vertAlign w:val="superscript"/>
        </w:rPr>
        <w:t>[5]</w:t>
      </w:r>
      <w:r w:rsidRPr="00F86968">
        <w:rPr>
          <w:rFonts w:ascii="Book Antiqua" w:hAnsi="Book Antiqua"/>
          <w:sz w:val="24"/>
          <w:szCs w:val="24"/>
        </w:rPr>
        <w:t xml:space="preserve"> report that the T allele is associated with IBS-C. Park </w:t>
      </w:r>
      <w:r w:rsidRPr="00F86968">
        <w:rPr>
          <w:rFonts w:ascii="Book Antiqua" w:hAnsi="Book Antiqua"/>
          <w:i/>
          <w:sz w:val="24"/>
          <w:szCs w:val="24"/>
        </w:rPr>
        <w:t>et al</w:t>
      </w:r>
      <w:r w:rsidRPr="00F86968">
        <w:rPr>
          <w:rFonts w:ascii="Book Antiqua" w:hAnsi="Book Antiqua"/>
          <w:sz w:val="24"/>
          <w:szCs w:val="24"/>
          <w:vertAlign w:val="superscript"/>
        </w:rPr>
        <w:t>[10]</w:t>
      </w:r>
      <w:r w:rsidRPr="00F86968">
        <w:rPr>
          <w:rFonts w:ascii="Book Antiqua" w:hAnsi="Book Antiqua"/>
          <w:sz w:val="24"/>
          <w:szCs w:val="24"/>
        </w:rPr>
        <w:t xml:space="preserve"> found that the CC genotype is common in IBS-D while the TT genotype is common in IBS-C. However, 2 studies</w:t>
      </w:r>
      <w:r w:rsidRPr="00F86968">
        <w:rPr>
          <w:rFonts w:ascii="Book Antiqua" w:hAnsi="Book Antiqua"/>
          <w:sz w:val="24"/>
          <w:szCs w:val="24"/>
          <w:vertAlign w:val="superscript"/>
        </w:rPr>
        <w:t>[14,18]</w:t>
      </w:r>
      <w:r w:rsidRPr="00F86968">
        <w:rPr>
          <w:rFonts w:ascii="Book Antiqua" w:hAnsi="Book Antiqua"/>
          <w:sz w:val="24"/>
          <w:szCs w:val="24"/>
        </w:rPr>
        <w:t xml:space="preserve"> failed to reveal associations between </w:t>
      </w:r>
      <w:r w:rsidRPr="00F86968">
        <w:rPr>
          <w:rFonts w:ascii="Book Antiqua" w:hAnsi="Book Antiqua"/>
          <w:i/>
          <w:sz w:val="24"/>
          <w:szCs w:val="24"/>
        </w:rPr>
        <w:t>GNB3</w:t>
      </w:r>
      <w:r w:rsidRPr="00F86968">
        <w:rPr>
          <w:rFonts w:ascii="Book Antiqua" w:hAnsi="Book Antiqua"/>
          <w:sz w:val="24"/>
          <w:szCs w:val="24"/>
        </w:rPr>
        <w:t xml:space="preserve"> polymorphisms and 3 IBS subtypes. In the present study, although the pooled results did not indicate associations with IBS subtypes, it remains difficult to conclude the null association between </w:t>
      </w:r>
      <w:r w:rsidRPr="00F86968">
        <w:rPr>
          <w:rFonts w:ascii="Book Antiqua" w:hAnsi="Book Antiqua"/>
          <w:i/>
          <w:sz w:val="24"/>
          <w:szCs w:val="24"/>
        </w:rPr>
        <w:t>GNB3</w:t>
      </w:r>
      <w:r w:rsidRPr="00F86968">
        <w:rPr>
          <w:rFonts w:ascii="Book Antiqua" w:hAnsi="Book Antiqua"/>
          <w:sz w:val="24"/>
          <w:szCs w:val="24"/>
        </w:rPr>
        <w:t xml:space="preserve"> polymorphisms and IBS subtypes. We did not analyze the associations with respect to ethnicity, because only 4 studies were included. Thus, additional studies that include data regarding IBS subtypes may produce different results. </w:t>
      </w:r>
    </w:p>
    <w:p w:rsidR="002C62D1" w:rsidRPr="00F86968" w:rsidRDefault="002C62D1" w:rsidP="00F86968">
      <w:pPr>
        <w:spacing w:line="360" w:lineRule="auto"/>
        <w:ind w:firstLineChars="300" w:firstLine="720"/>
        <w:rPr>
          <w:rFonts w:ascii="Book Antiqua" w:hAnsi="Book Antiqua"/>
          <w:sz w:val="24"/>
          <w:szCs w:val="24"/>
        </w:rPr>
      </w:pPr>
      <w:r w:rsidRPr="00F86968">
        <w:rPr>
          <w:rFonts w:ascii="Book Antiqua" w:hAnsi="Book Antiqua"/>
          <w:sz w:val="24"/>
          <w:szCs w:val="24"/>
        </w:rPr>
        <w:t xml:space="preserve">To date, no genome-wide association study or comprehensive quantitative assessment has been conducted to determine the genetic association with IBS risk. The present study is the first meta-analysis to clarify the association between </w:t>
      </w:r>
      <w:r w:rsidRPr="00F86968">
        <w:rPr>
          <w:rFonts w:ascii="Book Antiqua" w:hAnsi="Book Antiqua"/>
          <w:i/>
          <w:sz w:val="24"/>
          <w:szCs w:val="24"/>
        </w:rPr>
        <w:t>GNB3</w:t>
      </w:r>
      <w:r w:rsidRPr="00F86968">
        <w:rPr>
          <w:rFonts w:ascii="Book Antiqua" w:hAnsi="Book Antiqua"/>
          <w:sz w:val="24"/>
          <w:szCs w:val="24"/>
        </w:rPr>
        <w:t xml:space="preserve"> C825T polymorphism and IBS risk. The large sample size of the present study enhances statistical power to detect more stable associations and provides more reliable estimates than any single previous study. Moreover, associations were assessed by testing 4 different genetic models to obtain more robust and accurate estimations. Furthermore, the low heterogeneity and publication bias demonstrate the precision and robustness of the present results. </w:t>
      </w:r>
    </w:p>
    <w:p w:rsidR="002C62D1" w:rsidRPr="00F86968" w:rsidRDefault="002C62D1" w:rsidP="00F86968">
      <w:pPr>
        <w:spacing w:line="360" w:lineRule="auto"/>
        <w:ind w:firstLineChars="300" w:firstLine="720"/>
        <w:rPr>
          <w:rFonts w:ascii="Book Antiqua" w:hAnsi="Book Antiqua"/>
          <w:sz w:val="24"/>
          <w:szCs w:val="24"/>
        </w:rPr>
      </w:pPr>
      <w:r w:rsidRPr="00F86968">
        <w:rPr>
          <w:rFonts w:ascii="Book Antiqua" w:hAnsi="Book Antiqua"/>
          <w:sz w:val="24"/>
          <w:szCs w:val="24"/>
        </w:rPr>
        <w:t xml:space="preserve">Despite its strengths, this study has some limitations that should be mentioned. First, although the present meta-analysis contained a large sample, there were few studies in the subgroup analysis with respect to ethnicity and IBS subtype. Second, the diagnostic criteria of IBS are not uniform; the studies in the meta-analysis employed either the Rome II or III criteria, which inevitably caused selection bias. Third, all Asian subjects were Korean. Therefore, the genetic susceptibility to IBS with respect to </w:t>
      </w:r>
      <w:r w:rsidRPr="00F86968">
        <w:rPr>
          <w:rFonts w:ascii="Book Antiqua" w:hAnsi="Book Antiqua"/>
          <w:i/>
          <w:sz w:val="24"/>
          <w:szCs w:val="24"/>
        </w:rPr>
        <w:t>GNB3</w:t>
      </w:r>
      <w:r w:rsidRPr="00F86968">
        <w:rPr>
          <w:rFonts w:ascii="Book Antiqua" w:hAnsi="Book Antiqua"/>
          <w:sz w:val="24"/>
          <w:szCs w:val="24"/>
        </w:rPr>
        <w:t xml:space="preserve"> C825T in other Asian ethnicities remains unknown. Fourth, other factors such as gene–environment and gene–gene interactions were not adjusted for in the present meta-analysis because of a lack of information; this further confounds the reliability of the present results. Therefore, </w:t>
      </w:r>
      <w:r w:rsidRPr="00F86968">
        <w:rPr>
          <w:rFonts w:ascii="Book Antiqua" w:hAnsi="Book Antiqua"/>
          <w:sz w:val="24"/>
          <w:szCs w:val="24"/>
        </w:rPr>
        <w:lastRenderedPageBreak/>
        <w:t>the present results should be interpreted cautiously.</w:t>
      </w:r>
    </w:p>
    <w:p w:rsidR="002C62D1" w:rsidRDefault="002C62D1" w:rsidP="00E37346">
      <w:pPr>
        <w:spacing w:line="360" w:lineRule="auto"/>
        <w:ind w:firstLineChars="300" w:firstLine="720"/>
        <w:rPr>
          <w:rFonts w:ascii="Book Antiqua" w:hAnsi="Book Antiqua"/>
          <w:sz w:val="24"/>
          <w:szCs w:val="24"/>
        </w:rPr>
      </w:pPr>
      <w:r w:rsidRPr="00F86968">
        <w:rPr>
          <w:rFonts w:ascii="Book Antiqua" w:hAnsi="Book Antiqua"/>
          <w:sz w:val="24"/>
          <w:szCs w:val="24"/>
        </w:rPr>
        <w:t xml:space="preserve">In summary, the results of the present meta-analysis indicate that there are no associations between </w:t>
      </w:r>
      <w:r w:rsidRPr="00F86968">
        <w:rPr>
          <w:rFonts w:ascii="Book Antiqua" w:hAnsi="Book Antiqua"/>
          <w:i/>
          <w:sz w:val="24"/>
          <w:szCs w:val="24"/>
        </w:rPr>
        <w:t>GNB3</w:t>
      </w:r>
      <w:r w:rsidRPr="00F86968">
        <w:rPr>
          <w:rFonts w:ascii="Book Antiqua" w:hAnsi="Book Antiqua"/>
          <w:sz w:val="24"/>
          <w:szCs w:val="24"/>
        </w:rPr>
        <w:t xml:space="preserve"> C825T polymorphisms and IBS risk. However, because of the limited available studies, further studies taking ethnicity and IBS subtypes into account are warranted. </w:t>
      </w:r>
    </w:p>
    <w:p w:rsidR="002C62D1" w:rsidRPr="00F86968" w:rsidRDefault="002C62D1" w:rsidP="00E37346">
      <w:pPr>
        <w:spacing w:line="360" w:lineRule="auto"/>
        <w:rPr>
          <w:rFonts w:ascii="Book Antiqua" w:hAnsi="Book Antiqua"/>
          <w:b/>
          <w:sz w:val="24"/>
          <w:szCs w:val="24"/>
        </w:rPr>
      </w:pP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COMMENTS</w:t>
      </w: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Background</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The GNB3 gene encodes the β3 subunit of heterotrimeric G-proteins and is able to affect intracellular signal transduction and biological activity. The common causes of IBS, such as disturbed gut sensory or motor function, dysfunction of autonomic nervous system and psychiatric disturbance are all able to alter the intracellular signal transduction</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Research frontiers</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The current findings of the associations between GNB3 C825T polymorphisms and the IBS are controversial. The authors conducted a meta-analysis to clarify these associations.</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Innovations and breakthroughs</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This is the first meta-analysis to investigate the association between IL-10 polymorphisms with IBS risk. The authors showed that no associations of GNB3 C825T polymorphisms with IBS risk, regardless of Asian or Caucasian ethnicity, and no associations were found in subtypes of IBS.</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 xml:space="preserve">Applications </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This study furthers the understanding of the association of GNB3 polymorphisms and IBS risk. </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Peer review</w:t>
      </w:r>
    </w:p>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lastRenderedPageBreak/>
        <w:t>This is a good meta-analysis in which authors analyze the associations between GNB3 C825T polymorphisms and the risk of IBS. The results are interesting and suggest that no association were found between GNB3 C825T polymorphisms and IBS risk.</w:t>
      </w:r>
    </w:p>
    <w:p w:rsidR="002C62D1" w:rsidRPr="00F86968" w:rsidRDefault="002C62D1" w:rsidP="000A53F3">
      <w:pPr>
        <w:widowControl/>
        <w:spacing w:line="360" w:lineRule="auto"/>
        <w:rPr>
          <w:rFonts w:ascii="Book Antiqua" w:hAnsi="Book Antiqua"/>
          <w:b/>
          <w:sz w:val="24"/>
          <w:szCs w:val="24"/>
        </w:rPr>
      </w:pPr>
      <w:r w:rsidRPr="00F86968">
        <w:rPr>
          <w:rFonts w:ascii="Book Antiqua" w:hAnsi="Book Antiqua"/>
          <w:b/>
          <w:sz w:val="24"/>
          <w:szCs w:val="24"/>
        </w:rPr>
        <w:br w:type="page"/>
      </w:r>
      <w:r w:rsidRPr="00F86968">
        <w:rPr>
          <w:rFonts w:ascii="Book Antiqua" w:hAnsi="Book Antiqua"/>
          <w:b/>
          <w:sz w:val="24"/>
          <w:szCs w:val="24"/>
        </w:rPr>
        <w:lastRenderedPageBreak/>
        <w:t>REFERENCE</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1 </w:t>
      </w:r>
      <w:r w:rsidRPr="00F86968">
        <w:rPr>
          <w:rFonts w:ascii="Book Antiqua" w:hAnsi="Book Antiqua" w:cs="宋体"/>
          <w:b/>
          <w:bCs/>
          <w:kern w:val="0"/>
          <w:sz w:val="24"/>
          <w:szCs w:val="24"/>
        </w:rPr>
        <w:t>Drossman DA</w:t>
      </w:r>
      <w:r w:rsidRPr="00F86968">
        <w:rPr>
          <w:rFonts w:ascii="Book Antiqua" w:hAnsi="Book Antiqua" w:cs="宋体"/>
          <w:kern w:val="0"/>
          <w:sz w:val="24"/>
          <w:szCs w:val="24"/>
        </w:rPr>
        <w:t>, Morris CB, Hu Y, Toner BB, Diamant N, Leserman J, Shetzline M, Dalton C, Bangdiwala SI. A prospective assessment of bowel habit in irritable bowel syndrome in women: defining an alternator. </w:t>
      </w:r>
      <w:r w:rsidRPr="00F86968">
        <w:rPr>
          <w:rFonts w:ascii="Book Antiqua" w:hAnsi="Book Antiqua" w:cs="宋体"/>
          <w:i/>
          <w:iCs/>
          <w:kern w:val="0"/>
          <w:sz w:val="24"/>
          <w:szCs w:val="24"/>
        </w:rPr>
        <w:t>Gastroenterology</w:t>
      </w:r>
      <w:r w:rsidRPr="00F86968">
        <w:rPr>
          <w:rFonts w:ascii="Book Antiqua" w:hAnsi="Book Antiqua" w:cs="宋体"/>
          <w:kern w:val="0"/>
          <w:sz w:val="24"/>
          <w:szCs w:val="24"/>
        </w:rPr>
        <w:t> 2005; </w:t>
      </w:r>
      <w:r w:rsidRPr="00F86968">
        <w:rPr>
          <w:rFonts w:ascii="Book Antiqua" w:hAnsi="Book Antiqua" w:cs="宋体"/>
          <w:b/>
          <w:bCs/>
          <w:kern w:val="0"/>
          <w:sz w:val="24"/>
          <w:szCs w:val="24"/>
        </w:rPr>
        <w:t>128</w:t>
      </w:r>
      <w:r w:rsidRPr="00F86968">
        <w:rPr>
          <w:rFonts w:ascii="Book Antiqua" w:hAnsi="Book Antiqua" w:cs="宋体"/>
          <w:kern w:val="0"/>
          <w:sz w:val="24"/>
          <w:szCs w:val="24"/>
        </w:rPr>
        <w:t>: 580-589 [PMID: 15765393 DOI: S0016508504021973]</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2 </w:t>
      </w:r>
      <w:r w:rsidRPr="00F86968">
        <w:rPr>
          <w:rFonts w:ascii="Book Antiqua" w:hAnsi="Book Antiqua" w:cs="宋体"/>
          <w:b/>
          <w:bCs/>
          <w:kern w:val="0"/>
          <w:sz w:val="24"/>
          <w:szCs w:val="24"/>
        </w:rPr>
        <w:t>van Tilburg MA</w:t>
      </w:r>
      <w:r w:rsidRPr="00F86968">
        <w:rPr>
          <w:rFonts w:ascii="Book Antiqua" w:hAnsi="Book Antiqua" w:cs="宋体"/>
          <w:kern w:val="0"/>
          <w:sz w:val="24"/>
          <w:szCs w:val="24"/>
        </w:rPr>
        <w:t>, Whitehead WE. New paradigm for studying genetic contributions to irritable bowel syndrome. </w:t>
      </w:r>
      <w:r w:rsidRPr="00F86968">
        <w:rPr>
          <w:rFonts w:ascii="Book Antiqua" w:hAnsi="Book Antiqua" w:cs="宋体"/>
          <w:i/>
          <w:iCs/>
          <w:kern w:val="0"/>
          <w:sz w:val="24"/>
          <w:szCs w:val="24"/>
        </w:rPr>
        <w:t>Dig Dis Sci</w:t>
      </w:r>
      <w:r w:rsidRPr="00F86968">
        <w:rPr>
          <w:rFonts w:ascii="Book Antiqua" w:hAnsi="Book Antiqua" w:cs="宋体"/>
          <w:kern w:val="0"/>
          <w:sz w:val="24"/>
          <w:szCs w:val="24"/>
        </w:rPr>
        <w:t> 2012; </w:t>
      </w:r>
      <w:r w:rsidRPr="00F86968">
        <w:rPr>
          <w:rFonts w:ascii="Book Antiqua" w:hAnsi="Book Antiqua" w:cs="宋体"/>
          <w:b/>
          <w:bCs/>
          <w:kern w:val="0"/>
          <w:sz w:val="24"/>
          <w:szCs w:val="24"/>
        </w:rPr>
        <w:t>57</w:t>
      </w:r>
      <w:r w:rsidRPr="00F86968">
        <w:rPr>
          <w:rFonts w:ascii="Book Antiqua" w:hAnsi="Book Antiqua" w:cs="宋体"/>
          <w:kern w:val="0"/>
          <w:sz w:val="24"/>
          <w:szCs w:val="24"/>
        </w:rPr>
        <w:t>: 2484-2486 [PMID: 22926498 DOI: 10.1007/s10620-012-2370-6]</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3 </w:t>
      </w:r>
      <w:r w:rsidRPr="00F86968">
        <w:rPr>
          <w:rFonts w:ascii="Book Antiqua" w:hAnsi="Book Antiqua" w:cs="宋体"/>
          <w:b/>
          <w:bCs/>
          <w:kern w:val="0"/>
          <w:sz w:val="24"/>
          <w:szCs w:val="24"/>
        </w:rPr>
        <w:t>Locke GR</w:t>
      </w:r>
      <w:r w:rsidRPr="00F86968">
        <w:rPr>
          <w:rFonts w:ascii="Book Antiqua" w:hAnsi="Book Antiqua" w:cs="宋体"/>
          <w:kern w:val="0"/>
          <w:sz w:val="24"/>
          <w:szCs w:val="24"/>
        </w:rPr>
        <w:t>, Zinsmeister AR, Talley NJ, Fett SL, Melton LJ. Familial association in adults with functional gastrointestinal disorders. </w:t>
      </w:r>
      <w:r w:rsidRPr="00F86968">
        <w:rPr>
          <w:rFonts w:ascii="Book Antiqua" w:hAnsi="Book Antiqua" w:cs="宋体"/>
          <w:i/>
          <w:iCs/>
          <w:kern w:val="0"/>
          <w:sz w:val="24"/>
          <w:szCs w:val="24"/>
        </w:rPr>
        <w:t>Mayo Clin Proc</w:t>
      </w:r>
      <w:r w:rsidRPr="00F86968">
        <w:rPr>
          <w:rFonts w:ascii="Book Antiqua" w:hAnsi="Book Antiqua" w:cs="宋体"/>
          <w:kern w:val="0"/>
          <w:sz w:val="24"/>
          <w:szCs w:val="24"/>
        </w:rPr>
        <w:t> 2000; </w:t>
      </w:r>
      <w:r w:rsidRPr="00F86968">
        <w:rPr>
          <w:rFonts w:ascii="Book Antiqua" w:hAnsi="Book Antiqua" w:cs="宋体"/>
          <w:b/>
          <w:bCs/>
          <w:kern w:val="0"/>
          <w:sz w:val="24"/>
          <w:szCs w:val="24"/>
        </w:rPr>
        <w:t>75</w:t>
      </w:r>
      <w:r w:rsidRPr="00F86968">
        <w:rPr>
          <w:rFonts w:ascii="Book Antiqua" w:hAnsi="Book Antiqua" w:cs="宋体"/>
          <w:kern w:val="0"/>
          <w:sz w:val="24"/>
          <w:szCs w:val="24"/>
        </w:rPr>
        <w:t>: 907-912 [PMID: 10994826 DOI: S0025-6196(11)64642-9]</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4 </w:t>
      </w:r>
      <w:r w:rsidRPr="00F86968">
        <w:rPr>
          <w:rFonts w:ascii="Book Antiqua" w:hAnsi="Book Antiqua" w:cs="宋体"/>
          <w:b/>
          <w:bCs/>
          <w:kern w:val="0"/>
          <w:sz w:val="24"/>
          <w:szCs w:val="24"/>
        </w:rPr>
        <w:t>Bengtson MB</w:t>
      </w:r>
      <w:r w:rsidRPr="00F86968">
        <w:rPr>
          <w:rFonts w:ascii="Book Antiqua" w:hAnsi="Book Antiqua" w:cs="宋体"/>
          <w:kern w:val="0"/>
          <w:sz w:val="24"/>
          <w:szCs w:val="24"/>
        </w:rPr>
        <w:t>, Rønning T, Vatn MH, Harris JR. Irritable bowel syndrome in twins: genes and environment. </w:t>
      </w:r>
      <w:r w:rsidRPr="00F86968">
        <w:rPr>
          <w:rFonts w:ascii="Book Antiqua" w:hAnsi="Book Antiqua" w:cs="宋体"/>
          <w:i/>
          <w:iCs/>
          <w:kern w:val="0"/>
          <w:sz w:val="24"/>
          <w:szCs w:val="24"/>
        </w:rPr>
        <w:t>Gut</w:t>
      </w:r>
      <w:r w:rsidRPr="00F86968">
        <w:rPr>
          <w:rFonts w:ascii="Book Antiqua" w:hAnsi="Book Antiqua" w:cs="宋体"/>
          <w:kern w:val="0"/>
          <w:sz w:val="24"/>
          <w:szCs w:val="24"/>
        </w:rPr>
        <w:t> 2006; </w:t>
      </w:r>
      <w:r w:rsidRPr="00F86968">
        <w:rPr>
          <w:rFonts w:ascii="Book Antiqua" w:hAnsi="Book Antiqua" w:cs="宋体"/>
          <w:b/>
          <w:bCs/>
          <w:kern w:val="0"/>
          <w:sz w:val="24"/>
          <w:szCs w:val="24"/>
        </w:rPr>
        <w:t>55</w:t>
      </w:r>
      <w:r w:rsidRPr="00F86968">
        <w:rPr>
          <w:rFonts w:ascii="Book Antiqua" w:hAnsi="Book Antiqua" w:cs="宋体"/>
          <w:kern w:val="0"/>
          <w:sz w:val="24"/>
          <w:szCs w:val="24"/>
        </w:rPr>
        <w:t>: 1754-1759 [PMID: 17008364 DOI: gut.2006.097287]</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5 </w:t>
      </w:r>
      <w:r w:rsidRPr="00F86968">
        <w:rPr>
          <w:rFonts w:ascii="Book Antiqua" w:hAnsi="Book Antiqua" w:cs="宋体"/>
          <w:b/>
          <w:bCs/>
          <w:kern w:val="0"/>
          <w:sz w:val="24"/>
          <w:szCs w:val="24"/>
        </w:rPr>
        <w:t>Lee HJ</w:t>
      </w:r>
      <w:r w:rsidRPr="00F86968">
        <w:rPr>
          <w:rFonts w:ascii="Book Antiqua" w:hAnsi="Book Antiqua" w:cs="宋体"/>
          <w:kern w:val="0"/>
          <w:sz w:val="24"/>
          <w:szCs w:val="24"/>
        </w:rPr>
        <w:t>, Lee SY, Choi JE, Kim JH, Sung IK, Park HS, Jin CJ. G protein beta3 subunit, interleukin-10, and tumor necrosis factor-alpha gene polymorphisms in Koreans with irritable bowel syndrome. </w:t>
      </w:r>
      <w:r w:rsidRPr="00F86968">
        <w:rPr>
          <w:rFonts w:ascii="Book Antiqua" w:hAnsi="Book Antiqua" w:cs="宋体"/>
          <w:i/>
          <w:iCs/>
          <w:kern w:val="0"/>
          <w:sz w:val="24"/>
          <w:szCs w:val="24"/>
        </w:rPr>
        <w:t>Neurogastroenterol Motil</w:t>
      </w:r>
      <w:r w:rsidRPr="00F86968">
        <w:rPr>
          <w:rFonts w:ascii="Book Antiqua" w:hAnsi="Book Antiqua" w:cs="宋体"/>
          <w:kern w:val="0"/>
          <w:sz w:val="24"/>
          <w:szCs w:val="24"/>
        </w:rPr>
        <w:t> 2010; </w:t>
      </w:r>
      <w:r w:rsidRPr="00F86968">
        <w:rPr>
          <w:rFonts w:ascii="Book Antiqua" w:hAnsi="Book Antiqua" w:cs="宋体"/>
          <w:b/>
          <w:bCs/>
          <w:kern w:val="0"/>
          <w:sz w:val="24"/>
          <w:szCs w:val="24"/>
        </w:rPr>
        <w:t>22</w:t>
      </w:r>
      <w:r w:rsidRPr="00F86968">
        <w:rPr>
          <w:rFonts w:ascii="Book Antiqua" w:hAnsi="Book Antiqua" w:cs="宋体"/>
          <w:kern w:val="0"/>
          <w:sz w:val="24"/>
          <w:szCs w:val="24"/>
        </w:rPr>
        <w:t>: 758-763 [PMID: 20337945 DOI: 10.1111/j.1365-2982.2010.01496.x]</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6 </w:t>
      </w:r>
      <w:r w:rsidRPr="00F86968">
        <w:rPr>
          <w:rFonts w:ascii="Book Antiqua" w:hAnsi="Book Antiqua" w:cs="宋体"/>
          <w:b/>
          <w:bCs/>
          <w:kern w:val="0"/>
          <w:sz w:val="24"/>
          <w:szCs w:val="24"/>
        </w:rPr>
        <w:t>Markoutsaki T</w:t>
      </w:r>
      <w:r w:rsidRPr="00F86968">
        <w:rPr>
          <w:rFonts w:ascii="Book Antiqua" w:hAnsi="Book Antiqua" w:cs="宋体"/>
          <w:kern w:val="0"/>
          <w:sz w:val="24"/>
          <w:szCs w:val="24"/>
        </w:rPr>
        <w:t>, Karantanos T, Gazouli M, Anagnou NP, Ladas SD, Karamanolis DG. Serotonin transporter and G protein beta 3 subunit gene polymorphisms in Greeks with irritable bowel syndrome. </w:t>
      </w:r>
      <w:r w:rsidRPr="00F86968">
        <w:rPr>
          <w:rFonts w:ascii="Book Antiqua" w:hAnsi="Book Antiqua" w:cs="宋体"/>
          <w:i/>
          <w:iCs/>
          <w:kern w:val="0"/>
          <w:sz w:val="24"/>
          <w:szCs w:val="24"/>
        </w:rPr>
        <w:t>Dig Dis Sci</w:t>
      </w:r>
      <w:r w:rsidRPr="00F86968">
        <w:rPr>
          <w:rFonts w:ascii="Book Antiqua" w:hAnsi="Book Antiqua" w:cs="宋体"/>
          <w:kern w:val="0"/>
          <w:sz w:val="24"/>
          <w:szCs w:val="24"/>
        </w:rPr>
        <w:t> 2011; </w:t>
      </w:r>
      <w:r w:rsidRPr="00F86968">
        <w:rPr>
          <w:rFonts w:ascii="Book Antiqua" w:hAnsi="Book Antiqua" w:cs="宋体"/>
          <w:b/>
          <w:bCs/>
          <w:kern w:val="0"/>
          <w:sz w:val="24"/>
          <w:szCs w:val="24"/>
        </w:rPr>
        <w:t>56</w:t>
      </w:r>
      <w:r w:rsidRPr="00F86968">
        <w:rPr>
          <w:rFonts w:ascii="Book Antiqua" w:hAnsi="Book Antiqua" w:cs="宋体"/>
          <w:kern w:val="0"/>
          <w:sz w:val="24"/>
          <w:szCs w:val="24"/>
        </w:rPr>
        <w:t>: 3276-3280 [PMID: 21559741 DOI: 10.1007/s10620-011-1726-7]</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7 </w:t>
      </w:r>
      <w:r w:rsidRPr="00F86968">
        <w:rPr>
          <w:rFonts w:ascii="Book Antiqua" w:hAnsi="Book Antiqua" w:cs="宋体"/>
          <w:b/>
          <w:bCs/>
          <w:kern w:val="0"/>
          <w:sz w:val="24"/>
          <w:szCs w:val="24"/>
        </w:rPr>
        <w:t>Park H</w:t>
      </w:r>
      <w:r w:rsidRPr="00F86968">
        <w:rPr>
          <w:rFonts w:ascii="Book Antiqua" w:hAnsi="Book Antiqua" w:cs="宋体"/>
          <w:kern w:val="0"/>
          <w:sz w:val="24"/>
          <w:szCs w:val="24"/>
        </w:rPr>
        <w:t>. Functional gastrointestinal disorders and overlap syndrome in Korea. </w:t>
      </w:r>
      <w:r w:rsidRPr="00F86968">
        <w:rPr>
          <w:rFonts w:ascii="Book Antiqua" w:hAnsi="Book Antiqua" w:cs="宋体"/>
          <w:i/>
          <w:iCs/>
          <w:kern w:val="0"/>
          <w:sz w:val="24"/>
          <w:szCs w:val="24"/>
        </w:rPr>
        <w:t>J Gastroenterol Hepatol</w:t>
      </w:r>
      <w:r w:rsidRPr="00F86968">
        <w:rPr>
          <w:rFonts w:ascii="Book Antiqua" w:hAnsi="Book Antiqua" w:cs="宋体"/>
          <w:kern w:val="0"/>
          <w:sz w:val="24"/>
          <w:szCs w:val="24"/>
        </w:rPr>
        <w:t> 2011; </w:t>
      </w:r>
      <w:r w:rsidRPr="00F86968">
        <w:rPr>
          <w:rFonts w:ascii="Book Antiqua" w:hAnsi="Book Antiqua" w:cs="宋体"/>
          <w:b/>
          <w:bCs/>
          <w:kern w:val="0"/>
          <w:sz w:val="24"/>
          <w:szCs w:val="24"/>
        </w:rPr>
        <w:t xml:space="preserve">26 </w:t>
      </w:r>
      <w:r w:rsidRPr="00F86968">
        <w:rPr>
          <w:rFonts w:ascii="Book Antiqua" w:hAnsi="Book Antiqua" w:cs="宋体"/>
          <w:bCs/>
          <w:kern w:val="0"/>
          <w:sz w:val="24"/>
          <w:szCs w:val="24"/>
        </w:rPr>
        <w:t>Suppl 3</w:t>
      </w:r>
      <w:r w:rsidRPr="00F86968">
        <w:rPr>
          <w:rFonts w:ascii="Book Antiqua" w:hAnsi="Book Antiqua" w:cs="宋体"/>
          <w:kern w:val="0"/>
          <w:sz w:val="24"/>
          <w:szCs w:val="24"/>
        </w:rPr>
        <w:t>: 12-14 [PMID: 21443700 DOI: 10.1111/j.1440-1746.2011.06644.x]</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8 </w:t>
      </w:r>
      <w:r w:rsidRPr="00F86968">
        <w:rPr>
          <w:rFonts w:ascii="Book Antiqua" w:hAnsi="Book Antiqua" w:cs="宋体"/>
          <w:b/>
          <w:bCs/>
          <w:kern w:val="0"/>
          <w:sz w:val="24"/>
          <w:szCs w:val="24"/>
        </w:rPr>
        <w:t>Tahara T</w:t>
      </w:r>
      <w:r w:rsidRPr="00F86968">
        <w:rPr>
          <w:rFonts w:ascii="Book Antiqua" w:hAnsi="Book Antiqua" w:cs="宋体"/>
          <w:kern w:val="0"/>
          <w:sz w:val="24"/>
          <w:szCs w:val="24"/>
        </w:rPr>
        <w:t>, Arisawa T, Shibata T, Wang F, Nakamura M, Sakata M, Hirata I, Nakano H. Homozygous 825T allele of the GNB3 protein influences the susceptibility of Japanese to dyspepsia. </w:t>
      </w:r>
      <w:r w:rsidRPr="00F86968">
        <w:rPr>
          <w:rFonts w:ascii="Book Antiqua" w:hAnsi="Book Antiqua" w:cs="宋体"/>
          <w:i/>
          <w:iCs/>
          <w:kern w:val="0"/>
          <w:sz w:val="24"/>
          <w:szCs w:val="24"/>
        </w:rPr>
        <w:t>Dig Dis Sci</w:t>
      </w:r>
      <w:r w:rsidRPr="00F86968">
        <w:rPr>
          <w:rFonts w:ascii="Book Antiqua" w:hAnsi="Book Antiqua" w:cs="宋体"/>
          <w:kern w:val="0"/>
          <w:sz w:val="24"/>
          <w:szCs w:val="24"/>
        </w:rPr>
        <w:t> 2008; </w:t>
      </w:r>
      <w:r w:rsidRPr="00F86968">
        <w:rPr>
          <w:rFonts w:ascii="Book Antiqua" w:hAnsi="Book Antiqua" w:cs="宋体"/>
          <w:b/>
          <w:bCs/>
          <w:kern w:val="0"/>
          <w:sz w:val="24"/>
          <w:szCs w:val="24"/>
        </w:rPr>
        <w:t>53</w:t>
      </w:r>
      <w:r w:rsidRPr="00F86968">
        <w:rPr>
          <w:rFonts w:ascii="Book Antiqua" w:hAnsi="Book Antiqua" w:cs="宋体"/>
          <w:kern w:val="0"/>
          <w:sz w:val="24"/>
          <w:szCs w:val="24"/>
        </w:rPr>
        <w:t>: 642-646 [PMID: 17717746 DOI: 10.1007/s10620-007-9923-0]</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lastRenderedPageBreak/>
        <w:t>9 </w:t>
      </w:r>
      <w:r w:rsidRPr="00F86968">
        <w:rPr>
          <w:rFonts w:ascii="Book Antiqua" w:hAnsi="Book Antiqua" w:cs="宋体"/>
          <w:b/>
          <w:bCs/>
          <w:kern w:val="0"/>
          <w:sz w:val="24"/>
          <w:szCs w:val="24"/>
        </w:rPr>
        <w:t>de Vries DR</w:t>
      </w:r>
      <w:r w:rsidRPr="00F86968">
        <w:rPr>
          <w:rFonts w:ascii="Book Antiqua" w:hAnsi="Book Antiqua" w:cs="宋体"/>
          <w:kern w:val="0"/>
          <w:sz w:val="24"/>
          <w:szCs w:val="24"/>
        </w:rPr>
        <w:t>, ter Linde JJ, van Herwaarden MA, Smout AJ, Samsom M. Gastroesophageal reflux disease is associated with the C825T polymorphism in the G-protein beta3 subunit gene (GNB3). </w:t>
      </w:r>
      <w:r w:rsidRPr="00F86968">
        <w:rPr>
          <w:rFonts w:ascii="Book Antiqua" w:hAnsi="Book Antiqua" w:cs="宋体"/>
          <w:i/>
          <w:iCs/>
          <w:kern w:val="0"/>
          <w:sz w:val="24"/>
          <w:szCs w:val="24"/>
        </w:rPr>
        <w:t>Am J Gastroenterol</w:t>
      </w:r>
      <w:r w:rsidRPr="00F86968">
        <w:rPr>
          <w:rFonts w:ascii="Book Antiqua" w:hAnsi="Book Antiqua" w:cs="宋体"/>
          <w:kern w:val="0"/>
          <w:sz w:val="24"/>
          <w:szCs w:val="24"/>
        </w:rPr>
        <w:t> 2009; </w:t>
      </w:r>
      <w:r w:rsidRPr="00F86968">
        <w:rPr>
          <w:rFonts w:ascii="Book Antiqua" w:hAnsi="Book Antiqua" w:cs="宋体"/>
          <w:b/>
          <w:bCs/>
          <w:kern w:val="0"/>
          <w:sz w:val="24"/>
          <w:szCs w:val="24"/>
        </w:rPr>
        <w:t>104</w:t>
      </w:r>
      <w:r w:rsidRPr="00F86968">
        <w:rPr>
          <w:rFonts w:ascii="Book Antiqua" w:hAnsi="Book Antiqua" w:cs="宋体"/>
          <w:kern w:val="0"/>
          <w:sz w:val="24"/>
          <w:szCs w:val="24"/>
        </w:rPr>
        <w:t>: 281-285 [PMID: 19174793 DOI: 10.1038/ajg.2008.139]</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10 </w:t>
      </w:r>
      <w:r w:rsidRPr="00F86968">
        <w:rPr>
          <w:rFonts w:ascii="Book Antiqua" w:hAnsi="Book Antiqua" w:cs="宋体"/>
          <w:b/>
          <w:bCs/>
          <w:kern w:val="0"/>
          <w:sz w:val="24"/>
          <w:szCs w:val="24"/>
        </w:rPr>
        <w:t>Park CS</w:t>
      </w:r>
      <w:r w:rsidRPr="00F86968">
        <w:rPr>
          <w:rFonts w:ascii="Book Antiqua" w:hAnsi="Book Antiqua" w:cs="宋体"/>
          <w:kern w:val="0"/>
          <w:sz w:val="24"/>
          <w:szCs w:val="24"/>
        </w:rPr>
        <w:t>, Uhm JH. Polymorphisms of the Serotonin Transporter Gene and G-Protein β3 Subunit Gene in Korean Children with Irritable Bowel Syndrome and Functional Dyspepsia. </w:t>
      </w:r>
      <w:r w:rsidRPr="00F86968">
        <w:rPr>
          <w:rFonts w:ascii="Book Antiqua" w:hAnsi="Book Antiqua" w:cs="宋体"/>
          <w:i/>
          <w:iCs/>
          <w:kern w:val="0"/>
          <w:sz w:val="24"/>
          <w:szCs w:val="24"/>
        </w:rPr>
        <w:t>Gut Liver</w:t>
      </w:r>
      <w:r w:rsidRPr="00F86968">
        <w:rPr>
          <w:rFonts w:ascii="Book Antiqua" w:hAnsi="Book Antiqua" w:cs="宋体"/>
          <w:kern w:val="0"/>
          <w:sz w:val="24"/>
          <w:szCs w:val="24"/>
        </w:rPr>
        <w:t> 2012; </w:t>
      </w:r>
      <w:r w:rsidRPr="00F86968">
        <w:rPr>
          <w:rFonts w:ascii="Book Antiqua" w:hAnsi="Book Antiqua" w:cs="宋体"/>
          <w:b/>
          <w:bCs/>
          <w:kern w:val="0"/>
          <w:sz w:val="24"/>
          <w:szCs w:val="24"/>
        </w:rPr>
        <w:t>6</w:t>
      </w:r>
      <w:r w:rsidRPr="00F86968">
        <w:rPr>
          <w:rFonts w:ascii="Book Antiqua" w:hAnsi="Book Antiqua" w:cs="宋体"/>
          <w:kern w:val="0"/>
          <w:sz w:val="24"/>
          <w:szCs w:val="24"/>
        </w:rPr>
        <w:t>: 223-228 [PMID: 22570752 DOI: 10.5009/gnl.2012.6.2.223]</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11 </w:t>
      </w:r>
      <w:r w:rsidRPr="00F86968">
        <w:rPr>
          <w:rFonts w:ascii="Book Antiqua" w:hAnsi="Book Antiqua" w:cs="宋体"/>
          <w:b/>
          <w:bCs/>
          <w:kern w:val="0"/>
          <w:sz w:val="24"/>
          <w:szCs w:val="24"/>
        </w:rPr>
        <w:t>Baumgart D</w:t>
      </w:r>
      <w:r w:rsidRPr="00F86968">
        <w:rPr>
          <w:rFonts w:ascii="Book Antiqua" w:hAnsi="Book Antiqua" w:cs="宋体"/>
          <w:kern w:val="0"/>
          <w:sz w:val="24"/>
          <w:szCs w:val="24"/>
        </w:rPr>
        <w:t>, Naber C, Haude M, Oldenburg O, Erbel R, Heusch G, Siffert W. G protein beta3 subunit 825T allele and enhanced coronary vasoconstriction on alpha(2)-adrenoceptor activation. </w:t>
      </w:r>
      <w:r w:rsidRPr="00F86968">
        <w:rPr>
          <w:rFonts w:ascii="Book Antiqua" w:hAnsi="Book Antiqua" w:cs="宋体"/>
          <w:i/>
          <w:iCs/>
          <w:kern w:val="0"/>
          <w:sz w:val="24"/>
          <w:szCs w:val="24"/>
        </w:rPr>
        <w:t>Circ Res</w:t>
      </w:r>
      <w:r w:rsidRPr="00F86968">
        <w:rPr>
          <w:rFonts w:ascii="Book Antiqua" w:hAnsi="Book Antiqua" w:cs="宋体"/>
          <w:kern w:val="0"/>
          <w:sz w:val="24"/>
          <w:szCs w:val="24"/>
        </w:rPr>
        <w:t> 1999; </w:t>
      </w:r>
      <w:r w:rsidRPr="00F86968">
        <w:rPr>
          <w:rFonts w:ascii="Book Antiqua" w:hAnsi="Book Antiqua" w:cs="宋体"/>
          <w:b/>
          <w:bCs/>
          <w:kern w:val="0"/>
          <w:sz w:val="24"/>
          <w:szCs w:val="24"/>
        </w:rPr>
        <w:t>85</w:t>
      </w:r>
      <w:r w:rsidRPr="00F86968">
        <w:rPr>
          <w:rFonts w:ascii="Book Antiqua" w:hAnsi="Book Antiqua" w:cs="宋体"/>
          <w:kern w:val="0"/>
          <w:sz w:val="24"/>
          <w:szCs w:val="24"/>
        </w:rPr>
        <w:t>: 965-969 [PMID: 10559144]</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12 </w:t>
      </w:r>
      <w:r w:rsidRPr="00F86968">
        <w:rPr>
          <w:rFonts w:ascii="Book Antiqua" w:hAnsi="Book Antiqua" w:cs="宋体"/>
          <w:b/>
          <w:bCs/>
          <w:kern w:val="0"/>
          <w:sz w:val="24"/>
          <w:szCs w:val="24"/>
        </w:rPr>
        <w:t>Rosskopf D</w:t>
      </w:r>
      <w:r w:rsidRPr="00F86968">
        <w:rPr>
          <w:rFonts w:ascii="Book Antiqua" w:hAnsi="Book Antiqua" w:cs="宋体"/>
          <w:kern w:val="0"/>
          <w:sz w:val="24"/>
          <w:szCs w:val="24"/>
        </w:rPr>
        <w:t>, Manthey I, Habich C, Kielbik M, Eisenhardt A, Nikula C, Urban M, Kohnen S, Graf E, Ravens U, Siffert W. Identification and characterization of G beta 3s2, a novel splice variant of the G-protein beta 3 subunit. </w:t>
      </w:r>
      <w:r w:rsidRPr="00F86968">
        <w:rPr>
          <w:rFonts w:ascii="Book Antiqua" w:hAnsi="Book Antiqua" w:cs="宋体"/>
          <w:i/>
          <w:iCs/>
          <w:kern w:val="0"/>
          <w:sz w:val="24"/>
          <w:szCs w:val="24"/>
        </w:rPr>
        <w:t>Biochem J</w:t>
      </w:r>
      <w:r w:rsidRPr="00F86968">
        <w:rPr>
          <w:rFonts w:ascii="Book Antiqua" w:hAnsi="Book Antiqua" w:cs="宋体"/>
          <w:kern w:val="0"/>
          <w:sz w:val="24"/>
          <w:szCs w:val="24"/>
        </w:rPr>
        <w:t> 2003; </w:t>
      </w:r>
      <w:r w:rsidRPr="00F86968">
        <w:rPr>
          <w:rFonts w:ascii="Book Antiqua" w:hAnsi="Book Antiqua" w:cs="宋体"/>
          <w:b/>
          <w:bCs/>
          <w:kern w:val="0"/>
          <w:sz w:val="24"/>
          <w:szCs w:val="24"/>
        </w:rPr>
        <w:t>371</w:t>
      </w:r>
      <w:r w:rsidRPr="00F86968">
        <w:rPr>
          <w:rFonts w:ascii="Book Antiqua" w:hAnsi="Book Antiqua" w:cs="宋体"/>
          <w:kern w:val="0"/>
          <w:sz w:val="24"/>
          <w:szCs w:val="24"/>
        </w:rPr>
        <w:t>: 223-232 [PMID: 12431187 DOI: 10.1042/BJ20021208]</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13 </w:t>
      </w:r>
      <w:r w:rsidRPr="00F86968">
        <w:rPr>
          <w:rFonts w:ascii="Book Antiqua" w:hAnsi="Book Antiqua" w:cs="宋体"/>
          <w:b/>
          <w:bCs/>
          <w:kern w:val="0"/>
          <w:sz w:val="24"/>
          <w:szCs w:val="24"/>
        </w:rPr>
        <w:t>Rosskopf D</w:t>
      </w:r>
      <w:r w:rsidRPr="00F86968">
        <w:rPr>
          <w:rFonts w:ascii="Book Antiqua" w:hAnsi="Book Antiqua" w:cs="宋体"/>
          <w:kern w:val="0"/>
          <w:sz w:val="24"/>
          <w:szCs w:val="24"/>
        </w:rPr>
        <w:t>, Manthey I, Siffert W. Identification and ethnic distribution of major haplotypes in the gene GNB3 encoding the G-protein beta3 subunit. </w:t>
      </w:r>
      <w:r w:rsidRPr="00F86968">
        <w:rPr>
          <w:rFonts w:ascii="Book Antiqua" w:hAnsi="Book Antiqua" w:cs="宋体"/>
          <w:i/>
          <w:iCs/>
          <w:kern w:val="0"/>
          <w:sz w:val="24"/>
          <w:szCs w:val="24"/>
        </w:rPr>
        <w:t>Pharmacogenetics</w:t>
      </w:r>
      <w:r w:rsidRPr="00F86968">
        <w:rPr>
          <w:rFonts w:ascii="Book Antiqua" w:hAnsi="Book Antiqua" w:cs="宋体"/>
          <w:kern w:val="0"/>
          <w:sz w:val="24"/>
          <w:szCs w:val="24"/>
        </w:rPr>
        <w:t> 2002; </w:t>
      </w:r>
      <w:r w:rsidRPr="00F86968">
        <w:rPr>
          <w:rFonts w:ascii="Book Antiqua" w:hAnsi="Book Antiqua" w:cs="宋体"/>
          <w:b/>
          <w:bCs/>
          <w:kern w:val="0"/>
          <w:sz w:val="24"/>
          <w:szCs w:val="24"/>
        </w:rPr>
        <w:t>12</w:t>
      </w:r>
      <w:r w:rsidRPr="00F86968">
        <w:rPr>
          <w:rFonts w:ascii="Book Antiqua" w:hAnsi="Book Antiqua" w:cs="宋体"/>
          <w:kern w:val="0"/>
          <w:sz w:val="24"/>
          <w:szCs w:val="24"/>
        </w:rPr>
        <w:t>: 209-220 [PMID: 11927836]</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14 </w:t>
      </w:r>
      <w:r w:rsidRPr="00F86968">
        <w:rPr>
          <w:rFonts w:ascii="Book Antiqua" w:hAnsi="Book Antiqua" w:cs="宋体"/>
          <w:b/>
          <w:bCs/>
          <w:kern w:val="0"/>
          <w:sz w:val="24"/>
          <w:szCs w:val="24"/>
        </w:rPr>
        <w:t>Andresen V</w:t>
      </w:r>
      <w:r w:rsidRPr="00F86968">
        <w:rPr>
          <w:rFonts w:ascii="Book Antiqua" w:hAnsi="Book Antiqua" w:cs="宋体"/>
          <w:kern w:val="0"/>
          <w:sz w:val="24"/>
          <w:szCs w:val="24"/>
        </w:rPr>
        <w:t>, Camilleri M, Kim HJ, Stephens DA, Carlson PJ, Talley NJ, Saito YA, Urrutia R, Zinsmeister AR. Is there an association between GNbeta3-C825T genotype and lower functional gastrointestinal disorders? </w:t>
      </w:r>
      <w:r w:rsidRPr="00F86968">
        <w:rPr>
          <w:rFonts w:ascii="Book Antiqua" w:hAnsi="Book Antiqua" w:cs="宋体"/>
          <w:i/>
          <w:iCs/>
          <w:kern w:val="0"/>
          <w:sz w:val="24"/>
          <w:szCs w:val="24"/>
        </w:rPr>
        <w:t>Gastroenterology</w:t>
      </w:r>
      <w:r w:rsidRPr="00F86968">
        <w:rPr>
          <w:rFonts w:ascii="Book Antiqua" w:hAnsi="Book Antiqua" w:cs="宋体"/>
          <w:kern w:val="0"/>
          <w:sz w:val="24"/>
          <w:szCs w:val="24"/>
        </w:rPr>
        <w:t> 2006; </w:t>
      </w:r>
      <w:r w:rsidRPr="00F86968">
        <w:rPr>
          <w:rFonts w:ascii="Book Antiqua" w:hAnsi="Book Antiqua" w:cs="宋体"/>
          <w:b/>
          <w:bCs/>
          <w:kern w:val="0"/>
          <w:sz w:val="24"/>
          <w:szCs w:val="24"/>
        </w:rPr>
        <w:t>130</w:t>
      </w:r>
      <w:r w:rsidRPr="00F86968">
        <w:rPr>
          <w:rFonts w:ascii="Book Antiqua" w:hAnsi="Book Antiqua" w:cs="宋体"/>
          <w:kern w:val="0"/>
          <w:sz w:val="24"/>
          <w:szCs w:val="24"/>
        </w:rPr>
        <w:t>: 1985-1994 [PMID: 16762621 DOI: S0016-5085(06)00566-X]</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15 </w:t>
      </w:r>
      <w:r w:rsidRPr="00F86968">
        <w:rPr>
          <w:rFonts w:ascii="Book Antiqua" w:hAnsi="Book Antiqua" w:cs="宋体"/>
          <w:b/>
          <w:bCs/>
          <w:kern w:val="0"/>
          <w:sz w:val="24"/>
          <w:szCs w:val="24"/>
        </w:rPr>
        <w:t>Kim HG</w:t>
      </w:r>
      <w:r w:rsidRPr="00F86968">
        <w:rPr>
          <w:rFonts w:ascii="Book Antiqua" w:hAnsi="Book Antiqua" w:cs="宋体"/>
          <w:kern w:val="0"/>
          <w:sz w:val="24"/>
          <w:szCs w:val="24"/>
        </w:rPr>
        <w:t>, Lee KJ, Lim SG, Jung JY, Cho SW. G-Protein Beta3 Subunit C825T Polymorphism in Patients With Overlap Syndrome of Functional Dyspepsia and Irritable Bowel Syndrome. </w:t>
      </w:r>
      <w:r w:rsidRPr="00F86968">
        <w:rPr>
          <w:rFonts w:ascii="Book Antiqua" w:hAnsi="Book Antiqua" w:cs="宋体"/>
          <w:i/>
          <w:iCs/>
          <w:kern w:val="0"/>
          <w:sz w:val="24"/>
          <w:szCs w:val="24"/>
        </w:rPr>
        <w:t>J Neurogastroenterol Motil</w:t>
      </w:r>
      <w:r w:rsidRPr="00F86968">
        <w:rPr>
          <w:rFonts w:ascii="Book Antiqua" w:hAnsi="Book Antiqua" w:cs="宋体"/>
          <w:kern w:val="0"/>
          <w:sz w:val="24"/>
          <w:szCs w:val="24"/>
        </w:rPr>
        <w:t> 2012; </w:t>
      </w:r>
      <w:r w:rsidRPr="00F86968">
        <w:rPr>
          <w:rFonts w:ascii="Book Antiqua" w:hAnsi="Book Antiqua" w:cs="宋体"/>
          <w:b/>
          <w:bCs/>
          <w:kern w:val="0"/>
          <w:sz w:val="24"/>
          <w:szCs w:val="24"/>
        </w:rPr>
        <w:t>18</w:t>
      </w:r>
      <w:r w:rsidRPr="00F86968">
        <w:rPr>
          <w:rFonts w:ascii="Book Antiqua" w:hAnsi="Book Antiqua" w:cs="宋体"/>
          <w:kern w:val="0"/>
          <w:sz w:val="24"/>
          <w:szCs w:val="24"/>
        </w:rPr>
        <w:t>: 205-210 [PMID: 22523731 DOI: 10.5056/jnm.2012.18.2.205]</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16 </w:t>
      </w:r>
      <w:r w:rsidRPr="00F86968">
        <w:rPr>
          <w:rFonts w:ascii="Book Antiqua" w:hAnsi="Book Antiqua" w:cs="宋体"/>
          <w:b/>
          <w:bCs/>
          <w:kern w:val="0"/>
          <w:sz w:val="24"/>
          <w:szCs w:val="24"/>
        </w:rPr>
        <w:t>Higgins JP</w:t>
      </w:r>
      <w:r w:rsidRPr="00F86968">
        <w:rPr>
          <w:rFonts w:ascii="Book Antiqua" w:hAnsi="Book Antiqua" w:cs="宋体"/>
          <w:kern w:val="0"/>
          <w:sz w:val="24"/>
          <w:szCs w:val="24"/>
        </w:rPr>
        <w:t>, Thompson SG, Deeks JJ, Altman DG. Measuring inconsistency in meta-analyses. </w:t>
      </w:r>
      <w:r w:rsidRPr="00F86968">
        <w:rPr>
          <w:rFonts w:ascii="Book Antiqua" w:hAnsi="Book Antiqua" w:cs="宋体"/>
          <w:i/>
          <w:iCs/>
          <w:kern w:val="0"/>
          <w:sz w:val="24"/>
          <w:szCs w:val="24"/>
        </w:rPr>
        <w:t>BMJ</w:t>
      </w:r>
      <w:r w:rsidRPr="00F86968">
        <w:rPr>
          <w:rFonts w:ascii="Book Antiqua" w:hAnsi="Book Antiqua" w:cs="宋体"/>
          <w:kern w:val="0"/>
          <w:sz w:val="24"/>
          <w:szCs w:val="24"/>
        </w:rPr>
        <w:t> 2003; </w:t>
      </w:r>
      <w:r w:rsidRPr="00F86968">
        <w:rPr>
          <w:rFonts w:ascii="Book Antiqua" w:hAnsi="Book Antiqua" w:cs="宋体"/>
          <w:b/>
          <w:bCs/>
          <w:kern w:val="0"/>
          <w:sz w:val="24"/>
          <w:szCs w:val="24"/>
        </w:rPr>
        <w:t>327</w:t>
      </w:r>
      <w:r w:rsidRPr="00F86968">
        <w:rPr>
          <w:rFonts w:ascii="Book Antiqua" w:hAnsi="Book Antiqua" w:cs="宋体"/>
          <w:kern w:val="0"/>
          <w:sz w:val="24"/>
          <w:szCs w:val="24"/>
        </w:rPr>
        <w:t>: 557-560 [PMID: 12958120 DOI: 10.1136/bmj.327.7414.557]</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lastRenderedPageBreak/>
        <w:t>17 </w:t>
      </w:r>
      <w:r w:rsidRPr="00F86968">
        <w:rPr>
          <w:rFonts w:ascii="Book Antiqua" w:hAnsi="Book Antiqua" w:cs="宋体"/>
          <w:b/>
          <w:bCs/>
          <w:kern w:val="0"/>
          <w:sz w:val="24"/>
          <w:szCs w:val="24"/>
        </w:rPr>
        <w:t>Zintzaras E</w:t>
      </w:r>
      <w:r w:rsidRPr="00F86968">
        <w:rPr>
          <w:rFonts w:ascii="Book Antiqua" w:hAnsi="Book Antiqua" w:cs="宋体"/>
          <w:kern w:val="0"/>
          <w:sz w:val="24"/>
          <w:szCs w:val="24"/>
        </w:rPr>
        <w:t>, Rodopoulou P, Sakellaridis N. Variants of the arachidonate 5-lipoxygenase-activating protein (ALOX5AP) gene and risk of stroke: a HuGE gene-disease association review and meta-analysis. </w:t>
      </w:r>
      <w:r w:rsidRPr="00F86968">
        <w:rPr>
          <w:rFonts w:ascii="Book Antiqua" w:hAnsi="Book Antiqua" w:cs="宋体"/>
          <w:i/>
          <w:iCs/>
          <w:kern w:val="0"/>
          <w:sz w:val="24"/>
          <w:szCs w:val="24"/>
        </w:rPr>
        <w:t>Am J Epidemiol</w:t>
      </w:r>
      <w:r w:rsidRPr="00F86968">
        <w:rPr>
          <w:rFonts w:ascii="Book Antiqua" w:hAnsi="Book Antiqua" w:cs="宋体"/>
          <w:kern w:val="0"/>
          <w:sz w:val="24"/>
          <w:szCs w:val="24"/>
        </w:rPr>
        <w:t> 2009; </w:t>
      </w:r>
      <w:r w:rsidRPr="00F86968">
        <w:rPr>
          <w:rFonts w:ascii="Book Antiqua" w:hAnsi="Book Antiqua" w:cs="宋体"/>
          <w:b/>
          <w:bCs/>
          <w:kern w:val="0"/>
          <w:sz w:val="24"/>
          <w:szCs w:val="24"/>
        </w:rPr>
        <w:t>169</w:t>
      </w:r>
      <w:r w:rsidRPr="00F86968">
        <w:rPr>
          <w:rFonts w:ascii="Book Antiqua" w:hAnsi="Book Antiqua" w:cs="宋体"/>
          <w:kern w:val="0"/>
          <w:sz w:val="24"/>
          <w:szCs w:val="24"/>
        </w:rPr>
        <w:t>: 523-532 [PMID: 19126581 DOI: 10.1093/aje/kwn368]</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18 </w:t>
      </w:r>
      <w:r w:rsidRPr="00F86968">
        <w:rPr>
          <w:rFonts w:ascii="Book Antiqua" w:hAnsi="Book Antiqua" w:cs="宋体"/>
          <w:b/>
          <w:bCs/>
          <w:kern w:val="0"/>
          <w:sz w:val="24"/>
          <w:szCs w:val="24"/>
        </w:rPr>
        <w:t>Saito YA</w:t>
      </w:r>
      <w:r w:rsidRPr="00F86968">
        <w:rPr>
          <w:rFonts w:ascii="Book Antiqua" w:hAnsi="Book Antiqua" w:cs="宋体"/>
          <w:kern w:val="0"/>
          <w:sz w:val="24"/>
          <w:szCs w:val="24"/>
        </w:rPr>
        <w:t>, Larson JJ, Atkinson EJ, Ryu E, Almazar AE, Petersen GM, Talley NJ. The role of 5-HTT LPR and GNβ3 825C&amp; gt; T polymorphisms and gene-environment interactions in irritable bowel syndrome (IBS). </w:t>
      </w:r>
      <w:r w:rsidRPr="00F86968">
        <w:rPr>
          <w:rFonts w:ascii="Book Antiqua" w:hAnsi="Book Antiqua" w:cs="宋体"/>
          <w:i/>
          <w:iCs/>
          <w:kern w:val="0"/>
          <w:sz w:val="24"/>
          <w:szCs w:val="24"/>
        </w:rPr>
        <w:t>Dig Dis Sci</w:t>
      </w:r>
      <w:r w:rsidRPr="00F86968">
        <w:rPr>
          <w:rFonts w:ascii="Book Antiqua" w:hAnsi="Book Antiqua" w:cs="宋体"/>
          <w:kern w:val="0"/>
          <w:sz w:val="24"/>
          <w:szCs w:val="24"/>
        </w:rPr>
        <w:t> 2012; </w:t>
      </w:r>
      <w:r w:rsidRPr="00F86968">
        <w:rPr>
          <w:rFonts w:ascii="Book Antiqua" w:hAnsi="Book Antiqua" w:cs="宋体"/>
          <w:b/>
          <w:bCs/>
          <w:kern w:val="0"/>
          <w:sz w:val="24"/>
          <w:szCs w:val="24"/>
        </w:rPr>
        <w:t>57</w:t>
      </w:r>
      <w:r w:rsidRPr="00F86968">
        <w:rPr>
          <w:rFonts w:ascii="Book Antiqua" w:hAnsi="Book Antiqua" w:cs="宋体"/>
          <w:kern w:val="0"/>
          <w:sz w:val="24"/>
          <w:szCs w:val="24"/>
        </w:rPr>
        <w:t>: 2650-2657 [PMID: 22855291 DOI: 10.1007/s10620-012-2319-9]</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19 </w:t>
      </w:r>
      <w:r w:rsidRPr="00F86968">
        <w:rPr>
          <w:rFonts w:ascii="Book Antiqua" w:hAnsi="Book Antiqua" w:cs="宋体"/>
          <w:b/>
          <w:bCs/>
          <w:kern w:val="0"/>
          <w:sz w:val="24"/>
          <w:szCs w:val="24"/>
        </w:rPr>
        <w:t>Kleuss C</w:t>
      </w:r>
      <w:r w:rsidRPr="00F86968">
        <w:rPr>
          <w:rFonts w:ascii="Book Antiqua" w:hAnsi="Book Antiqua" w:cs="宋体"/>
          <w:kern w:val="0"/>
          <w:sz w:val="24"/>
          <w:szCs w:val="24"/>
        </w:rPr>
        <w:t>, Scherübl H, Hescheler J, Schultz G, Wittig B. Different beta-subunits determine G-protein interaction with transmembrane receptors. </w:t>
      </w:r>
      <w:r w:rsidRPr="00F86968">
        <w:rPr>
          <w:rFonts w:ascii="Book Antiqua" w:hAnsi="Book Antiqua" w:cs="宋体"/>
          <w:i/>
          <w:iCs/>
          <w:kern w:val="0"/>
          <w:sz w:val="24"/>
          <w:szCs w:val="24"/>
        </w:rPr>
        <w:t>Nature</w:t>
      </w:r>
      <w:r w:rsidRPr="00F86968">
        <w:rPr>
          <w:rFonts w:ascii="Book Antiqua" w:hAnsi="Book Antiqua" w:cs="宋体"/>
          <w:kern w:val="0"/>
          <w:sz w:val="24"/>
          <w:szCs w:val="24"/>
        </w:rPr>
        <w:t> 1992; </w:t>
      </w:r>
      <w:r w:rsidRPr="00F86968">
        <w:rPr>
          <w:rFonts w:ascii="Book Antiqua" w:hAnsi="Book Antiqua" w:cs="宋体"/>
          <w:b/>
          <w:bCs/>
          <w:kern w:val="0"/>
          <w:sz w:val="24"/>
          <w:szCs w:val="24"/>
        </w:rPr>
        <w:t>358</w:t>
      </w:r>
      <w:r w:rsidRPr="00F86968">
        <w:rPr>
          <w:rFonts w:ascii="Book Antiqua" w:hAnsi="Book Antiqua" w:cs="宋体"/>
          <w:kern w:val="0"/>
          <w:sz w:val="24"/>
          <w:szCs w:val="24"/>
        </w:rPr>
        <w:t>: 424-426 [PMID: 1322501 DOI: 10.1038/358424a0]</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20 </w:t>
      </w:r>
      <w:r w:rsidRPr="00F86968">
        <w:rPr>
          <w:rFonts w:ascii="Book Antiqua" w:hAnsi="Book Antiqua" w:cs="宋体"/>
          <w:b/>
          <w:bCs/>
          <w:kern w:val="0"/>
          <w:sz w:val="24"/>
          <w:szCs w:val="24"/>
        </w:rPr>
        <w:t>Siffert W</w:t>
      </w:r>
      <w:r w:rsidRPr="00F86968">
        <w:rPr>
          <w:rFonts w:ascii="Book Antiqua" w:hAnsi="Book Antiqua" w:cs="宋体"/>
          <w:kern w:val="0"/>
          <w:sz w:val="24"/>
          <w:szCs w:val="24"/>
        </w:rPr>
        <w:t>, Rosskopf D, Siffert G, Busch S, Moritz A, Erbel R, Sharma AM, Ritz E, Wichmann HE, Jakobs KH, Horsthemke B. Association of a human G-protein beta3 subunit variant with hypertension. </w:t>
      </w:r>
      <w:r w:rsidRPr="00F86968">
        <w:rPr>
          <w:rFonts w:ascii="Book Antiqua" w:hAnsi="Book Antiqua" w:cs="宋体"/>
          <w:i/>
          <w:iCs/>
          <w:kern w:val="0"/>
          <w:sz w:val="24"/>
          <w:szCs w:val="24"/>
        </w:rPr>
        <w:t>Nat Genet</w:t>
      </w:r>
      <w:r w:rsidRPr="00F86968">
        <w:rPr>
          <w:rFonts w:ascii="Book Antiqua" w:hAnsi="Book Antiqua" w:cs="宋体"/>
          <w:kern w:val="0"/>
          <w:sz w:val="24"/>
          <w:szCs w:val="24"/>
        </w:rPr>
        <w:t> 1998; </w:t>
      </w:r>
      <w:r w:rsidRPr="00F86968">
        <w:rPr>
          <w:rFonts w:ascii="Book Antiqua" w:hAnsi="Book Antiqua" w:cs="宋体"/>
          <w:b/>
          <w:bCs/>
          <w:kern w:val="0"/>
          <w:sz w:val="24"/>
          <w:szCs w:val="24"/>
        </w:rPr>
        <w:t>18</w:t>
      </w:r>
      <w:r w:rsidRPr="00F86968">
        <w:rPr>
          <w:rFonts w:ascii="Book Antiqua" w:hAnsi="Book Antiqua" w:cs="宋体"/>
          <w:kern w:val="0"/>
          <w:sz w:val="24"/>
          <w:szCs w:val="24"/>
        </w:rPr>
        <w:t>: 45-48 [PMID: 9425898 DOI: 10.1038/ng0198-45]</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21 </w:t>
      </w:r>
      <w:r w:rsidRPr="00F86968">
        <w:rPr>
          <w:rFonts w:ascii="Book Antiqua" w:hAnsi="Book Antiqua" w:cs="宋体"/>
          <w:b/>
          <w:bCs/>
          <w:kern w:val="0"/>
          <w:sz w:val="24"/>
          <w:szCs w:val="24"/>
        </w:rPr>
        <w:t>Zill P</w:t>
      </w:r>
      <w:r w:rsidRPr="00F86968">
        <w:rPr>
          <w:rFonts w:ascii="Book Antiqua" w:hAnsi="Book Antiqua" w:cs="宋体"/>
          <w:kern w:val="0"/>
          <w:sz w:val="24"/>
          <w:szCs w:val="24"/>
        </w:rPr>
        <w:t>, Baghai TC, Zwanzger P, Schüle C, Minov C, Riedel M, Neumeier K, Rupprecht R, Bondy B. Evidence for an association between a G-protein beta3-gene variant with depression and response to antidepressant treatment. </w:t>
      </w:r>
      <w:r w:rsidRPr="00F86968">
        <w:rPr>
          <w:rFonts w:ascii="Book Antiqua" w:hAnsi="Book Antiqua" w:cs="宋体"/>
          <w:i/>
          <w:iCs/>
          <w:kern w:val="0"/>
          <w:sz w:val="24"/>
          <w:szCs w:val="24"/>
        </w:rPr>
        <w:t>Neuroreport</w:t>
      </w:r>
      <w:r w:rsidRPr="00F86968">
        <w:rPr>
          <w:rFonts w:ascii="Book Antiqua" w:hAnsi="Book Antiqua" w:cs="宋体"/>
          <w:kern w:val="0"/>
          <w:sz w:val="24"/>
          <w:szCs w:val="24"/>
        </w:rPr>
        <w:t> 2000; </w:t>
      </w:r>
      <w:r w:rsidRPr="00F86968">
        <w:rPr>
          <w:rFonts w:ascii="Book Antiqua" w:hAnsi="Book Antiqua" w:cs="宋体"/>
          <w:b/>
          <w:bCs/>
          <w:kern w:val="0"/>
          <w:sz w:val="24"/>
          <w:szCs w:val="24"/>
        </w:rPr>
        <w:t>11</w:t>
      </w:r>
      <w:r w:rsidRPr="00F86968">
        <w:rPr>
          <w:rFonts w:ascii="Book Antiqua" w:hAnsi="Book Antiqua" w:cs="宋体"/>
          <w:kern w:val="0"/>
          <w:sz w:val="24"/>
          <w:szCs w:val="24"/>
        </w:rPr>
        <w:t>: 1893-1897 [PMID: 10884039]</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22 </w:t>
      </w:r>
      <w:r w:rsidRPr="00F86968">
        <w:rPr>
          <w:rFonts w:ascii="Book Antiqua" w:hAnsi="Book Antiqua" w:cs="宋体"/>
          <w:b/>
          <w:bCs/>
          <w:kern w:val="0"/>
          <w:sz w:val="24"/>
          <w:szCs w:val="24"/>
        </w:rPr>
        <w:t>Virchow S</w:t>
      </w:r>
      <w:r w:rsidRPr="00F86968">
        <w:rPr>
          <w:rFonts w:ascii="Book Antiqua" w:hAnsi="Book Antiqua" w:cs="宋体"/>
          <w:kern w:val="0"/>
          <w:sz w:val="24"/>
          <w:szCs w:val="24"/>
        </w:rPr>
        <w:t>, Ansorge N, Rübben H, Siffert G, Siffert W. Enhanced fMLP-stimulated chemotaxis in human neutrophils from individuals carrying the G protein beta3 subunit 825 T-allele. </w:t>
      </w:r>
      <w:r w:rsidRPr="00F86968">
        <w:rPr>
          <w:rFonts w:ascii="Book Antiqua" w:hAnsi="Book Antiqua" w:cs="宋体"/>
          <w:i/>
          <w:iCs/>
          <w:kern w:val="0"/>
          <w:sz w:val="24"/>
          <w:szCs w:val="24"/>
        </w:rPr>
        <w:t>FEBS Lett</w:t>
      </w:r>
      <w:r w:rsidRPr="00F86968">
        <w:rPr>
          <w:rFonts w:ascii="Book Antiqua" w:hAnsi="Book Antiqua" w:cs="宋体"/>
          <w:kern w:val="0"/>
          <w:sz w:val="24"/>
          <w:szCs w:val="24"/>
        </w:rPr>
        <w:t> 1998; </w:t>
      </w:r>
      <w:r w:rsidRPr="00F86968">
        <w:rPr>
          <w:rFonts w:ascii="Book Antiqua" w:hAnsi="Book Antiqua" w:cs="宋体"/>
          <w:b/>
          <w:bCs/>
          <w:kern w:val="0"/>
          <w:sz w:val="24"/>
          <w:szCs w:val="24"/>
        </w:rPr>
        <w:t>436</w:t>
      </w:r>
      <w:r w:rsidRPr="00F86968">
        <w:rPr>
          <w:rFonts w:ascii="Book Antiqua" w:hAnsi="Book Antiqua" w:cs="宋体"/>
          <w:kern w:val="0"/>
          <w:sz w:val="24"/>
          <w:szCs w:val="24"/>
        </w:rPr>
        <w:t>: 155-158 [PMID: 9781669 DOI: S0014-5793(98)01110-7]</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23 </w:t>
      </w:r>
      <w:r w:rsidRPr="00F86968">
        <w:rPr>
          <w:rFonts w:ascii="Book Antiqua" w:hAnsi="Book Antiqua" w:cs="宋体"/>
          <w:b/>
          <w:bCs/>
          <w:kern w:val="0"/>
          <w:sz w:val="24"/>
          <w:szCs w:val="24"/>
        </w:rPr>
        <w:t>Siffert W</w:t>
      </w:r>
      <w:r w:rsidRPr="00F86968">
        <w:rPr>
          <w:rFonts w:ascii="Book Antiqua" w:hAnsi="Book Antiqua" w:cs="宋体"/>
          <w:kern w:val="0"/>
          <w:sz w:val="24"/>
          <w:szCs w:val="24"/>
        </w:rPr>
        <w:t>. G-protein beta3 subunit 825T allele and hypertension. </w:t>
      </w:r>
      <w:r w:rsidRPr="00F86968">
        <w:rPr>
          <w:rFonts w:ascii="Book Antiqua" w:hAnsi="Book Antiqua" w:cs="宋体"/>
          <w:i/>
          <w:iCs/>
          <w:kern w:val="0"/>
          <w:sz w:val="24"/>
          <w:szCs w:val="24"/>
        </w:rPr>
        <w:t>Curr Hypertens Rep</w:t>
      </w:r>
      <w:r w:rsidRPr="00F86968">
        <w:rPr>
          <w:rFonts w:ascii="Book Antiqua" w:hAnsi="Book Antiqua" w:cs="宋体"/>
          <w:kern w:val="0"/>
          <w:sz w:val="24"/>
          <w:szCs w:val="24"/>
        </w:rPr>
        <w:t> 2003; </w:t>
      </w:r>
      <w:r w:rsidRPr="00F86968">
        <w:rPr>
          <w:rFonts w:ascii="Book Antiqua" w:hAnsi="Book Antiqua" w:cs="宋体"/>
          <w:b/>
          <w:bCs/>
          <w:kern w:val="0"/>
          <w:sz w:val="24"/>
          <w:szCs w:val="24"/>
        </w:rPr>
        <w:t>5</w:t>
      </w:r>
      <w:r w:rsidRPr="00F86968">
        <w:rPr>
          <w:rFonts w:ascii="Book Antiqua" w:hAnsi="Book Antiqua" w:cs="宋体"/>
          <w:kern w:val="0"/>
          <w:sz w:val="24"/>
          <w:szCs w:val="24"/>
        </w:rPr>
        <w:t>: 47-53 [PMID: 12530935]</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24 </w:t>
      </w:r>
      <w:r w:rsidRPr="00F86968">
        <w:rPr>
          <w:rFonts w:ascii="Book Antiqua" w:hAnsi="Book Antiqua" w:cs="宋体"/>
          <w:b/>
          <w:bCs/>
          <w:kern w:val="0"/>
          <w:sz w:val="24"/>
          <w:szCs w:val="24"/>
        </w:rPr>
        <w:t>Holtmann G</w:t>
      </w:r>
      <w:r w:rsidRPr="00F86968">
        <w:rPr>
          <w:rFonts w:ascii="Book Antiqua" w:hAnsi="Book Antiqua" w:cs="宋体"/>
          <w:kern w:val="0"/>
          <w:sz w:val="24"/>
          <w:szCs w:val="24"/>
        </w:rPr>
        <w:t>, Siffert W, Haag S, Mueller N, Langkafel M, Senf W, Zotz R, Talley NJ. G-protein beta 3 subunit 825 CC genotype is associated with unexplained (functional) dyspepsia. </w:t>
      </w:r>
      <w:r w:rsidRPr="00F86968">
        <w:rPr>
          <w:rFonts w:ascii="Book Antiqua" w:hAnsi="Book Antiqua" w:cs="宋体"/>
          <w:i/>
          <w:iCs/>
          <w:kern w:val="0"/>
          <w:sz w:val="24"/>
          <w:szCs w:val="24"/>
        </w:rPr>
        <w:t>Gastroenterology</w:t>
      </w:r>
      <w:r w:rsidRPr="00F86968">
        <w:rPr>
          <w:rFonts w:ascii="Book Antiqua" w:hAnsi="Book Antiqua" w:cs="宋体"/>
          <w:kern w:val="0"/>
          <w:sz w:val="24"/>
          <w:szCs w:val="24"/>
        </w:rPr>
        <w:t> 2004; </w:t>
      </w:r>
      <w:r w:rsidRPr="00F86968">
        <w:rPr>
          <w:rFonts w:ascii="Book Antiqua" w:hAnsi="Book Antiqua" w:cs="宋体"/>
          <w:b/>
          <w:bCs/>
          <w:kern w:val="0"/>
          <w:sz w:val="24"/>
          <w:szCs w:val="24"/>
        </w:rPr>
        <w:t>126</w:t>
      </w:r>
      <w:r w:rsidRPr="00F86968">
        <w:rPr>
          <w:rFonts w:ascii="Book Antiqua" w:hAnsi="Book Antiqua" w:cs="宋体"/>
          <w:kern w:val="0"/>
          <w:sz w:val="24"/>
          <w:szCs w:val="24"/>
        </w:rPr>
        <w:t>: 971-979 [PMID: 15057736 DOI: S0016508504000265]</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lastRenderedPageBreak/>
        <w:t>25 </w:t>
      </w:r>
      <w:r w:rsidRPr="00F86968">
        <w:rPr>
          <w:rFonts w:ascii="Book Antiqua" w:hAnsi="Book Antiqua" w:cs="宋体"/>
          <w:b/>
          <w:bCs/>
          <w:kern w:val="0"/>
          <w:sz w:val="24"/>
          <w:szCs w:val="24"/>
        </w:rPr>
        <w:t>Camilleri CE</w:t>
      </w:r>
      <w:r w:rsidRPr="00F86968">
        <w:rPr>
          <w:rFonts w:ascii="Book Antiqua" w:hAnsi="Book Antiqua" w:cs="宋体"/>
          <w:kern w:val="0"/>
          <w:sz w:val="24"/>
          <w:szCs w:val="24"/>
        </w:rPr>
        <w:t>, Carlson PJ, Camilleri M, Castillo EJ, Locke GR, Geno DM, Stephens DA, Zinsmeister AR, Urrutia R. A study of candidate genotypes associated with dyspepsia in a U.S. community. </w:t>
      </w:r>
      <w:r w:rsidRPr="00F86968">
        <w:rPr>
          <w:rFonts w:ascii="Book Antiqua" w:hAnsi="Book Antiqua" w:cs="宋体"/>
          <w:i/>
          <w:iCs/>
          <w:kern w:val="0"/>
          <w:sz w:val="24"/>
          <w:szCs w:val="24"/>
        </w:rPr>
        <w:t>Am J Gastroenterol</w:t>
      </w:r>
      <w:r w:rsidRPr="00F86968">
        <w:rPr>
          <w:rFonts w:ascii="Book Antiqua" w:hAnsi="Book Antiqua" w:cs="宋体"/>
          <w:kern w:val="0"/>
          <w:sz w:val="24"/>
          <w:szCs w:val="24"/>
        </w:rPr>
        <w:t> 2006; </w:t>
      </w:r>
      <w:r w:rsidRPr="00F86968">
        <w:rPr>
          <w:rFonts w:ascii="Book Antiqua" w:hAnsi="Book Antiqua" w:cs="宋体"/>
          <w:b/>
          <w:bCs/>
          <w:kern w:val="0"/>
          <w:sz w:val="24"/>
          <w:szCs w:val="24"/>
        </w:rPr>
        <w:t>101</w:t>
      </w:r>
      <w:r w:rsidRPr="00F86968">
        <w:rPr>
          <w:rFonts w:ascii="Book Antiqua" w:hAnsi="Book Antiqua" w:cs="宋体"/>
          <w:kern w:val="0"/>
          <w:sz w:val="24"/>
          <w:szCs w:val="24"/>
        </w:rPr>
        <w:t>: 581-592 [PMID: 16464220 DOI: 10.1111/j.1572-0241.2006.00481.x]</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26 </w:t>
      </w:r>
      <w:r w:rsidRPr="00F86968">
        <w:rPr>
          <w:rFonts w:ascii="Book Antiqua" w:hAnsi="Book Antiqua" w:cs="宋体"/>
          <w:b/>
          <w:bCs/>
          <w:kern w:val="0"/>
          <w:sz w:val="24"/>
          <w:szCs w:val="24"/>
        </w:rPr>
        <w:t>Corsetti M</w:t>
      </w:r>
      <w:r w:rsidRPr="00F86968">
        <w:rPr>
          <w:rFonts w:ascii="Book Antiqua" w:hAnsi="Book Antiqua" w:cs="宋体"/>
          <w:kern w:val="0"/>
          <w:sz w:val="24"/>
          <w:szCs w:val="24"/>
        </w:rPr>
        <w:t>, Caenepeel P, Fischler B, Janssens J, Tack J. Impact of coexisting irritable bowel syndrome on symptoms and pathophysiological mechanisms in functional dyspepsia. </w:t>
      </w:r>
      <w:r w:rsidRPr="00F86968">
        <w:rPr>
          <w:rFonts w:ascii="Book Antiqua" w:hAnsi="Book Antiqua" w:cs="宋体"/>
          <w:i/>
          <w:iCs/>
          <w:kern w:val="0"/>
          <w:sz w:val="24"/>
          <w:szCs w:val="24"/>
        </w:rPr>
        <w:t>Am J Gastroenterol</w:t>
      </w:r>
      <w:r w:rsidRPr="00F86968">
        <w:rPr>
          <w:rFonts w:ascii="Book Antiqua" w:hAnsi="Book Antiqua" w:cs="宋体"/>
          <w:kern w:val="0"/>
          <w:sz w:val="24"/>
          <w:szCs w:val="24"/>
        </w:rPr>
        <w:t> 2004; </w:t>
      </w:r>
      <w:r w:rsidRPr="00F86968">
        <w:rPr>
          <w:rFonts w:ascii="Book Antiqua" w:hAnsi="Book Antiqua" w:cs="宋体"/>
          <w:b/>
          <w:bCs/>
          <w:kern w:val="0"/>
          <w:sz w:val="24"/>
          <w:szCs w:val="24"/>
        </w:rPr>
        <w:t>99</w:t>
      </w:r>
      <w:r w:rsidRPr="00F86968">
        <w:rPr>
          <w:rFonts w:ascii="Book Antiqua" w:hAnsi="Book Antiqua" w:cs="宋体"/>
          <w:kern w:val="0"/>
          <w:sz w:val="24"/>
          <w:szCs w:val="24"/>
        </w:rPr>
        <w:t>: 1152-1159 [PMID: 15180740 DOI: 10.1111/j.1572-0241.2004.30040.x]</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27 </w:t>
      </w:r>
      <w:r w:rsidRPr="00F86968">
        <w:rPr>
          <w:rFonts w:ascii="Book Antiqua" w:hAnsi="Book Antiqua" w:cs="宋体"/>
          <w:b/>
          <w:bCs/>
          <w:kern w:val="0"/>
          <w:sz w:val="24"/>
          <w:szCs w:val="24"/>
        </w:rPr>
        <w:t>Lindemann M</w:t>
      </w:r>
      <w:r w:rsidRPr="00F86968">
        <w:rPr>
          <w:rFonts w:ascii="Book Antiqua" w:hAnsi="Book Antiqua" w:cs="宋体"/>
          <w:kern w:val="0"/>
          <w:sz w:val="24"/>
          <w:szCs w:val="24"/>
        </w:rPr>
        <w:t>, Virchow S, Ramann F, Barsegian V, Kreuzfelder E, Siffert W, Müller N, Grosse-Wilde H. The G protein beta3 subunit 825T allele is a genetic marker for enhanced T cell response. </w:t>
      </w:r>
      <w:r w:rsidRPr="00F86968">
        <w:rPr>
          <w:rFonts w:ascii="Book Antiqua" w:hAnsi="Book Antiqua" w:cs="宋体"/>
          <w:i/>
          <w:iCs/>
          <w:kern w:val="0"/>
          <w:sz w:val="24"/>
          <w:szCs w:val="24"/>
        </w:rPr>
        <w:t>FEBS Lett</w:t>
      </w:r>
      <w:r w:rsidRPr="00F86968">
        <w:rPr>
          <w:rFonts w:ascii="Book Antiqua" w:hAnsi="Book Antiqua" w:cs="宋体"/>
          <w:kern w:val="0"/>
          <w:sz w:val="24"/>
          <w:szCs w:val="24"/>
        </w:rPr>
        <w:t> 2001; </w:t>
      </w:r>
      <w:r w:rsidRPr="00F86968">
        <w:rPr>
          <w:rFonts w:ascii="Book Antiqua" w:hAnsi="Book Antiqua" w:cs="宋体"/>
          <w:b/>
          <w:bCs/>
          <w:kern w:val="0"/>
          <w:sz w:val="24"/>
          <w:szCs w:val="24"/>
        </w:rPr>
        <w:t>495</w:t>
      </w:r>
      <w:r w:rsidRPr="00F86968">
        <w:rPr>
          <w:rFonts w:ascii="Book Antiqua" w:hAnsi="Book Antiqua" w:cs="宋体"/>
          <w:kern w:val="0"/>
          <w:sz w:val="24"/>
          <w:szCs w:val="24"/>
        </w:rPr>
        <w:t>: 82-86 [PMID: 11322952 DOI: S0014-5793(01)02339-0]</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28 </w:t>
      </w:r>
      <w:r w:rsidRPr="00F86968">
        <w:rPr>
          <w:rFonts w:ascii="Book Antiqua" w:hAnsi="Book Antiqua" w:cs="宋体"/>
          <w:b/>
          <w:bCs/>
          <w:kern w:val="0"/>
          <w:sz w:val="24"/>
          <w:szCs w:val="24"/>
        </w:rPr>
        <w:t>Hauner H</w:t>
      </w:r>
      <w:r w:rsidRPr="00F86968">
        <w:rPr>
          <w:rFonts w:ascii="Book Antiqua" w:hAnsi="Book Antiqua" w:cs="宋体"/>
          <w:kern w:val="0"/>
          <w:sz w:val="24"/>
          <w:szCs w:val="24"/>
        </w:rPr>
        <w:t>, Meier M, Jöckel KH, Frey UH, Siffert W. Prediction of successful weight reduction under sibutramine therapy through genotyping of the G-protein beta3 subunit gene (GNB3) C825T polymorphism. </w:t>
      </w:r>
      <w:r w:rsidRPr="00F86968">
        <w:rPr>
          <w:rFonts w:ascii="Book Antiqua" w:hAnsi="Book Antiqua" w:cs="宋体"/>
          <w:i/>
          <w:iCs/>
          <w:kern w:val="0"/>
          <w:sz w:val="24"/>
          <w:szCs w:val="24"/>
        </w:rPr>
        <w:t>Pharmacogenetics</w:t>
      </w:r>
      <w:r w:rsidRPr="00F86968">
        <w:rPr>
          <w:rFonts w:ascii="Book Antiqua" w:hAnsi="Book Antiqua" w:cs="宋体"/>
          <w:kern w:val="0"/>
          <w:sz w:val="24"/>
          <w:szCs w:val="24"/>
        </w:rPr>
        <w:t> 2003; </w:t>
      </w:r>
      <w:r w:rsidRPr="00F86968">
        <w:rPr>
          <w:rFonts w:ascii="Book Antiqua" w:hAnsi="Book Antiqua" w:cs="宋体"/>
          <w:b/>
          <w:bCs/>
          <w:kern w:val="0"/>
          <w:sz w:val="24"/>
          <w:szCs w:val="24"/>
        </w:rPr>
        <w:t>13</w:t>
      </w:r>
      <w:r w:rsidRPr="00F86968">
        <w:rPr>
          <w:rFonts w:ascii="Book Antiqua" w:hAnsi="Book Antiqua" w:cs="宋体"/>
          <w:kern w:val="0"/>
          <w:sz w:val="24"/>
          <w:szCs w:val="24"/>
        </w:rPr>
        <w:t>: 453-459 [PMID: 12893983 DOI: 10.1097/01.fpc.0000054109.14659.b4]</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29 </w:t>
      </w:r>
      <w:r w:rsidRPr="00F86968">
        <w:rPr>
          <w:rFonts w:ascii="Book Antiqua" w:hAnsi="Book Antiqua" w:cs="宋体"/>
          <w:b/>
          <w:bCs/>
          <w:kern w:val="0"/>
          <w:sz w:val="24"/>
          <w:szCs w:val="24"/>
        </w:rPr>
        <w:t>Guilera M</w:t>
      </w:r>
      <w:r w:rsidRPr="00F86968">
        <w:rPr>
          <w:rFonts w:ascii="Book Antiqua" w:hAnsi="Book Antiqua" w:cs="宋体"/>
          <w:kern w:val="0"/>
          <w:sz w:val="24"/>
          <w:szCs w:val="24"/>
        </w:rPr>
        <w:t>, Balboa A, Mearin F. Bowel habit subtypes and temporal patterns in irritable bowel syndrome: systematic review. </w:t>
      </w:r>
      <w:r w:rsidRPr="00F86968">
        <w:rPr>
          <w:rFonts w:ascii="Book Antiqua" w:hAnsi="Book Antiqua" w:cs="宋体"/>
          <w:i/>
          <w:iCs/>
          <w:kern w:val="0"/>
          <w:sz w:val="24"/>
          <w:szCs w:val="24"/>
        </w:rPr>
        <w:t>Am J Gastroenterol</w:t>
      </w:r>
      <w:r w:rsidRPr="00F86968">
        <w:rPr>
          <w:rFonts w:ascii="Book Antiqua" w:hAnsi="Book Antiqua" w:cs="宋体"/>
          <w:kern w:val="0"/>
          <w:sz w:val="24"/>
          <w:szCs w:val="24"/>
        </w:rPr>
        <w:t> 2005; </w:t>
      </w:r>
      <w:r w:rsidRPr="00F86968">
        <w:rPr>
          <w:rFonts w:ascii="Book Antiqua" w:hAnsi="Book Antiqua" w:cs="宋体"/>
          <w:b/>
          <w:bCs/>
          <w:kern w:val="0"/>
          <w:sz w:val="24"/>
          <w:szCs w:val="24"/>
        </w:rPr>
        <w:t>100</w:t>
      </w:r>
      <w:r w:rsidRPr="00F86968">
        <w:rPr>
          <w:rFonts w:ascii="Book Antiqua" w:hAnsi="Book Antiqua" w:cs="宋体"/>
          <w:kern w:val="0"/>
          <w:sz w:val="24"/>
          <w:szCs w:val="24"/>
        </w:rPr>
        <w:t>: 1174-1184 [PMID: 15842596 DOI: 10.1111/j.1572-0241.2005.40674.x]</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30 </w:t>
      </w:r>
      <w:r w:rsidRPr="00F86968">
        <w:rPr>
          <w:rFonts w:ascii="Book Antiqua" w:hAnsi="Book Antiqua" w:cs="宋体"/>
          <w:b/>
          <w:bCs/>
          <w:kern w:val="0"/>
          <w:sz w:val="24"/>
          <w:szCs w:val="24"/>
        </w:rPr>
        <w:t>Halder SL</w:t>
      </w:r>
      <w:r w:rsidRPr="00F86968">
        <w:rPr>
          <w:rFonts w:ascii="Book Antiqua" w:hAnsi="Book Antiqua" w:cs="宋体"/>
          <w:kern w:val="0"/>
          <w:sz w:val="24"/>
          <w:szCs w:val="24"/>
        </w:rPr>
        <w:t>, Locke GR, Schleck CD, Zinsmeister AR, Melton LJ, Talley NJ. Natural history of functional gastrointestinal disorders: a 12-year longitudinal population-based study. </w:t>
      </w:r>
      <w:r w:rsidRPr="00F86968">
        <w:rPr>
          <w:rFonts w:ascii="Book Antiqua" w:hAnsi="Book Antiqua" w:cs="宋体"/>
          <w:i/>
          <w:iCs/>
          <w:kern w:val="0"/>
          <w:sz w:val="24"/>
          <w:szCs w:val="24"/>
        </w:rPr>
        <w:t>Gastroenterology</w:t>
      </w:r>
      <w:r w:rsidRPr="00F86968">
        <w:rPr>
          <w:rFonts w:ascii="Book Antiqua" w:hAnsi="Book Antiqua" w:cs="宋体"/>
          <w:kern w:val="0"/>
          <w:sz w:val="24"/>
          <w:szCs w:val="24"/>
        </w:rPr>
        <w:t> 2007; </w:t>
      </w:r>
      <w:r w:rsidRPr="00F86968">
        <w:rPr>
          <w:rFonts w:ascii="Book Antiqua" w:hAnsi="Book Antiqua" w:cs="宋体"/>
          <w:b/>
          <w:bCs/>
          <w:kern w:val="0"/>
          <w:sz w:val="24"/>
          <w:szCs w:val="24"/>
        </w:rPr>
        <w:t>133</w:t>
      </w:r>
      <w:r w:rsidRPr="00F86968">
        <w:rPr>
          <w:rFonts w:ascii="Book Antiqua" w:hAnsi="Book Antiqua" w:cs="宋体"/>
          <w:kern w:val="0"/>
          <w:sz w:val="24"/>
          <w:szCs w:val="24"/>
        </w:rPr>
        <w:t>: 799-807 [PMID: 17678917 DOI: 10.1053/j.gastro.2007.06.010]</w:t>
      </w:r>
    </w:p>
    <w:p w:rsidR="002C62D1" w:rsidRPr="00F86968" w:rsidRDefault="002C62D1" w:rsidP="00F86968">
      <w:pPr>
        <w:widowControl/>
        <w:spacing w:line="360" w:lineRule="auto"/>
        <w:rPr>
          <w:rFonts w:ascii="Book Antiqua" w:hAnsi="Book Antiqua" w:cs="宋体"/>
          <w:kern w:val="0"/>
          <w:sz w:val="24"/>
          <w:szCs w:val="24"/>
        </w:rPr>
      </w:pPr>
      <w:r w:rsidRPr="00F86968">
        <w:rPr>
          <w:rFonts w:ascii="Book Antiqua" w:hAnsi="Book Antiqua" w:cs="宋体"/>
          <w:kern w:val="0"/>
          <w:sz w:val="24"/>
          <w:szCs w:val="24"/>
        </w:rPr>
        <w:t>31 </w:t>
      </w:r>
      <w:r w:rsidRPr="00F86968">
        <w:rPr>
          <w:rFonts w:ascii="Book Antiqua" w:hAnsi="Book Antiqua" w:cs="宋体"/>
          <w:b/>
          <w:bCs/>
          <w:kern w:val="0"/>
          <w:sz w:val="24"/>
          <w:szCs w:val="24"/>
        </w:rPr>
        <w:t>Penny KI</w:t>
      </w:r>
      <w:r w:rsidRPr="00F86968">
        <w:rPr>
          <w:rFonts w:ascii="Book Antiqua" w:hAnsi="Book Antiqua" w:cs="宋体"/>
          <w:kern w:val="0"/>
          <w:sz w:val="24"/>
          <w:szCs w:val="24"/>
        </w:rPr>
        <w:t>, Smith GD, Ramsay D, Steinke DT, Kinnear M, Penman ID. An examination of subgroup classification in irritable bowel syndrome patients over time: a prospective study. </w:t>
      </w:r>
      <w:r w:rsidRPr="00F86968">
        <w:rPr>
          <w:rFonts w:ascii="Book Antiqua" w:hAnsi="Book Antiqua" w:cs="宋体"/>
          <w:i/>
          <w:iCs/>
          <w:kern w:val="0"/>
          <w:sz w:val="24"/>
          <w:szCs w:val="24"/>
        </w:rPr>
        <w:t>Int J Nurs Stud</w:t>
      </w:r>
      <w:r w:rsidRPr="00F86968">
        <w:rPr>
          <w:rFonts w:ascii="Book Antiqua" w:hAnsi="Book Antiqua" w:cs="宋体"/>
          <w:kern w:val="0"/>
          <w:sz w:val="24"/>
          <w:szCs w:val="24"/>
        </w:rPr>
        <w:t> 2008; </w:t>
      </w:r>
      <w:r w:rsidRPr="00F86968">
        <w:rPr>
          <w:rFonts w:ascii="Book Antiqua" w:hAnsi="Book Antiqua" w:cs="宋体"/>
          <w:b/>
          <w:bCs/>
          <w:kern w:val="0"/>
          <w:sz w:val="24"/>
          <w:szCs w:val="24"/>
        </w:rPr>
        <w:t>45</w:t>
      </w:r>
      <w:r w:rsidRPr="00F86968">
        <w:rPr>
          <w:rFonts w:ascii="Book Antiqua" w:hAnsi="Book Antiqua" w:cs="宋体"/>
          <w:kern w:val="0"/>
          <w:sz w:val="24"/>
          <w:szCs w:val="24"/>
        </w:rPr>
        <w:t>: 1715-1720 [PMID: 18829027 DOI: 10.1016/j.ijnurstu.2008.04.004]</w:t>
      </w:r>
    </w:p>
    <w:p w:rsidR="002C62D1" w:rsidRPr="00F86968" w:rsidRDefault="002C62D1" w:rsidP="00F86968">
      <w:pPr>
        <w:spacing w:line="360" w:lineRule="auto"/>
        <w:rPr>
          <w:rFonts w:ascii="Book Antiqua" w:hAnsi="Book Antiqua"/>
          <w:sz w:val="24"/>
          <w:szCs w:val="24"/>
        </w:rPr>
      </w:pPr>
    </w:p>
    <w:p w:rsidR="002C62D1" w:rsidRPr="00F86968" w:rsidRDefault="002C62D1" w:rsidP="00313B70">
      <w:pPr>
        <w:pStyle w:val="ac"/>
        <w:wordWrap w:val="0"/>
        <w:spacing w:line="360" w:lineRule="auto"/>
        <w:ind w:left="360" w:right="120" w:firstLineChars="0" w:firstLine="0"/>
        <w:jc w:val="right"/>
        <w:rPr>
          <w:rFonts w:ascii="Book Antiqua" w:hAnsi="Book Antiqua"/>
          <w:b/>
          <w:bCs/>
          <w:color w:val="000000"/>
          <w:szCs w:val="24"/>
          <w:lang w:eastAsia="zh-CN"/>
        </w:rPr>
      </w:pPr>
      <w:bookmarkStart w:id="5" w:name="OLE_LINK277"/>
      <w:bookmarkStart w:id="6" w:name="OLE_LINK278"/>
      <w:bookmarkStart w:id="7" w:name="OLE_LINK279"/>
      <w:bookmarkStart w:id="8" w:name="OLE_LINK290"/>
      <w:bookmarkStart w:id="9" w:name="OLE_LINK301"/>
      <w:bookmarkStart w:id="10" w:name="OLE_LINK312"/>
      <w:bookmarkStart w:id="11" w:name="OLE_LINK315"/>
      <w:bookmarkStart w:id="12" w:name="OLE_LINK316"/>
      <w:bookmarkStart w:id="13" w:name="OLE_LINK317"/>
      <w:bookmarkStart w:id="14" w:name="OLE_LINK318"/>
      <w:r w:rsidRPr="00F86968">
        <w:rPr>
          <w:rStyle w:val="ab"/>
          <w:rFonts w:ascii="Book Antiqua" w:hAnsi="Book Antiqua" w:cs="Arial"/>
          <w:noProof/>
          <w:color w:val="000000"/>
          <w:szCs w:val="24"/>
        </w:rPr>
        <w:t>P-Reviewers</w:t>
      </w:r>
      <w:r w:rsidRPr="00F86968">
        <w:rPr>
          <w:rStyle w:val="ab"/>
          <w:rFonts w:ascii="Book Antiqua" w:hAnsi="Book Antiqua" w:cs="Arial"/>
          <w:noProof/>
          <w:color w:val="000000"/>
          <w:szCs w:val="24"/>
          <w:lang w:eastAsia="zh-CN"/>
        </w:rPr>
        <w:t>:</w:t>
      </w:r>
      <w:r w:rsidRPr="00F86968">
        <w:rPr>
          <w:rFonts w:ascii="Book Antiqua" w:hAnsi="Book Antiqua"/>
          <w:bCs/>
          <w:color w:val="000000"/>
          <w:szCs w:val="24"/>
        </w:rPr>
        <w:t xml:space="preserve"> Aigner</w:t>
      </w:r>
      <w:r w:rsidRPr="00F86968">
        <w:rPr>
          <w:rFonts w:ascii="Book Antiqua" w:hAnsi="Book Antiqua"/>
          <w:bCs/>
          <w:color w:val="000000"/>
          <w:szCs w:val="24"/>
          <w:lang w:eastAsia="zh-CN"/>
        </w:rPr>
        <w:t xml:space="preserve"> F, Rolle U, Tang WF </w:t>
      </w:r>
      <w:r w:rsidRPr="00F86968">
        <w:rPr>
          <w:rFonts w:ascii="Book Antiqua" w:hAnsi="Book Antiqua"/>
          <w:b/>
          <w:bCs/>
          <w:color w:val="000000"/>
          <w:szCs w:val="24"/>
        </w:rPr>
        <w:t>S-Editor</w:t>
      </w:r>
      <w:r w:rsidRPr="00F86968">
        <w:rPr>
          <w:rFonts w:ascii="Book Antiqua" w:hAnsi="Book Antiqua"/>
          <w:b/>
          <w:bCs/>
          <w:color w:val="000000"/>
          <w:szCs w:val="24"/>
          <w:lang w:eastAsia="zh-CN"/>
        </w:rPr>
        <w:t>:</w:t>
      </w:r>
      <w:r w:rsidRPr="00F86968">
        <w:rPr>
          <w:rFonts w:ascii="Book Antiqua" w:hAnsi="Book Antiqua"/>
          <w:bCs/>
          <w:color w:val="000000"/>
          <w:szCs w:val="24"/>
        </w:rPr>
        <w:t xml:space="preserve"> </w:t>
      </w:r>
      <w:r w:rsidRPr="00F86968">
        <w:rPr>
          <w:rFonts w:ascii="Book Antiqua" w:hAnsi="Book Antiqua"/>
          <w:bCs/>
          <w:color w:val="000000"/>
          <w:szCs w:val="24"/>
          <w:lang w:eastAsia="zh-CN"/>
        </w:rPr>
        <w:t>Qi Y</w:t>
      </w:r>
    </w:p>
    <w:p w:rsidR="002C62D1" w:rsidRPr="00F86968" w:rsidRDefault="002C62D1" w:rsidP="00313B70">
      <w:pPr>
        <w:pStyle w:val="ac"/>
        <w:spacing w:line="360" w:lineRule="auto"/>
        <w:ind w:left="360" w:right="120" w:firstLineChars="0" w:firstLine="0"/>
        <w:jc w:val="right"/>
        <w:rPr>
          <w:rFonts w:ascii="Book Antiqua" w:hAnsi="Book Antiqua"/>
          <w:b/>
          <w:bCs/>
          <w:color w:val="000000"/>
          <w:szCs w:val="24"/>
          <w:lang w:eastAsia="zh-CN"/>
        </w:rPr>
      </w:pPr>
      <w:r w:rsidRPr="00F86968">
        <w:rPr>
          <w:rFonts w:ascii="Book Antiqua" w:hAnsi="Book Antiqua"/>
          <w:b/>
          <w:bCs/>
          <w:color w:val="000000"/>
          <w:szCs w:val="24"/>
        </w:rPr>
        <w:t>L-Editor</w:t>
      </w:r>
      <w:r w:rsidRPr="00F86968">
        <w:rPr>
          <w:rFonts w:ascii="Book Antiqua" w:hAnsi="Book Antiqua"/>
          <w:b/>
          <w:bCs/>
          <w:color w:val="000000"/>
          <w:szCs w:val="24"/>
          <w:lang w:eastAsia="zh-CN"/>
        </w:rPr>
        <w:t>:</w:t>
      </w:r>
      <w:r w:rsidRPr="00F86968">
        <w:rPr>
          <w:rFonts w:ascii="Book Antiqua" w:hAnsi="Book Antiqua"/>
          <w:b/>
          <w:bCs/>
          <w:color w:val="000000"/>
          <w:szCs w:val="24"/>
        </w:rPr>
        <w:t xml:space="preserve">   E-Editor</w:t>
      </w:r>
      <w:r w:rsidRPr="00F86968">
        <w:rPr>
          <w:rFonts w:ascii="Book Antiqua" w:hAnsi="Book Antiqua"/>
          <w:b/>
          <w:bCs/>
          <w:color w:val="000000"/>
          <w:szCs w:val="24"/>
          <w:lang w:eastAsia="zh-CN"/>
        </w:rPr>
        <w:t>:</w:t>
      </w:r>
      <w:bookmarkEnd w:id="5"/>
      <w:bookmarkEnd w:id="6"/>
      <w:bookmarkEnd w:id="7"/>
      <w:bookmarkEnd w:id="8"/>
      <w:bookmarkEnd w:id="9"/>
      <w:bookmarkEnd w:id="10"/>
      <w:bookmarkEnd w:id="11"/>
      <w:bookmarkEnd w:id="12"/>
      <w:bookmarkEnd w:id="13"/>
      <w:bookmarkEnd w:id="14"/>
      <w:r w:rsidRPr="00F86968">
        <w:rPr>
          <w:rFonts w:ascii="Book Antiqua" w:hAnsi="Book Antiqua"/>
          <w:b/>
          <w:bCs/>
          <w:szCs w:val="24"/>
        </w:rPr>
        <w:br w:type="page"/>
      </w: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 xml:space="preserve">Figure 1 Forest plot of the associations between GNB3 C825T polymorphisms and IBS risk under four models. </w:t>
      </w:r>
      <w:r w:rsidRPr="00F86968">
        <w:rPr>
          <w:rFonts w:ascii="Book Antiqua" w:hAnsi="Book Antiqua"/>
          <w:sz w:val="24"/>
          <w:szCs w:val="24"/>
        </w:rPr>
        <w:t xml:space="preserve">(CC </w:t>
      </w:r>
      <w:r w:rsidRPr="00F86968">
        <w:rPr>
          <w:rFonts w:ascii="Book Antiqua" w:hAnsi="Book Antiqua"/>
          <w:i/>
          <w:sz w:val="24"/>
          <w:szCs w:val="24"/>
        </w:rPr>
        <w:t>vs</w:t>
      </w:r>
      <w:r w:rsidRPr="00F86968">
        <w:rPr>
          <w:rFonts w:ascii="Book Antiqua" w:hAnsi="Book Antiqua"/>
          <w:sz w:val="24"/>
          <w:szCs w:val="24"/>
        </w:rPr>
        <w:t xml:space="preserve"> TT; CC+CT </w:t>
      </w:r>
      <w:r w:rsidRPr="00F86968">
        <w:rPr>
          <w:rFonts w:ascii="Book Antiqua" w:hAnsi="Book Antiqua"/>
          <w:i/>
          <w:sz w:val="24"/>
          <w:szCs w:val="24"/>
        </w:rPr>
        <w:t>vs</w:t>
      </w:r>
      <w:r w:rsidRPr="00F86968">
        <w:rPr>
          <w:rFonts w:ascii="Book Antiqua" w:hAnsi="Book Antiqua"/>
          <w:sz w:val="24"/>
          <w:szCs w:val="24"/>
        </w:rPr>
        <w:t xml:space="preserve"> TT; TT+CT </w:t>
      </w:r>
      <w:r w:rsidRPr="00F86968">
        <w:rPr>
          <w:rFonts w:ascii="Book Antiqua" w:hAnsi="Book Antiqua"/>
          <w:i/>
          <w:sz w:val="24"/>
          <w:szCs w:val="24"/>
        </w:rPr>
        <w:t>vs</w:t>
      </w:r>
      <w:r w:rsidRPr="00F86968">
        <w:rPr>
          <w:rFonts w:ascii="Book Antiqua" w:hAnsi="Book Antiqua"/>
          <w:sz w:val="24"/>
          <w:szCs w:val="24"/>
        </w:rPr>
        <w:t xml:space="preserve"> CC; C </w:t>
      </w:r>
      <w:r w:rsidRPr="00F86968">
        <w:rPr>
          <w:rFonts w:ascii="Book Antiqua" w:hAnsi="Book Antiqua"/>
          <w:i/>
          <w:sz w:val="24"/>
          <w:szCs w:val="24"/>
        </w:rPr>
        <w:t>vs</w:t>
      </w:r>
      <w:r w:rsidRPr="00F86968">
        <w:rPr>
          <w:rFonts w:ascii="Book Antiqua" w:hAnsi="Book Antiqua"/>
          <w:sz w:val="24"/>
          <w:szCs w:val="24"/>
        </w:rPr>
        <w:t xml:space="preserve"> T).</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r w:rsidRPr="00F86968">
        <w:rPr>
          <w:rFonts w:ascii="Book Antiqua" w:hAnsi="Book Antiqua"/>
          <w:b/>
          <w:sz w:val="24"/>
          <w:szCs w:val="24"/>
        </w:rPr>
        <w:t>Figure 2 Forest plot of the associations between GNB3 C825T polymorphisms and subtype of IBS risk under four models.</w:t>
      </w:r>
      <w:r w:rsidRPr="00F86968">
        <w:rPr>
          <w:rFonts w:ascii="Book Antiqua" w:hAnsi="Book Antiqua"/>
          <w:sz w:val="24"/>
          <w:szCs w:val="24"/>
        </w:rPr>
        <w:t xml:space="preserve"> A: Associations with IBS-C; B: Associations with IBS-D; C: Associations with IBS-M. IBS: Irritable Bowel Syndrome.</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widowControl/>
        <w:spacing w:line="360" w:lineRule="auto"/>
        <w:rPr>
          <w:rFonts w:ascii="Book Antiqua" w:hAnsi="Book Antiqua"/>
          <w:sz w:val="24"/>
          <w:szCs w:val="24"/>
        </w:rPr>
      </w:pPr>
      <w:r w:rsidRPr="00F86968">
        <w:rPr>
          <w:rFonts w:ascii="Book Antiqua" w:hAnsi="Book Antiqua"/>
          <w:sz w:val="24"/>
          <w:szCs w:val="24"/>
        </w:rPr>
        <w:br w:type="page"/>
      </w: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Table 1 Characteristics of individual studies in the meta-analysis</w:t>
      </w:r>
    </w:p>
    <w:tbl>
      <w:tblPr>
        <w:tblW w:w="9464" w:type="dxa"/>
        <w:tblBorders>
          <w:top w:val="single" w:sz="4" w:space="0" w:color="auto"/>
          <w:bottom w:val="single" w:sz="4" w:space="0" w:color="auto"/>
        </w:tblBorders>
        <w:tblLook w:val="0000" w:firstRow="0" w:lastRow="0" w:firstColumn="0" w:lastColumn="0" w:noHBand="0" w:noVBand="0"/>
      </w:tblPr>
      <w:tblGrid>
        <w:gridCol w:w="1834"/>
        <w:gridCol w:w="710"/>
        <w:gridCol w:w="1575"/>
        <w:gridCol w:w="1634"/>
        <w:gridCol w:w="1658"/>
        <w:gridCol w:w="2053"/>
      </w:tblGrid>
      <w:tr w:rsidR="002C62D1" w:rsidRPr="00F86968" w:rsidTr="00CC7A1E">
        <w:trPr>
          <w:trHeight w:val="627"/>
        </w:trPr>
        <w:tc>
          <w:tcPr>
            <w:tcW w:w="0" w:type="auto"/>
            <w:tcBorders>
              <w:top w:val="single" w:sz="4" w:space="0" w:color="auto"/>
              <w:bottom w:val="single" w:sz="4" w:space="0" w:color="auto"/>
            </w:tcBorders>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Author</w:t>
            </w:r>
          </w:p>
        </w:tc>
        <w:tc>
          <w:tcPr>
            <w:tcW w:w="0" w:type="auto"/>
            <w:tcBorders>
              <w:top w:val="single" w:sz="4" w:space="0" w:color="auto"/>
              <w:bottom w:val="single" w:sz="4" w:space="0" w:color="auto"/>
            </w:tcBorders>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 xml:space="preserve">Year </w:t>
            </w:r>
          </w:p>
        </w:tc>
        <w:tc>
          <w:tcPr>
            <w:tcW w:w="0" w:type="auto"/>
            <w:tcBorders>
              <w:top w:val="single" w:sz="4" w:space="0" w:color="auto"/>
              <w:bottom w:val="single" w:sz="4" w:space="0" w:color="auto"/>
            </w:tcBorders>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 xml:space="preserve">Country </w:t>
            </w:r>
          </w:p>
        </w:tc>
        <w:tc>
          <w:tcPr>
            <w:tcW w:w="0" w:type="auto"/>
            <w:tcBorders>
              <w:top w:val="single" w:sz="4" w:space="0" w:color="auto"/>
              <w:bottom w:val="single" w:sz="4" w:space="0" w:color="auto"/>
            </w:tcBorders>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IBS/Controls</w:t>
            </w:r>
          </w:p>
        </w:tc>
        <w:tc>
          <w:tcPr>
            <w:tcW w:w="0" w:type="auto"/>
            <w:tcBorders>
              <w:top w:val="single" w:sz="4" w:space="0" w:color="auto"/>
              <w:bottom w:val="single" w:sz="4" w:space="0" w:color="auto"/>
            </w:tcBorders>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Diagnosis criteria</w:t>
            </w:r>
          </w:p>
        </w:tc>
        <w:tc>
          <w:tcPr>
            <w:tcW w:w="2053" w:type="dxa"/>
            <w:tcBorders>
              <w:top w:val="single" w:sz="4" w:space="0" w:color="auto"/>
              <w:bottom w:val="single" w:sz="4" w:space="0" w:color="auto"/>
            </w:tcBorders>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HWE of control</w:t>
            </w:r>
          </w:p>
        </w:tc>
      </w:tr>
      <w:tr w:rsidR="002C62D1" w:rsidRPr="00F86968" w:rsidTr="00CC7A1E">
        <w:trPr>
          <w:trHeight w:val="617"/>
        </w:trPr>
        <w:tc>
          <w:tcPr>
            <w:tcW w:w="0" w:type="auto"/>
            <w:tcBorders>
              <w:top w:val="single" w:sz="4" w:space="0" w:color="auto"/>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Kim </w:t>
            </w:r>
            <w:r w:rsidRPr="00F86968">
              <w:rPr>
                <w:rFonts w:ascii="Book Antiqua" w:hAnsi="Book Antiqua"/>
                <w:i/>
                <w:sz w:val="24"/>
                <w:szCs w:val="24"/>
              </w:rPr>
              <w:t>et al</w:t>
            </w:r>
            <w:r w:rsidRPr="00F86968">
              <w:rPr>
                <w:rFonts w:ascii="Book Antiqua" w:hAnsi="Book Antiqua"/>
                <w:sz w:val="24"/>
                <w:szCs w:val="24"/>
                <w:vertAlign w:val="superscript"/>
              </w:rPr>
              <w:t>[15]</w:t>
            </w:r>
          </w:p>
        </w:tc>
        <w:tc>
          <w:tcPr>
            <w:tcW w:w="0" w:type="auto"/>
            <w:tcBorders>
              <w:top w:val="single" w:sz="4" w:space="0" w:color="auto"/>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2012</w:t>
            </w:r>
          </w:p>
        </w:tc>
        <w:tc>
          <w:tcPr>
            <w:tcW w:w="0" w:type="auto"/>
            <w:tcBorders>
              <w:top w:val="single" w:sz="4" w:space="0" w:color="auto"/>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Korea</w:t>
            </w:r>
          </w:p>
        </w:tc>
        <w:tc>
          <w:tcPr>
            <w:tcW w:w="0" w:type="auto"/>
            <w:tcBorders>
              <w:top w:val="single" w:sz="4" w:space="0" w:color="auto"/>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60/434</w:t>
            </w:r>
          </w:p>
        </w:tc>
        <w:tc>
          <w:tcPr>
            <w:tcW w:w="0" w:type="auto"/>
            <w:tcBorders>
              <w:top w:val="single" w:sz="4" w:space="0" w:color="auto"/>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III</w:t>
            </w:r>
          </w:p>
        </w:tc>
        <w:tc>
          <w:tcPr>
            <w:tcW w:w="2053" w:type="dxa"/>
            <w:tcBorders>
              <w:top w:val="single" w:sz="4" w:space="0" w:color="auto"/>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0.850</w:t>
            </w:r>
          </w:p>
        </w:tc>
      </w:tr>
      <w:tr w:rsidR="002C62D1" w:rsidRPr="00F86968" w:rsidTr="00CC7A1E">
        <w:trPr>
          <w:trHeight w:val="627"/>
        </w:trPr>
        <w:tc>
          <w:tcPr>
            <w:tcW w:w="0" w:type="auto"/>
            <w:tcBorders>
              <w:top w:val="nil"/>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Park </w:t>
            </w:r>
            <w:r w:rsidRPr="00F86968">
              <w:rPr>
                <w:rFonts w:ascii="Book Antiqua" w:hAnsi="Book Antiqua"/>
                <w:i/>
                <w:sz w:val="24"/>
                <w:szCs w:val="24"/>
              </w:rPr>
              <w:t>et al</w:t>
            </w:r>
            <w:r w:rsidRPr="00F86968">
              <w:rPr>
                <w:rFonts w:ascii="Book Antiqua" w:hAnsi="Book Antiqua"/>
                <w:sz w:val="24"/>
                <w:szCs w:val="24"/>
                <w:vertAlign w:val="superscript"/>
              </w:rPr>
              <w:t>[10]</w:t>
            </w:r>
          </w:p>
        </w:tc>
        <w:tc>
          <w:tcPr>
            <w:tcW w:w="0" w:type="auto"/>
            <w:tcBorders>
              <w:top w:val="nil"/>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2012</w:t>
            </w:r>
          </w:p>
        </w:tc>
        <w:tc>
          <w:tcPr>
            <w:tcW w:w="0" w:type="auto"/>
            <w:tcBorders>
              <w:top w:val="nil"/>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Korea</w:t>
            </w:r>
          </w:p>
        </w:tc>
        <w:tc>
          <w:tcPr>
            <w:tcW w:w="0" w:type="auto"/>
            <w:tcBorders>
              <w:top w:val="nil"/>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72/148</w:t>
            </w:r>
          </w:p>
        </w:tc>
        <w:tc>
          <w:tcPr>
            <w:tcW w:w="0" w:type="auto"/>
            <w:tcBorders>
              <w:top w:val="nil"/>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III</w:t>
            </w:r>
          </w:p>
        </w:tc>
        <w:tc>
          <w:tcPr>
            <w:tcW w:w="2053" w:type="dxa"/>
            <w:tcBorders>
              <w:top w:val="nil"/>
              <w:bottom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0.411</w:t>
            </w:r>
          </w:p>
        </w:tc>
      </w:tr>
      <w:tr w:rsidR="002C62D1" w:rsidRPr="00F86968" w:rsidTr="00CC7A1E">
        <w:trPr>
          <w:trHeight w:val="617"/>
        </w:trPr>
        <w:tc>
          <w:tcPr>
            <w:tcW w:w="0" w:type="auto"/>
            <w:tcBorders>
              <w:top w:val="nil"/>
            </w:tcBorders>
          </w:tcPr>
          <w:p w:rsidR="002C62D1" w:rsidRPr="00F86968" w:rsidRDefault="002C62D1" w:rsidP="00F86968">
            <w:pPr>
              <w:spacing w:line="360" w:lineRule="auto"/>
              <w:rPr>
                <w:rFonts w:ascii="Book Antiqua" w:hAnsi="Book Antiqua"/>
                <w:sz w:val="24"/>
                <w:szCs w:val="24"/>
              </w:rPr>
            </w:pPr>
            <w:bookmarkStart w:id="15" w:name="_Hlk309852068"/>
            <w:r w:rsidRPr="00F86968">
              <w:rPr>
                <w:rFonts w:ascii="Book Antiqua" w:hAnsi="Book Antiqua"/>
                <w:sz w:val="24"/>
                <w:szCs w:val="24"/>
              </w:rPr>
              <w:t xml:space="preserve">Saito </w:t>
            </w:r>
            <w:r w:rsidRPr="00F86968">
              <w:rPr>
                <w:rFonts w:ascii="Book Antiqua" w:hAnsi="Book Antiqua"/>
                <w:i/>
                <w:sz w:val="24"/>
                <w:szCs w:val="24"/>
              </w:rPr>
              <w:t>et al</w:t>
            </w:r>
            <w:r w:rsidRPr="00F86968">
              <w:rPr>
                <w:rFonts w:ascii="Book Antiqua" w:hAnsi="Book Antiqua"/>
                <w:sz w:val="24"/>
                <w:szCs w:val="24"/>
                <w:vertAlign w:val="superscript"/>
              </w:rPr>
              <w:t>[18]</w:t>
            </w:r>
          </w:p>
        </w:tc>
        <w:tc>
          <w:tcPr>
            <w:tcW w:w="0" w:type="auto"/>
            <w:tcBorders>
              <w:top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2012</w:t>
            </w:r>
          </w:p>
        </w:tc>
        <w:tc>
          <w:tcPr>
            <w:tcW w:w="0" w:type="auto"/>
            <w:tcBorders>
              <w:top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United States</w:t>
            </w:r>
          </w:p>
        </w:tc>
        <w:tc>
          <w:tcPr>
            <w:tcW w:w="0" w:type="auto"/>
            <w:tcBorders>
              <w:top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385/262</w:t>
            </w:r>
          </w:p>
        </w:tc>
        <w:tc>
          <w:tcPr>
            <w:tcW w:w="0" w:type="auto"/>
            <w:tcBorders>
              <w:top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w:t>
            </w:r>
          </w:p>
        </w:tc>
        <w:tc>
          <w:tcPr>
            <w:tcW w:w="2053" w:type="dxa"/>
            <w:tcBorders>
              <w:top w:val="nil"/>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0.154</w:t>
            </w:r>
          </w:p>
        </w:tc>
      </w:tr>
      <w:tr w:rsidR="002C62D1" w:rsidRPr="00F86968" w:rsidTr="00CC7A1E">
        <w:trPr>
          <w:trHeight w:val="617"/>
        </w:trPr>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Lee </w:t>
            </w:r>
            <w:r w:rsidRPr="00F86968">
              <w:rPr>
                <w:rFonts w:ascii="Book Antiqua" w:hAnsi="Book Antiqua"/>
                <w:i/>
                <w:sz w:val="24"/>
                <w:szCs w:val="24"/>
              </w:rPr>
              <w:t>et al</w:t>
            </w:r>
            <w:r w:rsidRPr="00F86968">
              <w:rPr>
                <w:rFonts w:ascii="Book Antiqua" w:hAnsi="Book Antiqua"/>
                <w:sz w:val="24"/>
                <w:szCs w:val="24"/>
                <w:vertAlign w:val="superscript"/>
              </w:rPr>
              <w:t>[5]</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2010</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Korea</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94/88</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III</w:t>
            </w:r>
          </w:p>
        </w:tc>
        <w:tc>
          <w:tcPr>
            <w:tcW w:w="2053" w:type="dxa"/>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0.010</w:t>
            </w:r>
          </w:p>
        </w:tc>
      </w:tr>
      <w:tr w:rsidR="002C62D1" w:rsidRPr="00F86968" w:rsidTr="00CC7A1E">
        <w:trPr>
          <w:trHeight w:val="627"/>
        </w:trPr>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Markoutsaki </w:t>
            </w:r>
            <w:r w:rsidRPr="00F86968">
              <w:rPr>
                <w:rFonts w:ascii="Book Antiqua" w:hAnsi="Book Antiqua"/>
                <w:i/>
                <w:sz w:val="24"/>
                <w:szCs w:val="24"/>
              </w:rPr>
              <w:t>et al</w:t>
            </w:r>
            <w:r w:rsidRPr="00F86968">
              <w:rPr>
                <w:rFonts w:ascii="Book Antiqua" w:hAnsi="Book Antiqua"/>
                <w:sz w:val="24"/>
                <w:szCs w:val="24"/>
                <w:vertAlign w:val="superscript"/>
              </w:rPr>
              <w:t>[6]</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2011</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Greece</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124/238</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III</w:t>
            </w:r>
          </w:p>
        </w:tc>
        <w:tc>
          <w:tcPr>
            <w:tcW w:w="2053" w:type="dxa"/>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0.825</w:t>
            </w:r>
          </w:p>
        </w:tc>
      </w:tr>
      <w:tr w:rsidR="002C62D1" w:rsidRPr="00F86968" w:rsidTr="00CC7A1E">
        <w:trPr>
          <w:trHeight w:val="617"/>
        </w:trPr>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de Vries </w:t>
            </w:r>
            <w:r w:rsidRPr="00F86968">
              <w:rPr>
                <w:rFonts w:ascii="Book Antiqua" w:hAnsi="Book Antiqua"/>
                <w:i/>
                <w:sz w:val="24"/>
                <w:szCs w:val="24"/>
              </w:rPr>
              <w:t>et al</w:t>
            </w:r>
            <w:r w:rsidRPr="00F86968">
              <w:rPr>
                <w:rFonts w:ascii="Book Antiqua" w:hAnsi="Book Antiqua"/>
                <w:sz w:val="24"/>
                <w:szCs w:val="24"/>
                <w:vertAlign w:val="superscript"/>
              </w:rPr>
              <w:t>[9]</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2009</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Netherlands</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136/373</w:t>
            </w:r>
          </w:p>
        </w:tc>
        <w:tc>
          <w:tcPr>
            <w:tcW w:w="0" w:type="auto"/>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w:t>
            </w:r>
          </w:p>
        </w:tc>
        <w:tc>
          <w:tcPr>
            <w:tcW w:w="2053" w:type="dxa"/>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0.099</w:t>
            </w:r>
          </w:p>
        </w:tc>
      </w:tr>
      <w:tr w:rsidR="002C62D1" w:rsidRPr="00F86968" w:rsidTr="00CC7A1E">
        <w:trPr>
          <w:trHeight w:val="627"/>
        </w:trPr>
        <w:tc>
          <w:tcPr>
            <w:tcW w:w="0" w:type="auto"/>
            <w:tcBorders>
              <w:bottom w:val="single" w:sz="4" w:space="0" w:color="auto"/>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Andresen </w:t>
            </w:r>
            <w:r w:rsidRPr="00F86968">
              <w:rPr>
                <w:rFonts w:ascii="Book Antiqua" w:hAnsi="Book Antiqua"/>
                <w:i/>
                <w:sz w:val="24"/>
                <w:szCs w:val="24"/>
              </w:rPr>
              <w:t>et al</w:t>
            </w:r>
            <w:r w:rsidRPr="00F86968">
              <w:rPr>
                <w:rFonts w:ascii="Book Antiqua" w:hAnsi="Book Antiqua"/>
                <w:sz w:val="24"/>
                <w:szCs w:val="24"/>
                <w:vertAlign w:val="superscript"/>
              </w:rPr>
              <w:t>[14]</w:t>
            </w:r>
          </w:p>
        </w:tc>
        <w:tc>
          <w:tcPr>
            <w:tcW w:w="0" w:type="auto"/>
            <w:tcBorders>
              <w:bottom w:val="single" w:sz="4" w:space="0" w:color="auto"/>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2006</w:t>
            </w:r>
          </w:p>
        </w:tc>
        <w:tc>
          <w:tcPr>
            <w:tcW w:w="0" w:type="auto"/>
            <w:tcBorders>
              <w:bottom w:val="single" w:sz="4" w:space="0" w:color="auto"/>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United States</w:t>
            </w:r>
          </w:p>
        </w:tc>
        <w:tc>
          <w:tcPr>
            <w:tcW w:w="0" w:type="auto"/>
            <w:tcBorders>
              <w:bottom w:val="single" w:sz="4" w:space="0" w:color="auto"/>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214/152</w:t>
            </w:r>
          </w:p>
        </w:tc>
        <w:tc>
          <w:tcPr>
            <w:tcW w:w="0" w:type="auto"/>
            <w:tcBorders>
              <w:bottom w:val="single" w:sz="4" w:space="0" w:color="auto"/>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Rome II</w:t>
            </w:r>
          </w:p>
        </w:tc>
        <w:tc>
          <w:tcPr>
            <w:tcW w:w="2053" w:type="dxa"/>
            <w:tcBorders>
              <w:bottom w:val="single" w:sz="4" w:space="0" w:color="auto"/>
            </w:tcBorders>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0.514</w:t>
            </w:r>
          </w:p>
        </w:tc>
      </w:tr>
    </w:tbl>
    <w:bookmarkEnd w:id="15"/>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IBS: Irritable bowel syndrome; HWE: Hardy–Weinberg equilibrium.</w:t>
      </w: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widowControl/>
        <w:spacing w:line="360" w:lineRule="auto"/>
        <w:rPr>
          <w:rFonts w:ascii="Book Antiqua" w:hAnsi="Book Antiqua"/>
          <w:b/>
          <w:sz w:val="24"/>
          <w:szCs w:val="24"/>
        </w:rPr>
      </w:pPr>
      <w:r w:rsidRPr="00F86968">
        <w:rPr>
          <w:rFonts w:ascii="Book Antiqua" w:hAnsi="Book Antiqua"/>
          <w:b/>
          <w:sz w:val="24"/>
          <w:szCs w:val="24"/>
        </w:rPr>
        <w:br w:type="page"/>
      </w: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Table 2 Pooled results of GNB3 C825T polymorphisms with irritable bowel syndrome risk</w:t>
      </w:r>
    </w:p>
    <w:tbl>
      <w:tblPr>
        <w:tblW w:w="9022" w:type="dxa"/>
        <w:tblInd w:w="93" w:type="dxa"/>
        <w:tblLook w:val="0000" w:firstRow="0" w:lastRow="0" w:firstColumn="0" w:lastColumn="0" w:noHBand="0" w:noVBand="0"/>
      </w:tblPr>
      <w:tblGrid>
        <w:gridCol w:w="1819"/>
        <w:gridCol w:w="756"/>
        <w:gridCol w:w="1675"/>
        <w:gridCol w:w="636"/>
        <w:gridCol w:w="1723"/>
        <w:gridCol w:w="1217"/>
        <w:gridCol w:w="1196"/>
      </w:tblGrid>
      <w:tr w:rsidR="002C62D1" w:rsidRPr="00F86968" w:rsidTr="00181BF1">
        <w:trPr>
          <w:trHeight w:val="601"/>
        </w:trPr>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 xml:space="preserve">GNbeta3 C825T </w:t>
            </w:r>
          </w:p>
        </w:tc>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sz w:val="24"/>
                <w:szCs w:val="24"/>
              </w:rPr>
            </w:pPr>
            <w:r w:rsidRPr="00F86968">
              <w:rPr>
                <w:rFonts w:ascii="Book Antiqua" w:hAnsi="Book Antiqua"/>
                <w:b/>
                <w:i/>
                <w:sz w:val="24"/>
                <w:szCs w:val="24"/>
              </w:rPr>
              <w:t>P</w:t>
            </w:r>
          </w:p>
        </w:tc>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OR (95%CI)</w:t>
            </w:r>
          </w:p>
        </w:tc>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i/>
                <w:sz w:val="24"/>
                <w:szCs w:val="24"/>
              </w:rPr>
            </w:pPr>
            <w:r w:rsidRPr="00F86968">
              <w:rPr>
                <w:rFonts w:ascii="Book Antiqua" w:hAnsi="Book Antiqua"/>
                <w:b/>
                <w:i/>
                <w:sz w:val="24"/>
                <w:szCs w:val="24"/>
              </w:rPr>
              <w:t>I</w:t>
            </w:r>
            <w:r w:rsidRPr="00F86968">
              <w:rPr>
                <w:rFonts w:ascii="Book Antiqua" w:hAnsi="Book Antiqua"/>
                <w:b/>
                <w:i/>
                <w:sz w:val="24"/>
                <w:szCs w:val="24"/>
                <w:vertAlign w:val="superscript"/>
              </w:rPr>
              <w:t>2</w:t>
            </w:r>
          </w:p>
        </w:tc>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sz w:val="24"/>
                <w:szCs w:val="24"/>
              </w:rPr>
            </w:pPr>
            <w:r w:rsidRPr="00F86968">
              <w:rPr>
                <w:rFonts w:ascii="Book Antiqua" w:hAnsi="Book Antiqua"/>
                <w:b/>
                <w:i/>
                <w:sz w:val="24"/>
                <w:szCs w:val="24"/>
              </w:rPr>
              <w:t>P</w:t>
            </w:r>
          </w:p>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heterogeneity</w:t>
            </w:r>
          </w:p>
        </w:tc>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Begg’test</w:t>
            </w:r>
          </w:p>
        </w:tc>
        <w:tc>
          <w:tcPr>
            <w:tcW w:w="0" w:type="auto"/>
            <w:tcBorders>
              <w:top w:val="single" w:sz="4" w:space="0" w:color="auto"/>
              <w:left w:val="nil"/>
              <w:bottom w:val="single" w:sz="4" w:space="0" w:color="auto"/>
              <w:right w:val="nil"/>
            </w:tcBorders>
            <w:vAlign w:val="center"/>
          </w:tcPr>
          <w:p w:rsidR="002C62D1" w:rsidRPr="00F86968" w:rsidRDefault="002C62D1" w:rsidP="00F86968">
            <w:pPr>
              <w:spacing w:line="360" w:lineRule="auto"/>
              <w:rPr>
                <w:rFonts w:ascii="Book Antiqua" w:hAnsi="Book Antiqua"/>
                <w:b/>
                <w:sz w:val="24"/>
                <w:szCs w:val="24"/>
              </w:rPr>
            </w:pPr>
            <w:r w:rsidRPr="00F86968">
              <w:rPr>
                <w:rFonts w:ascii="Book Antiqua" w:hAnsi="Book Antiqua"/>
                <w:b/>
                <w:sz w:val="24"/>
                <w:szCs w:val="24"/>
              </w:rPr>
              <w:t>Egger test</w:t>
            </w:r>
          </w:p>
        </w:tc>
      </w:tr>
      <w:tr w:rsidR="002C62D1" w:rsidRPr="00F86968" w:rsidTr="00181BF1">
        <w:trPr>
          <w:trHeight w:val="601"/>
        </w:trPr>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CC </w:t>
            </w:r>
            <w:r w:rsidRPr="00F86968">
              <w:rPr>
                <w:rFonts w:ascii="Book Antiqua" w:hAnsi="Book Antiqua"/>
                <w:i/>
                <w:sz w:val="24"/>
                <w:szCs w:val="24"/>
              </w:rPr>
              <w:t>vs</w:t>
            </w:r>
            <w:r w:rsidRPr="00F86968">
              <w:rPr>
                <w:rFonts w:ascii="Book Antiqua" w:hAnsi="Book Antiqua"/>
                <w:sz w:val="24"/>
                <w:szCs w:val="24"/>
              </w:rPr>
              <w:t xml:space="preserve"> TT</w:t>
            </w:r>
          </w:p>
        </w:tc>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0.392</w:t>
            </w:r>
          </w:p>
        </w:tc>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1.12 (0.86-1.45)</w:t>
            </w:r>
          </w:p>
        </w:tc>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43.4</w:t>
            </w:r>
          </w:p>
        </w:tc>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0.102</w:t>
            </w:r>
          </w:p>
        </w:tc>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0.352</w:t>
            </w:r>
          </w:p>
        </w:tc>
        <w:tc>
          <w:tcPr>
            <w:tcW w:w="0" w:type="auto"/>
            <w:tcBorders>
              <w:top w:val="single" w:sz="4" w:space="0" w:color="auto"/>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0.133</w:t>
            </w: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ind w:firstLineChars="100" w:firstLine="240"/>
              <w:rPr>
                <w:rFonts w:ascii="Book Antiqua" w:hAnsi="Book Antiqua"/>
                <w:sz w:val="24"/>
                <w:szCs w:val="24"/>
              </w:rPr>
            </w:pPr>
            <w:r w:rsidRPr="00F86968">
              <w:rPr>
                <w:rFonts w:ascii="Book Antiqua" w:hAnsi="Book Antiqua"/>
                <w:sz w:val="24"/>
                <w:szCs w:val="24"/>
              </w:rPr>
              <w:t>Caucasian</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0.177</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1.26 (0.90-1.76)</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57.8</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0.068</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ind w:firstLineChars="100" w:firstLine="240"/>
              <w:rPr>
                <w:rFonts w:ascii="Book Antiqua" w:hAnsi="Book Antiqua"/>
                <w:sz w:val="24"/>
                <w:szCs w:val="24"/>
              </w:rPr>
            </w:pPr>
            <w:r w:rsidRPr="00F86968">
              <w:rPr>
                <w:rFonts w:ascii="Book Antiqua" w:hAnsi="Book Antiqua"/>
                <w:sz w:val="24"/>
                <w:szCs w:val="24"/>
              </w:rPr>
              <w:t>Asian</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0.750</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0.93 (0.61-1.42)</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11.7</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0.322</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CC+CT </w:t>
            </w:r>
            <w:r w:rsidRPr="00F86968">
              <w:rPr>
                <w:rFonts w:ascii="Book Antiqua" w:hAnsi="Book Antiqua"/>
                <w:i/>
                <w:sz w:val="24"/>
                <w:szCs w:val="24"/>
              </w:rPr>
              <w:t>vs</w:t>
            </w:r>
            <w:r w:rsidRPr="00F86968">
              <w:rPr>
                <w:rFonts w:ascii="Book Antiqua" w:hAnsi="Book Antiqua"/>
                <w:sz w:val="24"/>
                <w:szCs w:val="24"/>
              </w:rPr>
              <w:t xml:space="preserve"> TT</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0.205</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1.17 (0.92-1.49)</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39.9</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0.126</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0.308</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0.230</w:t>
            </w: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ind w:firstLineChars="50" w:firstLine="120"/>
              <w:rPr>
                <w:rFonts w:ascii="Book Antiqua" w:hAnsi="Book Antiqua"/>
                <w:sz w:val="24"/>
                <w:szCs w:val="24"/>
              </w:rPr>
            </w:pPr>
            <w:r w:rsidRPr="00F86968">
              <w:rPr>
                <w:rFonts w:ascii="Book Antiqua" w:hAnsi="Book Antiqua"/>
                <w:sz w:val="24"/>
                <w:szCs w:val="24"/>
              </w:rPr>
              <w:t>Caucasian</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0.364</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1.16 (0.84-1.60)</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58.0</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0.067</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ind w:firstLineChars="100" w:firstLine="240"/>
              <w:rPr>
                <w:rFonts w:ascii="Book Antiqua" w:hAnsi="Book Antiqua"/>
                <w:sz w:val="24"/>
                <w:szCs w:val="24"/>
              </w:rPr>
            </w:pPr>
            <w:r w:rsidRPr="00F86968">
              <w:rPr>
                <w:rFonts w:ascii="Book Antiqua" w:hAnsi="Book Antiqua"/>
                <w:sz w:val="24"/>
                <w:szCs w:val="24"/>
              </w:rPr>
              <w:t>Asian</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0.374</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1.18 (0.82-1.70)</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29.6</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0.241</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TT+CT </w:t>
            </w:r>
            <w:r w:rsidRPr="00F86968">
              <w:rPr>
                <w:rFonts w:ascii="Book Antiqua" w:hAnsi="Book Antiqua"/>
                <w:i/>
                <w:sz w:val="24"/>
                <w:szCs w:val="24"/>
              </w:rPr>
              <w:t>vs</w:t>
            </w:r>
            <w:r w:rsidRPr="00F86968">
              <w:rPr>
                <w:rFonts w:ascii="Book Antiqua" w:hAnsi="Book Antiqua"/>
                <w:sz w:val="24"/>
                <w:szCs w:val="24"/>
              </w:rPr>
              <w:t xml:space="preserve"> CC</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0.347</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0.93 (0.80-1.08)</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17.5</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0.296</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1.000</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0.710</w:t>
            </w: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ind w:firstLineChars="50" w:firstLine="120"/>
              <w:rPr>
                <w:rFonts w:ascii="Book Antiqua" w:hAnsi="Book Antiqua"/>
                <w:sz w:val="24"/>
                <w:szCs w:val="24"/>
              </w:rPr>
            </w:pPr>
            <w:r w:rsidRPr="00F86968">
              <w:rPr>
                <w:rFonts w:ascii="Book Antiqua" w:hAnsi="Book Antiqua"/>
                <w:sz w:val="24"/>
                <w:szCs w:val="24"/>
              </w:rPr>
              <w:t>Caucasian</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0.169</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0.89 (0.75-1.05)</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10.3</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0.342</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ind w:firstLineChars="100" w:firstLine="240"/>
              <w:rPr>
                <w:rFonts w:ascii="Book Antiqua" w:hAnsi="Book Antiqua"/>
                <w:sz w:val="24"/>
                <w:szCs w:val="24"/>
              </w:rPr>
            </w:pPr>
            <w:r w:rsidRPr="00F86968">
              <w:rPr>
                <w:rFonts w:ascii="Book Antiqua" w:hAnsi="Book Antiqua"/>
                <w:sz w:val="24"/>
                <w:szCs w:val="24"/>
              </w:rPr>
              <w:t>Asian</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0.456</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1.14 (0.80-1.65)</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16.0</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0.304</w:t>
            </w: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bottom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 xml:space="preserve">C </w:t>
            </w:r>
            <w:r w:rsidRPr="00F86968">
              <w:rPr>
                <w:rFonts w:ascii="Book Antiqua" w:hAnsi="Book Antiqua"/>
                <w:i/>
                <w:sz w:val="24"/>
                <w:szCs w:val="24"/>
              </w:rPr>
              <w:t>vs</w:t>
            </w:r>
            <w:r w:rsidRPr="00F86968">
              <w:rPr>
                <w:rFonts w:ascii="Book Antiqua" w:hAnsi="Book Antiqua"/>
                <w:sz w:val="24"/>
                <w:szCs w:val="24"/>
              </w:rPr>
              <w:t xml:space="preserve"> T</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0.157</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1.08 (0.97-1.21)</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24.8</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0.240</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0.756</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0.548</w:t>
            </w:r>
          </w:p>
        </w:tc>
      </w:tr>
      <w:tr w:rsidR="002C62D1" w:rsidRPr="00F86968" w:rsidTr="00181BF1">
        <w:trPr>
          <w:trHeight w:val="601"/>
        </w:trPr>
        <w:tc>
          <w:tcPr>
            <w:tcW w:w="0" w:type="auto"/>
            <w:tcBorders>
              <w:top w:val="nil"/>
              <w:left w:val="nil"/>
              <w:right w:val="nil"/>
            </w:tcBorders>
            <w:vAlign w:val="center"/>
          </w:tcPr>
          <w:p w:rsidR="002C62D1" w:rsidRPr="00F86968" w:rsidRDefault="002C62D1" w:rsidP="00F86968">
            <w:pPr>
              <w:spacing w:line="360" w:lineRule="auto"/>
              <w:ind w:firstLineChars="100" w:firstLine="240"/>
              <w:rPr>
                <w:rFonts w:ascii="Book Antiqua" w:hAnsi="Book Antiqua"/>
                <w:sz w:val="24"/>
                <w:szCs w:val="24"/>
              </w:rPr>
            </w:pPr>
            <w:r w:rsidRPr="00F86968">
              <w:rPr>
                <w:rFonts w:ascii="Book Antiqua" w:hAnsi="Book Antiqua"/>
                <w:sz w:val="24"/>
                <w:szCs w:val="24"/>
              </w:rPr>
              <w:lastRenderedPageBreak/>
              <w:t>Caucasian</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0.089</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1.13 (0.98-1.29)</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43.7</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0.149</w:t>
            </w: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top w:val="nil"/>
              <w:left w:val="nil"/>
              <w:right w:val="nil"/>
            </w:tcBorders>
            <w:vAlign w:val="center"/>
          </w:tcPr>
          <w:p w:rsidR="002C62D1" w:rsidRPr="00F86968" w:rsidRDefault="002C62D1" w:rsidP="00F86968">
            <w:pPr>
              <w:spacing w:line="360" w:lineRule="auto"/>
              <w:rPr>
                <w:rFonts w:ascii="Book Antiqua" w:hAnsi="Book Antiqua"/>
                <w:sz w:val="24"/>
                <w:szCs w:val="24"/>
              </w:rPr>
            </w:pPr>
          </w:p>
        </w:tc>
      </w:tr>
      <w:tr w:rsidR="002C62D1" w:rsidRPr="00F86968" w:rsidTr="00181BF1">
        <w:trPr>
          <w:trHeight w:val="601"/>
        </w:trPr>
        <w:tc>
          <w:tcPr>
            <w:tcW w:w="0" w:type="auto"/>
            <w:tcBorders>
              <w:left w:val="nil"/>
              <w:bottom w:val="single" w:sz="4" w:space="0" w:color="auto"/>
              <w:right w:val="nil"/>
            </w:tcBorders>
            <w:vAlign w:val="center"/>
          </w:tcPr>
          <w:p w:rsidR="002C62D1" w:rsidRPr="00F86968" w:rsidRDefault="002C62D1" w:rsidP="00F86968">
            <w:pPr>
              <w:spacing w:line="360" w:lineRule="auto"/>
              <w:ind w:firstLineChars="100" w:firstLine="240"/>
              <w:rPr>
                <w:rFonts w:ascii="Book Antiqua" w:hAnsi="Book Antiqua"/>
                <w:sz w:val="24"/>
                <w:szCs w:val="24"/>
              </w:rPr>
            </w:pPr>
            <w:r w:rsidRPr="00F86968">
              <w:rPr>
                <w:rFonts w:ascii="Book Antiqua" w:hAnsi="Book Antiqua"/>
                <w:sz w:val="24"/>
                <w:szCs w:val="24"/>
              </w:rPr>
              <w:t>Asian</w:t>
            </w:r>
          </w:p>
        </w:tc>
        <w:tc>
          <w:tcPr>
            <w:tcW w:w="0" w:type="auto"/>
            <w:tcBorders>
              <w:left w:val="nil"/>
              <w:bottom w:val="single" w:sz="4" w:space="0" w:color="auto"/>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0.982</w:t>
            </w:r>
          </w:p>
        </w:tc>
        <w:tc>
          <w:tcPr>
            <w:tcW w:w="0" w:type="auto"/>
            <w:tcBorders>
              <w:left w:val="nil"/>
              <w:bottom w:val="single" w:sz="4" w:space="0" w:color="auto"/>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1.00 (0.82-1.22)</w:t>
            </w:r>
          </w:p>
        </w:tc>
        <w:tc>
          <w:tcPr>
            <w:tcW w:w="0" w:type="auto"/>
            <w:tcBorders>
              <w:left w:val="nil"/>
              <w:bottom w:val="single" w:sz="4" w:space="0" w:color="auto"/>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0.0</w:t>
            </w:r>
          </w:p>
        </w:tc>
        <w:tc>
          <w:tcPr>
            <w:tcW w:w="0" w:type="auto"/>
            <w:tcBorders>
              <w:left w:val="nil"/>
              <w:bottom w:val="single" w:sz="4" w:space="0" w:color="auto"/>
              <w:right w:val="nil"/>
            </w:tcBorders>
            <w:vAlign w:val="center"/>
          </w:tcPr>
          <w:p w:rsidR="002C62D1" w:rsidRPr="00F86968" w:rsidRDefault="002C62D1" w:rsidP="00F86968">
            <w:pPr>
              <w:spacing w:line="360" w:lineRule="auto"/>
              <w:rPr>
                <w:rFonts w:ascii="Book Antiqua" w:hAnsi="Book Antiqua"/>
                <w:sz w:val="24"/>
                <w:szCs w:val="24"/>
              </w:rPr>
            </w:pPr>
            <w:r w:rsidRPr="00F86968">
              <w:rPr>
                <w:rFonts w:ascii="Book Antiqua" w:hAnsi="Book Antiqua"/>
                <w:sz w:val="24"/>
                <w:szCs w:val="24"/>
              </w:rPr>
              <w:t>0.417</w:t>
            </w:r>
          </w:p>
        </w:tc>
        <w:tc>
          <w:tcPr>
            <w:tcW w:w="0" w:type="auto"/>
            <w:tcBorders>
              <w:left w:val="nil"/>
              <w:bottom w:val="single" w:sz="4" w:space="0" w:color="auto"/>
              <w:right w:val="nil"/>
            </w:tcBorders>
            <w:vAlign w:val="center"/>
          </w:tcPr>
          <w:p w:rsidR="002C62D1" w:rsidRPr="00F86968" w:rsidRDefault="002C62D1" w:rsidP="00F86968">
            <w:pPr>
              <w:spacing w:line="360" w:lineRule="auto"/>
              <w:rPr>
                <w:rFonts w:ascii="Book Antiqua" w:hAnsi="Book Antiqua"/>
                <w:sz w:val="24"/>
                <w:szCs w:val="24"/>
              </w:rPr>
            </w:pPr>
          </w:p>
        </w:tc>
        <w:tc>
          <w:tcPr>
            <w:tcW w:w="0" w:type="auto"/>
            <w:tcBorders>
              <w:left w:val="nil"/>
              <w:bottom w:val="single" w:sz="4" w:space="0" w:color="auto"/>
              <w:right w:val="nil"/>
            </w:tcBorders>
            <w:vAlign w:val="center"/>
          </w:tcPr>
          <w:p w:rsidR="002C62D1" w:rsidRPr="00F86968" w:rsidRDefault="002C62D1" w:rsidP="00F86968">
            <w:pPr>
              <w:spacing w:line="360" w:lineRule="auto"/>
              <w:rPr>
                <w:rFonts w:ascii="Book Antiqua" w:hAnsi="Book Antiqua"/>
                <w:sz w:val="24"/>
                <w:szCs w:val="24"/>
              </w:rPr>
            </w:pPr>
          </w:p>
        </w:tc>
      </w:tr>
    </w:tbl>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p>
    <w:p w:rsidR="002C62D1" w:rsidRPr="00F86968" w:rsidRDefault="002C62D1" w:rsidP="00F86968">
      <w:pPr>
        <w:spacing w:line="360" w:lineRule="auto"/>
        <w:rPr>
          <w:rFonts w:ascii="Book Antiqua" w:hAnsi="Book Antiqua"/>
          <w:sz w:val="24"/>
          <w:szCs w:val="24"/>
        </w:rPr>
      </w:pPr>
    </w:p>
    <w:sectPr w:rsidR="002C62D1" w:rsidRPr="00F86968" w:rsidSect="00657BD6">
      <w:footerReference w:type="even" r:id="rId8"/>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00" w:rsidRDefault="00C97B00">
      <w:r>
        <w:separator/>
      </w:r>
    </w:p>
  </w:endnote>
  <w:endnote w:type="continuationSeparator" w:id="0">
    <w:p w:rsidR="00C97B00" w:rsidRDefault="00C9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D1" w:rsidRDefault="002C62D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C62D1" w:rsidRDefault="002C62D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D1" w:rsidRDefault="002C62D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162EB">
      <w:rPr>
        <w:rStyle w:val="a3"/>
        <w:noProof/>
      </w:rPr>
      <w:t>18</w:t>
    </w:r>
    <w:r>
      <w:rPr>
        <w:rStyle w:val="a3"/>
      </w:rPr>
      <w:fldChar w:fldCharType="end"/>
    </w:r>
  </w:p>
  <w:p w:rsidR="002C62D1" w:rsidRDefault="002C62D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00" w:rsidRDefault="00C97B00">
      <w:r>
        <w:separator/>
      </w:r>
    </w:p>
  </w:footnote>
  <w:footnote w:type="continuationSeparator" w:id="0">
    <w:p w:rsidR="00C97B00" w:rsidRDefault="00C97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57BD6"/>
    <w:rsid w:val="000018ED"/>
    <w:rsid w:val="000165DD"/>
    <w:rsid w:val="000469C0"/>
    <w:rsid w:val="00063592"/>
    <w:rsid w:val="000A3666"/>
    <w:rsid w:val="000A53F3"/>
    <w:rsid w:val="000A567C"/>
    <w:rsid w:val="000B40F5"/>
    <w:rsid w:val="000E3B62"/>
    <w:rsid w:val="000F5CF1"/>
    <w:rsid w:val="000F720F"/>
    <w:rsid w:val="00104776"/>
    <w:rsid w:val="00175981"/>
    <w:rsid w:val="00181BF1"/>
    <w:rsid w:val="00196796"/>
    <w:rsid w:val="001A3958"/>
    <w:rsid w:val="001E1FE3"/>
    <w:rsid w:val="001F2D41"/>
    <w:rsid w:val="002640B5"/>
    <w:rsid w:val="00293504"/>
    <w:rsid w:val="002A0139"/>
    <w:rsid w:val="002C1A6A"/>
    <w:rsid w:val="002C62D1"/>
    <w:rsid w:val="002F18C9"/>
    <w:rsid w:val="002F58A4"/>
    <w:rsid w:val="00313B70"/>
    <w:rsid w:val="003162EB"/>
    <w:rsid w:val="00330057"/>
    <w:rsid w:val="00347065"/>
    <w:rsid w:val="003534CE"/>
    <w:rsid w:val="00381CB4"/>
    <w:rsid w:val="00383296"/>
    <w:rsid w:val="003F2205"/>
    <w:rsid w:val="003F5CA4"/>
    <w:rsid w:val="00401420"/>
    <w:rsid w:val="004B6D32"/>
    <w:rsid w:val="004D0668"/>
    <w:rsid w:val="004E2516"/>
    <w:rsid w:val="004E716C"/>
    <w:rsid w:val="00533287"/>
    <w:rsid w:val="005A30D1"/>
    <w:rsid w:val="005F5CEE"/>
    <w:rsid w:val="00603E6A"/>
    <w:rsid w:val="006212BD"/>
    <w:rsid w:val="00623707"/>
    <w:rsid w:val="00624FA6"/>
    <w:rsid w:val="00633177"/>
    <w:rsid w:val="00657BD6"/>
    <w:rsid w:val="006B00D6"/>
    <w:rsid w:val="006D7C4D"/>
    <w:rsid w:val="006E5D31"/>
    <w:rsid w:val="006F165E"/>
    <w:rsid w:val="0070440D"/>
    <w:rsid w:val="007465BF"/>
    <w:rsid w:val="007536A7"/>
    <w:rsid w:val="007B41E4"/>
    <w:rsid w:val="007D5A97"/>
    <w:rsid w:val="00873CEA"/>
    <w:rsid w:val="008838E8"/>
    <w:rsid w:val="008F059C"/>
    <w:rsid w:val="009162C8"/>
    <w:rsid w:val="00942430"/>
    <w:rsid w:val="00955448"/>
    <w:rsid w:val="009862E9"/>
    <w:rsid w:val="009914A9"/>
    <w:rsid w:val="009B3C26"/>
    <w:rsid w:val="009B5760"/>
    <w:rsid w:val="00AD51EB"/>
    <w:rsid w:val="00AE330F"/>
    <w:rsid w:val="00B01D22"/>
    <w:rsid w:val="00B5616A"/>
    <w:rsid w:val="00B97517"/>
    <w:rsid w:val="00BA0408"/>
    <w:rsid w:val="00BC5EDA"/>
    <w:rsid w:val="00BF0379"/>
    <w:rsid w:val="00C278CD"/>
    <w:rsid w:val="00C43485"/>
    <w:rsid w:val="00C67D71"/>
    <w:rsid w:val="00C9134B"/>
    <w:rsid w:val="00C95AD9"/>
    <w:rsid w:val="00C97B00"/>
    <w:rsid w:val="00CC1754"/>
    <w:rsid w:val="00CC7A1E"/>
    <w:rsid w:val="00CE7DB8"/>
    <w:rsid w:val="00CF2E01"/>
    <w:rsid w:val="00D128E0"/>
    <w:rsid w:val="00D164B9"/>
    <w:rsid w:val="00D91898"/>
    <w:rsid w:val="00DA7BBC"/>
    <w:rsid w:val="00DB3011"/>
    <w:rsid w:val="00DC279E"/>
    <w:rsid w:val="00DD1762"/>
    <w:rsid w:val="00DE1126"/>
    <w:rsid w:val="00DE76F6"/>
    <w:rsid w:val="00E054D6"/>
    <w:rsid w:val="00E25203"/>
    <w:rsid w:val="00E37346"/>
    <w:rsid w:val="00E40E80"/>
    <w:rsid w:val="00E47FE4"/>
    <w:rsid w:val="00E66C35"/>
    <w:rsid w:val="00E706D1"/>
    <w:rsid w:val="00F67388"/>
    <w:rsid w:val="00F71D30"/>
    <w:rsid w:val="00F86968"/>
    <w:rsid w:val="00FA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D6"/>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7BD6"/>
    <w:rPr>
      <w:rFonts w:cs="Times New Roman"/>
    </w:rPr>
  </w:style>
  <w:style w:type="character" w:styleId="a4">
    <w:name w:val="Hyperlink"/>
    <w:basedOn w:val="a0"/>
    <w:uiPriority w:val="99"/>
    <w:rsid w:val="00657BD6"/>
    <w:rPr>
      <w:rFonts w:cs="Times New Roman"/>
      <w:color w:val="0000FF"/>
      <w:u w:val="single"/>
    </w:rPr>
  </w:style>
  <w:style w:type="paragraph" w:styleId="a5">
    <w:name w:val="header"/>
    <w:basedOn w:val="a"/>
    <w:link w:val="Char"/>
    <w:uiPriority w:val="99"/>
    <w:rsid w:val="00657B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uiPriority w:val="99"/>
    <w:locked/>
    <w:rsid w:val="00657BD6"/>
    <w:rPr>
      <w:rFonts w:ascii="Times New Roman" w:eastAsia="宋体" w:hAnsi="Times New Roman" w:cs="Times New Roman"/>
      <w:sz w:val="20"/>
      <w:szCs w:val="20"/>
    </w:rPr>
  </w:style>
  <w:style w:type="paragraph" w:styleId="a6">
    <w:name w:val="footer"/>
    <w:basedOn w:val="a"/>
    <w:link w:val="Char0"/>
    <w:uiPriority w:val="99"/>
    <w:rsid w:val="00657BD6"/>
    <w:pPr>
      <w:tabs>
        <w:tab w:val="center" w:pos="4153"/>
        <w:tab w:val="right" w:pos="8306"/>
      </w:tabs>
      <w:snapToGrid w:val="0"/>
      <w:jc w:val="left"/>
    </w:pPr>
    <w:rPr>
      <w:sz w:val="18"/>
    </w:rPr>
  </w:style>
  <w:style w:type="character" w:customStyle="1" w:styleId="Char0">
    <w:name w:val="页脚 Char"/>
    <w:basedOn w:val="a0"/>
    <w:link w:val="a6"/>
    <w:uiPriority w:val="99"/>
    <w:locked/>
    <w:rsid w:val="00657BD6"/>
    <w:rPr>
      <w:rFonts w:ascii="Times New Roman" w:eastAsia="宋体" w:hAnsi="Times New Roman" w:cs="Times New Roman"/>
      <w:sz w:val="20"/>
      <w:szCs w:val="20"/>
    </w:rPr>
  </w:style>
  <w:style w:type="paragraph" w:styleId="a7">
    <w:name w:val="Balloon Text"/>
    <w:basedOn w:val="a"/>
    <w:link w:val="Char1"/>
    <w:uiPriority w:val="99"/>
    <w:rsid w:val="00657BD6"/>
    <w:rPr>
      <w:kern w:val="0"/>
      <w:sz w:val="18"/>
      <w:szCs w:val="18"/>
    </w:rPr>
  </w:style>
  <w:style w:type="character" w:customStyle="1" w:styleId="Char1">
    <w:name w:val="批注框文本 Char"/>
    <w:basedOn w:val="a0"/>
    <w:link w:val="a7"/>
    <w:uiPriority w:val="99"/>
    <w:locked/>
    <w:rsid w:val="00657BD6"/>
    <w:rPr>
      <w:rFonts w:ascii="Times New Roman" w:eastAsia="宋体" w:hAnsi="Times New Roman"/>
      <w:sz w:val="18"/>
    </w:rPr>
  </w:style>
  <w:style w:type="character" w:styleId="a8">
    <w:name w:val="annotation reference"/>
    <w:basedOn w:val="a0"/>
    <w:uiPriority w:val="99"/>
    <w:rsid w:val="00B5616A"/>
    <w:rPr>
      <w:rFonts w:cs="Times New Roman"/>
      <w:sz w:val="21"/>
    </w:rPr>
  </w:style>
  <w:style w:type="paragraph" w:styleId="a9">
    <w:name w:val="annotation text"/>
    <w:basedOn w:val="a"/>
    <w:link w:val="Char2"/>
    <w:uiPriority w:val="99"/>
    <w:semiHidden/>
    <w:rsid w:val="000165DD"/>
    <w:pPr>
      <w:jc w:val="left"/>
    </w:pPr>
  </w:style>
  <w:style w:type="character" w:customStyle="1" w:styleId="Char2">
    <w:name w:val="批注文字 Char"/>
    <w:basedOn w:val="a0"/>
    <w:link w:val="a9"/>
    <w:uiPriority w:val="99"/>
    <w:semiHidden/>
    <w:locked/>
    <w:rsid w:val="000165DD"/>
    <w:rPr>
      <w:rFonts w:ascii="Times New Roman" w:eastAsia="宋体" w:hAnsi="Times New Roman" w:cs="Times New Roman"/>
      <w:sz w:val="20"/>
      <w:szCs w:val="20"/>
    </w:rPr>
  </w:style>
  <w:style w:type="paragraph" w:styleId="aa">
    <w:name w:val="annotation subject"/>
    <w:basedOn w:val="a9"/>
    <w:next w:val="a9"/>
    <w:link w:val="Char3"/>
    <w:uiPriority w:val="99"/>
    <w:semiHidden/>
    <w:rsid w:val="000165DD"/>
    <w:rPr>
      <w:b/>
      <w:bCs/>
    </w:rPr>
  </w:style>
  <w:style w:type="character" w:customStyle="1" w:styleId="Char3">
    <w:name w:val="批注主题 Char"/>
    <w:basedOn w:val="Char2"/>
    <w:link w:val="aa"/>
    <w:uiPriority w:val="99"/>
    <w:semiHidden/>
    <w:locked/>
    <w:rsid w:val="000165DD"/>
    <w:rPr>
      <w:rFonts w:ascii="Times New Roman" w:eastAsia="宋体" w:hAnsi="Times New Roman" w:cs="Times New Roman"/>
      <w:b/>
      <w:bCs/>
      <w:sz w:val="20"/>
      <w:szCs w:val="20"/>
    </w:rPr>
  </w:style>
  <w:style w:type="paragraph" w:customStyle="1" w:styleId="p0">
    <w:name w:val="p0"/>
    <w:basedOn w:val="a"/>
    <w:uiPriority w:val="99"/>
    <w:rsid w:val="000165DD"/>
    <w:pPr>
      <w:widowControl/>
      <w:spacing w:line="240" w:lineRule="atLeast"/>
      <w:jc w:val="left"/>
    </w:pPr>
    <w:rPr>
      <w:rFonts w:ascii="Century" w:hAnsi="Century" w:cs="宋体"/>
      <w:kern w:val="0"/>
      <w:szCs w:val="21"/>
    </w:rPr>
  </w:style>
  <w:style w:type="character" w:styleId="ab">
    <w:name w:val="Strong"/>
    <w:basedOn w:val="a0"/>
    <w:uiPriority w:val="99"/>
    <w:qFormat/>
    <w:rsid w:val="00181BF1"/>
    <w:rPr>
      <w:rFonts w:cs="Times New Roman"/>
      <w:b/>
    </w:rPr>
  </w:style>
  <w:style w:type="paragraph" w:styleId="ac">
    <w:name w:val="List Paragraph"/>
    <w:basedOn w:val="a"/>
    <w:uiPriority w:val="99"/>
    <w:qFormat/>
    <w:rsid w:val="00181BF1"/>
    <w:pPr>
      <w:widowControl/>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D6"/>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7BD6"/>
    <w:rPr>
      <w:rFonts w:cs="Times New Roman"/>
    </w:rPr>
  </w:style>
  <w:style w:type="character" w:styleId="a4">
    <w:name w:val="Hyperlink"/>
    <w:basedOn w:val="a0"/>
    <w:uiPriority w:val="99"/>
    <w:rsid w:val="00657BD6"/>
    <w:rPr>
      <w:rFonts w:cs="Times New Roman"/>
      <w:color w:val="0000FF"/>
      <w:u w:val="single"/>
    </w:rPr>
  </w:style>
  <w:style w:type="paragraph" w:styleId="a5">
    <w:name w:val="header"/>
    <w:basedOn w:val="a"/>
    <w:link w:val="Char"/>
    <w:uiPriority w:val="99"/>
    <w:rsid w:val="00657B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uiPriority w:val="99"/>
    <w:locked/>
    <w:rsid w:val="00657BD6"/>
    <w:rPr>
      <w:rFonts w:ascii="Times New Roman" w:eastAsia="宋体" w:hAnsi="Times New Roman" w:cs="Times New Roman"/>
      <w:sz w:val="20"/>
      <w:szCs w:val="20"/>
    </w:rPr>
  </w:style>
  <w:style w:type="paragraph" w:styleId="a6">
    <w:name w:val="footer"/>
    <w:basedOn w:val="a"/>
    <w:link w:val="Char0"/>
    <w:uiPriority w:val="99"/>
    <w:rsid w:val="00657BD6"/>
    <w:pPr>
      <w:tabs>
        <w:tab w:val="center" w:pos="4153"/>
        <w:tab w:val="right" w:pos="8306"/>
      </w:tabs>
      <w:snapToGrid w:val="0"/>
      <w:jc w:val="left"/>
    </w:pPr>
    <w:rPr>
      <w:sz w:val="18"/>
    </w:rPr>
  </w:style>
  <w:style w:type="character" w:customStyle="1" w:styleId="Char0">
    <w:name w:val="页脚 Char"/>
    <w:basedOn w:val="a0"/>
    <w:link w:val="a6"/>
    <w:uiPriority w:val="99"/>
    <w:locked/>
    <w:rsid w:val="00657BD6"/>
    <w:rPr>
      <w:rFonts w:ascii="Times New Roman" w:eastAsia="宋体" w:hAnsi="Times New Roman" w:cs="Times New Roman"/>
      <w:sz w:val="20"/>
      <w:szCs w:val="20"/>
    </w:rPr>
  </w:style>
  <w:style w:type="paragraph" w:styleId="a7">
    <w:name w:val="Balloon Text"/>
    <w:basedOn w:val="a"/>
    <w:link w:val="Char1"/>
    <w:uiPriority w:val="99"/>
    <w:rsid w:val="00657BD6"/>
    <w:rPr>
      <w:kern w:val="0"/>
      <w:sz w:val="18"/>
      <w:szCs w:val="18"/>
    </w:rPr>
  </w:style>
  <w:style w:type="character" w:customStyle="1" w:styleId="Char1">
    <w:name w:val="批注框文本 Char"/>
    <w:basedOn w:val="a0"/>
    <w:link w:val="a7"/>
    <w:uiPriority w:val="99"/>
    <w:locked/>
    <w:rsid w:val="00657BD6"/>
    <w:rPr>
      <w:rFonts w:ascii="Times New Roman" w:eastAsia="宋体" w:hAnsi="Times New Roman"/>
      <w:sz w:val="18"/>
    </w:rPr>
  </w:style>
  <w:style w:type="character" w:styleId="a8">
    <w:name w:val="annotation reference"/>
    <w:basedOn w:val="a0"/>
    <w:uiPriority w:val="99"/>
    <w:rsid w:val="00B5616A"/>
    <w:rPr>
      <w:rFonts w:cs="Times New Roman"/>
      <w:sz w:val="21"/>
    </w:rPr>
  </w:style>
  <w:style w:type="paragraph" w:styleId="a9">
    <w:name w:val="annotation text"/>
    <w:basedOn w:val="a"/>
    <w:link w:val="Char2"/>
    <w:uiPriority w:val="99"/>
    <w:semiHidden/>
    <w:rsid w:val="000165DD"/>
    <w:pPr>
      <w:jc w:val="left"/>
    </w:pPr>
  </w:style>
  <w:style w:type="character" w:customStyle="1" w:styleId="Char2">
    <w:name w:val="批注文字 Char"/>
    <w:basedOn w:val="a0"/>
    <w:link w:val="a9"/>
    <w:uiPriority w:val="99"/>
    <w:semiHidden/>
    <w:locked/>
    <w:rsid w:val="000165DD"/>
    <w:rPr>
      <w:rFonts w:ascii="Times New Roman" w:eastAsia="宋体" w:hAnsi="Times New Roman" w:cs="Times New Roman"/>
      <w:sz w:val="20"/>
      <w:szCs w:val="20"/>
    </w:rPr>
  </w:style>
  <w:style w:type="paragraph" w:styleId="aa">
    <w:name w:val="annotation subject"/>
    <w:basedOn w:val="a9"/>
    <w:next w:val="a9"/>
    <w:link w:val="Char3"/>
    <w:uiPriority w:val="99"/>
    <w:semiHidden/>
    <w:rsid w:val="000165DD"/>
    <w:rPr>
      <w:b/>
      <w:bCs/>
    </w:rPr>
  </w:style>
  <w:style w:type="character" w:customStyle="1" w:styleId="Char3">
    <w:name w:val="批注主题 Char"/>
    <w:basedOn w:val="Char2"/>
    <w:link w:val="aa"/>
    <w:uiPriority w:val="99"/>
    <w:semiHidden/>
    <w:locked/>
    <w:rsid w:val="000165DD"/>
    <w:rPr>
      <w:rFonts w:ascii="Times New Roman" w:eastAsia="宋体" w:hAnsi="Times New Roman" w:cs="Times New Roman"/>
      <w:b/>
      <w:bCs/>
      <w:sz w:val="20"/>
      <w:szCs w:val="20"/>
    </w:rPr>
  </w:style>
  <w:style w:type="paragraph" w:customStyle="1" w:styleId="p0">
    <w:name w:val="p0"/>
    <w:basedOn w:val="a"/>
    <w:uiPriority w:val="99"/>
    <w:rsid w:val="000165DD"/>
    <w:pPr>
      <w:widowControl/>
      <w:spacing w:line="240" w:lineRule="atLeast"/>
      <w:jc w:val="left"/>
    </w:pPr>
    <w:rPr>
      <w:rFonts w:ascii="Century" w:hAnsi="Century" w:cs="宋体"/>
      <w:kern w:val="0"/>
      <w:szCs w:val="21"/>
    </w:rPr>
  </w:style>
  <w:style w:type="character" w:styleId="ab">
    <w:name w:val="Strong"/>
    <w:basedOn w:val="a0"/>
    <w:uiPriority w:val="99"/>
    <w:qFormat/>
    <w:rsid w:val="00181BF1"/>
    <w:rPr>
      <w:rFonts w:cs="Times New Roman"/>
      <w:b/>
    </w:rPr>
  </w:style>
  <w:style w:type="paragraph" w:styleId="ac">
    <w:name w:val="List Paragraph"/>
    <w:basedOn w:val="a"/>
    <w:uiPriority w:val="99"/>
    <w:qFormat/>
    <w:rsid w:val="00181BF1"/>
    <w:pPr>
      <w:widowControl/>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53851548@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4033</Words>
  <Characters>22993</Characters>
  <Application>Microsoft Office Word</Application>
  <DocSecurity>0</DocSecurity>
  <Lines>191</Lines>
  <Paragraphs>53</Paragraphs>
  <ScaleCrop>false</ScaleCrop>
  <Company>Microsoft</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2014-01-14T15:59:00Z</dcterms:created>
  <dcterms:modified xsi:type="dcterms:W3CDTF">2014-01-14T15:59:00Z</dcterms:modified>
</cp:coreProperties>
</file>