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D3D1" w14:textId="77777777" w:rsidR="00A77B3E" w:rsidRDefault="00B31ECE">
      <w:pPr>
        <w:spacing w:line="360" w:lineRule="auto"/>
        <w:jc w:val="both"/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Name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F1DDE15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75583</w:t>
      </w:r>
    </w:p>
    <w:p w14:paraId="07DD875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89E3241" w14:textId="77777777" w:rsidR="00A77B3E" w:rsidRDefault="00A77B3E">
      <w:pPr>
        <w:spacing w:line="360" w:lineRule="auto"/>
        <w:jc w:val="both"/>
      </w:pPr>
    </w:p>
    <w:p w14:paraId="47FAC80C" w14:textId="77777777" w:rsidR="00A77B3E" w:rsidRDefault="00B31ECE">
      <w:pPr>
        <w:spacing w:line="360" w:lineRule="auto"/>
        <w:jc w:val="both"/>
      </w:pPr>
      <w:bookmarkStart w:id="1" w:name="OLE_LINK57"/>
      <w:bookmarkStart w:id="2" w:name="OLE_LINK58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AD9456E" w14:textId="77777777" w:rsidR="00A77B3E" w:rsidRDefault="00B31ECE">
      <w:pPr>
        <w:spacing w:line="360" w:lineRule="auto"/>
        <w:jc w:val="both"/>
      </w:pPr>
      <w:bookmarkStart w:id="3" w:name="OLE_LINK55"/>
      <w:bookmarkStart w:id="4" w:name="OLE_LINK56"/>
      <w:bookmarkStart w:id="5" w:name="OLE_LINK70"/>
      <w:bookmarkEnd w:id="1"/>
      <w:bookmarkEnd w:id="2"/>
      <w:r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"/>
      <w:bookmarkStart w:id="7" w:name="OLE_LINK2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Candida</w:t>
      </w:r>
      <w:bookmarkEnd w:id="6"/>
      <w:bookmarkEnd w:id="7"/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esophagitis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virus</w:t>
      </w:r>
      <w:r>
        <w:rPr>
          <w:rFonts w:ascii="Book Antiqua" w:eastAsia="Book Antiqua" w:hAnsi="Book Antiqua" w:cs="Book Antiqua"/>
          <w:b/>
          <w:bCs/>
          <w:color w:val="000000"/>
        </w:rPr>
        <w:t>-negative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individuals</w:t>
      </w:r>
    </w:p>
    <w:bookmarkEnd w:id="3"/>
    <w:bookmarkEnd w:id="4"/>
    <w:bookmarkEnd w:id="5"/>
    <w:p w14:paraId="7C497B54" w14:textId="77777777" w:rsidR="00A77B3E" w:rsidRDefault="00A77B3E">
      <w:pPr>
        <w:spacing w:line="360" w:lineRule="auto"/>
        <w:jc w:val="both"/>
      </w:pPr>
    </w:p>
    <w:p w14:paraId="2A0D34C9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7"/>
      <w:bookmarkStart w:id="9" w:name="OLE_LINK8"/>
      <w:bookmarkStart w:id="10" w:name="OLE_LINK35"/>
      <w:bookmarkStart w:id="11" w:name="OLE_LINK71"/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8A4F68"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8A4F68">
        <w:rPr>
          <w:rFonts w:ascii="Book Antiqua" w:eastAsia="SimSun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bookmarkEnd w:id="8"/>
      <w:bookmarkEnd w:id="9"/>
      <w:bookmarkEnd w:id="10"/>
      <w:bookmarkEnd w:id="11"/>
    </w:p>
    <w:p w14:paraId="57AED2D1" w14:textId="77777777" w:rsidR="00A77B3E" w:rsidRDefault="00A77B3E">
      <w:pPr>
        <w:spacing w:line="360" w:lineRule="auto"/>
        <w:jc w:val="both"/>
      </w:pPr>
    </w:p>
    <w:p w14:paraId="68DA86E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Yan-Hua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Tzu-Ming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Yow-Ling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Shiue,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I-Jung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Ping-I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</w:p>
    <w:p w14:paraId="2276F443" w14:textId="77777777" w:rsidR="00A77B3E" w:rsidRDefault="00A77B3E">
      <w:pPr>
        <w:spacing w:line="360" w:lineRule="auto"/>
        <w:jc w:val="both"/>
      </w:pPr>
    </w:p>
    <w:p w14:paraId="488570B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Yan-Hua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Pingtung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Pingtung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91245,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6"/>
      <w:bookmarkStart w:id="13" w:name="OLE_LINK37"/>
      <w:bookmarkStart w:id="14" w:name="OLE_LINK38"/>
      <w:r>
        <w:rPr>
          <w:rFonts w:ascii="Book Antiqua" w:eastAsia="Book Antiqua" w:hAnsi="Book Antiqua" w:cs="Book Antiqua"/>
          <w:color w:val="000000"/>
        </w:rPr>
        <w:t>Taiwan</w:t>
      </w:r>
      <w:bookmarkEnd w:id="12"/>
      <w:bookmarkEnd w:id="13"/>
      <w:bookmarkEnd w:id="14"/>
    </w:p>
    <w:p w14:paraId="424266DD" w14:textId="77777777" w:rsidR="00A77B3E" w:rsidRDefault="00A77B3E">
      <w:pPr>
        <w:spacing w:line="360" w:lineRule="auto"/>
        <w:jc w:val="both"/>
      </w:pPr>
    </w:p>
    <w:p w14:paraId="0870F73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Yan-Hua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Yow-Ling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Shiue,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2"/>
      <w:bookmarkStart w:id="16" w:name="OLE_LINK63"/>
      <w:r>
        <w:rPr>
          <w:rFonts w:ascii="Book Antiqua" w:eastAsia="Book Antiqua" w:hAnsi="Book Antiqua" w:cs="Book Antiqua"/>
          <w:color w:val="000000"/>
        </w:rPr>
        <w:t>Institute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64"/>
      <w:bookmarkStart w:id="18" w:name="OLE_LINK65"/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7"/>
      <w:bookmarkEnd w:id="18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80424,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0C8C508" w14:textId="77777777" w:rsidR="00A77B3E" w:rsidRDefault="00A77B3E">
      <w:pPr>
        <w:spacing w:line="360" w:lineRule="auto"/>
        <w:jc w:val="both"/>
      </w:pPr>
    </w:p>
    <w:p w14:paraId="613BABC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Yan-Hua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Meiho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Pingtung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91202,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9390206" w14:textId="77777777" w:rsidR="00A77B3E" w:rsidRDefault="00A77B3E">
      <w:pPr>
        <w:spacing w:line="360" w:lineRule="auto"/>
        <w:jc w:val="both"/>
      </w:pPr>
    </w:p>
    <w:p w14:paraId="2B0F8423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Tzu-Ming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813414,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D4CF208" w14:textId="77777777" w:rsidR="00A77B3E" w:rsidRDefault="00A77B3E">
      <w:pPr>
        <w:spacing w:line="360" w:lineRule="auto"/>
        <w:jc w:val="both"/>
      </w:pPr>
    </w:p>
    <w:p w14:paraId="5BEDE30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Tzu-Ming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10617,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02BD112" w14:textId="77777777" w:rsidR="00A77B3E" w:rsidRDefault="00A77B3E">
      <w:pPr>
        <w:spacing w:line="360" w:lineRule="auto"/>
        <w:jc w:val="both"/>
      </w:pPr>
    </w:p>
    <w:p w14:paraId="3C00829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Yow-Ling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Shiue,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I-Jung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66"/>
      <w:bookmarkStart w:id="20" w:name="OLE_LINK67"/>
      <w:r>
        <w:rPr>
          <w:rFonts w:ascii="Book Antiqua" w:eastAsia="Book Antiqua" w:hAnsi="Book Antiqua" w:cs="Book Antiqua"/>
          <w:color w:val="000000"/>
        </w:rPr>
        <w:t>Institute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80424,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A9EE000" w14:textId="77777777" w:rsidR="00A77B3E" w:rsidRDefault="00A77B3E">
      <w:pPr>
        <w:spacing w:line="360" w:lineRule="auto"/>
        <w:jc w:val="both"/>
      </w:pPr>
    </w:p>
    <w:p w14:paraId="3C04579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Ping-I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709204,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DA0EB70" w14:textId="77777777" w:rsidR="00A77B3E" w:rsidRDefault="00A77B3E">
      <w:pPr>
        <w:spacing w:line="360" w:lineRule="auto"/>
        <w:jc w:val="both"/>
      </w:pPr>
    </w:p>
    <w:p w14:paraId="7174E84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72"/>
      <w:bookmarkStart w:id="22" w:name="OLE_LINK73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Hsu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Hsu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content.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03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approved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bookmarkEnd w:id="21"/>
    <w:bookmarkEnd w:id="22"/>
    <w:p w14:paraId="2CFFB54D" w14:textId="77777777" w:rsidR="00A77B3E" w:rsidRDefault="00A77B3E">
      <w:pPr>
        <w:spacing w:line="360" w:lineRule="auto"/>
        <w:jc w:val="both"/>
      </w:pPr>
    </w:p>
    <w:p w14:paraId="68DB05C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74"/>
      <w:bookmarkStart w:id="24" w:name="OLE_LINK75"/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In-Hospital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Research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Project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Funding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VGHKS108-042;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47"/>
      <w:bookmarkStart w:id="26" w:name="OLE_LINK48"/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C6A9F">
        <w:rPr>
          <w:rFonts w:ascii="Book Antiqua" w:eastAsia="SimSun" w:hAnsi="Book Antiqua" w:cs="Book Antiqua" w:hint="eastAsia"/>
          <w:color w:val="000000"/>
          <w:lang w:eastAsia="zh-CN"/>
        </w:rPr>
        <w:t>,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No.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39"/>
      <w:bookmarkStart w:id="28" w:name="OLE_LINK40"/>
      <w:r w:rsidR="001C6A9F">
        <w:rPr>
          <w:rFonts w:ascii="Book Antiqua" w:eastAsia="Book Antiqua" w:hAnsi="Book Antiqua" w:cs="Book Antiqua"/>
          <w:color w:val="000000"/>
        </w:rPr>
        <w:t>ANHRF109</w:t>
      </w:r>
      <w:bookmarkEnd w:id="27"/>
      <w:bookmarkEnd w:id="28"/>
      <w:r w:rsidR="001C6A9F">
        <w:rPr>
          <w:rFonts w:ascii="Book Antiqua" w:eastAsia="Book Antiqua" w:hAnsi="Book Antiqua" w:cs="Book Antiqua"/>
          <w:color w:val="000000"/>
        </w:rPr>
        <w:t>-38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.</w:t>
      </w:r>
      <w:bookmarkEnd w:id="23"/>
      <w:bookmarkEnd w:id="24"/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57A06C7" w14:textId="77777777" w:rsidR="00A77B3E" w:rsidRDefault="00A77B3E">
      <w:pPr>
        <w:spacing w:line="360" w:lineRule="auto"/>
        <w:jc w:val="both"/>
      </w:pPr>
    </w:p>
    <w:p w14:paraId="2562C57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Ping-I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8"/>
      <w:bookmarkStart w:id="30" w:name="OLE_LINK69"/>
      <w:r>
        <w:rPr>
          <w:rFonts w:ascii="Book Antiqua" w:eastAsia="Book Antiqua" w:hAnsi="Book Antiqua" w:cs="Book Antiqua"/>
          <w:color w:val="000000"/>
        </w:rPr>
        <w:t>No.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66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Sec.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Changhe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1C6A9F">
        <w:rPr>
          <w:rFonts w:ascii="Book Antiqua" w:eastAsia="SimSun" w:hAnsi="Book Antiqua" w:cs="Book Antiqua" w:hint="eastAsia"/>
          <w:color w:val="000000"/>
          <w:lang w:eastAsia="zh-CN"/>
        </w:rPr>
        <w:t>oa</w:t>
      </w:r>
      <w:r w:rsidR="001C6A9F">
        <w:rPr>
          <w:rFonts w:ascii="Book Antiqua" w:eastAsia="Book Antiqua" w:hAnsi="Book Antiqua" w:cs="Book Antiqua"/>
          <w:color w:val="000000"/>
        </w:rPr>
        <w:t>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Annan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Dist</w:t>
      </w:r>
      <w:r w:rsidR="001C6A9F" w:rsidRPr="001C6A9F">
        <w:rPr>
          <w:rFonts w:ascii="Book Antiqua" w:eastAsia="Book Antiqua" w:hAnsi="Book Antiqua" w:cs="Book Antiqua" w:hint="eastAsia"/>
          <w:color w:val="000000"/>
        </w:rPr>
        <w:t>rict</w:t>
      </w:r>
      <w:bookmarkEnd w:id="29"/>
      <w:bookmarkEnd w:id="30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709204,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williamhsup@yahoo.com.tw</w:t>
      </w:r>
    </w:p>
    <w:p w14:paraId="593DBFB7" w14:textId="77777777" w:rsidR="00A77B3E" w:rsidRDefault="00A77B3E">
      <w:pPr>
        <w:spacing w:line="360" w:lineRule="auto"/>
        <w:jc w:val="both"/>
      </w:pPr>
    </w:p>
    <w:p w14:paraId="30F0C1B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F45964E" w14:textId="77777777" w:rsidR="00A77B3E" w:rsidRPr="001C6A9F" w:rsidRDefault="00B31ECE">
      <w:pPr>
        <w:spacing w:line="360" w:lineRule="auto"/>
        <w:jc w:val="both"/>
        <w:rPr>
          <w:rFonts w:eastAsia="SimSun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4D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6A9F" w:rsidRPr="001C6A9F">
        <w:rPr>
          <w:rFonts w:ascii="Book Antiqua" w:eastAsia="SimSun" w:hAnsi="Book Antiqua" w:cs="Book Antiqua" w:hint="eastAsia"/>
          <w:bCs/>
          <w:color w:val="000000"/>
          <w:lang w:eastAsia="zh-CN"/>
        </w:rPr>
        <w:t>June</w:t>
      </w:r>
      <w:r w:rsidR="00E14DB2">
        <w:rPr>
          <w:rFonts w:ascii="Book Antiqua" w:eastAsia="SimSun" w:hAnsi="Book Antiqua" w:cs="Book Antiqua" w:hint="eastAsia"/>
          <w:bCs/>
          <w:color w:val="000000"/>
          <w:lang w:eastAsia="zh-CN"/>
        </w:rPr>
        <w:t xml:space="preserve"> </w:t>
      </w:r>
      <w:r w:rsidR="001C6A9F" w:rsidRPr="001C6A9F">
        <w:rPr>
          <w:rFonts w:ascii="Book Antiqua" w:eastAsia="SimSun" w:hAnsi="Book Antiqua" w:cs="Book Antiqua" w:hint="eastAsia"/>
          <w:bCs/>
          <w:color w:val="000000"/>
          <w:lang w:eastAsia="zh-CN"/>
        </w:rPr>
        <w:t>18,</w:t>
      </w:r>
      <w:r w:rsidR="00E14DB2">
        <w:rPr>
          <w:rFonts w:ascii="Book Antiqua" w:eastAsia="SimSun" w:hAnsi="Book Antiqua" w:cs="Book Antiqua" w:hint="eastAsia"/>
          <w:bCs/>
          <w:color w:val="000000"/>
          <w:lang w:eastAsia="zh-CN"/>
        </w:rPr>
        <w:t xml:space="preserve"> </w:t>
      </w:r>
      <w:r w:rsidR="001C6A9F" w:rsidRPr="001C6A9F">
        <w:rPr>
          <w:rFonts w:ascii="Book Antiqua" w:eastAsia="SimSun" w:hAnsi="Book Antiqua" w:cs="Book Antiqua" w:hint="eastAsia"/>
          <w:bCs/>
          <w:color w:val="000000"/>
          <w:lang w:eastAsia="zh-CN"/>
        </w:rPr>
        <w:t>2022</w:t>
      </w:r>
    </w:p>
    <w:p w14:paraId="4BA3E09D" w14:textId="2E2486A8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2E60" w:rsidRPr="00C813FB">
        <w:rPr>
          <w:rFonts w:ascii="Book Antiqua" w:eastAsia="Book Antiqua" w:hAnsi="Book Antiqua" w:cs="Book Antiqua"/>
          <w:color w:val="000000"/>
        </w:rPr>
        <w:t>July 27, 2022</w:t>
      </w:r>
    </w:p>
    <w:p w14:paraId="68ECBC4D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D00CAEF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6216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ECE39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E49412" w14:textId="77777777" w:rsidR="00A77B3E" w:rsidRDefault="00B31ECE">
      <w:pPr>
        <w:spacing w:line="360" w:lineRule="auto"/>
        <w:jc w:val="both"/>
      </w:pPr>
      <w:bookmarkStart w:id="31" w:name="OLE_LINK78"/>
      <w:bookmarkStart w:id="32" w:name="OLE_LINK7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>
        <w:rPr>
          <w:rFonts w:ascii="Book Antiqua" w:eastAsia="SimSun" w:hAnsi="Book Antiqua" w:cs="Book Antiqua" w:hint="eastAsia"/>
          <w:color w:val="000000"/>
          <w:lang w:eastAsia="zh-CN"/>
        </w:rPr>
        <w:t>(CE)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3"/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bookmarkEnd w:id="33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4"/>
      <w:bookmarkStart w:id="35" w:name="OLE_LINK5"/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34"/>
      <w:bookmarkEnd w:id="35"/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31"/>
    <w:bookmarkEnd w:id="32"/>
    <w:p w14:paraId="16112A15" w14:textId="77777777" w:rsidR="00A77B3E" w:rsidRDefault="00A77B3E">
      <w:pPr>
        <w:spacing w:line="360" w:lineRule="auto"/>
        <w:jc w:val="both"/>
      </w:pPr>
    </w:p>
    <w:p w14:paraId="2B88310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2CD31AA" w14:textId="77777777" w:rsidR="00A77B3E" w:rsidRPr="00D82CD9" w:rsidRDefault="00B31ECE">
      <w:pPr>
        <w:spacing w:line="360" w:lineRule="auto"/>
        <w:jc w:val="both"/>
        <w:rPr>
          <w:rFonts w:eastAsia="SimSun"/>
          <w:lang w:eastAsia="zh-CN"/>
        </w:rPr>
      </w:pPr>
      <w:bookmarkStart w:id="36" w:name="OLE_LINK80"/>
      <w:bookmarkStart w:id="37" w:name="OLE_LINK81"/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</w:t>
      </w:r>
      <w:r w:rsidR="00D82CD9">
        <w:rPr>
          <w:rFonts w:ascii="Book Antiqua" w:eastAsia="Book Antiqua" w:hAnsi="Book Antiqua" w:cs="Book Antiqua"/>
          <w:color w:val="000000"/>
        </w:rPr>
        <w:t>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persons,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36"/>
    <w:bookmarkEnd w:id="37"/>
    <w:p w14:paraId="34F71030" w14:textId="77777777" w:rsidR="00A77B3E" w:rsidRDefault="00A77B3E">
      <w:pPr>
        <w:spacing w:line="360" w:lineRule="auto"/>
        <w:jc w:val="both"/>
      </w:pPr>
    </w:p>
    <w:p w14:paraId="0534DB95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7D883F2" w14:textId="75D3A7FF" w:rsidR="00A77B3E" w:rsidRDefault="00B31ECE">
      <w:pPr>
        <w:spacing w:line="360" w:lineRule="auto"/>
        <w:jc w:val="both"/>
      </w:pPr>
      <w:bookmarkStart w:id="38" w:name="OLE_LINK82"/>
      <w:bookmarkStart w:id="39" w:name="OLE_LINK83"/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41"/>
      <w:bookmarkStart w:id="41" w:name="OLE_LINK42"/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40"/>
      <w:bookmarkEnd w:id="41"/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acid-Schiff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38"/>
    <w:bookmarkEnd w:id="39"/>
    <w:p w14:paraId="284ACA2F" w14:textId="77777777" w:rsidR="00A77B3E" w:rsidRDefault="00A77B3E">
      <w:pPr>
        <w:spacing w:line="360" w:lineRule="auto"/>
        <w:jc w:val="both"/>
      </w:pPr>
    </w:p>
    <w:p w14:paraId="583B3CC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3984223" w14:textId="77777777" w:rsidR="00A77B3E" w:rsidRDefault="00B31ECE">
      <w:pPr>
        <w:spacing w:line="360" w:lineRule="auto"/>
        <w:jc w:val="both"/>
      </w:pPr>
      <w:bookmarkStart w:id="42" w:name="OLE_LINK84"/>
      <w:bookmarkStart w:id="43" w:name="OLE_LINK85"/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Forty-seven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</w:t>
      </w:r>
      <w:r w:rsidR="0068059B"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[</w:t>
      </w:r>
      <w:r w:rsidR="0068059B"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(</w:t>
      </w:r>
      <w:r w:rsidR="0068059B">
        <w:rPr>
          <w:rFonts w:ascii="Book Antiqua" w:eastAsia="Book Antiqua" w:hAnsi="Book Antiqua" w:cs="Book Antiqua"/>
          <w:color w:val="000000"/>
        </w:rPr>
        <w:t>OR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68059B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0.045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0.016),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0.021).</w:t>
      </w:r>
    </w:p>
    <w:bookmarkEnd w:id="42"/>
    <w:bookmarkEnd w:id="43"/>
    <w:p w14:paraId="332E255D" w14:textId="77777777" w:rsidR="00A77B3E" w:rsidRDefault="00A77B3E">
      <w:pPr>
        <w:spacing w:line="360" w:lineRule="auto"/>
        <w:jc w:val="both"/>
      </w:pPr>
    </w:p>
    <w:p w14:paraId="0C5C22F3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5B586AA" w14:textId="77777777" w:rsidR="00A77B3E" w:rsidRDefault="00B31ECE">
      <w:pPr>
        <w:spacing w:line="360" w:lineRule="auto"/>
        <w:jc w:val="both"/>
      </w:pPr>
      <w:bookmarkStart w:id="44" w:name="OLE_LINK86"/>
      <w:bookmarkStart w:id="45" w:name="OLE_LINK87"/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</w:p>
    <w:bookmarkEnd w:id="44"/>
    <w:bookmarkEnd w:id="45"/>
    <w:p w14:paraId="5FFBFF0C" w14:textId="77777777" w:rsidR="00A77B3E" w:rsidRDefault="00A77B3E">
      <w:pPr>
        <w:spacing w:line="360" w:lineRule="auto"/>
        <w:jc w:val="both"/>
      </w:pPr>
    </w:p>
    <w:p w14:paraId="617460A6" w14:textId="77777777" w:rsidR="00A77B3E" w:rsidRPr="0068059B" w:rsidRDefault="00B31ECE">
      <w:pPr>
        <w:spacing w:line="360" w:lineRule="auto"/>
        <w:jc w:val="both"/>
        <w:rPr>
          <w:rFonts w:eastAsia="SimSun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6" w:name="OLE_LINK59"/>
      <w:bookmarkStart w:id="47" w:name="OLE_LINK76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68059B">
        <w:rPr>
          <w:rFonts w:ascii="Book Antiqua" w:eastAsia="SimSun" w:hAnsi="Book Antiqua" w:cs="Book Antiqua" w:hint="eastAsia"/>
          <w:color w:val="000000"/>
          <w:lang w:eastAsia="zh-CN"/>
        </w:rPr>
        <w:t>H</w:t>
      </w:r>
      <w:r w:rsidR="0068059B">
        <w:rPr>
          <w:rFonts w:ascii="Book Antiqua" w:eastAsia="Book Antiqua" w:hAnsi="Book Antiqua" w:cs="Book Antiqua"/>
          <w:color w:val="000000"/>
        </w:rPr>
        <w:t>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virus</w:t>
      </w:r>
    </w:p>
    <w:bookmarkEnd w:id="46"/>
    <w:bookmarkEnd w:id="47"/>
    <w:p w14:paraId="48ACB2B8" w14:textId="77777777" w:rsidR="00A77B3E" w:rsidRDefault="00A77B3E">
      <w:pPr>
        <w:spacing w:line="360" w:lineRule="auto"/>
        <w:jc w:val="both"/>
      </w:pPr>
    </w:p>
    <w:p w14:paraId="245124B2" w14:textId="77777777" w:rsidR="00A77B3E" w:rsidRDefault="00B31ECE">
      <w:pPr>
        <w:spacing w:line="360" w:lineRule="auto"/>
        <w:jc w:val="both"/>
      </w:pPr>
      <w:bookmarkStart w:id="48" w:name="OLE_LINK60"/>
      <w:r>
        <w:rPr>
          <w:rFonts w:ascii="Book Antiqua" w:eastAsia="Book Antiqua" w:hAnsi="Book Antiqua" w:cs="Book Antiqua"/>
          <w:color w:val="000000"/>
        </w:rPr>
        <w:t>Chen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Pr="00C813FB">
        <w:rPr>
          <w:rFonts w:ascii="Book Antiqua" w:eastAsia="Book Antiqua" w:hAnsi="Book Antiqua" w:cs="Book Antiqua"/>
          <w:i/>
          <w:color w:val="000000"/>
        </w:rPr>
        <w:t>Candida</w:t>
      </w:r>
      <w:r w:rsidR="00E14DB2" w:rsidRPr="00C813F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>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8"/>
    <w:p w14:paraId="57F99110" w14:textId="77777777" w:rsidR="00A77B3E" w:rsidRDefault="00A77B3E">
      <w:pPr>
        <w:spacing w:line="360" w:lineRule="auto"/>
        <w:jc w:val="both"/>
      </w:pPr>
    </w:p>
    <w:p w14:paraId="1C3EE8D5" w14:textId="4E9B7525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61"/>
      <w:bookmarkStart w:id="50" w:name="OLE_LINK77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>
        <w:rPr>
          <w:rFonts w:ascii="Book Antiqua" w:eastAsia="SimSun" w:hAnsi="Book Antiqua" w:cs="Book Antiqua" w:hint="eastAsia"/>
          <w:color w:val="000000"/>
          <w:lang w:eastAsia="zh-CN"/>
        </w:rPr>
        <w:t>(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F91E30">
        <w:rPr>
          <w:rFonts w:ascii="Book Antiqua" w:eastAsia="SimSun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been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bookmarkEnd w:id="49"/>
    <w:bookmarkEnd w:id="50"/>
    <w:p w14:paraId="3476FAF0" w14:textId="77777777" w:rsidR="00A77B3E" w:rsidRDefault="00A77B3E">
      <w:pPr>
        <w:spacing w:line="360" w:lineRule="auto"/>
        <w:jc w:val="both"/>
      </w:pPr>
    </w:p>
    <w:p w14:paraId="53858E92" w14:textId="77777777" w:rsidR="00A77B3E" w:rsidRDefault="00F91E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31EC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5BB5885" w14:textId="77777777" w:rsidR="00A77B3E" w:rsidRDefault="00B31ECE" w:rsidP="00F91E30">
      <w:pPr>
        <w:spacing w:line="360" w:lineRule="auto"/>
        <w:jc w:val="both"/>
      </w:pPr>
      <w:bookmarkStart w:id="51" w:name="OLE_LINK88"/>
      <w:bookmarkStart w:id="52" w:name="OLE_LINK8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glabrata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dubliniensis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tropicalis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stellatoidea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krusei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0.3%-10.5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F3FCC38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dentures,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9,12,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640287" w:rsidRPr="006402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287">
        <w:rPr>
          <w:rFonts w:ascii="Book Antiqua" w:eastAsia="SimSun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640287">
        <w:rPr>
          <w:rFonts w:ascii="Book Antiqua" w:eastAsia="SimSun" w:hAnsi="Book Antiqua" w:cs="Book Antiqua" w:hint="eastAsia"/>
          <w:iCs/>
          <w:color w:val="000000"/>
          <w:vertAlign w:val="superscript"/>
          <w:lang w:eastAsia="zh-CN"/>
        </w:rPr>
        <w:t>15]</w:t>
      </w:r>
      <w:r w:rsidR="009A41BE">
        <w:rPr>
          <w:rFonts w:ascii="Book Antiqua" w:eastAsia="SimSun" w:hAnsi="Book Antiqua" w:cs="Book Antiqua" w:hint="eastAsia"/>
          <w:color w:val="000000"/>
          <w:lang w:eastAsia="zh-CN"/>
        </w:rPr>
        <w:t xml:space="preserve">, </w:t>
      </w:r>
      <w:proofErr w:type="spellStart"/>
      <w:r w:rsidR="009A41BE" w:rsidRPr="009A41BE">
        <w:rPr>
          <w:rFonts w:ascii="Book Antiqua" w:eastAsia="SimSun" w:hAnsi="Book Antiqua" w:cs="Book Antiqua"/>
          <w:color w:val="000000"/>
          <w:lang w:eastAsia="zh-CN"/>
        </w:rPr>
        <w:t>Asayama</w:t>
      </w:r>
      <w:proofErr w:type="spellEnd"/>
      <w:r w:rsidR="00640287" w:rsidRPr="006402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40287">
        <w:rPr>
          <w:rFonts w:ascii="Book Antiqua" w:eastAsia="SimSun" w:hAnsi="Book Antiqua" w:cs="Book Antiqua" w:hint="eastAsia"/>
          <w:iCs/>
          <w:color w:val="000000"/>
          <w:vertAlign w:val="superscript"/>
          <w:lang w:eastAsia="zh-CN"/>
        </w:rPr>
        <w:t>[16]</w:t>
      </w:r>
      <w:r w:rsidR="009A41BE">
        <w:rPr>
          <w:rFonts w:ascii="Book Antiqua" w:eastAsia="SimSun" w:hAnsi="Book Antiqua" w:cs="Book Antiqua" w:hint="eastAsia"/>
          <w:color w:val="000000"/>
          <w:lang w:eastAsia="zh-CN"/>
        </w:rPr>
        <w:t xml:space="preserve"> and </w:t>
      </w:r>
      <w:r w:rsidR="009A41BE" w:rsidRPr="009A41BE">
        <w:rPr>
          <w:rFonts w:ascii="Book Antiqua" w:eastAsia="SimSun" w:hAnsi="Book Antiqua" w:cs="Book Antiqua"/>
          <w:color w:val="000000"/>
          <w:lang w:eastAsia="zh-CN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52"/>
      <w:bookmarkStart w:id="54" w:name="OLE_LINK53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bookmarkEnd w:id="53"/>
      <w:bookmarkEnd w:id="54"/>
      <w:r w:rsidR="006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0D8A5B63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51"/>
      <w:bookmarkEnd w:id="52"/>
    </w:p>
    <w:p w14:paraId="0FE08CAE" w14:textId="77777777" w:rsidR="00A77B3E" w:rsidRDefault="00A77B3E">
      <w:pPr>
        <w:spacing w:line="360" w:lineRule="auto"/>
        <w:ind w:firstLine="480"/>
        <w:jc w:val="both"/>
      </w:pPr>
    </w:p>
    <w:p w14:paraId="3481AD0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DD7B9C3" w14:textId="77777777" w:rsidR="00A77B3E" w:rsidRPr="00595D98" w:rsidRDefault="00B31ECE">
      <w:pPr>
        <w:spacing w:line="360" w:lineRule="auto"/>
        <w:jc w:val="both"/>
        <w:rPr>
          <w:b/>
        </w:rPr>
      </w:pPr>
      <w:bookmarkStart w:id="55" w:name="OLE_LINK90"/>
      <w:bookmarkStart w:id="56" w:name="OLE_LINK91"/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07FE4DFA" w14:textId="73F7CC8B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(EGD)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consultations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A</w:t>
      </w:r>
      <w:r w:rsidR="00595D98">
        <w:rPr>
          <w:rFonts w:ascii="Book Antiqua" w:eastAsia="Book Antiqua" w:hAnsi="Book Antiqua" w:cs="Book Antiqua"/>
          <w:color w:val="000000"/>
        </w:rPr>
        <w:t>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20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years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(2)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efused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tract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lesions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(3)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</w:p>
    <w:p w14:paraId="42022518" w14:textId="77777777" w:rsidR="00595D98" w:rsidRDefault="00595D98">
      <w:pPr>
        <w:spacing w:line="360" w:lineRule="auto"/>
        <w:jc w:val="both"/>
        <w:rPr>
          <w:rFonts w:ascii="Book Antiqua" w:eastAsia="SimSun" w:hAnsi="Book Antiqua" w:cs="Book Antiqua"/>
          <w:i/>
          <w:iCs/>
          <w:color w:val="000000"/>
          <w:lang w:eastAsia="zh-CN"/>
        </w:rPr>
      </w:pPr>
    </w:p>
    <w:p w14:paraId="6755E92D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Questionnaire</w:t>
      </w:r>
    </w:p>
    <w:p w14:paraId="65DF4CEB" w14:textId="2ABC66C0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mainly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dyspepsia.</w:t>
      </w:r>
    </w:p>
    <w:p w14:paraId="4296D0F3" w14:textId="77777777" w:rsidR="00595D98" w:rsidRDefault="00595D98">
      <w:pPr>
        <w:spacing w:line="360" w:lineRule="auto"/>
        <w:jc w:val="both"/>
        <w:rPr>
          <w:rFonts w:ascii="Book Antiqua" w:eastAsia="SimSun" w:hAnsi="Book Antiqua" w:cs="Book Antiqua"/>
          <w:i/>
          <w:iCs/>
          <w:color w:val="000000"/>
          <w:lang w:eastAsia="zh-CN"/>
        </w:rPr>
      </w:pPr>
    </w:p>
    <w:p w14:paraId="2EDAE49A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1E80B81F" w14:textId="3E2D1C14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43"/>
      <w:bookmarkStart w:id="58" w:name="OLE_LINK44"/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bookmarkEnd w:id="57"/>
      <w:bookmarkEnd w:id="58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GIF-XP260N,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GIF-XQ260,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GIF-Q260,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GIF-H260Z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(Tokyo,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GIF-H290Z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GIF-HQ290,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595D98">
        <w:rPr>
          <w:rFonts w:ascii="Book Antiqua" w:eastAsia="SimSun" w:hAnsi="Book Antiqua" w:cs="Book Antiqua" w:hint="eastAsia"/>
          <w:color w:val="000000"/>
          <w:szCs w:val="30"/>
          <w:lang w:eastAsia="zh-CN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acid-Schiff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4B243E60" w14:textId="77777777" w:rsidR="00595D98" w:rsidRDefault="00595D98">
      <w:pPr>
        <w:spacing w:line="360" w:lineRule="auto"/>
        <w:jc w:val="both"/>
        <w:rPr>
          <w:rFonts w:ascii="Book Antiqua" w:eastAsia="SimSun" w:hAnsi="Book Antiqua" w:cs="Book Antiqua"/>
          <w:i/>
          <w:iCs/>
          <w:color w:val="000000"/>
          <w:lang w:eastAsia="zh-CN"/>
        </w:rPr>
      </w:pPr>
    </w:p>
    <w:p w14:paraId="4879BCCB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014CA260" w14:textId="658757B8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>
        <w:rPr>
          <w:rFonts w:ascii="Book Antiqua" w:eastAsia="Book Antiqua" w:hAnsi="Book Antiqua" w:cs="Book Antiqua"/>
          <w:color w:val="000000"/>
        </w:rPr>
        <w:t>-confirmed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betel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use;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30%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females);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BMI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_Hlk109457456"/>
      <w:r>
        <w:rPr>
          <w:rFonts w:ascii="Book Antiqua" w:eastAsia="Book Antiqua" w:hAnsi="Book Antiqua" w:cs="Book Antiqua"/>
          <w:color w:val="000000"/>
        </w:rPr>
        <w:t>multivariable</w:t>
      </w:r>
      <w:bookmarkEnd w:id="59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95D98">
        <w:rPr>
          <w:rFonts w:ascii="Book Antiqua" w:eastAsia="Book Antiqua" w:hAnsi="Book Antiqua" w:cs="Book Antiqua"/>
          <w:color w:val="000000"/>
        </w:rPr>
        <w:t>2.0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(SPSS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Inc.,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Chicago,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IL,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U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nited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I-Jung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ssociate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rofessor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iostatistics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bookmarkEnd w:id="55"/>
    <w:bookmarkEnd w:id="56"/>
    <w:p w14:paraId="73FDDC31" w14:textId="77777777" w:rsidR="00A77B3E" w:rsidRDefault="00A77B3E">
      <w:pPr>
        <w:spacing w:line="360" w:lineRule="auto"/>
        <w:ind w:firstLine="480"/>
        <w:jc w:val="both"/>
      </w:pPr>
    </w:p>
    <w:p w14:paraId="6CF5412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7D17C91" w14:textId="77777777" w:rsidR="00A77B3E" w:rsidRPr="00595D98" w:rsidRDefault="00B31ECE">
      <w:pPr>
        <w:spacing w:line="360" w:lineRule="auto"/>
        <w:jc w:val="both"/>
        <w:rPr>
          <w:b/>
        </w:rPr>
      </w:pPr>
      <w:bookmarkStart w:id="60" w:name="OLE_LINK92"/>
      <w:bookmarkStart w:id="61" w:name="OLE_LINK93"/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Participant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endoscopic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findings</w:t>
      </w:r>
    </w:p>
    <w:p w14:paraId="5AA482D8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67.5%)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employment-related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9.7%).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51.29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55.7%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743C6CD6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acanthosis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E14DB2">
        <w:rPr>
          <w:rFonts w:ascii="Book Antiqua" w:hAnsi="Book Antiqua" w:cs="Book Antiqua" w:hint="eastAsia"/>
          <w:color w:val="0000FF"/>
          <w:lang w:eastAsia="zh-TW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Among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included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11802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individuals,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total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9560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participants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received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HIV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serology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testing,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and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results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were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negative.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prevalence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CE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participants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with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negative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HIV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serology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was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0.5%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283BD0" w14:textId="77777777" w:rsidR="00A77B3E" w:rsidRDefault="00A77B3E">
      <w:pPr>
        <w:spacing w:line="360" w:lineRule="auto"/>
        <w:jc w:val="both"/>
      </w:pPr>
    </w:p>
    <w:p w14:paraId="1B8B6DF6" w14:textId="143D2B6D" w:rsidR="00A77B3E" w:rsidRPr="00595D98" w:rsidRDefault="00B31ECE">
      <w:pPr>
        <w:spacing w:line="360" w:lineRule="auto"/>
        <w:jc w:val="both"/>
        <w:rPr>
          <w:b/>
          <w:i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Univariate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associated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with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91E30" w:rsidRPr="00595D98">
        <w:rPr>
          <w:rFonts w:ascii="Book Antiqua" w:eastAsia="SimSun" w:hAnsi="Book Antiqua" w:cs="Book Antiqua" w:hint="eastAsia"/>
          <w:b/>
          <w:i/>
          <w:iCs/>
          <w:color w:val="000000"/>
          <w:lang w:eastAsia="zh-CN"/>
        </w:rPr>
        <w:t>CE</w:t>
      </w:r>
    </w:p>
    <w:p w14:paraId="4F063036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B746A26" w14:textId="77777777" w:rsidR="00A77B3E" w:rsidRDefault="00A77B3E">
      <w:pPr>
        <w:spacing w:line="360" w:lineRule="auto"/>
        <w:ind w:firstLine="480"/>
        <w:jc w:val="both"/>
      </w:pPr>
    </w:p>
    <w:p w14:paraId="7C19082C" w14:textId="09B7B890" w:rsidR="00A77B3E" w:rsidRPr="00595D98" w:rsidRDefault="00B31ECE">
      <w:pPr>
        <w:spacing w:line="360" w:lineRule="auto"/>
        <w:jc w:val="both"/>
        <w:rPr>
          <w:b/>
          <w:i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Multivariable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independent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factors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predicting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development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91E30" w:rsidRPr="00595D98">
        <w:rPr>
          <w:rFonts w:ascii="Book Antiqua" w:eastAsia="SimSun" w:hAnsi="Book Antiqua" w:cs="Book Antiqua" w:hint="eastAsia"/>
          <w:b/>
          <w:i/>
          <w:iCs/>
          <w:color w:val="000000"/>
          <w:lang w:eastAsia="zh-CN"/>
        </w:rPr>
        <w:t>CE</w:t>
      </w:r>
    </w:p>
    <w:p w14:paraId="675B6E0D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Multivariab</w:t>
      </w:r>
      <w:r w:rsidR="00595D98"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[</w:t>
      </w:r>
      <w:r w:rsidR="00595D98"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(</w:t>
      </w:r>
      <w:r w:rsidR="00595D98">
        <w:rPr>
          <w:rFonts w:ascii="Book Antiqua" w:eastAsia="Book Antiqua" w:hAnsi="Book Antiqua" w:cs="Book Antiqua"/>
          <w:color w:val="000000"/>
        </w:rPr>
        <w:t>OR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</w:t>
      </w:r>
      <w:r w:rsidR="00595D9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0.045</w:t>
      </w:r>
      <w:r w:rsidR="00595D98">
        <w:rPr>
          <w:rFonts w:ascii="Book Antiqua" w:eastAsia="SimSun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0.016)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3999E27B" w14:textId="77777777" w:rsidR="00A77B3E" w:rsidRDefault="00A77B3E">
      <w:pPr>
        <w:spacing w:line="360" w:lineRule="auto"/>
        <w:ind w:firstLine="480"/>
        <w:jc w:val="both"/>
      </w:pPr>
    </w:p>
    <w:p w14:paraId="5F9268E4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symptoms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predicting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endoscopic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severity</w:t>
      </w:r>
    </w:p>
    <w:p w14:paraId="0ECED55D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>
        <w:rPr>
          <w:rFonts w:ascii="Book Antiqua" w:eastAsia="Book Antiqua" w:hAnsi="Book Antiqua" w:cs="Book Antiqua"/>
          <w:color w:val="000000"/>
        </w:rPr>
        <w:t>-confirmed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0.021).</w:t>
      </w:r>
      <w:bookmarkEnd w:id="60"/>
      <w:bookmarkEnd w:id="61"/>
    </w:p>
    <w:p w14:paraId="2FDBFECB" w14:textId="77777777" w:rsidR="00A77B3E" w:rsidRDefault="00A77B3E">
      <w:pPr>
        <w:spacing w:line="360" w:lineRule="auto"/>
        <w:ind w:firstLine="480"/>
        <w:jc w:val="both"/>
      </w:pPr>
    </w:p>
    <w:p w14:paraId="25CA797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3A22A76" w14:textId="77777777" w:rsidR="00A77B3E" w:rsidRDefault="00B31ECE">
      <w:pPr>
        <w:spacing w:line="360" w:lineRule="auto"/>
        <w:jc w:val="both"/>
      </w:pPr>
      <w:bookmarkStart w:id="62" w:name="OLE_LINK94"/>
      <w:bookmarkStart w:id="63" w:name="OLE_LINK95"/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cells/mL)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5F43CA1B" w14:textId="17CD8ABE" w:rsidR="00A77B3E" w:rsidRDefault="009A4DDF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 p</w:t>
      </w:r>
      <w:r w:rsidR="00B31ECE">
        <w:rPr>
          <w:rFonts w:ascii="Book Antiqua" w:eastAsia="Book Antiqua" w:hAnsi="Book Antiqua" w:cs="Book Antiqua"/>
          <w:color w:val="000000"/>
        </w:rPr>
        <w:t>reviously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range</w:t>
      </w:r>
      <w:r>
        <w:rPr>
          <w:rFonts w:ascii="Book Antiqua" w:eastAsia="Book Antiqua" w:hAnsi="Book Antiqua" w:cs="Book Antiqua"/>
          <w:color w:val="000000"/>
        </w:rPr>
        <w:t>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0.3%-10.5%;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tended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over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color w:val="000000"/>
        </w:rPr>
        <w:t>time</w:t>
      </w:r>
      <w:r w:rsidR="00B31E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31ECE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B31ECE"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discussed.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Choi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July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2005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April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2011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incidentally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Korea,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endoscopically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histologically;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0.32%.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Korea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lastRenderedPageBreak/>
        <w:t>histology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proven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Recently,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determined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0.39%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undergoing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EGD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various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Taipei,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="00B31ECE"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histopathologic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estimate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0.40%.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development.</w:t>
      </w:r>
    </w:p>
    <w:p w14:paraId="46AD5476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surfaces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mucocutaneous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aerosolized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corticotherapy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22-24]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028E06DE" w14:textId="43504894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Choi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287">
        <w:rPr>
          <w:rFonts w:ascii="Book Antiqua" w:eastAsia="SimSun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640287">
        <w:rPr>
          <w:rFonts w:ascii="Book Antiqua" w:eastAsia="SimSun" w:hAnsi="Book Antiqua" w:cs="Book Antiqua" w:hint="eastAsia"/>
          <w:iCs/>
          <w:color w:val="000000"/>
          <w:vertAlign w:val="superscript"/>
          <w:lang w:eastAsia="zh-CN"/>
        </w:rPr>
        <w:t>8]</w:t>
      </w:r>
      <w:r w:rsidR="00640287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Zillessen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54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bookmarkEnd w:id="64"/>
      <w:r w:rsidR="006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Mwanza,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Tanzania,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spirits,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stomach's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alcoholism.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hyposecretion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achlorhydria,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alcoholism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28,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30-32]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1DAA1784" w14:textId="77777777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2154E485" w14:textId="79FD4063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Thorman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(ESRD).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CD4/CD8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T-helper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T-suppressor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</w:p>
    <w:p w14:paraId="50CF8A52" w14:textId="77777777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2.1%),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mentioned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803D84">
        <w:rPr>
          <w:rFonts w:ascii="Book Antiqua" w:eastAsia="Book Antiqua" w:hAnsi="Book Antiqua" w:cs="Book Antiqua"/>
          <w:color w:val="000000"/>
        </w:rPr>
        <w:t xml:space="preserve">multivariable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44FA5AFC" w14:textId="039C0204" w:rsidR="00A77B3E" w:rsidRDefault="00B31ECE" w:rsidP="00700E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Kodsi’s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Asayama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</w:p>
    <w:p w14:paraId="53813E4D" w14:textId="68D76F0C" w:rsidR="00A77B3E" w:rsidRDefault="00B31ECE" w:rsidP="00700E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1B109D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1B109D">
        <w:rPr>
          <w:rFonts w:ascii="Book Antiqua" w:eastAsia="Book Antiqua" w:hAnsi="Book Antiqua" w:cs="Book Antiqua"/>
          <w:color w:val="000000"/>
        </w:rPr>
        <w:t>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unmeasured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acanthosis.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bookmarkEnd w:id="62"/>
      <w:bookmarkEnd w:id="63"/>
    </w:p>
    <w:p w14:paraId="203FF820" w14:textId="77777777" w:rsidR="00A77B3E" w:rsidRDefault="00A77B3E">
      <w:pPr>
        <w:spacing w:line="360" w:lineRule="auto"/>
        <w:jc w:val="both"/>
      </w:pPr>
    </w:p>
    <w:p w14:paraId="511EA98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5AB24E" w14:textId="77777777" w:rsidR="00A77B3E" w:rsidRDefault="00B31ECE" w:rsidP="00700E1B">
      <w:pPr>
        <w:spacing w:line="360" w:lineRule="auto"/>
        <w:jc w:val="both"/>
      </w:pPr>
      <w:bookmarkStart w:id="65" w:name="OLE_LINK96"/>
      <w:bookmarkStart w:id="66" w:name="OLE_LINK97"/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65"/>
    <w:bookmarkEnd w:id="66"/>
    <w:p w14:paraId="52772364" w14:textId="77777777" w:rsidR="00A77B3E" w:rsidRDefault="00A77B3E">
      <w:pPr>
        <w:spacing w:line="360" w:lineRule="auto"/>
        <w:ind w:firstLine="482"/>
        <w:jc w:val="both"/>
      </w:pPr>
    </w:p>
    <w:p w14:paraId="3F9590FD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E815B2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953B0F" w14:textId="4B8B668B" w:rsidR="00A77B3E" w:rsidRDefault="00B31ECE">
      <w:pPr>
        <w:spacing w:line="360" w:lineRule="auto"/>
        <w:jc w:val="both"/>
      </w:pPr>
      <w:bookmarkStart w:id="67" w:name="OLE_LINK98"/>
      <w:bookmarkStart w:id="68" w:name="OLE_LINK9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F91E30">
        <w:rPr>
          <w:rFonts w:ascii="Book Antiqua" w:eastAsia="SimSun" w:hAnsi="Book Antiqua" w:cs="Book Antiqua" w:hint="eastAsia"/>
          <w:color w:val="000000"/>
          <w:lang w:eastAsia="zh-CN"/>
        </w:rPr>
        <w:t>(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F91E30">
        <w:rPr>
          <w:rFonts w:ascii="Book Antiqua" w:eastAsia="SimSun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(HIV)-positive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67"/>
    <w:bookmarkEnd w:id="68"/>
    <w:p w14:paraId="71078FC7" w14:textId="77777777" w:rsidR="00A77B3E" w:rsidRDefault="00A77B3E">
      <w:pPr>
        <w:spacing w:line="360" w:lineRule="auto"/>
        <w:jc w:val="both"/>
      </w:pPr>
    </w:p>
    <w:p w14:paraId="4A23C39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148E31" w14:textId="74D12EB0" w:rsidR="00A77B3E" w:rsidRDefault="00B31ECE">
      <w:pPr>
        <w:spacing w:line="360" w:lineRule="auto"/>
        <w:jc w:val="both"/>
      </w:pPr>
      <w:bookmarkStart w:id="69" w:name="OLE_LINK100"/>
      <w:bookmarkStart w:id="70" w:name="OLE_LINK101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6"/>
      <w:r w:rsidR="00E846A8">
        <w:rPr>
          <w:rFonts w:ascii="Book Antiqua" w:eastAsia="Book Antiqua" w:hAnsi="Book Antiqua" w:cs="Book Antiqua"/>
          <w:color w:val="000000"/>
        </w:rPr>
        <w:t>epidemiology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 w:rsidRPr="00F91E30">
        <w:rPr>
          <w:rFonts w:ascii="Book Antiqua" w:eastAsia="SimSun" w:hAnsi="Book Antiqua" w:cs="Book Antiqu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strict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histopathological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confirmation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 xml:space="preserve">the </w:t>
      </w:r>
      <w:r w:rsidR="00E846A8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71"/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69"/>
    <w:bookmarkEnd w:id="70"/>
    <w:p w14:paraId="049FC911" w14:textId="77777777" w:rsidR="00A77B3E" w:rsidRDefault="00A77B3E">
      <w:pPr>
        <w:spacing w:line="360" w:lineRule="auto"/>
        <w:jc w:val="both"/>
      </w:pPr>
    </w:p>
    <w:p w14:paraId="00F14DC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423C90" w14:textId="77777777" w:rsidR="00A77B3E" w:rsidRDefault="00B31ECE">
      <w:pPr>
        <w:spacing w:line="360" w:lineRule="auto"/>
        <w:jc w:val="both"/>
      </w:pPr>
      <w:bookmarkStart w:id="72" w:name="OLE_LINK102"/>
      <w:bookmarkStart w:id="73" w:name="OLE_LINK103"/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bookmarkEnd w:id="72"/>
    <w:bookmarkEnd w:id="73"/>
    <w:p w14:paraId="3C1A35A8" w14:textId="77777777" w:rsidR="00A77B3E" w:rsidRDefault="00A77B3E">
      <w:pPr>
        <w:spacing w:line="360" w:lineRule="auto"/>
        <w:jc w:val="both"/>
      </w:pPr>
    </w:p>
    <w:p w14:paraId="54894F10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AAFB45" w14:textId="4B9D38E5" w:rsidR="00A77B3E" w:rsidRDefault="00B31ECE">
      <w:pPr>
        <w:spacing w:line="360" w:lineRule="auto"/>
        <w:jc w:val="both"/>
      </w:pPr>
      <w:bookmarkStart w:id="74" w:name="OLE_LINK104"/>
      <w:bookmarkStart w:id="75" w:name="OLE_LINK105"/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74"/>
    <w:bookmarkEnd w:id="75"/>
    <w:p w14:paraId="64765377" w14:textId="77777777" w:rsidR="00A77B3E" w:rsidRDefault="00A77B3E">
      <w:pPr>
        <w:spacing w:line="360" w:lineRule="auto"/>
        <w:jc w:val="both"/>
      </w:pPr>
    </w:p>
    <w:p w14:paraId="2A6CEE6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003782E" w14:textId="77777777" w:rsidR="00A77B3E" w:rsidRDefault="00E846A8">
      <w:pPr>
        <w:spacing w:line="360" w:lineRule="auto"/>
        <w:jc w:val="both"/>
      </w:pPr>
      <w:bookmarkStart w:id="76" w:name="OLE_LINK106"/>
      <w:bookmarkStart w:id="77" w:name="OLE_LINK107"/>
      <w:r>
        <w:rPr>
          <w:rFonts w:ascii="Book Antiqua" w:eastAsia="SimSun" w:hAnsi="Book Antiqua" w:cs="Book Antiqua" w:hint="eastAsia"/>
          <w:color w:val="000000"/>
          <w:lang w:eastAsia="zh-CN"/>
        </w:rPr>
        <w:t>A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SimSun" w:hAnsi="Book Antiqua" w:cs="Book Antiqua" w:hint="eastAsia"/>
          <w:color w:val="000000"/>
          <w:lang w:eastAsia="zh-CN"/>
        </w:rPr>
        <w:t>total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SimSun" w:hAnsi="Book Antiqua" w:cs="Book Antiqua" w:hint="eastAsia"/>
          <w:color w:val="000000"/>
          <w:lang w:eastAsia="zh-CN"/>
        </w:rPr>
        <w:t>of</w:t>
      </w:r>
      <w:r w:rsidR="00E14DB2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Multivariab</w:t>
      </w:r>
      <w:r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SimSun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SimSun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SimSun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</w:t>
      </w:r>
      <w:r w:rsidR="00B31ECE"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</w:t>
      </w:r>
      <w:r>
        <w:rPr>
          <w:rFonts w:ascii="Book Antiqua" w:eastAsia="SimSun" w:hAnsi="Book Antiqua" w:cs="Book Antiqua" w:hint="eastAsia"/>
          <w:color w:val="000000"/>
          <w:lang w:eastAsia="zh-CN"/>
        </w:rPr>
        <w:t>]</w:t>
      </w:r>
      <w:r w:rsidR="00B31ECE"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0.016),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0.001)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development.</w:t>
      </w:r>
    </w:p>
    <w:bookmarkEnd w:id="76"/>
    <w:bookmarkEnd w:id="77"/>
    <w:p w14:paraId="1026597A" w14:textId="77777777" w:rsidR="00A77B3E" w:rsidRDefault="00A77B3E">
      <w:pPr>
        <w:spacing w:line="360" w:lineRule="auto"/>
        <w:jc w:val="both"/>
      </w:pPr>
    </w:p>
    <w:p w14:paraId="2A434BD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2C1BC50" w14:textId="77777777" w:rsidR="00A77B3E" w:rsidRDefault="00B31ECE">
      <w:pPr>
        <w:spacing w:line="360" w:lineRule="auto"/>
        <w:jc w:val="both"/>
      </w:pPr>
      <w:bookmarkStart w:id="78" w:name="OLE_LINK108"/>
      <w:bookmarkStart w:id="79" w:name="OLE_LINK109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78"/>
    <w:bookmarkEnd w:id="79"/>
    <w:p w14:paraId="0D624C44" w14:textId="77777777" w:rsidR="00A77B3E" w:rsidRDefault="00A77B3E">
      <w:pPr>
        <w:spacing w:line="360" w:lineRule="auto"/>
        <w:jc w:val="both"/>
      </w:pPr>
    </w:p>
    <w:p w14:paraId="0F14824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D6B2C4" w14:textId="699C8F9E" w:rsidR="00A77B3E" w:rsidRDefault="00F91E30">
      <w:pPr>
        <w:spacing w:line="360" w:lineRule="auto"/>
        <w:jc w:val="both"/>
      </w:pPr>
      <w:bookmarkStart w:id="80" w:name="OLE_LINK110"/>
      <w:bookmarkStart w:id="81" w:name="OLE_LINK111"/>
      <w:bookmarkStart w:id="82" w:name="OLE_LINK112"/>
      <w:bookmarkStart w:id="83" w:name="OLE_LINK113"/>
      <w:bookmarkStart w:id="84" w:name="OLE_LINK114"/>
      <w:r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F140D">
        <w:rPr>
          <w:rFonts w:ascii="Book Antiqua" w:eastAsia="Book Antiqua" w:hAnsi="Book Antiqua" w:cs="Book Antiqua"/>
          <w:color w:val="000000"/>
        </w:rPr>
        <w:t xml:space="preserve">the </w:t>
      </w:r>
      <w:r w:rsidR="00B31ECE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Pr="00F91E30">
        <w:rPr>
          <w:rFonts w:ascii="Book Antiqua" w:eastAsia="SimSun" w:hAnsi="Book Antiqua" w:cs="Book Antiqua" w:hint="eastAsia"/>
          <w:iCs/>
          <w:color w:val="000000"/>
          <w:lang w:eastAsia="zh-CN"/>
        </w:rPr>
        <w:t>CE</w:t>
      </w:r>
      <w:r w:rsidR="00B31ECE"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unique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study.</w:t>
      </w:r>
    </w:p>
    <w:bookmarkEnd w:id="80"/>
    <w:bookmarkEnd w:id="81"/>
    <w:bookmarkEnd w:id="82"/>
    <w:bookmarkEnd w:id="83"/>
    <w:bookmarkEnd w:id="84"/>
    <w:p w14:paraId="6794BBED" w14:textId="77777777" w:rsidR="00A77B3E" w:rsidRDefault="00A77B3E">
      <w:pPr>
        <w:spacing w:line="360" w:lineRule="auto"/>
        <w:jc w:val="both"/>
      </w:pPr>
    </w:p>
    <w:p w14:paraId="4FFA722D" w14:textId="77777777" w:rsidR="00A77B3E" w:rsidRPr="00E14DB2" w:rsidRDefault="00B31ECE" w:rsidP="00E14D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4DB2">
        <w:rPr>
          <w:rFonts w:ascii="Book Antiqua" w:eastAsia="Book Antiqua" w:hAnsi="Book Antiqua" w:cs="Book Antiqua"/>
          <w:b/>
        </w:rPr>
        <w:t>REFERENCES</w:t>
      </w:r>
    </w:p>
    <w:p w14:paraId="55FB049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Eras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P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Sherlock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tract.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1972;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367-379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4560040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10.1097/00005792-197209000-00002]</w:t>
      </w:r>
    </w:p>
    <w:p w14:paraId="19EBB8F9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Young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Elias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Gastro-</w:t>
      </w:r>
      <w:proofErr w:type="spellStart"/>
      <w:r w:rsidRPr="00E14DB2">
        <w:rPr>
          <w:rFonts w:ascii="Book Antiqua" w:hAnsi="Book Antiqua"/>
        </w:rPr>
        <w:t>oesophageal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brush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cytology.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38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293-296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3973054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10.1136/jcp.38.3.293]</w:t>
      </w:r>
    </w:p>
    <w:p w14:paraId="0323F111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Wheeler RR</w:t>
      </w:r>
      <w:r w:rsidRPr="00E14DB2">
        <w:rPr>
          <w:rFonts w:ascii="Book Antiqua" w:hAnsi="Book Antiqua"/>
          <w:bCs/>
        </w:rPr>
        <w:t>, Peacock JE Jr, Cruz JM, Richter JE. Esophagitis in the immunocompromised host: role of esophagoscopy in diagnosis.</w:t>
      </w:r>
      <w:r w:rsidRPr="00E14DB2">
        <w:rPr>
          <w:rFonts w:ascii="Book Antiqua" w:hAnsi="Book Antiqua"/>
          <w:bCs/>
          <w:i/>
        </w:rPr>
        <w:t xml:space="preserve"> Rev Infect Dis</w:t>
      </w:r>
      <w:r w:rsidRPr="00E14DB2">
        <w:rPr>
          <w:rFonts w:ascii="Book Antiqua" w:hAnsi="Book Antiqua"/>
          <w:bCs/>
        </w:rPr>
        <w:t xml:space="preserve"> 1987</w:t>
      </w:r>
      <w:r>
        <w:rPr>
          <w:rFonts w:ascii="Book Antiqua" w:hAnsi="Book Antiqua" w:hint="eastAsia"/>
          <w:bCs/>
        </w:rPr>
        <w:t xml:space="preserve">; </w:t>
      </w:r>
      <w:r w:rsidRPr="00E14DB2">
        <w:rPr>
          <w:rFonts w:ascii="Book Antiqua" w:hAnsi="Book Antiqua"/>
          <w:bCs/>
        </w:rPr>
        <w:t>9: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88-96</w:t>
      </w:r>
      <w:r w:rsidRPr="00E14DB2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14DB2">
        <w:rPr>
          <w:rFonts w:ascii="Book Antiqua" w:hAnsi="Book Antiqua"/>
          <w:bCs/>
        </w:rPr>
        <w:t>PMID: 3823720</w:t>
      </w:r>
      <w:r>
        <w:rPr>
          <w:rFonts w:ascii="Book Antiqua" w:hAnsi="Book Antiqua" w:hint="eastAsia"/>
          <w:bCs/>
        </w:rPr>
        <w:t xml:space="preserve"> DOI</w:t>
      </w:r>
      <w:r>
        <w:rPr>
          <w:rFonts w:ascii="Book Antiqua" w:hAnsi="Book Antiqua"/>
          <w:bCs/>
        </w:rPr>
        <w:t>: 10.1093/</w:t>
      </w:r>
      <w:proofErr w:type="spellStart"/>
      <w:r>
        <w:rPr>
          <w:rFonts w:ascii="Book Antiqua" w:hAnsi="Book Antiqua"/>
          <w:bCs/>
        </w:rPr>
        <w:t>clinids</w:t>
      </w:r>
      <w:proofErr w:type="spellEnd"/>
      <w:r>
        <w:rPr>
          <w:rFonts w:ascii="Book Antiqua" w:hAnsi="Book Antiqua"/>
          <w:bCs/>
        </w:rPr>
        <w:t>/9.1.88</w:t>
      </w:r>
      <w:r>
        <w:rPr>
          <w:rFonts w:ascii="Book Antiqua" w:hAnsi="Book Antiqua" w:hint="eastAsia"/>
          <w:bCs/>
        </w:rPr>
        <w:t>]</w:t>
      </w:r>
    </w:p>
    <w:p w14:paraId="14E3CD07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López-Dupla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Mora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Sanz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Pintado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García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Valencia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Ortega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Uriol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Khamashta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Aguado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immunologic,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oropharyngeal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HIV-infected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1992;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87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1771-1776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5" w:name="OLE_LINK9"/>
      <w:bookmarkStart w:id="86" w:name="OLE_LINK10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1449139</w:t>
      </w:r>
      <w:bookmarkEnd w:id="85"/>
      <w:bookmarkEnd w:id="86"/>
      <w:r w:rsidRPr="00E14DB2">
        <w:rPr>
          <w:rFonts w:ascii="Book Antiqua" w:hAnsi="Book Antiqua"/>
        </w:rPr>
        <w:t>]</w:t>
      </w:r>
    </w:p>
    <w:p w14:paraId="023D53B3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Mönkemüller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Lazenby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Loudon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Wilcox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opportunistic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AIDS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despite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antiretroviral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230-234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15745077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10.1007/s10620-005-1587-z]</w:t>
      </w:r>
    </w:p>
    <w:p w14:paraId="05C0AF7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Bonacini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Laine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immunodeficiency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151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1567-1572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7" w:name="OLE_LINK11"/>
      <w:bookmarkStart w:id="88" w:name="OLE_LINK12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1651690</w:t>
      </w:r>
      <w:bookmarkEnd w:id="87"/>
      <w:bookmarkEnd w:id="88"/>
      <w:r w:rsidRPr="00E14DB2">
        <w:rPr>
          <w:rFonts w:ascii="Book Antiqua" w:hAnsi="Book Antiqua"/>
        </w:rPr>
        <w:t>]</w:t>
      </w:r>
    </w:p>
    <w:p w14:paraId="4C17BC2D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Kliemann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DA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Pasqualotto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Falavigna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Giaretta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Severo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LC.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distribution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Inst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Trop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Sao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Paulo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261-263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18949340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10.1590/s0036-46652008000500002]</w:t>
      </w:r>
    </w:p>
    <w:p w14:paraId="459ADC4F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JH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individuals: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Korea.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Yonsei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160-165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23225813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10.3349/ymj.2013.54.1.160]</w:t>
      </w:r>
    </w:p>
    <w:p w14:paraId="6102A8AD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YW.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suppression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1282-1286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23306845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10.1007/s10620-012-2520-x]</w:t>
      </w:r>
    </w:p>
    <w:p w14:paraId="3E0DD6DB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Takahashi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Sekine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Okubo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Sakurai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Yokoi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Mimori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Erosive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Non-HIV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Endoscopy-Based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6011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e2138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26632738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10.1097/MD.0000000000002138]</w:t>
      </w:r>
    </w:p>
    <w:p w14:paraId="33F85984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KL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Kochhar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Jha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Chakrabarti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Sakhuja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immunosuppressive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protocols.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1062-1065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9" w:name="OLE_LINK13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8017366]</w:t>
      </w:r>
      <w:bookmarkEnd w:id="89"/>
    </w:p>
    <w:p w14:paraId="598EDB24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Kauffman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CA,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Pappas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Sobel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Dismukes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Essentials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Mycology</w:t>
      </w:r>
      <w:r w:rsidR="002F10C1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="002F10C1" w:rsidRPr="00E14DB2">
        <w:rPr>
          <w:rFonts w:ascii="Book Antiqua" w:hAnsi="Book Antiqua"/>
        </w:rPr>
        <w:t>New</w:t>
      </w:r>
      <w:r w:rsidR="002F10C1">
        <w:rPr>
          <w:rFonts w:ascii="Book Antiqua" w:hAnsi="Book Antiqua"/>
        </w:rPr>
        <w:t xml:space="preserve"> York</w:t>
      </w:r>
      <w:r w:rsidR="002F10C1">
        <w:rPr>
          <w:rFonts w:ascii="Book Antiqua" w:hAnsi="Book Antiqua" w:hint="eastAsia"/>
        </w:rPr>
        <w:t xml:space="preserve">: </w:t>
      </w:r>
      <w:r w:rsidRPr="00E14DB2">
        <w:rPr>
          <w:rFonts w:ascii="Book Antiqua" w:hAnsi="Book Antiqua"/>
        </w:rPr>
        <w:t>Springer</w:t>
      </w:r>
      <w:r w:rsidR="002F10C1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2011</w:t>
      </w:r>
      <w:r>
        <w:rPr>
          <w:rFonts w:ascii="Book Antiqua" w:hAnsi="Book Antiqua"/>
        </w:rPr>
        <w:t xml:space="preserve"> </w:t>
      </w:r>
    </w:p>
    <w:p w14:paraId="5879EB23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Ou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="002F10C1">
        <w:rPr>
          <w:rFonts w:ascii="Book Antiqua" w:hAnsi="Book Antiqua"/>
          <w:b/>
          <w:bCs/>
        </w:rPr>
        <w:t>T</w:t>
      </w:r>
      <w:r w:rsidRPr="00E14DB2">
        <w:rPr>
          <w:rFonts w:ascii="Book Antiqua" w:hAnsi="Book Antiqua"/>
          <w:b/>
          <w:bCs/>
        </w:rPr>
        <w:t>M,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Hsieh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T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W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C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Y</w:t>
      </w:r>
      <w:r w:rsidRPr="00E14DB2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T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P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bookmarkStart w:id="90" w:name="OLE_LINK14"/>
      <w:bookmarkStart w:id="91" w:name="OLE_LINK15"/>
      <w:r w:rsidRPr="00E14DB2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bookmarkEnd w:id="90"/>
      <w:bookmarkEnd w:id="91"/>
      <w:r w:rsidRPr="00E14DB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92" w:name="OLE_LINK20"/>
      <w:bookmarkStart w:id="93" w:name="OLE_LINK18"/>
      <w:bookmarkStart w:id="94" w:name="OLE_LINK19"/>
      <w:bookmarkStart w:id="95" w:name="OLE_LINK16"/>
      <w:bookmarkStart w:id="96" w:name="OLE_LINK17"/>
      <w:r w:rsidR="002F10C1" w:rsidRPr="002F10C1">
        <w:rPr>
          <w:rFonts w:ascii="Book Antiqua" w:hAnsi="Book Antiqua"/>
          <w:i/>
        </w:rPr>
        <w:t>Adv</w:t>
      </w:r>
      <w:bookmarkEnd w:id="92"/>
      <w:r w:rsidRPr="002F10C1">
        <w:rPr>
          <w:rFonts w:ascii="Book Antiqua" w:hAnsi="Book Antiqua"/>
          <w:i/>
        </w:rPr>
        <w:t xml:space="preserve"> </w:t>
      </w:r>
      <w:bookmarkStart w:id="97" w:name="OLE_LINK21"/>
      <w:bookmarkStart w:id="98" w:name="OLE_LINK22"/>
      <w:r w:rsidR="002F10C1" w:rsidRPr="002F10C1">
        <w:rPr>
          <w:rFonts w:ascii="Book Antiqua" w:hAnsi="Book Antiqua"/>
          <w:i/>
        </w:rPr>
        <w:t>Dig</w:t>
      </w:r>
      <w:r w:rsidRPr="002F10C1">
        <w:rPr>
          <w:rFonts w:ascii="Book Antiqua" w:hAnsi="Book Antiqua"/>
          <w:i/>
        </w:rPr>
        <w:t xml:space="preserve"> </w:t>
      </w:r>
      <w:bookmarkEnd w:id="93"/>
      <w:bookmarkEnd w:id="94"/>
      <w:bookmarkEnd w:id="97"/>
      <w:bookmarkEnd w:id="98"/>
      <w:r w:rsidRPr="002F10C1">
        <w:rPr>
          <w:rFonts w:ascii="Book Antiqua" w:hAnsi="Book Antiqua"/>
          <w:i/>
        </w:rPr>
        <w:t>Med</w:t>
      </w:r>
      <w:bookmarkEnd w:id="95"/>
      <w:bookmarkEnd w:id="96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F10C1">
        <w:rPr>
          <w:rFonts w:ascii="Book Antiqua" w:hAnsi="Book Antiqua"/>
          <w:b/>
        </w:rPr>
        <w:t>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86-91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[DOI:</w:t>
      </w:r>
      <w:r w:rsidR="002F10C1">
        <w:rPr>
          <w:rFonts w:ascii="Book Antiqua" w:hAnsi="Book Antiqua" w:hint="eastAsia"/>
        </w:rPr>
        <w:t xml:space="preserve"> </w:t>
      </w:r>
      <w:r w:rsidRPr="00E14DB2">
        <w:rPr>
          <w:rFonts w:ascii="Book Antiqua" w:hAnsi="Book Antiqua"/>
        </w:rPr>
        <w:t>10.1016/j.aidm.2013.09.005]</w:t>
      </w:r>
    </w:p>
    <w:p w14:paraId="583E8F9B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Redah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D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Konutse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Dogbey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Napo-Koura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Tchangai</w:t>
      </w:r>
      <w:proofErr w:type="spellEnd"/>
      <w:r w:rsidRPr="00E14DB2">
        <w:rPr>
          <w:rFonts w:ascii="Book Antiqua" w:hAnsi="Book Antiqua"/>
        </w:rPr>
        <w:t>-Kao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Prince-David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Amedegnato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Agbetra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albicans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reliable?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Correlations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mycology].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25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161-163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11319441]</w:t>
      </w:r>
    </w:p>
    <w:p w14:paraId="73180ABE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Kodsi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BE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Wickremesinghe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Kozinn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Iswara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PK.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1976;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71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715-719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99" w:name="OLE_LINK23"/>
      <w:bookmarkStart w:id="100" w:name="OLE_LINK24"/>
      <w:bookmarkStart w:id="101" w:name="OLE_LINK25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964563</w:t>
      </w:r>
      <w:bookmarkEnd w:id="99"/>
      <w:bookmarkEnd w:id="100"/>
      <w:bookmarkEnd w:id="101"/>
      <w:r w:rsidRPr="00E14DB2">
        <w:rPr>
          <w:rFonts w:ascii="Book Antiqua" w:hAnsi="Book Antiqua"/>
        </w:rPr>
        <w:t>]</w:t>
      </w:r>
    </w:p>
    <w:p w14:paraId="7C610844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bookmarkStart w:id="102" w:name="OLE_LINK49"/>
      <w:proofErr w:type="spellStart"/>
      <w:r w:rsidRPr="00E14DB2">
        <w:rPr>
          <w:rFonts w:ascii="Book Antiqua" w:hAnsi="Book Antiqua"/>
          <w:b/>
          <w:bCs/>
        </w:rPr>
        <w:t>Asayama</w:t>
      </w:r>
      <w:proofErr w:type="spellEnd"/>
      <w:r>
        <w:rPr>
          <w:rFonts w:ascii="Book Antiqua" w:hAnsi="Book Antiqua"/>
          <w:b/>
          <w:bCs/>
        </w:rPr>
        <w:t xml:space="preserve"> </w:t>
      </w:r>
      <w:bookmarkEnd w:id="102"/>
      <w:r w:rsidRPr="00E14DB2">
        <w:rPr>
          <w:rFonts w:ascii="Book Antiqua" w:hAnsi="Book Antiqua"/>
          <w:b/>
          <w:bCs/>
        </w:rPr>
        <w:t>N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Nishimura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Ohmagari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Hamada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Teruya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Kodsi's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Esophagus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27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214-219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23826847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10.1111/dote.12102]</w:t>
      </w:r>
    </w:p>
    <w:p w14:paraId="3187129D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bookmarkStart w:id="103" w:name="OLE_LINK50"/>
      <w:bookmarkStart w:id="104" w:name="OLE_LINK51"/>
      <w:r w:rsidRPr="00E14DB2">
        <w:rPr>
          <w:rFonts w:ascii="Book Antiqua" w:hAnsi="Book Antiqua"/>
          <w:b/>
          <w:bCs/>
        </w:rPr>
        <w:t>Takahashi</w:t>
      </w:r>
      <w:r>
        <w:rPr>
          <w:rFonts w:ascii="Book Antiqua" w:hAnsi="Book Antiqua"/>
          <w:b/>
          <w:bCs/>
        </w:rPr>
        <w:t xml:space="preserve"> </w:t>
      </w:r>
      <w:bookmarkEnd w:id="103"/>
      <w:bookmarkEnd w:id="104"/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Sekine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Okubo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Sakurai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Yokoi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Kobayakawa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Teruya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Gatanaga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Kikuchi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Mine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Mimori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80,219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e0133589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26208220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10.1371/journal.pone.0133589]</w:t>
      </w:r>
    </w:p>
    <w:p w14:paraId="25E1D8E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Baehr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PH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GB.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presentation,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106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509-532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7980741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10.1016/0016-5085(94)90613-0]</w:t>
      </w:r>
    </w:p>
    <w:p w14:paraId="644A841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Nishimura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Asayama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Ohmagari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antiretroviral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e58217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23555571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10.1371/journal.pone.0058217]</w:t>
      </w:r>
    </w:p>
    <w:p w14:paraId="19BA10FE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Shoham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Levitz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fungal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Haematol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129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569-582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15916679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10.1111/j.1365-2141.2005.05397.x]</w:t>
      </w:r>
    </w:p>
    <w:p w14:paraId="122AA150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Cole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GT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Halawa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Anaissie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EJ.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hematogenous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laboratory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bedside.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22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2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S73-S88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8722833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10.1093/</w:t>
      </w:r>
      <w:proofErr w:type="spellStart"/>
      <w:r w:rsidRPr="00E14DB2">
        <w:rPr>
          <w:rFonts w:ascii="Book Antiqua" w:hAnsi="Book Antiqua"/>
        </w:rPr>
        <w:t>clinids</w:t>
      </w:r>
      <w:proofErr w:type="spellEnd"/>
      <w:r w:rsidRPr="00E14DB2">
        <w:rPr>
          <w:rFonts w:ascii="Book Antiqua" w:hAnsi="Book Antiqua"/>
        </w:rPr>
        <w:t>/22.supplement_2.s73]</w:t>
      </w:r>
    </w:p>
    <w:p w14:paraId="087B4704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Ortuño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Cortés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Tovar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Martínez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Ruiz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Riquelme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HIV-negative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Esp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Enferm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503-510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105" w:name="OLE_LINK26"/>
      <w:bookmarkStart w:id="106" w:name="OLE_LINK27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9265836</w:t>
      </w:r>
      <w:bookmarkEnd w:id="105"/>
      <w:bookmarkEnd w:id="106"/>
      <w:r w:rsidRPr="00E14DB2">
        <w:rPr>
          <w:rFonts w:ascii="Book Antiqua" w:hAnsi="Book Antiqua"/>
        </w:rPr>
        <w:t>]</w:t>
      </w:r>
    </w:p>
    <w:p w14:paraId="7C602CD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23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Simon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Houser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complication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inhaled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corticosteroids.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Allergy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Asthma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79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333-338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9357379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10.1016/S1081-1206(10)63024-4]</w:t>
      </w:r>
    </w:p>
    <w:p w14:paraId="10A4D30E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Chocarro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Martínez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Galindo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Tobal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Ruiz-</w:t>
      </w:r>
      <w:proofErr w:type="spellStart"/>
      <w:r w:rsidRPr="00E14DB2">
        <w:rPr>
          <w:rFonts w:ascii="Book Antiqua" w:hAnsi="Book Antiqua"/>
        </w:rPr>
        <w:t>Irastorza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López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Alvarez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Navia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Ochoa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Sangrador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Arribas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96-100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10746494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10.1007/s100960050437]</w:t>
      </w:r>
    </w:p>
    <w:p w14:paraId="1E417450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Kanda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N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Yasuba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Mizuhara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Yamazaki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Imada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Izumi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Yamashita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Tamada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inhaled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fluticasone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propionate.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2146-2148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14572559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10.1111/j.1572-0241.2003.07626.x]</w:t>
      </w:r>
    </w:p>
    <w:p w14:paraId="5017EBB1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Zillessen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Palme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Feichter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esophagus.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complaints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factors].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Dtsch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Wochenschr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111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1200-1207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3732073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10.1055/s-2008-1068607]</w:t>
      </w:r>
    </w:p>
    <w:p w14:paraId="40B9BBD8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Mushi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MF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Ngeta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Mirambo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Mshana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attending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unit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hospital,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Tanzania: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Afr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66-71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29977259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10.4314/ahs.v18i1.10]</w:t>
      </w:r>
    </w:p>
    <w:p w14:paraId="30681F71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Chari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Teyssen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MV.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34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843-847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8314520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10.1136/gut.34.6.843]</w:t>
      </w:r>
    </w:p>
    <w:p w14:paraId="258B00F4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Adegor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Ojieh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Eghworo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Ewhre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Daubry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TME,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Onyekpe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CU.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</w:t>
      </w:r>
      <w:bookmarkStart w:id="107" w:name="OLE_LINK28"/>
      <w:bookmarkStart w:id="108" w:name="OLE_LINK29"/>
      <w:r w:rsidRPr="00E14DB2">
        <w:rPr>
          <w:rFonts w:ascii="Book Antiqua" w:hAnsi="Book Antiqua"/>
        </w:rPr>
        <w:t>valuation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Term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Consumption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Histomorphometry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Stomach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Wistar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Rats</w:t>
      </w:r>
      <w:bookmarkEnd w:id="107"/>
      <w:bookmarkEnd w:id="108"/>
      <w:r w:rsidRPr="00E14DB2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bookmarkStart w:id="109" w:name="OLE_LINK30"/>
      <w:r w:rsidRPr="002F10C1">
        <w:rPr>
          <w:rFonts w:ascii="Book Antiqua" w:hAnsi="Book Antiqua"/>
          <w:i/>
        </w:rPr>
        <w:t xml:space="preserve">UK </w:t>
      </w:r>
      <w:r w:rsidR="002F10C1" w:rsidRPr="002F10C1">
        <w:rPr>
          <w:rFonts w:ascii="Book Antiqua" w:hAnsi="Book Antiqua"/>
          <w:i/>
        </w:rPr>
        <w:t>J</w:t>
      </w:r>
      <w:r w:rsidRPr="002F10C1">
        <w:rPr>
          <w:rFonts w:ascii="Book Antiqua" w:hAnsi="Book Antiqua"/>
          <w:i/>
        </w:rPr>
        <w:t xml:space="preserve"> </w:t>
      </w:r>
      <w:bookmarkStart w:id="110" w:name="OLE_LINK31"/>
      <w:bookmarkStart w:id="111" w:name="OLE_LINK32"/>
      <w:r w:rsidRPr="002F10C1">
        <w:rPr>
          <w:rFonts w:ascii="Book Antiqua" w:hAnsi="Book Antiqua"/>
          <w:i/>
        </w:rPr>
        <w:t>Pharm</w:t>
      </w:r>
      <w:r w:rsidR="002F10C1" w:rsidRPr="002F10C1">
        <w:rPr>
          <w:rFonts w:ascii="Book Antiqua" w:hAnsi="Book Antiqua" w:hint="eastAsia"/>
          <w:i/>
        </w:rPr>
        <w:t xml:space="preserve"> </w:t>
      </w:r>
      <w:proofErr w:type="spellStart"/>
      <w:r w:rsidRPr="002F10C1">
        <w:rPr>
          <w:rFonts w:ascii="Book Antiqua" w:hAnsi="Book Antiqua"/>
          <w:i/>
        </w:rPr>
        <w:t>Biosci</w:t>
      </w:r>
      <w:bookmarkEnd w:id="109"/>
      <w:bookmarkEnd w:id="110"/>
      <w:bookmarkEnd w:id="111"/>
      <w:proofErr w:type="spellEnd"/>
      <w:r w:rsidR="002F10C1" w:rsidRPr="002F10C1">
        <w:rPr>
          <w:rFonts w:ascii="Book Antiqua" w:hAnsi="Book Antiqua" w:hint="eastAsia"/>
          <w:i/>
        </w:rPr>
        <w:t xml:space="preserve"> </w:t>
      </w:r>
      <w:r w:rsidRPr="00E14DB2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F10C1">
        <w:rPr>
          <w:rFonts w:ascii="Book Antiqua" w:hAnsi="Book Antiqua"/>
          <w:b/>
        </w:rPr>
        <w:t>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[DOI:</w:t>
      </w:r>
      <w:r w:rsidR="002F10C1">
        <w:rPr>
          <w:rFonts w:ascii="Book Antiqua" w:hAnsi="Book Antiqua" w:hint="eastAsia"/>
        </w:rPr>
        <w:t xml:space="preserve"> </w:t>
      </w:r>
      <w:r w:rsidRPr="00E14DB2">
        <w:rPr>
          <w:rFonts w:ascii="Book Antiqua" w:hAnsi="Book Antiqua"/>
        </w:rPr>
        <w:t>10.20510/</w:t>
      </w:r>
      <w:proofErr w:type="spellStart"/>
      <w:r w:rsidRPr="00E14DB2">
        <w:rPr>
          <w:rFonts w:ascii="Book Antiqua" w:hAnsi="Book Antiqua"/>
        </w:rPr>
        <w:t>ukjpb</w:t>
      </w:r>
      <w:proofErr w:type="spellEnd"/>
      <w:r w:rsidRPr="00E14DB2">
        <w:rPr>
          <w:rFonts w:ascii="Book Antiqua" w:hAnsi="Book Antiqua"/>
        </w:rPr>
        <w:t>/4/i5/118027]</w:t>
      </w:r>
    </w:p>
    <w:p w14:paraId="60B04E61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MV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Leffmann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Eysselein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Calden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Goebell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ethanol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some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alcoholic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beverages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1247-1254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3678743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10.1016/0016-5085(87)90252-6]</w:t>
      </w:r>
    </w:p>
    <w:p w14:paraId="66BBD2DA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Kochhar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Talwar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Invasive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cimetidine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102-103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112" w:name="OLE_LINK33"/>
      <w:bookmarkStart w:id="113" w:name="OLE_LINK34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3337055</w:t>
      </w:r>
      <w:bookmarkEnd w:id="112"/>
      <w:bookmarkEnd w:id="113"/>
      <w:r w:rsidRPr="00E14DB2">
        <w:rPr>
          <w:rFonts w:ascii="Book Antiqua" w:hAnsi="Book Antiqua"/>
        </w:rPr>
        <w:t>]</w:t>
      </w:r>
    </w:p>
    <w:p w14:paraId="4E94D973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32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Karmeli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Stalnikowitz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Eliakim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Rahav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omeprazole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flora.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40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2070-2073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7555466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10.1007/BF02208680]</w:t>
      </w:r>
    </w:p>
    <w:p w14:paraId="3F66EBF7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Gruver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AL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Hudson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Sempowski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Immunosenescence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ageing.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211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144-156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17200946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10.1002/path.2104]</w:t>
      </w:r>
    </w:p>
    <w:p w14:paraId="6A773EBD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Thorman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Neovius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Hylander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fungal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Urol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Nephrol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43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325-330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19363743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10.1080/00365590902836492]</w:t>
      </w:r>
    </w:p>
    <w:p w14:paraId="7BAEDAF5" w14:textId="77777777" w:rsidR="00E14DB2" w:rsidRPr="00E14DB2" w:rsidRDefault="00E14DB2" w:rsidP="00E14DB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Girndt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Sester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Sester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Kaul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Köhler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2807-2810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10570074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10.1093/</w:t>
      </w:r>
      <w:proofErr w:type="spellStart"/>
      <w:r w:rsidRPr="00E14DB2">
        <w:rPr>
          <w:rFonts w:ascii="Book Antiqua" w:hAnsi="Book Antiqua"/>
        </w:rPr>
        <w:t>ndt</w:t>
      </w:r>
      <w:proofErr w:type="spellEnd"/>
      <w:r w:rsidRPr="00E14DB2">
        <w:rPr>
          <w:rFonts w:ascii="Book Antiqua" w:hAnsi="Book Antiqua"/>
        </w:rPr>
        <w:t>/14.12.2807]</w:t>
      </w:r>
    </w:p>
    <w:p w14:paraId="7E12E455" w14:textId="77777777" w:rsidR="00A77B3E" w:rsidRDefault="00A77B3E">
      <w:pPr>
        <w:spacing w:line="360" w:lineRule="auto"/>
        <w:jc w:val="both"/>
      </w:pPr>
    </w:p>
    <w:p w14:paraId="35CE907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9A569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9B881B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4" w:name="OLE_LINK115"/>
      <w:bookmarkStart w:id="115" w:name="OLE_LINK116"/>
      <w:bookmarkStart w:id="116" w:name="OLE_LINK117"/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(VGHKS18-CT10-11).</w:t>
      </w:r>
    </w:p>
    <w:bookmarkEnd w:id="114"/>
    <w:bookmarkEnd w:id="115"/>
    <w:bookmarkEnd w:id="116"/>
    <w:p w14:paraId="28C16148" w14:textId="77777777" w:rsidR="00A77B3E" w:rsidRDefault="00A77B3E">
      <w:pPr>
        <w:spacing w:line="360" w:lineRule="auto"/>
        <w:jc w:val="both"/>
      </w:pPr>
    </w:p>
    <w:p w14:paraId="1DBDC918" w14:textId="363E85DA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F140D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14D87191" w14:textId="77777777" w:rsidR="00A77B3E" w:rsidRDefault="00A77B3E">
      <w:pPr>
        <w:spacing w:line="360" w:lineRule="auto"/>
        <w:jc w:val="both"/>
      </w:pPr>
    </w:p>
    <w:p w14:paraId="4E8984F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conflicts-of-interest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0CBEE7E7" w14:textId="77777777" w:rsidR="00A77B3E" w:rsidRDefault="00A77B3E">
      <w:pPr>
        <w:spacing w:line="360" w:lineRule="auto"/>
        <w:jc w:val="both"/>
      </w:pPr>
    </w:p>
    <w:p w14:paraId="12D3392D" w14:textId="77777777" w:rsidR="00A77B3E" w:rsidRPr="00C01967" w:rsidRDefault="00B31ECE">
      <w:pPr>
        <w:spacing w:line="360" w:lineRule="auto"/>
        <w:jc w:val="both"/>
        <w:rPr>
          <w:rFonts w:eastAsia="SimSun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7" w:name="_Hlk109380940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117"/>
    </w:p>
    <w:p w14:paraId="4C4525ED" w14:textId="77777777" w:rsidR="00A77B3E" w:rsidRDefault="00A77B3E">
      <w:pPr>
        <w:spacing w:line="360" w:lineRule="auto"/>
        <w:jc w:val="both"/>
      </w:pPr>
    </w:p>
    <w:p w14:paraId="13CCBFE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0E9D8DB" w14:textId="77777777" w:rsidR="00A77B3E" w:rsidRDefault="00A77B3E">
      <w:pPr>
        <w:spacing w:line="360" w:lineRule="auto"/>
        <w:jc w:val="both"/>
      </w:pPr>
    </w:p>
    <w:p w14:paraId="1631134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3BDCD8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382B77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C444A6">
        <w:rPr>
          <w:rFonts w:ascii="Book Antiqua" w:eastAsia="Book Antiqua" w:hAnsi="Book Antiqua" w:cs="Book Antiqua"/>
          <w:color w:val="000000"/>
        </w:rPr>
        <w:t xml:space="preserve">Digestive Endoscopy Society </w:t>
      </w:r>
      <w:r w:rsidR="00C444A6">
        <w:rPr>
          <w:rFonts w:ascii="Book Antiqua" w:eastAsia="SimSun" w:hAnsi="Book Antiqua" w:cs="Book Antiqua" w:hint="eastAsia"/>
          <w:color w:val="000000"/>
          <w:lang w:eastAsia="zh-CN"/>
        </w:rPr>
        <w:t>o</w:t>
      </w:r>
      <w:r w:rsidR="00C444A6"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444A6">
        <w:rPr>
          <w:rFonts w:ascii="Book Antiqua" w:eastAsia="SimSun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108019.</w:t>
      </w:r>
    </w:p>
    <w:p w14:paraId="58C54125" w14:textId="77777777" w:rsidR="00A77B3E" w:rsidRDefault="00A77B3E">
      <w:pPr>
        <w:spacing w:line="360" w:lineRule="auto"/>
        <w:jc w:val="both"/>
      </w:pPr>
    </w:p>
    <w:p w14:paraId="22611E6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2D7455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78B9C6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1FC030B" w14:textId="77777777" w:rsidR="00A77B3E" w:rsidRDefault="00A77B3E">
      <w:pPr>
        <w:spacing w:line="360" w:lineRule="auto"/>
        <w:jc w:val="both"/>
      </w:pPr>
    </w:p>
    <w:p w14:paraId="1C0DB5D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3574">
        <w:rPr>
          <w:rFonts w:ascii="Book Antiqua" w:eastAsia="SimSun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55066BD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26537A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1411B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F8D85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18FB42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0FE36D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738BDD8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BE800C" w14:textId="77777777" w:rsidR="00A77B3E" w:rsidRDefault="00A77B3E">
      <w:pPr>
        <w:spacing w:line="360" w:lineRule="auto"/>
        <w:jc w:val="both"/>
      </w:pPr>
    </w:p>
    <w:p w14:paraId="42433DE0" w14:textId="17A1D3CA" w:rsidR="00282939" w:rsidRDefault="00B31EC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Ravishankar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3574" w:rsidRPr="00B33574">
        <w:rPr>
          <w:rFonts w:ascii="Book Antiqua" w:eastAsia="SimSun" w:hAnsi="Book Antiqua" w:cs="Book Antiqua" w:hint="eastAsia"/>
          <w:color w:val="000000"/>
          <w:lang w:eastAsia="zh-CN"/>
        </w:rPr>
        <w:t>Zhang H</w:t>
      </w:r>
      <w:r w:rsidR="00B33574">
        <w:rPr>
          <w:rFonts w:ascii="Book Antiqua" w:eastAsia="SimSun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140D">
        <w:rPr>
          <w:rFonts w:ascii="Book Antiqua" w:eastAsia="SimSun" w:hAnsi="Book Antiqua" w:cs="Book Antiqua"/>
          <w:color w:val="000000"/>
          <w:lang w:eastAsia="zh-CN"/>
        </w:rPr>
        <w:t>Webster JR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5D5A" w:rsidRPr="00B33574">
        <w:rPr>
          <w:rFonts w:ascii="Book Antiqua" w:eastAsia="SimSun" w:hAnsi="Book Antiqua" w:cs="Book Antiqua" w:hint="eastAsia"/>
          <w:color w:val="000000"/>
          <w:lang w:eastAsia="zh-CN"/>
        </w:rPr>
        <w:t>Zhang H</w:t>
      </w:r>
    </w:p>
    <w:p w14:paraId="28A99B55" w14:textId="3646ACD2" w:rsidR="00A77B3E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282939">
        <w:rPr>
          <w:rFonts w:ascii="Book Antiqua" w:eastAsia="Book Antiqua" w:hAnsi="Book Antiqua" w:cs="Book Antiqua"/>
          <w:b/>
          <w:color w:val="000000"/>
        </w:rPr>
        <w:lastRenderedPageBreak/>
        <w:t xml:space="preserve">Table 1 Univariate analysis </w:t>
      </w:r>
      <w:r w:rsidR="00304B47">
        <w:rPr>
          <w:rFonts w:ascii="Book Antiqua" w:eastAsia="Book Antiqua" w:hAnsi="Book Antiqua" w:cs="Book Antiqua"/>
          <w:b/>
          <w:color w:val="000000"/>
        </w:rPr>
        <w:t>of</w:t>
      </w:r>
      <w:r w:rsidRPr="00282939">
        <w:rPr>
          <w:rFonts w:ascii="Book Antiqua" w:eastAsia="Book Antiqua" w:hAnsi="Book Antiqua" w:cs="Book Antiqua"/>
          <w:b/>
          <w:color w:val="000000"/>
        </w:rPr>
        <w:t xml:space="preserve"> clinical characteristics associated with </w:t>
      </w:r>
      <w:r w:rsidRPr="00282939">
        <w:rPr>
          <w:rFonts w:ascii="Book Antiqua" w:eastAsia="Book Antiqua" w:hAnsi="Book Antiqua" w:cs="Book Antiqua"/>
          <w:b/>
          <w:i/>
          <w:color w:val="000000"/>
        </w:rPr>
        <w:t>Candida</w:t>
      </w:r>
      <w:r w:rsidRPr="00282939">
        <w:rPr>
          <w:rFonts w:ascii="Book Antiqua" w:eastAsia="Book Antiqua" w:hAnsi="Book Antiqua" w:cs="Book Antiqua"/>
          <w:b/>
          <w:color w:val="000000"/>
        </w:rPr>
        <w:t xml:space="preserve"> esophagitis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534"/>
        <w:gridCol w:w="1753"/>
        <w:gridCol w:w="1028"/>
      </w:tblGrid>
      <w:tr w:rsidR="00282939" w:rsidRPr="00A54A88" w14:paraId="4D785CA7" w14:textId="77777777" w:rsidTr="0028293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B8E75F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Characteristics</w:t>
            </w:r>
            <w:r w:rsidRPr="00A54A88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0D2AD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i/>
                <w:iCs/>
                <w:color w:val="000000"/>
              </w:rPr>
              <w:t>Candida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 xml:space="preserve"> esophagitis</w:t>
            </w:r>
            <w:r w:rsidRPr="00A54A88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EDBF1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54A88">
              <w:rPr>
                <w:rFonts w:ascii="Book Antiqua" w:eastAsia="PMingLiU" w:hAnsi="Book Antiqua"/>
                <w:b/>
                <w:i/>
                <w:iCs/>
                <w:color w:val="000000"/>
              </w:rPr>
              <w:t>P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 xml:space="preserve"> value</w:t>
            </w:r>
          </w:p>
        </w:tc>
      </w:tr>
      <w:tr w:rsidR="00282939" w:rsidRPr="00A54A88" w14:paraId="4E1D1C91" w14:textId="77777777" w:rsidTr="0028293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876409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15804A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Yes</w:t>
            </w:r>
            <w:r w:rsidRPr="00A54A88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</w:rPr>
              <w:t>(</w:t>
            </w:r>
            <w:r w:rsidRPr="00A54A88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54A88">
              <w:rPr>
                <w:rFonts w:ascii="Book Antiqua" w:eastAsia="PMingLiU" w:hAnsi="Book Antiqua"/>
                <w:b/>
              </w:rPr>
              <w:t>= 47)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E77A9D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No</w:t>
            </w:r>
            <w:r w:rsidRPr="00A54A88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</w:rPr>
              <w:t>(</w:t>
            </w:r>
            <w:r w:rsidRPr="00A54A88">
              <w:rPr>
                <w:rFonts w:ascii="Book Antiqua" w:eastAsia="PMingLiU" w:hAnsi="Book Antiqua"/>
                <w:b/>
                <w:i/>
                <w:iCs/>
              </w:rPr>
              <w:t>n</w:t>
            </w:r>
            <w:r w:rsidRPr="00A54A88">
              <w:rPr>
                <w:rFonts w:ascii="Book Antiqua" w:eastAsia="PMingLiU" w:hAnsi="Book Antiqua"/>
                <w:b/>
              </w:rPr>
              <w:t xml:space="preserve"> = 11755)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7A9E2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</w:tr>
      <w:tr w:rsidR="00282939" w:rsidRPr="00282939" w14:paraId="025F6D97" w14:textId="77777777" w:rsidTr="00282939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DDDBBD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Age (yr) (mean ± SD)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E7D21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55.13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±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11.73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18083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51.27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±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11.58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A39B19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0.023</w:t>
            </w:r>
          </w:p>
        </w:tc>
      </w:tr>
      <w:tr w:rsidR="00282939" w:rsidRPr="00282939" w14:paraId="79952C15" w14:textId="77777777" w:rsidTr="00282939">
        <w:tc>
          <w:tcPr>
            <w:tcW w:w="0" w:type="auto"/>
            <w:noWrap/>
            <w:hideMark/>
          </w:tcPr>
          <w:p w14:paraId="21FBEB0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Male gender</w:t>
            </w:r>
          </w:p>
        </w:tc>
        <w:tc>
          <w:tcPr>
            <w:tcW w:w="0" w:type="auto"/>
            <w:noWrap/>
            <w:hideMark/>
          </w:tcPr>
          <w:p w14:paraId="58738B9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32 (68.1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3BDEA0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6541 (55.6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7C708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0.087</w:t>
            </w:r>
          </w:p>
        </w:tc>
      </w:tr>
      <w:tr w:rsidR="00282939" w:rsidRPr="00282939" w14:paraId="1B805622" w14:textId="77777777" w:rsidTr="00282939">
        <w:tc>
          <w:tcPr>
            <w:tcW w:w="0" w:type="auto"/>
            <w:noWrap/>
            <w:hideMark/>
          </w:tcPr>
          <w:p w14:paraId="6AC92CD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Smoking</w:t>
            </w:r>
          </w:p>
        </w:tc>
        <w:tc>
          <w:tcPr>
            <w:tcW w:w="0" w:type="auto"/>
            <w:noWrap/>
            <w:hideMark/>
          </w:tcPr>
          <w:p w14:paraId="42CA473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9 (19.1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519EBD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1979 (16.8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E7A0E3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0.672</w:t>
            </w:r>
          </w:p>
        </w:tc>
      </w:tr>
      <w:tr w:rsidR="00282939" w:rsidRPr="00282939" w14:paraId="12513416" w14:textId="77777777" w:rsidTr="00282939">
        <w:tc>
          <w:tcPr>
            <w:tcW w:w="0" w:type="auto"/>
            <w:noWrap/>
            <w:hideMark/>
          </w:tcPr>
          <w:p w14:paraId="25751D6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 xml:space="preserve">Consumption of alcohol </w:t>
            </w:r>
          </w:p>
        </w:tc>
        <w:tc>
          <w:tcPr>
            <w:tcW w:w="0" w:type="auto"/>
            <w:noWrap/>
            <w:hideMark/>
          </w:tcPr>
          <w:p w14:paraId="18F519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30 (63.8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DF0BDC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5674 (48.3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7ADD1A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0.033</w:t>
            </w:r>
          </w:p>
        </w:tc>
      </w:tr>
      <w:tr w:rsidR="00282939" w:rsidRPr="00282939" w14:paraId="04505939" w14:textId="77777777" w:rsidTr="00282939">
        <w:tc>
          <w:tcPr>
            <w:tcW w:w="0" w:type="auto"/>
            <w:noWrap/>
            <w:hideMark/>
          </w:tcPr>
          <w:p w14:paraId="5047F4D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Consumption of betel nuts</w:t>
            </w:r>
          </w:p>
        </w:tc>
        <w:tc>
          <w:tcPr>
            <w:tcW w:w="0" w:type="auto"/>
            <w:noWrap/>
            <w:hideMark/>
          </w:tcPr>
          <w:p w14:paraId="738926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F8DB4B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400 (3.4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A5B1C1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0.216</w:t>
            </w:r>
          </w:p>
        </w:tc>
      </w:tr>
      <w:tr w:rsidR="00282939" w:rsidRPr="00282939" w14:paraId="6B1BF7A0" w14:textId="77777777" w:rsidTr="00282939">
        <w:tc>
          <w:tcPr>
            <w:tcW w:w="0" w:type="auto"/>
            <w:noWrap/>
          </w:tcPr>
          <w:p w14:paraId="197B972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Underlying disease</w:t>
            </w:r>
          </w:p>
        </w:tc>
        <w:tc>
          <w:tcPr>
            <w:tcW w:w="0" w:type="auto"/>
            <w:noWrap/>
          </w:tcPr>
          <w:p w14:paraId="35629CE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0" w:type="auto"/>
            <w:noWrap/>
          </w:tcPr>
          <w:p w14:paraId="2329BBF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0" w:type="auto"/>
            <w:noWrap/>
          </w:tcPr>
          <w:p w14:paraId="131D6E4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</w:tr>
      <w:tr w:rsidR="00282939" w:rsidRPr="00282939" w14:paraId="1BF17FC5" w14:textId="77777777" w:rsidTr="00282939">
        <w:tc>
          <w:tcPr>
            <w:tcW w:w="0" w:type="auto"/>
            <w:noWrap/>
            <w:hideMark/>
          </w:tcPr>
          <w:p w14:paraId="2AF795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Cardiovascular disease</w:t>
            </w:r>
          </w:p>
        </w:tc>
        <w:tc>
          <w:tcPr>
            <w:tcW w:w="0" w:type="auto"/>
            <w:noWrap/>
            <w:hideMark/>
          </w:tcPr>
          <w:p w14:paraId="7731601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 (10.6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C406E0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1520 (12.9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ECAFA5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0.640</w:t>
            </w:r>
          </w:p>
        </w:tc>
      </w:tr>
      <w:tr w:rsidR="00282939" w:rsidRPr="00282939" w14:paraId="64D37B39" w14:textId="77777777" w:rsidTr="00282939">
        <w:tc>
          <w:tcPr>
            <w:tcW w:w="0" w:type="auto"/>
            <w:noWrap/>
            <w:hideMark/>
          </w:tcPr>
          <w:p w14:paraId="1ABF5E9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Pulmonary disease</w:t>
            </w:r>
          </w:p>
        </w:tc>
        <w:tc>
          <w:tcPr>
            <w:tcW w:w="0" w:type="auto"/>
            <w:noWrap/>
            <w:hideMark/>
          </w:tcPr>
          <w:p w14:paraId="3A9C9F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59700C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542 (4.6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D0646B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0.478</w:t>
            </w:r>
          </w:p>
        </w:tc>
      </w:tr>
      <w:tr w:rsidR="00282939" w:rsidRPr="00282939" w14:paraId="0F1EF637" w14:textId="77777777" w:rsidTr="00282939">
        <w:tc>
          <w:tcPr>
            <w:tcW w:w="0" w:type="auto"/>
            <w:noWrap/>
            <w:hideMark/>
          </w:tcPr>
          <w:p w14:paraId="202B220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Diabetes</w:t>
            </w:r>
            <w:r>
              <w:rPr>
                <w:rFonts w:ascii="Book Antiqua" w:eastAsia="PMingLiU" w:hAnsi="Book Antiqua"/>
                <w:color w:val="000000"/>
              </w:rPr>
              <w:t xml:space="preserve"> 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m</w:t>
            </w:r>
            <w:r w:rsidRPr="00282939">
              <w:rPr>
                <w:rFonts w:ascii="Book Antiqua" w:eastAsia="PMingLiU" w:hAnsi="Book Antiqua"/>
                <w:color w:val="000000"/>
              </w:rPr>
              <w:t>ellitus</w:t>
            </w:r>
          </w:p>
        </w:tc>
        <w:tc>
          <w:tcPr>
            <w:tcW w:w="0" w:type="auto"/>
            <w:noWrap/>
            <w:hideMark/>
          </w:tcPr>
          <w:p w14:paraId="31C47A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 (8.5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99F16B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845 (7.2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736747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0.579</w:t>
            </w:r>
          </w:p>
        </w:tc>
      </w:tr>
      <w:tr w:rsidR="00282939" w:rsidRPr="00282939" w14:paraId="2B7B27CA" w14:textId="77777777" w:rsidTr="00282939">
        <w:tc>
          <w:tcPr>
            <w:tcW w:w="0" w:type="auto"/>
            <w:noWrap/>
            <w:hideMark/>
          </w:tcPr>
          <w:p w14:paraId="31D84E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Hepatitis</w:t>
            </w:r>
          </w:p>
        </w:tc>
        <w:tc>
          <w:tcPr>
            <w:tcW w:w="0" w:type="auto"/>
            <w:noWrap/>
            <w:hideMark/>
          </w:tcPr>
          <w:p w14:paraId="524A8EB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 (12.8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1525A0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975 (8.3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F556E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0.281</w:t>
            </w:r>
          </w:p>
        </w:tc>
      </w:tr>
      <w:tr w:rsidR="00282939" w:rsidRPr="00282939" w14:paraId="54640319" w14:textId="77777777" w:rsidTr="00282939">
        <w:tc>
          <w:tcPr>
            <w:tcW w:w="0" w:type="auto"/>
            <w:noWrap/>
            <w:hideMark/>
          </w:tcPr>
          <w:p w14:paraId="2EB24D7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Malignancy</w:t>
            </w:r>
          </w:p>
        </w:tc>
        <w:tc>
          <w:tcPr>
            <w:tcW w:w="0" w:type="auto"/>
            <w:noWrap/>
            <w:hideMark/>
          </w:tcPr>
          <w:p w14:paraId="0951D8D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3F7B1E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224 (1.9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071AF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769E71AF" w14:textId="77777777" w:rsidTr="00282939">
        <w:tc>
          <w:tcPr>
            <w:tcW w:w="0" w:type="auto"/>
            <w:noWrap/>
            <w:hideMark/>
          </w:tcPr>
          <w:p w14:paraId="1BD7C4E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Hyperlipidemia</w:t>
            </w:r>
          </w:p>
        </w:tc>
        <w:tc>
          <w:tcPr>
            <w:tcW w:w="0" w:type="auto"/>
            <w:noWrap/>
            <w:hideMark/>
          </w:tcPr>
          <w:p w14:paraId="3FA99E3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 (12.8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926BA8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1376 (11.7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DCFC3F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0.821</w:t>
            </w:r>
          </w:p>
        </w:tc>
      </w:tr>
      <w:tr w:rsidR="00282939" w:rsidRPr="00282939" w14:paraId="2207A06F" w14:textId="77777777" w:rsidTr="00282939">
        <w:tc>
          <w:tcPr>
            <w:tcW w:w="0" w:type="auto"/>
            <w:noWrap/>
            <w:hideMark/>
          </w:tcPr>
          <w:p w14:paraId="377C50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Chronic kidney disease</w:t>
            </w:r>
          </w:p>
        </w:tc>
        <w:tc>
          <w:tcPr>
            <w:tcW w:w="0" w:type="auto"/>
            <w:noWrap/>
            <w:hideMark/>
          </w:tcPr>
          <w:p w14:paraId="372121B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 (8.5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D1651F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70 (0.6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C53B30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796447D0" w14:textId="77777777" w:rsidTr="00282939">
        <w:tc>
          <w:tcPr>
            <w:tcW w:w="0" w:type="auto"/>
            <w:noWrap/>
            <w:hideMark/>
          </w:tcPr>
          <w:p w14:paraId="19A27F1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Steroid use</w:t>
            </w:r>
          </w:p>
        </w:tc>
        <w:tc>
          <w:tcPr>
            <w:tcW w:w="0" w:type="auto"/>
            <w:noWrap/>
            <w:hideMark/>
          </w:tcPr>
          <w:p w14:paraId="09F27B1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(4.3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669AE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21 (0.2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F4F89C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0.004</w:t>
            </w:r>
          </w:p>
        </w:tc>
      </w:tr>
      <w:tr w:rsidR="00282939" w:rsidRPr="00282939" w14:paraId="1C023D22" w14:textId="77777777" w:rsidTr="00282939">
        <w:tc>
          <w:tcPr>
            <w:tcW w:w="0" w:type="auto"/>
            <w:noWrap/>
            <w:hideMark/>
          </w:tcPr>
          <w:p w14:paraId="1723F83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Previous gastric surgery</w:t>
            </w:r>
          </w:p>
        </w:tc>
        <w:tc>
          <w:tcPr>
            <w:tcW w:w="0" w:type="auto"/>
            <w:noWrap/>
            <w:hideMark/>
          </w:tcPr>
          <w:p w14:paraId="59F52C9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DBB9C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(&lt;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16CF51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00A82B03" w14:textId="77777777" w:rsidTr="00282939">
        <w:tc>
          <w:tcPr>
            <w:tcW w:w="0" w:type="auto"/>
            <w:noWrap/>
            <w:hideMark/>
          </w:tcPr>
          <w:p w14:paraId="1CEFFE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Symptoms</w:t>
            </w:r>
          </w:p>
        </w:tc>
        <w:tc>
          <w:tcPr>
            <w:tcW w:w="0" w:type="auto"/>
            <w:noWrap/>
            <w:hideMark/>
          </w:tcPr>
          <w:p w14:paraId="3E002A2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0" w:type="auto"/>
            <w:noWrap/>
            <w:hideMark/>
          </w:tcPr>
          <w:p w14:paraId="275D3D5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0" w:type="auto"/>
            <w:noWrap/>
            <w:hideMark/>
          </w:tcPr>
          <w:p w14:paraId="3F06BDB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</w:tr>
      <w:tr w:rsidR="00282939" w:rsidRPr="00282939" w14:paraId="76BE4650" w14:textId="77777777" w:rsidTr="00282939">
        <w:tc>
          <w:tcPr>
            <w:tcW w:w="0" w:type="auto"/>
            <w:noWrap/>
            <w:hideMark/>
          </w:tcPr>
          <w:p w14:paraId="4E86C1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Acid reflux</w:t>
            </w:r>
          </w:p>
        </w:tc>
        <w:tc>
          <w:tcPr>
            <w:tcW w:w="0" w:type="auto"/>
            <w:noWrap/>
            <w:hideMark/>
          </w:tcPr>
          <w:p w14:paraId="22B244B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C03306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344 (2.9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165501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0.648</w:t>
            </w:r>
          </w:p>
        </w:tc>
      </w:tr>
      <w:tr w:rsidR="00282939" w:rsidRPr="00282939" w14:paraId="5382C10F" w14:textId="77777777" w:rsidTr="00282939">
        <w:tc>
          <w:tcPr>
            <w:tcW w:w="0" w:type="auto"/>
            <w:noWrap/>
            <w:hideMark/>
          </w:tcPr>
          <w:p w14:paraId="7C9C619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Chest pain</w:t>
            </w:r>
          </w:p>
        </w:tc>
        <w:tc>
          <w:tcPr>
            <w:tcW w:w="0" w:type="auto"/>
            <w:noWrap/>
            <w:hideMark/>
          </w:tcPr>
          <w:p w14:paraId="1659123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(14.9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21C5D2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1549 (13.2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52FBD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0.729</w:t>
            </w:r>
          </w:p>
        </w:tc>
      </w:tr>
      <w:tr w:rsidR="00282939" w:rsidRPr="00282939" w14:paraId="13EF09E3" w14:textId="77777777" w:rsidTr="00282939">
        <w:tc>
          <w:tcPr>
            <w:tcW w:w="0" w:type="auto"/>
            <w:noWrap/>
            <w:hideMark/>
          </w:tcPr>
          <w:p w14:paraId="5A353AB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Nausea/vomiting</w:t>
            </w:r>
          </w:p>
        </w:tc>
        <w:tc>
          <w:tcPr>
            <w:tcW w:w="0" w:type="auto"/>
            <w:noWrap/>
            <w:hideMark/>
          </w:tcPr>
          <w:p w14:paraId="471A1EE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021368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200 (1.7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535970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1CABE703" w14:textId="77777777" w:rsidTr="00282939">
        <w:tc>
          <w:tcPr>
            <w:tcW w:w="0" w:type="auto"/>
            <w:noWrap/>
            <w:hideMark/>
          </w:tcPr>
          <w:p w14:paraId="545AFAF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Abdominal pain</w:t>
            </w:r>
          </w:p>
        </w:tc>
        <w:tc>
          <w:tcPr>
            <w:tcW w:w="0" w:type="auto"/>
            <w:noWrap/>
            <w:hideMark/>
          </w:tcPr>
          <w:p w14:paraId="415BBE9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7AB51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1264 (10.8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2734F0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0.334</w:t>
            </w:r>
          </w:p>
        </w:tc>
      </w:tr>
      <w:tr w:rsidR="00282939" w:rsidRPr="00282939" w14:paraId="01D3DE0F" w14:textId="77777777" w:rsidTr="00282939">
        <w:tc>
          <w:tcPr>
            <w:tcW w:w="0" w:type="auto"/>
            <w:noWrap/>
            <w:hideMark/>
          </w:tcPr>
          <w:p w14:paraId="09CA10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Dysphagia</w:t>
            </w:r>
          </w:p>
        </w:tc>
        <w:tc>
          <w:tcPr>
            <w:tcW w:w="0" w:type="auto"/>
            <w:noWrap/>
            <w:hideMark/>
          </w:tcPr>
          <w:p w14:paraId="27DFF28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(2.1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568D4E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134 (1.1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1BB84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0.525</w:t>
            </w:r>
          </w:p>
        </w:tc>
      </w:tr>
      <w:tr w:rsidR="00282939" w:rsidRPr="00282939" w14:paraId="3B71FCC3" w14:textId="77777777" w:rsidTr="00282939">
        <w:tc>
          <w:tcPr>
            <w:tcW w:w="0" w:type="auto"/>
            <w:noWrap/>
            <w:hideMark/>
          </w:tcPr>
          <w:p w14:paraId="37FA891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Odynophagia</w:t>
            </w:r>
          </w:p>
        </w:tc>
        <w:tc>
          <w:tcPr>
            <w:tcW w:w="0" w:type="auto"/>
            <w:noWrap/>
            <w:hideMark/>
          </w:tcPr>
          <w:p w14:paraId="216B091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247680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(0.1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86EBDB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0.867</w:t>
            </w:r>
          </w:p>
        </w:tc>
      </w:tr>
      <w:tr w:rsidR="00282939" w:rsidRPr="00282939" w14:paraId="4CD98F7B" w14:textId="77777777" w:rsidTr="00282939">
        <w:tc>
          <w:tcPr>
            <w:tcW w:w="0" w:type="auto"/>
            <w:noWrap/>
            <w:hideMark/>
          </w:tcPr>
          <w:p w14:paraId="1EFA9D6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Globus</w:t>
            </w:r>
          </w:p>
        </w:tc>
        <w:tc>
          <w:tcPr>
            <w:tcW w:w="0" w:type="auto"/>
            <w:noWrap/>
            <w:hideMark/>
          </w:tcPr>
          <w:p w14:paraId="0F756D1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6E6915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25 (0.2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662F18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5A583A4B" w14:textId="77777777" w:rsidTr="00282939">
        <w:tc>
          <w:tcPr>
            <w:tcW w:w="0" w:type="auto"/>
            <w:noWrap/>
            <w:hideMark/>
          </w:tcPr>
          <w:p w14:paraId="516232D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lastRenderedPageBreak/>
              <w:t>Waist</w:t>
            </w:r>
          </w:p>
        </w:tc>
        <w:tc>
          <w:tcPr>
            <w:tcW w:w="0" w:type="auto"/>
            <w:noWrap/>
            <w:hideMark/>
          </w:tcPr>
          <w:p w14:paraId="3F44E45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50F93BC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0476BDB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0.182</w:t>
            </w:r>
          </w:p>
        </w:tc>
      </w:tr>
      <w:tr w:rsidR="00282939" w:rsidRPr="00282939" w14:paraId="08164DF6" w14:textId="77777777" w:rsidTr="00282939">
        <w:tc>
          <w:tcPr>
            <w:tcW w:w="0" w:type="auto"/>
            <w:noWrap/>
            <w:hideMark/>
          </w:tcPr>
          <w:p w14:paraId="05C126EB" w14:textId="751F79A8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N</w:t>
            </w:r>
            <w:r w:rsidRPr="00282939">
              <w:rPr>
                <w:rFonts w:ascii="Book Antiqua" w:eastAsia="PMingLiU" w:hAnsi="Book Antiqua"/>
                <w:color w:val="000000"/>
              </w:rPr>
              <w:t>ormal (&lt;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90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80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DFEA66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26 (55.3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D430E5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7600 (64.7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089232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18604AC9" w14:textId="77777777" w:rsidTr="00282939">
        <w:tc>
          <w:tcPr>
            <w:tcW w:w="0" w:type="auto"/>
            <w:noWrap/>
            <w:hideMark/>
          </w:tcPr>
          <w:p w14:paraId="5AB99215" w14:textId="17F2D47C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hAnsi="Book Antiqua"/>
              </w:rPr>
              <w:t>≥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90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 w:rsidRPr="00282939">
              <w:rPr>
                <w:rFonts w:ascii="Book Antiqua" w:hAnsi="Book Antiqua"/>
              </w:rPr>
              <w:t xml:space="preserve"> ≥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80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C2626E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21 (44.7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EAFBF7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4155 (35.3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750232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04154542" w14:textId="77777777" w:rsidTr="00282939">
        <w:tc>
          <w:tcPr>
            <w:tcW w:w="0" w:type="auto"/>
            <w:noWrap/>
            <w:hideMark/>
          </w:tcPr>
          <w:p w14:paraId="4121B1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Body fat percentage</w:t>
            </w:r>
          </w:p>
        </w:tc>
        <w:tc>
          <w:tcPr>
            <w:tcW w:w="0" w:type="auto"/>
            <w:noWrap/>
            <w:hideMark/>
          </w:tcPr>
          <w:p w14:paraId="44A0631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5807121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224D21C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0.081</w:t>
            </w:r>
          </w:p>
        </w:tc>
      </w:tr>
      <w:tr w:rsidR="00282939" w:rsidRPr="00282939" w14:paraId="28401F33" w14:textId="77777777" w:rsidTr="00282939">
        <w:tc>
          <w:tcPr>
            <w:tcW w:w="0" w:type="auto"/>
            <w:noWrap/>
            <w:hideMark/>
          </w:tcPr>
          <w:p w14:paraId="3F0E9B6A" w14:textId="59662D58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N</w:t>
            </w:r>
            <w:r w:rsidRPr="00282939">
              <w:rPr>
                <w:rFonts w:ascii="Book Antiqua" w:eastAsia="PMingLiU" w:hAnsi="Book Antiqua"/>
                <w:color w:val="000000"/>
              </w:rPr>
              <w:t>ormal (&lt;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25%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 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30%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E6D125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28 (59.6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9647AF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8347 (71.1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ECEA29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34E27A99" w14:textId="77777777" w:rsidTr="00282939">
        <w:tc>
          <w:tcPr>
            <w:tcW w:w="0" w:type="auto"/>
            <w:noWrap/>
            <w:hideMark/>
          </w:tcPr>
          <w:p w14:paraId="3EF99EAD" w14:textId="0518C8FC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hAnsi="Book Antiqua"/>
              </w:rPr>
              <w:t>≥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25%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 w:rsidRPr="00282939">
              <w:rPr>
                <w:rFonts w:ascii="Book Antiqua" w:hAnsi="Book Antiqua"/>
              </w:rPr>
              <w:t xml:space="preserve"> ≥</w:t>
            </w:r>
            <w:r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30%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94920B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19 (40.4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578424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3387 (28.9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19464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134A2289" w14:textId="77777777" w:rsidTr="00282939">
        <w:tc>
          <w:tcPr>
            <w:tcW w:w="0" w:type="auto"/>
            <w:noWrap/>
            <w:hideMark/>
          </w:tcPr>
          <w:p w14:paraId="6F85FF5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MI</w:t>
            </w:r>
          </w:p>
        </w:tc>
        <w:tc>
          <w:tcPr>
            <w:tcW w:w="0" w:type="auto"/>
            <w:noWrap/>
            <w:hideMark/>
          </w:tcPr>
          <w:p w14:paraId="02A1CE6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147888E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6F2902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0.463</w:t>
            </w:r>
          </w:p>
        </w:tc>
      </w:tr>
      <w:tr w:rsidR="00282939" w:rsidRPr="00282939" w14:paraId="18AA746A" w14:textId="77777777" w:rsidTr="00282939">
        <w:tc>
          <w:tcPr>
            <w:tcW w:w="0" w:type="auto"/>
            <w:noWrap/>
            <w:hideMark/>
          </w:tcPr>
          <w:p w14:paraId="1E1B9E3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N</w:t>
            </w:r>
            <w:r>
              <w:rPr>
                <w:rFonts w:ascii="Book Antiqua" w:eastAsia="PMingLiU" w:hAnsi="Book Antiqua"/>
                <w:color w:val="000000"/>
              </w:rPr>
              <w:t>ormal (</w:t>
            </w:r>
            <w:r w:rsidRPr="00282939">
              <w:rPr>
                <w:rFonts w:ascii="Book Antiqua" w:eastAsia="PMingLiU" w:hAnsi="Book Antiqua"/>
                <w:color w:val="000000"/>
              </w:rPr>
              <w:t>BMI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24)</w:t>
            </w:r>
          </w:p>
        </w:tc>
        <w:tc>
          <w:tcPr>
            <w:tcW w:w="0" w:type="auto"/>
            <w:noWrap/>
            <w:hideMark/>
          </w:tcPr>
          <w:p w14:paraId="2492540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22 (46.8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CAEE13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6523 (55.5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C02F62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77D42CB9" w14:textId="77777777" w:rsidTr="00282939">
        <w:tc>
          <w:tcPr>
            <w:tcW w:w="0" w:type="auto"/>
            <w:noWrap/>
            <w:hideMark/>
          </w:tcPr>
          <w:p w14:paraId="5E40C12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verweight (24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GulimChe" w:hAnsi="Book Antiqua"/>
                <w:color w:val="000000"/>
              </w:rPr>
              <w:t>≤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BMI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27)</w:t>
            </w:r>
          </w:p>
        </w:tc>
        <w:tc>
          <w:tcPr>
            <w:tcW w:w="0" w:type="auto"/>
            <w:noWrap/>
            <w:hideMark/>
          </w:tcPr>
          <w:p w14:paraId="753FBDC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 (31.9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961553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3293 (28.0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60FD11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29C882B9" w14:textId="77777777" w:rsidTr="00282939">
        <w:tc>
          <w:tcPr>
            <w:tcW w:w="0" w:type="auto"/>
            <w:noWrap/>
            <w:hideMark/>
          </w:tcPr>
          <w:p w14:paraId="21C4B436" w14:textId="5060D638" w:rsidR="00282939" w:rsidRPr="00282939" w:rsidRDefault="00282939" w:rsidP="00304B47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O</w:t>
            </w:r>
            <w:r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eastAsia="PMingLiU" w:hAnsi="Book Antiqua"/>
                <w:color w:val="000000"/>
              </w:rPr>
              <w:t>27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="00304B47">
              <w:rPr>
                <w:rFonts w:ascii="Book Antiqua" w:eastAsia="Book Antiqua" w:hAnsi="Book Antiqua" w:cs="Book Antiqua"/>
                <w:color w:val="000000"/>
              </w:rPr>
              <w:t>≥</w:t>
            </w:r>
            <w:r w:rsidRPr="00282939">
              <w:rPr>
                <w:rFonts w:ascii="Book Antiqua" w:eastAsia="PMingLiU" w:hAnsi="Book Antiqua"/>
                <w:color w:val="000000"/>
              </w:rPr>
              <w:t xml:space="preserve"> BMI)</w:t>
            </w:r>
          </w:p>
        </w:tc>
        <w:tc>
          <w:tcPr>
            <w:tcW w:w="0" w:type="auto"/>
            <w:noWrap/>
            <w:hideMark/>
          </w:tcPr>
          <w:p w14:paraId="124250F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10 (21.3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528C2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1939 (16.5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7CB35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0CC45F24" w14:textId="77777777" w:rsidTr="00282939">
        <w:tc>
          <w:tcPr>
            <w:tcW w:w="0" w:type="auto"/>
            <w:noWrap/>
            <w:hideMark/>
          </w:tcPr>
          <w:p w14:paraId="0C4BAC1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i/>
                <w:iCs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iCs/>
                <w:color w:val="000000"/>
              </w:rPr>
              <w:t>Helicobacter</w:t>
            </w:r>
            <w:r w:rsidRPr="00282939">
              <w:rPr>
                <w:rFonts w:ascii="Book Antiqua" w:eastAsia="PMingLiU" w:hAnsi="Book Antiqua"/>
                <w:i/>
                <w:iCs/>
                <w:color w:val="000000"/>
              </w:rPr>
              <w:t xml:space="preserve"> pylor</w:t>
            </w:r>
            <w:r w:rsidRPr="00282939">
              <w:rPr>
                <w:rFonts w:ascii="Book Antiqua" w:eastAsia="PMingLiU" w:hAnsi="Book Antiqua"/>
                <w:color w:val="000000"/>
              </w:rPr>
              <w:t>i infection</w:t>
            </w:r>
          </w:p>
        </w:tc>
        <w:tc>
          <w:tcPr>
            <w:tcW w:w="0" w:type="auto"/>
            <w:noWrap/>
            <w:hideMark/>
          </w:tcPr>
          <w:p w14:paraId="4E154FE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9 (19.1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2A8676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2047 (17.4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193C39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0.754</w:t>
            </w:r>
          </w:p>
        </w:tc>
      </w:tr>
      <w:tr w:rsidR="00282939" w:rsidRPr="00282939" w14:paraId="539D2DDB" w14:textId="77777777" w:rsidTr="00282939">
        <w:tc>
          <w:tcPr>
            <w:tcW w:w="0" w:type="auto"/>
            <w:noWrap/>
            <w:hideMark/>
          </w:tcPr>
          <w:p w14:paraId="64829A4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bookmarkStart w:id="118" w:name="OLE_LINK45"/>
            <w:bookmarkStart w:id="119" w:name="OLE_LINK46"/>
            <w:r w:rsidRPr="00282939">
              <w:rPr>
                <w:rFonts w:ascii="Book Antiqua" w:eastAsia="PMingLiU" w:hAnsi="Book Antiqua"/>
                <w:color w:val="000000"/>
              </w:rPr>
              <w:t xml:space="preserve">Endoscopic </w:t>
            </w:r>
            <w:bookmarkEnd w:id="118"/>
            <w:bookmarkEnd w:id="119"/>
            <w:r w:rsidRPr="00282939">
              <w:rPr>
                <w:rFonts w:ascii="Book Antiqua" w:eastAsia="PMingLiU" w:hAnsi="Book Antiqua"/>
                <w:color w:val="000000"/>
              </w:rPr>
              <w:t>findings</w:t>
            </w:r>
          </w:p>
        </w:tc>
        <w:tc>
          <w:tcPr>
            <w:tcW w:w="0" w:type="auto"/>
            <w:noWrap/>
            <w:hideMark/>
          </w:tcPr>
          <w:p w14:paraId="01658A7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2F7D7D3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0" w:type="auto"/>
            <w:noWrap/>
            <w:hideMark/>
          </w:tcPr>
          <w:p w14:paraId="7C39E1E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50E38EC1" w14:textId="77777777" w:rsidTr="00282939">
        <w:tc>
          <w:tcPr>
            <w:tcW w:w="0" w:type="auto"/>
            <w:noWrap/>
            <w:hideMark/>
          </w:tcPr>
          <w:p w14:paraId="4FF50A3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Reflux esophagitis</w:t>
            </w:r>
          </w:p>
        </w:tc>
        <w:tc>
          <w:tcPr>
            <w:tcW w:w="0" w:type="auto"/>
            <w:noWrap/>
            <w:hideMark/>
          </w:tcPr>
          <w:p w14:paraId="0696C4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(14.9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10292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2940 (25.0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AB8716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0.110</w:t>
            </w:r>
          </w:p>
        </w:tc>
      </w:tr>
      <w:tr w:rsidR="00282939" w:rsidRPr="00282939" w14:paraId="533857A3" w14:textId="77777777" w:rsidTr="00282939">
        <w:tc>
          <w:tcPr>
            <w:tcW w:w="0" w:type="auto"/>
            <w:noWrap/>
            <w:hideMark/>
          </w:tcPr>
          <w:p w14:paraId="44E8522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Hiatal hernia</w:t>
            </w:r>
          </w:p>
        </w:tc>
        <w:tc>
          <w:tcPr>
            <w:tcW w:w="0" w:type="auto"/>
            <w:noWrap/>
            <w:hideMark/>
          </w:tcPr>
          <w:p w14:paraId="1FA3E2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 (42.6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D2BB3C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5302 (45.1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09C9CC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0.726</w:t>
            </w:r>
          </w:p>
        </w:tc>
      </w:tr>
      <w:tr w:rsidR="00282939" w:rsidRPr="00282939" w14:paraId="7794BB71" w14:textId="77777777" w:rsidTr="00282939">
        <w:tc>
          <w:tcPr>
            <w:tcW w:w="0" w:type="auto"/>
            <w:noWrap/>
            <w:hideMark/>
          </w:tcPr>
          <w:p w14:paraId="3386E90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Gastric ulcer</w:t>
            </w:r>
          </w:p>
        </w:tc>
        <w:tc>
          <w:tcPr>
            <w:tcW w:w="0" w:type="auto"/>
            <w:noWrap/>
            <w:hideMark/>
          </w:tcPr>
          <w:p w14:paraId="59A658B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23 (48.9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DA6D7B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4896 (41.7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4ADB8B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0.312</w:t>
            </w:r>
          </w:p>
        </w:tc>
      </w:tr>
      <w:tr w:rsidR="00282939" w:rsidRPr="00282939" w14:paraId="56729DED" w14:textId="77777777" w:rsidTr="00282939">
        <w:tc>
          <w:tcPr>
            <w:tcW w:w="0" w:type="auto"/>
            <w:noWrap/>
            <w:hideMark/>
          </w:tcPr>
          <w:p w14:paraId="1FE7D24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Duodenal ulcer</w:t>
            </w:r>
          </w:p>
        </w:tc>
        <w:tc>
          <w:tcPr>
            <w:tcW w:w="0" w:type="auto"/>
            <w:noWrap/>
            <w:hideMark/>
          </w:tcPr>
          <w:p w14:paraId="1B7A4A0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(4.3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D77BC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850 (7.2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57EA45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0.580</w:t>
            </w:r>
          </w:p>
        </w:tc>
      </w:tr>
      <w:tr w:rsidR="00282939" w:rsidRPr="00282939" w14:paraId="53D48C25" w14:textId="77777777" w:rsidTr="00282939">
        <w:tc>
          <w:tcPr>
            <w:tcW w:w="0" w:type="auto"/>
            <w:noWrap/>
            <w:hideMark/>
          </w:tcPr>
          <w:p w14:paraId="0621798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Gastric and duodenal ulcer</w:t>
            </w:r>
          </w:p>
        </w:tc>
        <w:tc>
          <w:tcPr>
            <w:tcW w:w="0" w:type="auto"/>
            <w:noWrap/>
            <w:hideMark/>
          </w:tcPr>
          <w:p w14:paraId="4D3FB6C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23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48.9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054243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5179 (44.1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6FD70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0.501</w:t>
            </w:r>
          </w:p>
        </w:tc>
      </w:tr>
      <w:tr w:rsidR="00282939" w:rsidRPr="00282939" w14:paraId="4ECA2DC4" w14:textId="77777777" w:rsidTr="00282939">
        <w:tc>
          <w:tcPr>
            <w:tcW w:w="0" w:type="auto"/>
            <w:noWrap/>
            <w:hideMark/>
          </w:tcPr>
          <w:p w14:paraId="1C1151F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ESEM</w:t>
            </w:r>
          </w:p>
        </w:tc>
        <w:tc>
          <w:tcPr>
            <w:tcW w:w="0" w:type="auto"/>
            <w:noWrap/>
            <w:hideMark/>
          </w:tcPr>
          <w:p w14:paraId="5F833BF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5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10.6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8A1340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1277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10.9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B559F3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0.961</w:t>
            </w:r>
          </w:p>
        </w:tc>
      </w:tr>
      <w:tr w:rsidR="00282939" w:rsidRPr="00282939" w14:paraId="3721A175" w14:textId="77777777" w:rsidTr="00282939">
        <w:tc>
          <w:tcPr>
            <w:tcW w:w="0" w:type="auto"/>
            <w:noWrap/>
            <w:hideMark/>
          </w:tcPr>
          <w:p w14:paraId="3D4A8CF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Barrett's esophagus</w:t>
            </w:r>
          </w:p>
        </w:tc>
        <w:tc>
          <w:tcPr>
            <w:tcW w:w="0" w:type="auto"/>
            <w:noWrap/>
            <w:hideMark/>
          </w:tcPr>
          <w:p w14:paraId="700E0A7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1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2.1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5B435F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283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2.4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D86601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1.000</w:t>
            </w:r>
          </w:p>
        </w:tc>
      </w:tr>
    </w:tbl>
    <w:p w14:paraId="203BE171" w14:textId="77777777" w:rsidR="00282939" w:rsidRPr="00282939" w:rsidRDefault="00EB05A4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 w:hint="eastAsia"/>
          <w:lang w:eastAsia="zh-CN"/>
        </w:rPr>
        <w:t xml:space="preserve">BMI: </w:t>
      </w:r>
      <w:r>
        <w:rPr>
          <w:rFonts w:ascii="Book Antiqua" w:eastAsia="SimSun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ody mass index</w:t>
      </w:r>
      <w:r>
        <w:rPr>
          <w:rFonts w:ascii="Book Antiqua" w:eastAsia="SimSun" w:hAnsi="Book Antiqua" w:hint="eastAsia"/>
          <w:lang w:eastAsia="zh-CN"/>
        </w:rPr>
        <w:t xml:space="preserve">; ESEM: </w:t>
      </w:r>
      <w:r w:rsidR="007277C9">
        <w:rPr>
          <w:rFonts w:ascii="Book Antiqua" w:eastAsia="SimSun" w:hAnsi="Book Antiqua" w:hint="eastAsia"/>
          <w:lang w:eastAsia="zh-CN"/>
        </w:rPr>
        <w:t>E</w:t>
      </w:r>
      <w:r w:rsidR="007277C9" w:rsidRPr="007277C9">
        <w:rPr>
          <w:rFonts w:ascii="Book Antiqua" w:eastAsia="SimSun" w:hAnsi="Book Antiqua"/>
          <w:lang w:eastAsia="zh-CN"/>
        </w:rPr>
        <w:t>ndoscopically suspected esophageal metaplasia</w:t>
      </w:r>
      <w:r>
        <w:rPr>
          <w:rFonts w:ascii="Book Antiqua" w:eastAsia="SimSun" w:hAnsi="Book Antiqua" w:hint="eastAsia"/>
          <w:lang w:eastAsia="zh-CN"/>
        </w:rPr>
        <w:t>.</w:t>
      </w:r>
    </w:p>
    <w:p w14:paraId="34448105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282939">
        <w:rPr>
          <w:rFonts w:ascii="Book Antiqua" w:eastAsia="SimSun" w:hAnsi="Book Antiqua"/>
          <w:lang w:eastAsia="zh-CN"/>
        </w:rPr>
        <w:br w:type="page"/>
      </w:r>
      <w:r w:rsidRPr="00282939">
        <w:rPr>
          <w:rFonts w:ascii="Book Antiqua" w:eastAsia="SimSun" w:hAnsi="Book Antiqua"/>
          <w:b/>
          <w:lang w:eastAsia="zh-CN"/>
        </w:rPr>
        <w:lastRenderedPageBreak/>
        <w:t xml:space="preserve">Table 2 </w:t>
      </w:r>
      <w:r w:rsidR="00951673">
        <w:rPr>
          <w:rFonts w:ascii="Book Antiqua" w:eastAsia="SimSun" w:hAnsi="Book Antiqua"/>
          <w:b/>
          <w:lang w:eastAsia="zh-CN"/>
        </w:rPr>
        <w:t xml:space="preserve">Multivariable </w:t>
      </w:r>
      <w:r w:rsidRPr="00282939">
        <w:rPr>
          <w:rFonts w:ascii="Book Antiqua" w:eastAsia="SimSun" w:hAnsi="Book Antiqua"/>
          <w:b/>
          <w:lang w:eastAsia="zh-CN"/>
        </w:rPr>
        <w:t xml:space="preserve">analysis of risk factors predicting </w:t>
      </w:r>
      <w:r w:rsidRPr="00282939">
        <w:rPr>
          <w:rFonts w:ascii="Book Antiqua" w:eastAsia="SimSun" w:hAnsi="Book Antiqua"/>
          <w:b/>
          <w:i/>
          <w:lang w:eastAsia="zh-CN"/>
        </w:rPr>
        <w:t>Candida</w:t>
      </w:r>
      <w:r w:rsidRPr="00282939">
        <w:rPr>
          <w:rFonts w:ascii="Book Antiqua" w:eastAsia="SimSun" w:hAnsi="Book Antiqua"/>
          <w:b/>
          <w:lang w:eastAsia="zh-CN"/>
        </w:rPr>
        <w:t xml:space="preserve"> esophagitis</w:t>
      </w:r>
    </w:p>
    <w:tbl>
      <w:tblPr>
        <w:tblW w:w="92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443"/>
        <w:gridCol w:w="1631"/>
        <w:gridCol w:w="2815"/>
        <w:gridCol w:w="976"/>
      </w:tblGrid>
      <w:tr w:rsidR="00282939" w:rsidRPr="00A12D59" w14:paraId="727C9178" w14:textId="77777777" w:rsidTr="00A12D59">
        <w:trPr>
          <w:trHeight w:val="336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1675E8" w14:textId="77777777" w:rsidR="0028293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>
              <w:rPr>
                <w:rFonts w:ascii="Book Antiqua" w:eastAsia="PMingLiU" w:hAnsi="Book Antiqua"/>
                <w:b/>
                <w:color w:val="000000"/>
              </w:rPr>
              <w:t xml:space="preserve">Clinical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f</w:t>
            </w:r>
            <w:r w:rsidR="00282939" w:rsidRPr="00A12D59">
              <w:rPr>
                <w:rFonts w:ascii="Book Antiqua" w:eastAsia="PMingLiU" w:hAnsi="Book Antiqua"/>
                <w:b/>
                <w:color w:val="000000"/>
              </w:rPr>
              <w:t xml:space="preserve">actor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B61DFF" w14:textId="77777777" w:rsidR="00282939" w:rsidRPr="00A12D5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12D59">
              <w:rPr>
                <w:rFonts w:ascii="Book Antiqua" w:eastAsia="PMingLiU" w:hAnsi="Book Antiqua"/>
                <w:b/>
                <w:color w:val="000000"/>
              </w:rPr>
              <w:t xml:space="preserve">Coefficient 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A99BE0" w14:textId="77777777" w:rsidR="0028293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>
              <w:rPr>
                <w:rFonts w:ascii="Book Antiqua" w:eastAsia="PMingLiU" w:hAnsi="Book Antiqua"/>
                <w:b/>
                <w:color w:val="000000"/>
              </w:rPr>
              <w:t xml:space="preserve">Standard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e</w:t>
            </w:r>
            <w:r w:rsidR="00282939" w:rsidRPr="00A12D59">
              <w:rPr>
                <w:rFonts w:ascii="Book Antiqua" w:eastAsia="PMingLiU" w:hAnsi="Book Antiqua"/>
                <w:b/>
                <w:color w:val="000000"/>
              </w:rPr>
              <w:t xml:space="preserve">rror 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DAADB" w14:textId="77777777" w:rsidR="0028293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12D59">
              <w:rPr>
                <w:rFonts w:ascii="Book Antiqua" w:eastAsia="PMingLiU" w:hAnsi="Book Antiqua"/>
                <w:b/>
                <w:color w:val="000000"/>
              </w:rPr>
              <w:t xml:space="preserve">Odds </w:t>
            </w:r>
            <w:r w:rsidRPr="00A12D59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r</w:t>
            </w:r>
            <w:r w:rsidRPr="00A12D59">
              <w:rPr>
                <w:rFonts w:ascii="Book Antiqua" w:eastAsia="PMingLiU" w:hAnsi="Book Antiqua"/>
                <w:b/>
                <w:color w:val="000000"/>
              </w:rPr>
              <w:t>atio (95%</w:t>
            </w:r>
            <w:r w:rsidR="00282939" w:rsidRPr="00A12D59">
              <w:rPr>
                <w:rFonts w:ascii="Book Antiqua" w:eastAsia="PMingLiU" w:hAnsi="Book Antiqua"/>
                <w:b/>
                <w:color w:val="000000"/>
              </w:rPr>
              <w:t xml:space="preserve">CI)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205C2B" w14:textId="77777777" w:rsidR="00282939" w:rsidRPr="00A12D5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12D59">
              <w:rPr>
                <w:rFonts w:ascii="Book Antiqua" w:eastAsia="PMingLiU" w:hAnsi="Book Antiqua"/>
                <w:b/>
                <w:i/>
                <w:iCs/>
                <w:color w:val="000000"/>
              </w:rPr>
              <w:t>P</w:t>
            </w:r>
            <w:r w:rsidRPr="00A12D59">
              <w:rPr>
                <w:rFonts w:ascii="Book Antiqua" w:eastAsia="PMingLiU" w:hAnsi="Book Antiqua"/>
                <w:b/>
                <w:color w:val="000000"/>
              </w:rPr>
              <w:t xml:space="preserve"> value</w:t>
            </w:r>
          </w:p>
        </w:tc>
      </w:tr>
      <w:tr w:rsidR="00282939" w:rsidRPr="00282939" w14:paraId="4BE71BD4" w14:textId="77777777" w:rsidTr="00A12D59">
        <w:trPr>
          <w:trHeight w:val="324"/>
        </w:trPr>
        <w:tc>
          <w:tcPr>
            <w:tcW w:w="2575" w:type="dxa"/>
            <w:tcBorders>
              <w:top w:val="single" w:sz="4" w:space="0" w:color="auto"/>
            </w:tcBorders>
            <w:noWrap/>
            <w:hideMark/>
          </w:tcPr>
          <w:p w14:paraId="2FE59D1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Age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noWrap/>
            <w:hideMark/>
          </w:tcPr>
          <w:p w14:paraId="16C9000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0.026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noWrap/>
            <w:hideMark/>
          </w:tcPr>
          <w:p w14:paraId="381309F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0.013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noWrap/>
            <w:hideMark/>
          </w:tcPr>
          <w:p w14:paraId="4D7271D8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1.027 (1.001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1.053)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3A8643E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0.045</w:t>
            </w:r>
          </w:p>
        </w:tc>
      </w:tr>
      <w:tr w:rsidR="00282939" w:rsidRPr="00282939" w14:paraId="44402271" w14:textId="77777777" w:rsidTr="00A12D59">
        <w:trPr>
          <w:trHeight w:val="324"/>
        </w:trPr>
        <w:tc>
          <w:tcPr>
            <w:tcW w:w="2575" w:type="dxa"/>
            <w:noWrap/>
            <w:hideMark/>
          </w:tcPr>
          <w:p w14:paraId="7C236EF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Chronic kidney disease</w:t>
            </w:r>
          </w:p>
        </w:tc>
        <w:tc>
          <w:tcPr>
            <w:tcW w:w="1235" w:type="dxa"/>
            <w:noWrap/>
            <w:hideMark/>
          </w:tcPr>
          <w:p w14:paraId="76655A4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2.600</w:t>
            </w:r>
          </w:p>
        </w:tc>
        <w:tc>
          <w:tcPr>
            <w:tcW w:w="1631" w:type="dxa"/>
            <w:noWrap/>
            <w:hideMark/>
          </w:tcPr>
          <w:p w14:paraId="2945B1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0.551</w:t>
            </w:r>
          </w:p>
        </w:tc>
        <w:tc>
          <w:tcPr>
            <w:tcW w:w="2815" w:type="dxa"/>
            <w:noWrap/>
            <w:hideMark/>
          </w:tcPr>
          <w:p w14:paraId="71AE0BDD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13.470 (4.574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39.673)</w:t>
            </w:r>
          </w:p>
        </w:tc>
        <w:tc>
          <w:tcPr>
            <w:tcW w:w="976" w:type="dxa"/>
            <w:noWrap/>
            <w:hideMark/>
          </w:tcPr>
          <w:p w14:paraId="3D0A03C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 w:rsidR="00A12D59"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2FA9CB3D" w14:textId="77777777" w:rsidTr="00A12D59">
        <w:trPr>
          <w:trHeight w:val="324"/>
        </w:trPr>
        <w:tc>
          <w:tcPr>
            <w:tcW w:w="2575" w:type="dxa"/>
            <w:noWrap/>
            <w:hideMark/>
          </w:tcPr>
          <w:p w14:paraId="6B761C85" w14:textId="22E32FBC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Steroid</w:t>
            </w:r>
            <w:r w:rsidR="00304B47">
              <w:rPr>
                <w:rFonts w:ascii="Book Antiqua" w:eastAsia="PMingLiU" w:hAnsi="Book Antiqua"/>
              </w:rPr>
              <w:t xml:space="preserve"> use</w:t>
            </w:r>
          </w:p>
        </w:tc>
        <w:tc>
          <w:tcPr>
            <w:tcW w:w="1235" w:type="dxa"/>
            <w:noWrap/>
            <w:hideMark/>
          </w:tcPr>
          <w:p w14:paraId="2D31017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3.189</w:t>
            </w:r>
          </w:p>
        </w:tc>
        <w:tc>
          <w:tcPr>
            <w:tcW w:w="1631" w:type="dxa"/>
            <w:noWrap/>
            <w:hideMark/>
          </w:tcPr>
          <w:p w14:paraId="4C131D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0.772</w:t>
            </w:r>
          </w:p>
        </w:tc>
        <w:tc>
          <w:tcPr>
            <w:tcW w:w="2815" w:type="dxa"/>
            <w:noWrap/>
            <w:hideMark/>
          </w:tcPr>
          <w:p w14:paraId="145648B1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24.255 (5.343</w:t>
            </w:r>
            <w:r>
              <w:rPr>
                <w:rFonts w:ascii="Book Antiqua" w:eastAsia="SimSun" w:hAnsi="Book Antiqua" w:hint="eastAsia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</w:rPr>
              <w:t>110.115)</w:t>
            </w:r>
          </w:p>
        </w:tc>
        <w:tc>
          <w:tcPr>
            <w:tcW w:w="976" w:type="dxa"/>
            <w:noWrap/>
            <w:hideMark/>
          </w:tcPr>
          <w:p w14:paraId="4D2F6E5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 w:rsidR="00A12D59">
              <w:rPr>
                <w:rFonts w:ascii="Book Antiqua" w:eastAsia="SimSun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410F80B4" w14:textId="77777777" w:rsidTr="00A12D59">
        <w:trPr>
          <w:trHeight w:val="336"/>
        </w:trPr>
        <w:tc>
          <w:tcPr>
            <w:tcW w:w="2575" w:type="dxa"/>
            <w:noWrap/>
            <w:hideMark/>
          </w:tcPr>
          <w:p w14:paraId="1FE6BAC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Alcohol consumption</w:t>
            </w:r>
          </w:p>
        </w:tc>
        <w:tc>
          <w:tcPr>
            <w:tcW w:w="1235" w:type="dxa"/>
            <w:noWrap/>
            <w:hideMark/>
          </w:tcPr>
          <w:p w14:paraId="71973E8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0.743</w:t>
            </w:r>
          </w:p>
        </w:tc>
        <w:tc>
          <w:tcPr>
            <w:tcW w:w="1631" w:type="dxa"/>
            <w:noWrap/>
            <w:hideMark/>
          </w:tcPr>
          <w:p w14:paraId="5247892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0.308</w:t>
            </w:r>
          </w:p>
        </w:tc>
        <w:tc>
          <w:tcPr>
            <w:tcW w:w="2815" w:type="dxa"/>
            <w:noWrap/>
            <w:hideMark/>
          </w:tcPr>
          <w:p w14:paraId="1D658698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2.103 (1.151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3.844)</w:t>
            </w:r>
          </w:p>
        </w:tc>
        <w:tc>
          <w:tcPr>
            <w:tcW w:w="976" w:type="dxa"/>
            <w:noWrap/>
            <w:hideMark/>
          </w:tcPr>
          <w:p w14:paraId="5AE93E7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0.016</w:t>
            </w:r>
          </w:p>
        </w:tc>
      </w:tr>
    </w:tbl>
    <w:p w14:paraId="0AC948D1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</w:p>
    <w:p w14:paraId="66FB4214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282939">
        <w:rPr>
          <w:rFonts w:ascii="Book Antiqua" w:eastAsia="SimSun" w:hAnsi="Book Antiqua"/>
          <w:b/>
          <w:lang w:eastAsia="zh-CN"/>
        </w:rPr>
        <w:br w:type="page"/>
      </w:r>
      <w:r w:rsidRPr="00282939">
        <w:rPr>
          <w:rFonts w:ascii="Book Antiqua" w:eastAsia="SimSun" w:hAnsi="Book Antiqua"/>
          <w:b/>
          <w:lang w:eastAsia="zh-CN"/>
        </w:rPr>
        <w:lastRenderedPageBreak/>
        <w:t xml:space="preserve">Table 3 The relationship between endoscopic severity of </w:t>
      </w:r>
      <w:r w:rsidRPr="00282939">
        <w:rPr>
          <w:rFonts w:ascii="Book Antiqua" w:eastAsia="SimSun" w:hAnsi="Book Antiqua"/>
          <w:b/>
          <w:i/>
          <w:lang w:eastAsia="zh-CN"/>
        </w:rPr>
        <w:t>Candida</w:t>
      </w:r>
      <w:r w:rsidRPr="00282939">
        <w:rPr>
          <w:rFonts w:ascii="Book Antiqua" w:eastAsia="SimSun" w:hAnsi="Book Antiqua"/>
          <w:b/>
          <w:lang w:eastAsia="zh-CN"/>
        </w:rPr>
        <w:t xml:space="preserve"> esophagitis and clinical symptoms</w:t>
      </w:r>
    </w:p>
    <w:tbl>
      <w:tblPr>
        <w:tblW w:w="94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536"/>
        <w:gridCol w:w="1536"/>
        <w:gridCol w:w="1274"/>
        <w:gridCol w:w="1442"/>
        <w:gridCol w:w="1208"/>
      </w:tblGrid>
      <w:tr w:rsidR="00A12D59" w:rsidRPr="00A12D59" w14:paraId="707102A1" w14:textId="77777777" w:rsidTr="00A54A88">
        <w:trPr>
          <w:trHeight w:val="336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022F665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A6A6A6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Symptoms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536791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A6A6A6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Severity</w:t>
            </w:r>
            <w:r>
              <w:rPr>
                <w:rFonts w:ascii="Book Antiqua" w:eastAsia="SimSun" w:hAnsi="Book Antiqua" w:hint="eastAsia"/>
                <w:b/>
                <w:lang w:eastAsia="zh-CN"/>
              </w:rPr>
              <w:t xml:space="preserve"> (%)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2B90E93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  <w:i/>
                <w:iCs/>
              </w:rPr>
              <w:t>P</w:t>
            </w:r>
            <w:r w:rsidRPr="00A12D59">
              <w:rPr>
                <w:rFonts w:ascii="Book Antiqua" w:eastAsia="PMingLiU" w:hAnsi="Book Antiqua"/>
                <w:b/>
              </w:rPr>
              <w:t xml:space="preserve"> value</w:t>
            </w:r>
          </w:p>
        </w:tc>
      </w:tr>
      <w:tr w:rsidR="00A12D59" w:rsidRPr="00A12D59" w14:paraId="0CE24A83" w14:textId="77777777" w:rsidTr="00A54A88">
        <w:trPr>
          <w:trHeight w:val="324"/>
        </w:trPr>
        <w:tc>
          <w:tcPr>
            <w:tcW w:w="2480" w:type="dxa"/>
            <w:vMerge/>
            <w:tcBorders>
              <w:bottom w:val="single" w:sz="4" w:space="0" w:color="auto"/>
            </w:tcBorders>
            <w:noWrap/>
            <w:hideMark/>
          </w:tcPr>
          <w:p w14:paraId="3A7EC38A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205216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1</w:t>
            </w:r>
            <w:r w:rsidRPr="00A12D59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11)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F9DE5F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2</w:t>
            </w:r>
            <w:r w:rsidRPr="00A12D59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29)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4CE30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3</w:t>
            </w:r>
            <w:r w:rsidRPr="00A12D59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>n</w:t>
            </w:r>
            <w:r w:rsidRPr="00A12D59">
              <w:rPr>
                <w:rFonts w:ascii="Book Antiqua" w:eastAsia="PMingLiU" w:hAnsi="Book Antiqua"/>
                <w:b/>
              </w:rPr>
              <w:t xml:space="preserve"> = 6)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F6BBAA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4</w:t>
            </w:r>
            <w:r w:rsidRPr="00A12D59">
              <w:rPr>
                <w:rFonts w:ascii="Book Antiqua" w:eastAsia="SimSun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1)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noWrap/>
            <w:hideMark/>
          </w:tcPr>
          <w:p w14:paraId="6C8A3363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</w:tr>
      <w:tr w:rsidR="00282939" w:rsidRPr="00282939" w14:paraId="2FAC6564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60514C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Chest pain</w:t>
            </w:r>
          </w:p>
        </w:tc>
        <w:tc>
          <w:tcPr>
            <w:tcW w:w="1536" w:type="dxa"/>
            <w:noWrap/>
            <w:hideMark/>
          </w:tcPr>
          <w:p w14:paraId="29F6339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(27.3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652676BB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4 (13.8</w:t>
            </w:r>
            <w:r w:rsidR="00282939"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0FA5D15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675C64D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5E95B0C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0.564</w:t>
            </w:r>
          </w:p>
        </w:tc>
      </w:tr>
      <w:tr w:rsidR="00282939" w:rsidRPr="00282939" w14:paraId="49AAD1A6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03BA7AA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Abdominal pain</w:t>
            </w:r>
          </w:p>
        </w:tc>
        <w:tc>
          <w:tcPr>
            <w:tcW w:w="1536" w:type="dxa"/>
            <w:noWrap/>
            <w:hideMark/>
          </w:tcPr>
          <w:p w14:paraId="240043E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(9.1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393958E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(6.9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681425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67F2772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5BD3067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1.000</w:t>
            </w:r>
          </w:p>
        </w:tc>
      </w:tr>
      <w:tr w:rsidR="00282939" w:rsidRPr="00282939" w14:paraId="67046387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3939BAC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Dysphagia</w:t>
            </w:r>
          </w:p>
        </w:tc>
        <w:tc>
          <w:tcPr>
            <w:tcW w:w="1536" w:type="dxa"/>
            <w:noWrap/>
            <w:hideMark/>
          </w:tcPr>
          <w:p w14:paraId="76BF263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1E2A794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5E7B7C8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4264F1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(100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358FC1A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0.021</w:t>
            </w:r>
          </w:p>
        </w:tc>
      </w:tr>
      <w:tr w:rsidR="00282939" w:rsidRPr="00282939" w14:paraId="5FBEFA17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2E6B1FA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bookmarkStart w:id="120" w:name="_Hlk108959364"/>
            <w:r w:rsidRPr="00282939">
              <w:rPr>
                <w:rFonts w:ascii="Book Antiqua" w:eastAsia="PMingLiU" w:hAnsi="Book Antiqua"/>
              </w:rPr>
              <w:t>Globus</w:t>
            </w:r>
          </w:p>
        </w:tc>
        <w:tc>
          <w:tcPr>
            <w:tcW w:w="1536" w:type="dxa"/>
            <w:noWrap/>
            <w:hideMark/>
          </w:tcPr>
          <w:p w14:paraId="5EAA8CA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4FE1EE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2985BC8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0A9F09A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1240EC8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  <w:bookmarkEnd w:id="120"/>
      <w:tr w:rsidR="00282939" w:rsidRPr="00282939" w14:paraId="7DBA91A6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3C8D38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Acid reflux</w:t>
            </w:r>
          </w:p>
        </w:tc>
        <w:tc>
          <w:tcPr>
            <w:tcW w:w="1536" w:type="dxa"/>
            <w:noWrap/>
            <w:hideMark/>
          </w:tcPr>
          <w:p w14:paraId="10C2E83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20522F8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0BF67A2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09B90CC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1B2BE34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  <w:tr w:rsidR="00282939" w:rsidRPr="00282939" w14:paraId="19E8078E" w14:textId="77777777" w:rsidTr="00A12D59">
        <w:trPr>
          <w:trHeight w:val="336"/>
        </w:trPr>
        <w:tc>
          <w:tcPr>
            <w:tcW w:w="2480" w:type="dxa"/>
            <w:noWrap/>
            <w:hideMark/>
          </w:tcPr>
          <w:p w14:paraId="7972875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Odynophagia</w:t>
            </w:r>
          </w:p>
        </w:tc>
        <w:tc>
          <w:tcPr>
            <w:tcW w:w="1536" w:type="dxa"/>
            <w:noWrap/>
            <w:hideMark/>
          </w:tcPr>
          <w:p w14:paraId="39BFD09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0EB196D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4DF528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5116E1A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75DC279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</w:tbl>
    <w:p w14:paraId="75768682" w14:textId="77777777" w:rsidR="00282939" w:rsidRPr="00A12D59" w:rsidRDefault="00A12D59" w:rsidP="00282939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282939">
        <w:rPr>
          <w:rFonts w:ascii="Book Antiqua" w:eastAsia="PMingLiU" w:hAnsi="Book Antiqua"/>
        </w:rPr>
        <w:t>N/A</w:t>
      </w:r>
      <w:r>
        <w:rPr>
          <w:rFonts w:ascii="Book Antiqua" w:eastAsia="SimSun" w:hAnsi="Book Antiqua" w:hint="eastAsia"/>
          <w:lang w:eastAsia="zh-CN"/>
        </w:rPr>
        <w:t>: Not applicable.</w:t>
      </w:r>
    </w:p>
    <w:sectPr w:rsidR="00282939" w:rsidRPr="00A12D59" w:rsidSect="002F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7112" w14:textId="77777777" w:rsidR="00AB3C42" w:rsidRDefault="00AB3C42" w:rsidP="00B31ECE">
      <w:r>
        <w:separator/>
      </w:r>
    </w:p>
  </w:endnote>
  <w:endnote w:type="continuationSeparator" w:id="0">
    <w:p w14:paraId="300E706E" w14:textId="77777777" w:rsidR="00AB3C42" w:rsidRDefault="00AB3C42" w:rsidP="00B3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58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61EDB0" w14:textId="77777777" w:rsidR="004E70E5" w:rsidRDefault="004E70E5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3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3FB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86F2D" w14:textId="77777777" w:rsidR="004E70E5" w:rsidRDefault="004E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4F62" w14:textId="77777777" w:rsidR="00AB3C42" w:rsidRDefault="00AB3C42" w:rsidP="00B31ECE">
      <w:r>
        <w:separator/>
      </w:r>
    </w:p>
  </w:footnote>
  <w:footnote w:type="continuationSeparator" w:id="0">
    <w:p w14:paraId="22C46460" w14:textId="77777777" w:rsidR="00AB3C42" w:rsidRDefault="00AB3C42" w:rsidP="00B31E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2E60"/>
    <w:rsid w:val="001659D2"/>
    <w:rsid w:val="00175EFF"/>
    <w:rsid w:val="001B109D"/>
    <w:rsid w:val="001C6A9F"/>
    <w:rsid w:val="00267A6C"/>
    <w:rsid w:val="00282939"/>
    <w:rsid w:val="002A5662"/>
    <w:rsid w:val="002B66B3"/>
    <w:rsid w:val="002F10C1"/>
    <w:rsid w:val="002F4C03"/>
    <w:rsid w:val="00304B47"/>
    <w:rsid w:val="00417FE4"/>
    <w:rsid w:val="004E70E5"/>
    <w:rsid w:val="004F0424"/>
    <w:rsid w:val="00580CF5"/>
    <w:rsid w:val="00595D98"/>
    <w:rsid w:val="005B6F3C"/>
    <w:rsid w:val="00640287"/>
    <w:rsid w:val="006416A9"/>
    <w:rsid w:val="0066122A"/>
    <w:rsid w:val="006739C4"/>
    <w:rsid w:val="0068059B"/>
    <w:rsid w:val="006C2650"/>
    <w:rsid w:val="006D429B"/>
    <w:rsid w:val="00700E1B"/>
    <w:rsid w:val="007277C9"/>
    <w:rsid w:val="00734B8B"/>
    <w:rsid w:val="00785BD8"/>
    <w:rsid w:val="007B4275"/>
    <w:rsid w:val="00803D84"/>
    <w:rsid w:val="008A4F68"/>
    <w:rsid w:val="00947E6A"/>
    <w:rsid w:val="00950195"/>
    <w:rsid w:val="00951673"/>
    <w:rsid w:val="009A41BE"/>
    <w:rsid w:val="009A4DDF"/>
    <w:rsid w:val="00A12D59"/>
    <w:rsid w:val="00A54A88"/>
    <w:rsid w:val="00A55D5A"/>
    <w:rsid w:val="00A77B3E"/>
    <w:rsid w:val="00A90D3F"/>
    <w:rsid w:val="00AB3C42"/>
    <w:rsid w:val="00B31ECE"/>
    <w:rsid w:val="00B33574"/>
    <w:rsid w:val="00BF0336"/>
    <w:rsid w:val="00C01967"/>
    <w:rsid w:val="00C444A6"/>
    <w:rsid w:val="00C813FB"/>
    <w:rsid w:val="00CA2A55"/>
    <w:rsid w:val="00D82CD9"/>
    <w:rsid w:val="00E14DB2"/>
    <w:rsid w:val="00E765F6"/>
    <w:rsid w:val="00E846A8"/>
    <w:rsid w:val="00EB05A4"/>
    <w:rsid w:val="00EF140D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6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31ECE"/>
  </w:style>
  <w:style w:type="paragraph" w:styleId="Footer">
    <w:name w:val="footer"/>
    <w:basedOn w:val="Normal"/>
    <w:link w:val="FooterChar"/>
    <w:uiPriority w:val="99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1ECE"/>
  </w:style>
  <w:style w:type="paragraph" w:styleId="NormalWeb">
    <w:name w:val="Normal (Web)"/>
    <w:basedOn w:val="Normal"/>
    <w:uiPriority w:val="99"/>
    <w:semiHidden/>
    <w:unhideWhenUsed/>
    <w:rsid w:val="00E14DB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Revision">
    <w:name w:val="Revision"/>
    <w:hidden/>
    <w:uiPriority w:val="99"/>
    <w:semiHidden/>
    <w:rsid w:val="00951673"/>
    <w:rPr>
      <w:sz w:val="24"/>
      <w:szCs w:val="24"/>
    </w:rPr>
  </w:style>
  <w:style w:type="paragraph" w:styleId="BalloonText">
    <w:name w:val="Balloon Text"/>
    <w:basedOn w:val="Normal"/>
    <w:link w:val="BalloonTextChar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6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31ECE"/>
  </w:style>
  <w:style w:type="paragraph" w:styleId="Footer">
    <w:name w:val="footer"/>
    <w:basedOn w:val="Normal"/>
    <w:link w:val="FooterChar"/>
    <w:uiPriority w:val="99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1ECE"/>
  </w:style>
  <w:style w:type="paragraph" w:styleId="NormalWeb">
    <w:name w:val="Normal (Web)"/>
    <w:basedOn w:val="Normal"/>
    <w:uiPriority w:val="99"/>
    <w:semiHidden/>
    <w:unhideWhenUsed/>
    <w:rsid w:val="00E14DB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Revision">
    <w:name w:val="Revision"/>
    <w:hidden/>
    <w:uiPriority w:val="99"/>
    <w:semiHidden/>
    <w:rsid w:val="00951673"/>
    <w:rPr>
      <w:sz w:val="24"/>
      <w:szCs w:val="24"/>
    </w:rPr>
  </w:style>
  <w:style w:type="paragraph" w:styleId="BalloonText">
    <w:name w:val="Balloon Text"/>
    <w:basedOn w:val="Normal"/>
    <w:link w:val="BalloonTextChar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E7BA-63EC-460B-8CCC-7B9FFAB2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秉毅許</dc:creator>
  <cp:lastModifiedBy>jrw</cp:lastModifiedBy>
  <cp:revision>2</cp:revision>
  <dcterms:created xsi:type="dcterms:W3CDTF">2022-09-12T08:42:00Z</dcterms:created>
  <dcterms:modified xsi:type="dcterms:W3CDTF">2022-09-12T08:42:00Z</dcterms:modified>
</cp:coreProperties>
</file>