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76174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Simple approach for the histomolecular diagnosis of central nervous system gliomas based on 2021 World Health Organization Classification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Kurdi M </w:t>
      </w:r>
      <w:r>
        <w:rPr>
          <w:rFonts w:ascii="Book Antiqua" w:hAnsi="Book Antiqua" w:eastAsia="Book Antiqua" w:cs="Book Antiqua"/>
          <w:i/>
          <w:iCs/>
          <w:color w:val="000000"/>
        </w:rPr>
        <w:t>et al</w:t>
      </w:r>
      <w:r>
        <w:rPr>
          <w:rFonts w:ascii="Book Antiqua" w:hAnsi="Book Antiqua" w:eastAsia="Book Antiqua" w:cs="Book Antiqua"/>
          <w:color w:val="000000"/>
        </w:rPr>
        <w:t>. CNS gliomas based on 2021 WHO classification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Maher Kurdi, Rana H Moshref, Yousef Katib, Eyad Faizo, Ahmed A Najjar, Basem Bahakeem, Ahmed K Bamaga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Maher Kurdi, </w:t>
      </w:r>
      <w:r>
        <w:rPr>
          <w:rFonts w:ascii="Book Antiqua" w:hAnsi="Book Antiqua" w:eastAsia="Book Antiqua" w:cs="Book Antiqua"/>
          <w:color w:val="000000"/>
        </w:rPr>
        <w:t>Department of Pathology, Faculty of Medicine, King Abdulaziz University, Jeddah 213733, Saudi Arabia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Rana H Moshref, </w:t>
      </w:r>
      <w:r>
        <w:rPr>
          <w:rFonts w:ascii="Book Antiqua" w:hAnsi="Book Antiqua" w:eastAsia="Book Antiqua" w:cs="Book Antiqua"/>
          <w:color w:val="000000"/>
        </w:rPr>
        <w:t>Department of Neurosciences, King Faisal Specialist Hospital and Research Center, Jeddah</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213733, Saudi Arabia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Yousef Katib, </w:t>
      </w:r>
      <w:r>
        <w:rPr>
          <w:rFonts w:ascii="Book Antiqua" w:hAnsi="Book Antiqua" w:eastAsia="Book Antiqua" w:cs="Book Antiqua"/>
          <w:color w:val="000000"/>
        </w:rPr>
        <w:t>Department of Radiology, Faculty of Medicine, Taibah University, Almadinah Almunawwarah 213733, Saudi Arabia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Eyad Faizo, </w:t>
      </w:r>
      <w:r>
        <w:rPr>
          <w:rFonts w:ascii="Book Antiqua" w:hAnsi="Book Antiqua" w:eastAsia="Book Antiqua" w:cs="Book Antiqua"/>
          <w:color w:val="000000"/>
        </w:rPr>
        <w:t>Division of Neurosurgery, Department of Surgery, Faculty of Medicine, Tabuk University, Tabuk 213733, Saudi Arabia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Ahmed A Najjar, </w:t>
      </w:r>
      <w:r>
        <w:rPr>
          <w:rFonts w:ascii="Book Antiqua" w:hAnsi="Book Antiqua" w:eastAsia="Book Antiqua" w:cs="Book Antiqua"/>
          <w:color w:val="000000"/>
        </w:rPr>
        <w:t>College of Medicine, Taibah University, Almadinah Almunawwarah 213733, Saudi Arabia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Basem Bahakeem, </w:t>
      </w:r>
      <w:r>
        <w:rPr>
          <w:rFonts w:ascii="Book Antiqua" w:hAnsi="Book Antiqua" w:eastAsia="Book Antiqua" w:cs="Book Antiqua"/>
          <w:color w:val="000000"/>
        </w:rPr>
        <w:t>Faculty of Medicine, Umm-Alqura University, Makkah 213733, Saudi Arabia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Ahmed K Bamaga, </w:t>
      </w:r>
      <w:r>
        <w:rPr>
          <w:rFonts w:ascii="Book Antiqua" w:hAnsi="Book Antiqua" w:eastAsia="Book Antiqua" w:cs="Book Antiqua"/>
          <w:color w:val="000000"/>
        </w:rPr>
        <w:t>Department of Pediatric, Neuromuscular Medicine Unit, Faculty of Medicine and King Abdulaziz University Hospital, King Abdulaziz University, Jeddah</w:t>
      </w:r>
      <w:r>
        <w:t xml:space="preserve"> </w:t>
      </w:r>
      <w:r>
        <w:rPr>
          <w:rFonts w:ascii="Book Antiqua" w:hAnsi="Book Antiqua" w:eastAsia="Book Antiqua" w:cs="Book Antiqua"/>
          <w:color w:val="000000"/>
        </w:rPr>
        <w:t>213733, Saudi Arabia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Kurdi M</w:t>
      </w:r>
      <w:r>
        <w:rPr>
          <w:rFonts w:ascii="Book Antiqua" w:hAnsi="Book Antiqua" w:eastAsia="Book Antiqua" w:cs="Book Antiqua"/>
          <w:color w:val="000000"/>
          <w:shd w:val="clear" w:color="auto" w:fill="FCFCFC"/>
        </w:rPr>
        <w:t xml:space="preserve">, </w:t>
      </w:r>
      <w:r>
        <w:rPr>
          <w:rFonts w:ascii="Book Antiqua" w:hAnsi="Book Antiqua" w:eastAsia="Book Antiqua" w:cs="Book Antiqua"/>
          <w:color w:val="000000"/>
        </w:rPr>
        <w:t>Moshref H R edited and wrote the paper; Katib Y, Faizo E, Najjar A, Bahakeem B, and Bamaga AK helped in writing the paper; All authors have read and approved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Maher Kurdi, FRCPC, MD, Associate Professor, </w:t>
      </w:r>
      <w:r>
        <w:rPr>
          <w:rFonts w:ascii="Book Antiqua" w:hAnsi="Book Antiqua" w:eastAsia="Book Antiqua" w:cs="Book Antiqua"/>
          <w:color w:val="000000"/>
        </w:rPr>
        <w:t>Department of Pathology, Faculty of Medicine, King Abdulaziz University, Kingdom of Saudi Arabia, Jeddah 213733, Saudi Arabia. ahkurdi@kau.edu.sa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5,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April 24,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22,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autoSpaceDE w:val="0"/>
        <w:autoSpaceDN w:val="0"/>
        <w:adjustRightInd w:val="0"/>
        <w:spacing w:line="360" w:lineRule="auto"/>
        <w:jc w:val="both"/>
        <w:rPr>
          <w:rFonts w:ascii="Book Antiqua" w:hAnsi="Book Antiqua"/>
        </w:rPr>
      </w:pPr>
      <w:bookmarkStart w:id="0" w:name="_Hlk64315893"/>
      <w:r>
        <w:rPr>
          <w:rFonts w:ascii="Book Antiqua" w:hAnsi="Book Antiqua"/>
        </w:rPr>
        <w:t>The classification of central nervous system (CNS) glioma went through a sequence of developments, between 2006 and 2021, started with only histological approach then has been aided with a major emphasis on molecular signatures in the 4th and 5th editions of the World Health Organization (WHO). The recent reformation in the 5th edition of the WHO classification has focused more on the molecularly defined entities with better characterized natural histories as well as new tumor types and subtypes in the adult and pediatric populations. These new subclassified entities have been incorporated in the 5</w:t>
      </w:r>
      <w:r>
        <w:rPr>
          <w:rFonts w:ascii="Book Antiqua" w:hAnsi="Book Antiqua"/>
          <w:vertAlign w:val="superscript"/>
        </w:rPr>
        <w:t>th</w:t>
      </w:r>
      <w:r>
        <w:rPr>
          <w:rFonts w:ascii="Book Antiqua" w:hAnsi="Book Antiqua"/>
        </w:rPr>
        <w:t xml:space="preserve"> edition after the continuous exploration of new genomic, epigenomic and transcriptomic discovery. Indeed, the current guidelines of 2021 WHO classification of CNS tumors and European Association of Neuro-Oncology (EANO) exploited the molecular signatures in the diagnostic approach of CNS gliomas.</w:t>
      </w:r>
      <w:r>
        <w:rPr>
          <w:rFonts w:ascii="Book Antiqua" w:hAnsi="Book Antiqua"/>
          <w:lang w:eastAsia="zh-CN"/>
        </w:rPr>
        <w:t xml:space="preserve"> </w:t>
      </w:r>
      <w:r>
        <w:rPr>
          <w:rFonts w:ascii="Book Antiqua" w:hAnsi="Book Antiqua"/>
        </w:rPr>
        <w:t>Our current review presents a practical diagnostic approach for diffuse CNS gliomas and circumscribed astrocytomas using histomolecular criteria adopted by the recent WHO classification. We also describe the treatment strategies for these tumors based on EANO guidelines.</w:t>
      </w:r>
    </w:p>
    <w:bookmarkEnd w:id="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Central Nervous System glioma; Classification; World Health Organization 2021; European Association of Neuro-Oncology guidelines</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Kurdi M, Moshref RH, Katib Y, Faizo E, Najjar AA, Bahakeem B, Bamaga AK. Simple approach for the histomolecular diagnosis of central nervous system gliomas based on 2021 World Health Organization Classification.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bidi="ar-SA"/>
        </w:rPr>
        <w:t>567-576</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567</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567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Central nervous system (CNS) gliomas went through a sequence of development since 2006. The guidelines of 2021 World Health Organization (WHO) classification of CNS tumors and European Association of Neuro-Oncology (EANO) utilized molecular signatures in the diagnostic approach for CNS gliomas. We herein presents a practical diagnostic approach and the treatment strategies for diffuse CNS gliomas and circumscribed astrocytomas using histomolecular criteria based on the WHO classification.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cstheme="majorBidi"/>
        </w:rPr>
      </w:pPr>
      <w:r>
        <w:rPr>
          <w:rFonts w:ascii="Book Antiqua" w:hAnsi="Book Antiqua" w:cstheme="majorBidi"/>
        </w:rPr>
        <w:t>Brain tumors are defined as masses derived from various cells originating from the brain (primary tumors) or distally (secondary tumors, most commonly lung, breast, renal, prostate, and skin cancers) that have undergone metastatic spread</w:t>
      </w:r>
      <w:r>
        <w:rPr>
          <w:rFonts w:ascii="Book Antiqua" w:hAnsi="Book Antiqua" w:cstheme="majorBidi"/>
          <w:vertAlign w:val="superscript"/>
        </w:rPr>
        <w:t>[1]</w:t>
      </w:r>
      <w:r>
        <w:rPr>
          <w:rFonts w:ascii="Book Antiqua" w:hAnsi="Book Antiqua" w:cstheme="majorBidi"/>
        </w:rPr>
        <w:t xml:space="preserve">. The most prevalent </w:t>
      </w:r>
      <w:r>
        <w:rPr>
          <w:rFonts w:ascii="Book Antiqua" w:hAnsi="Book Antiqua" w:cstheme="majorBidi"/>
          <w:color w:val="000000" w:themeColor="text1"/>
          <w14:textFill>
            <w14:solidFill>
              <w14:schemeClr w14:val="tx1"/>
            </w14:solidFill>
          </w14:textFill>
        </w:rPr>
        <w:t xml:space="preserve">primary </w:t>
      </w:r>
      <w:r>
        <w:rPr>
          <w:rFonts w:ascii="Book Antiqua" w:hAnsi="Book Antiqua" w:cstheme="majorBidi"/>
        </w:rPr>
        <w:t>intracranial tumors are gliomas, with 80% of the population, and World Health Organization (WHO) grade 4 astrocytoma (previously named glioblastoma) is present in nearly one-half of the patients with astrocytoma, with a 95% mortality rate in a 5-year follow-up period irrespective of age and gender</w:t>
      </w:r>
      <w:r>
        <w:rPr>
          <w:rFonts w:ascii="Book Antiqua" w:hAnsi="Book Antiqua" w:cstheme="majorBidi"/>
          <w:vertAlign w:val="superscript"/>
        </w:rPr>
        <w:t>[</w:t>
      </w:r>
      <w:r>
        <w:rPr>
          <w:rFonts w:ascii="Book Antiqua" w:hAnsi="Book Antiqua" w:cstheme="majorBidi"/>
          <w:color w:val="000000" w:themeColor="text1"/>
          <w:vertAlign w:val="superscript"/>
          <w14:textFill>
            <w14:solidFill>
              <w14:schemeClr w14:val="tx1"/>
            </w14:solidFill>
          </w14:textFill>
        </w:rPr>
        <w:t>2,3</w:t>
      </w:r>
      <w:r>
        <w:rPr>
          <w:rFonts w:ascii="Book Antiqua" w:hAnsi="Book Antiqua" w:cstheme="majorBidi"/>
          <w:vertAlign w:val="superscript"/>
        </w:rPr>
        <w:t>,4]</w:t>
      </w:r>
      <w:r>
        <w:rPr>
          <w:rFonts w:ascii="Book Antiqua" w:hAnsi="Book Antiqua" w:cstheme="majorBidi"/>
        </w:rPr>
        <w:t>. Gliomas usually present with headache, nausea and vomiting, blurred vision, focal neurological deficit, alteration in sensation, and other manifestations of high intracranial pressure that warrant investigation by neuroimaging, preferably magnetic resonance imaging (MRI) of the brain</w:t>
      </w:r>
      <w:r>
        <w:rPr>
          <w:rFonts w:ascii="Book Antiqua" w:hAnsi="Book Antiqua" w:cstheme="majorBidi"/>
          <w:vertAlign w:val="superscript"/>
        </w:rPr>
        <w:t>[5]</w:t>
      </w:r>
      <w:r>
        <w:rPr>
          <w:rFonts w:ascii="Book Antiqua" w:hAnsi="Book Antiqua" w:cstheme="majorBidi"/>
        </w:rPr>
        <w:t>. In imaging, cystic change, multicentric enhancement, and hemorrhage are commonly observed</w:t>
      </w:r>
      <w:r>
        <w:rPr>
          <w:rFonts w:ascii="Book Antiqua" w:hAnsi="Book Antiqua" w:cstheme="majorBidi"/>
          <w:vertAlign w:val="superscript"/>
        </w:rPr>
        <w:t>[6]</w:t>
      </w:r>
      <w:r>
        <w:rPr>
          <w:rFonts w:ascii="Book Antiqua" w:hAnsi="Book Antiqua" w:cstheme="majorBidi"/>
        </w:rPr>
        <w:t>. Therefore, histopathological examination is considered the gold standard method for diagnosing and grading the tumors.</w:t>
      </w:r>
    </w:p>
    <w:p>
      <w:pPr>
        <w:spacing w:line="360" w:lineRule="auto"/>
        <w:ind w:firstLine="480" w:firstLineChars="200"/>
        <w:jc w:val="both"/>
        <w:rPr>
          <w:rFonts w:ascii="Book Antiqua" w:hAnsi="Book Antiqua" w:cstheme="majorBidi"/>
        </w:rPr>
      </w:pPr>
      <w:r>
        <w:rPr>
          <w:rFonts w:ascii="Book Antiqua" w:hAnsi="Book Antiqua" w:cstheme="majorBidi"/>
        </w:rPr>
        <w:t>According to the WHO classification, central nervous system (CNS) gliomas can be classified based on their histological and molecular features</w:t>
      </w:r>
      <w:r>
        <w:rPr>
          <w:rFonts w:ascii="Book Antiqua" w:hAnsi="Book Antiqua" w:cstheme="majorBidi"/>
          <w:vertAlign w:val="superscript"/>
        </w:rPr>
        <w:t>[1]</w:t>
      </w:r>
      <w:r>
        <w:rPr>
          <w:rFonts w:ascii="Book Antiqua" w:hAnsi="Book Antiqua" w:cstheme="majorBidi"/>
        </w:rPr>
        <w:t>. The classification initially includes diffuse and non-diffuse gliomas, and it has undergone significant changes since its establishment to the 4th edition in 2016, aided by molecular signatures</w:t>
      </w:r>
      <w:r>
        <w:rPr>
          <w:rFonts w:ascii="Book Antiqua" w:hAnsi="Book Antiqua" w:cstheme="majorBidi"/>
          <w:vertAlign w:val="superscript"/>
        </w:rPr>
        <w:t>[2]</w:t>
      </w:r>
      <w:r>
        <w:rPr>
          <w:rFonts w:ascii="Book Antiqua" w:hAnsi="Book Antiqua" w:cstheme="majorBidi"/>
        </w:rPr>
        <w:t>. The recent 5th edition of the WHO classification has replaced the entity with type and variant with (subtype) group. In addition, the WHO classification has adopted Arabic numerical over the former Roman numerical grading system for grading brain gliomas for easier reading and to avoid confusion when interpreting pathology reports</w:t>
      </w:r>
      <w:r>
        <w:rPr>
          <w:rFonts w:ascii="Book Antiqua" w:hAnsi="Book Antiqua" w:cstheme="majorBidi"/>
          <w:vertAlign w:val="superscript"/>
        </w:rPr>
        <w:t>[7]</w:t>
      </w:r>
      <w:r>
        <w:rPr>
          <w:rFonts w:ascii="Book Antiqua" w:hAnsi="Book Antiqua" w:cstheme="majorBidi"/>
        </w:rPr>
        <w:t>. However, using the Roman numerical grading system is still considered acceptable. Some of the most important changes in the 5th edition involve the classification of gliomas, differentiating gliomas that occur primarily in adults from those that occur mainly in children</w:t>
      </w:r>
      <w:r>
        <w:rPr>
          <w:rFonts w:ascii="Book Antiqua" w:hAnsi="Book Antiqua" w:cstheme="majorBidi"/>
          <w:vertAlign w:val="superscript"/>
        </w:rPr>
        <w:t>[8]</w:t>
      </w:r>
      <w:r>
        <w:rPr>
          <w:rFonts w:ascii="Book Antiqua" w:hAnsi="Book Antiqua" w:cstheme="majorBidi"/>
        </w:rPr>
        <w:t>. Gliomas are traditionally subclassified into three major categories: diffuse gliomas, pediatric diffuse low- and high-grade gliomas, and circumscribed astrocytic gliomas (</w:t>
      </w:r>
      <w:r>
        <w:rPr>
          <w:rFonts w:ascii="Book Antiqua" w:hAnsi="Book Antiqua" w:cstheme="majorBidi"/>
          <w:bCs/>
        </w:rPr>
        <w:t>Figure 1</w:t>
      </w:r>
      <w:r>
        <w:rPr>
          <w:rFonts w:ascii="Book Antiqua" w:hAnsi="Book Antiqua" w:cstheme="majorBidi"/>
        </w:rPr>
        <w:t>). In addition, glioneuronal tumors, neuronal tumors, and ependymomas were also included in the classification as separate types</w:t>
      </w:r>
      <w:r>
        <w:rPr>
          <w:rFonts w:ascii="Book Antiqua" w:hAnsi="Book Antiqua" w:cstheme="majorBidi"/>
          <w:vertAlign w:val="superscript"/>
        </w:rPr>
        <w:t>[7,8]</w:t>
      </w:r>
      <w:r>
        <w:rPr>
          <w:rFonts w:ascii="Book Antiqua" w:hAnsi="Book Antiqua" w:cstheme="majorBidi"/>
        </w:rPr>
        <w:t>.</w:t>
      </w:r>
    </w:p>
    <w:p>
      <w:pPr>
        <w:spacing w:line="360" w:lineRule="auto"/>
        <w:ind w:firstLine="480" w:firstLineChars="200"/>
        <w:jc w:val="both"/>
        <w:rPr>
          <w:rFonts w:ascii="Book Antiqua" w:hAnsi="Book Antiqua" w:cstheme="majorBidi"/>
        </w:rPr>
      </w:pPr>
      <w:r>
        <w:rPr>
          <w:rFonts w:ascii="Book Antiqua" w:hAnsi="Book Antiqua" w:cstheme="majorBidi"/>
        </w:rPr>
        <w:t>Further propositions of the 2021 WHO classification of CNS tumors was adapted by the Consortium to Inform Molecular and Practical Approaches to CNS Tumor Taxonomy</w:t>
      </w:r>
      <w:r>
        <w:rPr>
          <w:rFonts w:hint="eastAsia" w:ascii="Book Antiqua" w:hAnsi="Book Antiqua" w:cstheme="majorBidi"/>
          <w:lang w:val="en-US" w:eastAsia="zh-CN"/>
        </w:rPr>
        <w:t>-</w:t>
      </w:r>
      <w:r>
        <w:rPr>
          <w:rFonts w:ascii="Book Antiqua" w:hAnsi="Book Antiqua" w:cstheme="majorBidi"/>
        </w:rPr>
        <w:t>Not Officially WHO (cIMPACT-NOW), published in 2020/2021. Moreover, they included various molecular genomic studies, including methylation profiling, isocitrate dehydrogenase (</w:t>
      </w:r>
      <w:r>
        <w:rPr>
          <w:rFonts w:ascii="Book Antiqua" w:hAnsi="Book Antiqua" w:cstheme="majorBidi"/>
          <w:i/>
          <w:iCs/>
        </w:rPr>
        <w:t>IDH1-2</w:t>
      </w:r>
      <w:r>
        <w:rPr>
          <w:rFonts w:ascii="Book Antiqua" w:hAnsi="Book Antiqua" w:cstheme="majorBidi"/>
        </w:rPr>
        <w:t>) codon mutation, and alpha-thalassemia-mental retardation X-chromosome (</w:t>
      </w:r>
      <w:r>
        <w:rPr>
          <w:rFonts w:ascii="Book Antiqua" w:hAnsi="Book Antiqua" w:cstheme="majorBidi"/>
          <w:i/>
          <w:iCs/>
        </w:rPr>
        <w:t>ATRX</w:t>
      </w:r>
      <w:r>
        <w:rPr>
          <w:rFonts w:ascii="Book Antiqua" w:hAnsi="Book Antiqua" w:cstheme="majorBidi"/>
        </w:rPr>
        <w:t>) mutation. This genomic profiling has affected such tumors' management and treatment modalities</w:t>
      </w:r>
      <w:r>
        <w:rPr>
          <w:rFonts w:ascii="Book Antiqua" w:hAnsi="Book Antiqua" w:cstheme="majorBidi"/>
          <w:vertAlign w:val="superscript"/>
        </w:rPr>
        <w:t>[9]</w:t>
      </w:r>
      <w:r>
        <w:rPr>
          <w:rFonts w:ascii="Book Antiqua" w:hAnsi="Book Antiqua" w:cstheme="majorBidi"/>
        </w:rPr>
        <w:t xml:space="preserve">. Moreover, three major subtypes of diffuse gliomas have been emphasized, based on molecular genomic signatures, including </w:t>
      </w:r>
      <w:r>
        <w:rPr>
          <w:rFonts w:ascii="Book Antiqua" w:hAnsi="Book Antiqua" w:cstheme="majorBidi"/>
          <w:i/>
          <w:iCs/>
        </w:rPr>
        <w:t>IDH</w:t>
      </w:r>
      <w:r>
        <w:rPr>
          <w:rFonts w:ascii="Book Antiqua" w:hAnsi="Book Antiqua" w:cstheme="majorBidi"/>
        </w:rPr>
        <w:t xml:space="preserve">-mutant oligodendroglioma with 1p/19q codeletion, </w:t>
      </w:r>
      <w:r>
        <w:rPr>
          <w:rFonts w:ascii="Book Antiqua" w:hAnsi="Book Antiqua" w:cstheme="majorBidi"/>
          <w:i/>
          <w:iCs/>
        </w:rPr>
        <w:t>IDH</w:t>
      </w:r>
      <w:r>
        <w:rPr>
          <w:rFonts w:ascii="Book Antiqua" w:hAnsi="Book Antiqua" w:cstheme="majorBidi"/>
        </w:rPr>
        <w:t xml:space="preserve">-mutant astrocytoma, and </w:t>
      </w:r>
      <w:r>
        <w:rPr>
          <w:rFonts w:ascii="Book Antiqua" w:hAnsi="Book Antiqua" w:cstheme="majorBidi"/>
          <w:i/>
          <w:iCs/>
        </w:rPr>
        <w:t>IDH</w:t>
      </w:r>
      <w:r>
        <w:rPr>
          <w:rFonts w:ascii="Book Antiqua" w:hAnsi="Book Antiqua" w:cstheme="majorBidi"/>
        </w:rPr>
        <w:t>-wild-type glioblastoma</w:t>
      </w:r>
      <w:r>
        <w:rPr>
          <w:rFonts w:ascii="Book Antiqua" w:hAnsi="Book Antiqua" w:cstheme="majorBidi"/>
          <w:vertAlign w:val="superscript"/>
        </w:rPr>
        <w:t>[8]</w:t>
      </w:r>
      <w:r>
        <w:rPr>
          <w:rFonts w:ascii="Book Antiqua" w:hAnsi="Book Antiqua" w:cstheme="majorBidi"/>
        </w:rPr>
        <w:t>.</w:t>
      </w:r>
    </w:p>
    <w:p>
      <w:pPr>
        <w:spacing w:line="360" w:lineRule="auto"/>
        <w:ind w:firstLine="480" w:firstLineChars="200"/>
        <w:jc w:val="both"/>
        <w:rPr>
          <w:rFonts w:ascii="Book Antiqua" w:hAnsi="Book Antiqua" w:cstheme="majorBidi"/>
        </w:rPr>
      </w:pPr>
      <w:r>
        <w:rPr>
          <w:rFonts w:ascii="Book Antiqua" w:hAnsi="Book Antiqua" w:cstheme="majorBidi"/>
        </w:rPr>
        <w:t>In this review, we presented a simple and practical diagnostic approach using histomolecular characteristics to define diffuse CNS gliomas accurately. We also associated the newly published 5th edition of the 2021 WHO classification with the current and updated European Association of Neuro-Oncology (EANO) treatment guidelines.</w:t>
      </w:r>
    </w:p>
    <w:p>
      <w:pPr>
        <w:spacing w:line="360" w:lineRule="auto"/>
        <w:jc w:val="both"/>
        <w:rPr>
          <w:rFonts w:ascii="Book Antiqua" w:hAnsi="Book Antiqua" w:cstheme="majorBidi"/>
        </w:rPr>
      </w:pPr>
    </w:p>
    <w:p>
      <w:pPr>
        <w:spacing w:line="360" w:lineRule="auto"/>
        <w:jc w:val="both"/>
        <w:rPr>
          <w:rFonts w:ascii="Book Antiqua" w:hAnsi="Book Antiqua" w:cstheme="majorBidi"/>
          <w:b/>
          <w:bCs/>
          <w:u w:val="single"/>
        </w:rPr>
      </w:pPr>
      <w:r>
        <w:rPr>
          <w:rFonts w:ascii="Book Antiqua" w:hAnsi="Book Antiqua" w:cstheme="majorBidi"/>
          <w:b/>
          <w:bCs/>
          <w:u w:val="single"/>
        </w:rPr>
        <w:t>DISCUSSION</w:t>
      </w:r>
    </w:p>
    <w:p>
      <w:pPr>
        <w:autoSpaceDE w:val="0"/>
        <w:autoSpaceDN w:val="0"/>
        <w:adjustRightInd w:val="0"/>
        <w:spacing w:line="360" w:lineRule="auto"/>
        <w:jc w:val="both"/>
        <w:rPr>
          <w:rFonts w:ascii="Book Antiqua" w:hAnsi="Book Antiqua" w:cstheme="majorBidi"/>
        </w:rPr>
      </w:pPr>
      <w:r>
        <w:rPr>
          <w:rFonts w:ascii="Book Antiqua" w:hAnsi="Book Antiqua" w:cstheme="majorBidi"/>
          <w:color w:val="000000" w:themeColor="text1"/>
          <w14:textFill>
            <w14:solidFill>
              <w14:schemeClr w14:val="tx1"/>
            </w14:solidFill>
          </w14:textFill>
        </w:rPr>
        <w:t>Before 2016, the classification of CNS tumors was established based on histological findings and immunohistochemical tests. Between 2016 and 2021, molecular biomarkers were incorporated into the diagnostic criteria to differentiate CNS tumors into clustered groups</w:t>
      </w:r>
      <w:r>
        <w:rPr>
          <w:rFonts w:ascii="Book Antiqua" w:hAnsi="Book Antiqua" w:cstheme="majorBidi"/>
          <w:color w:val="000000" w:themeColor="text1"/>
          <w:vertAlign w:val="superscript"/>
          <w14:textFill>
            <w14:solidFill>
              <w14:schemeClr w14:val="tx1"/>
            </w14:solidFill>
          </w14:textFill>
        </w:rPr>
        <w:t>[7,9]</w:t>
      </w:r>
      <w:r>
        <w:rPr>
          <w:rFonts w:ascii="Book Antiqua" w:hAnsi="Book Antiqua" w:cstheme="majorBidi"/>
          <w:color w:val="000000" w:themeColor="text1"/>
          <w14:textFill>
            <w14:solidFill>
              <w14:schemeClr w14:val="tx1"/>
            </w14:solidFill>
          </w14:textFill>
        </w:rPr>
        <w:t xml:space="preserve">. The current 5th edition of </w:t>
      </w:r>
      <w:r>
        <w:rPr>
          <w:rFonts w:ascii="Book Antiqua" w:hAnsi="Book Antiqua" w:cstheme="majorBidi"/>
          <w:color w:val="000000"/>
        </w:rPr>
        <w:t xml:space="preserve">the 2021 </w:t>
      </w:r>
      <w:r>
        <w:rPr>
          <w:rFonts w:ascii="Book Antiqua" w:hAnsi="Book Antiqua" w:cstheme="majorBidi"/>
          <w:color w:val="000000" w:themeColor="text1"/>
          <w14:textFill>
            <w14:solidFill>
              <w14:schemeClr w14:val="tx1"/>
            </w14:solidFill>
          </w14:textFill>
        </w:rPr>
        <w:t xml:space="preserve">WHO classification does </w:t>
      </w:r>
      <w:r>
        <w:rPr>
          <w:rFonts w:ascii="Book Antiqua" w:hAnsi="Book Antiqua" w:cstheme="majorBidi"/>
        </w:rPr>
        <w:t xml:space="preserve">not recommend a specific assessment method to identify molecular alterations unless a distinct tumor subtype is in the differential diagnosis. The cIMPACT-NOW has emphasized the confirmatory diagnosis of astrocytoma with the </w:t>
      </w:r>
      <w:r>
        <w:rPr>
          <w:rFonts w:ascii="Book Antiqua" w:hAnsi="Book Antiqua" w:cstheme="majorBidi"/>
          <w:color w:val="000000" w:themeColor="text1"/>
          <w14:textFill>
            <w14:solidFill>
              <w14:schemeClr w14:val="tx1"/>
            </w14:solidFill>
          </w14:textFill>
        </w:rPr>
        <w:t xml:space="preserve">presence of </w:t>
      </w:r>
      <w:r>
        <w:rPr>
          <w:rFonts w:ascii="Book Antiqua" w:hAnsi="Book Antiqua" w:cstheme="majorBidi"/>
          <w:i/>
          <w:iCs/>
          <w:color w:val="000000" w:themeColor="text1"/>
          <w14:textFill>
            <w14:solidFill>
              <w14:schemeClr w14:val="tx1"/>
            </w14:solidFill>
          </w14:textFill>
        </w:rPr>
        <w:t>IDH</w:t>
      </w:r>
      <w:r>
        <w:rPr>
          <w:rFonts w:ascii="Book Antiqua" w:hAnsi="Book Antiqua" w:cstheme="majorBidi"/>
          <w:color w:val="000000" w:themeColor="text1"/>
          <w14:textFill>
            <w14:solidFill>
              <w14:schemeClr w14:val="tx1"/>
            </w14:solidFill>
          </w14:textFill>
        </w:rPr>
        <w:t xml:space="preserve"> mutation or wild type, </w:t>
      </w:r>
      <w:r>
        <w:rPr>
          <w:rFonts w:ascii="Book Antiqua" w:hAnsi="Book Antiqua" w:cstheme="majorBidi"/>
          <w:i/>
          <w:iCs/>
          <w:color w:val="000000" w:themeColor="text1"/>
          <w14:textFill>
            <w14:solidFill>
              <w14:schemeClr w14:val="tx1"/>
            </w14:solidFill>
          </w14:textFill>
        </w:rPr>
        <w:t>ATRX</w:t>
      </w:r>
      <w:r>
        <w:rPr>
          <w:rFonts w:ascii="Book Antiqua" w:hAnsi="Book Antiqua" w:cstheme="majorBidi"/>
          <w:color w:val="000000" w:themeColor="text1"/>
          <w14:textFill>
            <w14:solidFill>
              <w14:schemeClr w14:val="tx1"/>
            </w14:solidFill>
          </w14:textFill>
        </w:rPr>
        <w:t xml:space="preserve"> loss, </w:t>
      </w:r>
      <w:r>
        <w:rPr>
          <w:rFonts w:ascii="Book Antiqua" w:hAnsi="Book Antiqua" w:cstheme="majorBidi"/>
          <w:i/>
          <w:iCs/>
          <w:color w:val="000000" w:themeColor="text1"/>
          <w14:textFill>
            <w14:solidFill>
              <w14:schemeClr w14:val="tx1"/>
            </w14:solidFill>
          </w14:textFill>
        </w:rPr>
        <w:t>TP53</w:t>
      </w:r>
      <w:r>
        <w:rPr>
          <w:rFonts w:ascii="Book Antiqua" w:hAnsi="Book Antiqua" w:cstheme="majorBidi"/>
          <w:color w:val="000000" w:themeColor="text1"/>
          <w14:textFill>
            <w14:solidFill>
              <w14:schemeClr w14:val="tx1"/>
            </w14:solidFill>
          </w14:textFill>
        </w:rPr>
        <w:t xml:space="preserve"> mutation</w:t>
      </w:r>
      <w:r>
        <w:rPr>
          <w:rFonts w:ascii="Book Antiqua" w:hAnsi="Book Antiqua" w:cstheme="majorBidi"/>
          <w:color w:val="000000"/>
        </w:rPr>
        <w:t xml:space="preserve">, and lack </w:t>
      </w:r>
      <w:r>
        <w:rPr>
          <w:rFonts w:ascii="Book Antiqua" w:hAnsi="Book Antiqua" w:cstheme="majorBidi"/>
          <w:color w:val="000000" w:themeColor="text1"/>
          <w14:textFill>
            <w14:solidFill>
              <w14:schemeClr w14:val="tx1"/>
            </w14:solidFill>
          </w14:textFill>
        </w:rPr>
        <w:t>of 1p/q19 codeletio</w:t>
      </w:r>
      <w:r>
        <w:rPr>
          <w:rFonts w:ascii="Book Antiqua" w:hAnsi="Book Antiqua" w:cstheme="majorBidi"/>
        </w:rPr>
        <w:t>n</w:t>
      </w:r>
      <w:r>
        <w:rPr>
          <w:rFonts w:ascii="Book Antiqua" w:hAnsi="Book Antiqua" w:cstheme="majorBidi"/>
          <w:vertAlign w:val="superscript"/>
        </w:rPr>
        <w:t>[7,10]</w:t>
      </w:r>
      <w:r>
        <w:rPr>
          <w:rFonts w:ascii="Book Antiqua" w:hAnsi="Book Antiqua" w:cstheme="majorBidi"/>
        </w:rPr>
        <w:t xml:space="preserve">. In comparison, diffuse gliomas (classified as WHO grades 2 and 3) are either </w:t>
      </w:r>
      <w:r>
        <w:rPr>
          <w:rFonts w:ascii="Book Antiqua" w:hAnsi="Book Antiqua" w:cstheme="majorBidi"/>
          <w:i/>
          <w:iCs/>
        </w:rPr>
        <w:t>IDH</w:t>
      </w:r>
      <w:r>
        <w:rPr>
          <w:rFonts w:ascii="Book Antiqua" w:hAnsi="Book Antiqua" w:cstheme="majorBidi"/>
        </w:rPr>
        <w:t xml:space="preserve"> wild type or </w:t>
      </w:r>
      <w:r>
        <w:rPr>
          <w:rFonts w:ascii="Book Antiqua" w:hAnsi="Book Antiqua" w:cstheme="majorBidi"/>
          <w:i/>
          <w:iCs/>
        </w:rPr>
        <w:t>IDH1</w:t>
      </w:r>
      <w:r>
        <w:rPr>
          <w:rFonts w:ascii="Book Antiqua" w:hAnsi="Book Antiqua" w:cstheme="majorBidi"/>
          <w:vertAlign w:val="superscript"/>
        </w:rPr>
        <w:t>-</w:t>
      </w:r>
      <w:r>
        <w:rPr>
          <w:rFonts w:ascii="Book Antiqua" w:hAnsi="Book Antiqua" w:cstheme="majorBidi"/>
        </w:rPr>
        <w:t xml:space="preserve"> mutant</w:t>
      </w:r>
      <w:r>
        <w:rPr>
          <w:rFonts w:ascii="Book Antiqua" w:hAnsi="Book Antiqua" w:cstheme="majorBidi"/>
          <w:vertAlign w:val="superscript"/>
        </w:rPr>
        <w:t>[11,12]</w:t>
      </w:r>
      <w:r>
        <w:rPr>
          <w:rFonts w:ascii="Book Antiqua" w:hAnsi="Book Antiqua" w:cstheme="majorBidi"/>
        </w:rPr>
        <w:t xml:space="preserve">. As a key feature of oligodendroglioma, it, by definition, must harbor </w:t>
      </w:r>
      <w:r>
        <w:rPr>
          <w:rFonts w:ascii="Book Antiqua" w:hAnsi="Book Antiqua" w:cstheme="majorBidi"/>
          <w:iCs/>
        </w:rPr>
        <w:t>an</w:t>
      </w:r>
      <w:r>
        <w:rPr>
          <w:rFonts w:ascii="Book Antiqua" w:hAnsi="Book Antiqua" w:cstheme="majorBidi"/>
          <w:i/>
          <w:iCs/>
        </w:rPr>
        <w:t xml:space="preserve"> IDH</w:t>
      </w:r>
      <w:r>
        <w:rPr>
          <w:rFonts w:ascii="Book Antiqua" w:hAnsi="Book Antiqua" w:cstheme="majorBidi"/>
        </w:rPr>
        <w:t xml:space="preserve"> mutation and 1p/19q codeletion.</w:t>
      </w:r>
    </w:p>
    <w:p>
      <w:pPr>
        <w:spacing w:line="360" w:lineRule="auto"/>
        <w:ind w:firstLine="480" w:firstLineChars="200"/>
        <w:jc w:val="both"/>
        <w:rPr>
          <w:rFonts w:ascii="Book Antiqua" w:hAnsi="Book Antiqua" w:cstheme="majorBidi"/>
        </w:rPr>
      </w:pPr>
      <w:r>
        <w:rPr>
          <w:rFonts w:ascii="Book Antiqua" w:hAnsi="Book Antiqua" w:cstheme="majorBidi"/>
        </w:rPr>
        <w:t xml:space="preserve">If </w:t>
      </w:r>
      <w:r>
        <w:rPr>
          <w:rFonts w:ascii="Book Antiqua" w:hAnsi="Book Antiqua" w:cstheme="majorBidi"/>
          <w:i/>
          <w:iCs/>
        </w:rPr>
        <w:t>IDH1</w:t>
      </w:r>
      <w:r>
        <w:rPr>
          <w:rFonts w:ascii="Book Antiqua" w:hAnsi="Book Antiqua" w:cstheme="majorBidi"/>
          <w:i/>
          <w:iCs/>
          <w:vertAlign w:val="superscript"/>
        </w:rPr>
        <w:t>R132H</w:t>
      </w:r>
      <w:r>
        <w:rPr>
          <w:rFonts w:ascii="Book Antiqua" w:hAnsi="Book Antiqua" w:cstheme="majorBidi"/>
        </w:rPr>
        <w:t xml:space="preserve"> is immunonegative in astrocytic or oligodendroglial tumors of WHO grades 2 and 3 or in patients aged less than 55 years, IDH1 (132 codon) and/or IDH2 (172 codon) Deoxyribonucleic acid (DNA) sequencing should be performed using the Sanger method or polymerase chain reaction (PCR)</w:t>
      </w:r>
      <w:r>
        <w:rPr>
          <w:rFonts w:ascii="Book Antiqua" w:hAnsi="Book Antiqua" w:cstheme="majorBidi"/>
          <w:vertAlign w:val="superscript"/>
        </w:rPr>
        <w:t>[13,14]</w:t>
      </w:r>
      <w:r>
        <w:rPr>
          <w:rFonts w:ascii="Book Antiqua" w:hAnsi="Book Antiqua" w:cstheme="majorBidi"/>
        </w:rPr>
        <w:t>. Otherwise, IDH1 immunonegative in patients aged greater than 55 years is likely to be IDH-wild type with an incidence rate of &lt; 1% and acts like a high-grade glioma. Meanwhile, IDH1/2 DNA sequencing is preferable for detecting non-canonical mutations</w:t>
      </w:r>
      <w:r>
        <w:rPr>
          <w:rFonts w:ascii="Book Antiqua" w:hAnsi="Book Antiqua" w:cstheme="majorBidi"/>
          <w:vertAlign w:val="superscript"/>
        </w:rPr>
        <w:t>[15]</w:t>
      </w:r>
      <w:r>
        <w:rPr>
          <w:rFonts w:ascii="Book Antiqua" w:hAnsi="Book Antiqua" w:cstheme="majorBidi"/>
        </w:rPr>
        <w:t>. A non-canonical IDH mutation and a loss of ATRX mutation and O(6)-methylguanine-DNA methyltransferase (MGMT) promoter methylation</w:t>
      </w:r>
      <w:r>
        <w:rPr>
          <w:rFonts w:ascii="Book Antiqua" w:hAnsi="Book Antiqua" w:cstheme="majorBidi"/>
          <w:vertAlign w:val="superscript"/>
        </w:rPr>
        <w:t>[7]</w:t>
      </w:r>
      <w:r>
        <w:rPr>
          <w:rFonts w:ascii="Book Antiqua" w:hAnsi="Book Antiqua" w:cstheme="majorBidi"/>
        </w:rPr>
        <w:t xml:space="preserve"> have been associated with a family</w:t>
      </w:r>
      <w:r>
        <w:rPr>
          <w:rFonts w:ascii="Book Antiqua" w:hAnsi="Book Antiqua" w:cstheme="majorBidi"/>
          <w:color w:val="000000" w:themeColor="text1"/>
          <w14:textFill>
            <w14:solidFill>
              <w14:schemeClr w14:val="tx1"/>
            </w14:solidFill>
          </w14:textFill>
        </w:rPr>
        <w:t xml:space="preserve"> history of cancer and astrocytoma of the infratentorial region being identified at 80% of the time in multicentric astrocytoma</w:t>
      </w:r>
      <w:r>
        <w:rPr>
          <w:rFonts w:ascii="Book Antiqua" w:hAnsi="Book Antiqua" w:cstheme="majorBidi"/>
          <w:color w:val="000000" w:themeColor="text1"/>
          <w:vertAlign w:val="superscript"/>
          <w14:textFill>
            <w14:solidFill>
              <w14:schemeClr w14:val="tx1"/>
            </w14:solidFill>
          </w14:textFill>
        </w:rPr>
        <w:t>[16]</w:t>
      </w:r>
      <w:r>
        <w:rPr>
          <w:rFonts w:ascii="Book Antiqua" w:hAnsi="Book Antiqua" w:cstheme="majorBidi"/>
          <w:color w:val="000000" w:themeColor="text1"/>
          <w14:textFill>
            <w14:solidFill>
              <w14:schemeClr w14:val="tx1"/>
            </w14:solidFill>
          </w14:textFill>
        </w:rPr>
        <w:t>.</w:t>
      </w:r>
    </w:p>
    <w:p>
      <w:pPr>
        <w:spacing w:line="360" w:lineRule="auto"/>
        <w:ind w:firstLine="480" w:firstLineChars="200"/>
        <w:jc w:val="both"/>
        <w:rPr>
          <w:rFonts w:ascii="Book Antiqua" w:hAnsi="Book Antiqua" w:cstheme="majorBidi"/>
          <w:color w:val="000000" w:themeColor="text1"/>
          <w14:textFill>
            <w14:solidFill>
              <w14:schemeClr w14:val="tx1"/>
            </w14:solidFill>
          </w14:textFill>
        </w:rPr>
      </w:pPr>
      <w:r>
        <w:rPr>
          <w:rFonts w:ascii="Book Antiqua" w:hAnsi="Book Antiqua" w:cstheme="majorBidi"/>
          <w:i/>
          <w:iCs/>
        </w:rPr>
        <w:t>ATRX</w:t>
      </w:r>
      <w:r>
        <w:rPr>
          <w:rFonts w:ascii="Book Antiqua" w:hAnsi="Book Antiqua" w:cstheme="majorBidi"/>
        </w:rPr>
        <w:t xml:space="preserve"> mutation should also be tested in all gliomas, whether </w:t>
      </w:r>
      <w:r>
        <w:rPr>
          <w:rFonts w:ascii="Book Antiqua" w:hAnsi="Book Antiqua" w:cstheme="majorBidi"/>
          <w:i/>
          <w:iCs/>
        </w:rPr>
        <w:t>IDH1/2</w:t>
      </w:r>
      <w:r>
        <w:rPr>
          <w:rFonts w:ascii="Book Antiqua" w:hAnsi="Book Antiqua" w:cstheme="majorBidi"/>
        </w:rPr>
        <w:t xml:space="preserve"> is a mutant or wild type. </w:t>
      </w:r>
      <w:r>
        <w:rPr>
          <w:rFonts w:ascii="Book Antiqua" w:hAnsi="Book Antiqua" w:cstheme="majorBidi"/>
          <w:i/>
          <w:iCs/>
        </w:rPr>
        <w:t>ATRX</w:t>
      </w:r>
      <w:r>
        <w:rPr>
          <w:rFonts w:ascii="Book Antiqua" w:hAnsi="Book Antiqua" w:cstheme="majorBidi"/>
        </w:rPr>
        <w:t xml:space="preserve"> can be tested by immunohistochemistry (IHC). </w:t>
      </w:r>
      <w:r>
        <w:rPr>
          <w:rFonts w:ascii="Book Antiqua" w:hAnsi="Book Antiqua" w:cstheme="majorBidi"/>
          <w:color w:val="000000" w:themeColor="text1"/>
          <w14:textFill>
            <w14:solidFill>
              <w14:schemeClr w14:val="tx1"/>
            </w14:solidFill>
          </w14:textFill>
        </w:rPr>
        <w:t xml:space="preserve">In oligodendroglioma, positive </w:t>
      </w:r>
      <w:r>
        <w:rPr>
          <w:rFonts w:ascii="Book Antiqua" w:hAnsi="Book Antiqua" w:cstheme="majorBidi"/>
          <w:i/>
          <w:iCs/>
          <w:color w:val="000000" w:themeColor="text1"/>
          <w14:textFill>
            <w14:solidFill>
              <w14:schemeClr w14:val="tx1"/>
            </w14:solidFill>
          </w14:textFill>
        </w:rPr>
        <w:t>ATRX</w:t>
      </w:r>
      <w:r>
        <w:rPr>
          <w:rFonts w:ascii="Book Antiqua" w:hAnsi="Book Antiqua" w:cstheme="majorBidi"/>
          <w:color w:val="000000" w:themeColor="text1"/>
          <w14:textFill>
            <w14:solidFill>
              <w14:schemeClr w14:val="tx1"/>
            </w14:solidFill>
          </w14:textFill>
        </w:rPr>
        <w:t xml:space="preserve">, negative </w:t>
      </w:r>
      <w:r>
        <w:rPr>
          <w:rFonts w:ascii="Book Antiqua" w:hAnsi="Book Antiqua" w:cstheme="majorBidi"/>
          <w:i/>
          <w:iCs/>
          <w:color w:val="000000" w:themeColor="text1"/>
          <w14:textFill>
            <w14:solidFill>
              <w14:schemeClr w14:val="tx1"/>
            </w14:solidFill>
          </w14:textFill>
        </w:rPr>
        <w:t>TP53</w:t>
      </w:r>
      <w:r>
        <w:rPr>
          <w:rFonts w:ascii="Book Antiqua" w:hAnsi="Book Antiqua" w:cstheme="majorBidi"/>
          <w:color w:val="000000" w:themeColor="text1"/>
          <w14:textFill>
            <w14:solidFill>
              <w14:schemeClr w14:val="tx1"/>
            </w14:solidFill>
          </w14:textFill>
        </w:rPr>
        <w:t xml:space="preserve">, and </w:t>
      </w:r>
      <w:r>
        <w:rPr>
          <w:rFonts w:ascii="Book Antiqua" w:hAnsi="Book Antiqua" w:cstheme="majorBidi"/>
          <w:i/>
          <w:iCs/>
          <w:color w:val="000000" w:themeColor="text1"/>
          <w14:textFill>
            <w14:solidFill>
              <w14:schemeClr w14:val="tx1"/>
            </w14:solidFill>
          </w14:textFill>
        </w:rPr>
        <w:t>TERT</w:t>
      </w:r>
      <w:r>
        <w:rPr>
          <w:rFonts w:ascii="Book Antiqua" w:hAnsi="Book Antiqua" w:cstheme="majorBidi"/>
          <w:color w:val="000000" w:themeColor="text1"/>
          <w14:textFill>
            <w14:solidFill>
              <w14:schemeClr w14:val="tx1"/>
            </w14:solidFill>
          </w14:textFill>
        </w:rPr>
        <w:t xml:space="preserve"> mutations in </w:t>
      </w:r>
      <w:r>
        <w:rPr>
          <w:rFonts w:ascii="Book Antiqua" w:hAnsi="Book Antiqua" w:cstheme="majorBidi"/>
          <w:i/>
          <w:iCs/>
          <w:color w:val="000000" w:themeColor="text1"/>
          <w14:textFill>
            <w14:solidFill>
              <w14:schemeClr w14:val="tx1"/>
            </w14:solidFill>
          </w14:textFill>
        </w:rPr>
        <w:t>IDH</w:t>
      </w:r>
      <w:r>
        <w:rPr>
          <w:rFonts w:ascii="Book Antiqua" w:hAnsi="Book Antiqua" w:cstheme="majorBidi"/>
          <w:color w:val="000000" w:themeColor="text1"/>
          <w14:textFill>
            <w14:solidFill>
              <w14:schemeClr w14:val="tx1"/>
            </w14:solidFill>
          </w14:textFill>
        </w:rPr>
        <w:t>-mutant tumors are prevalent; nonetheless, 1p19q codeletion using fluorescence in situ hybridization (FISH) should be tested. However, false-positive results are expected to be less than 4% in most cases</w:t>
      </w:r>
      <w:r>
        <w:rPr>
          <w:rFonts w:ascii="Book Antiqua" w:hAnsi="Book Antiqua" w:cstheme="majorBidi"/>
          <w:color w:val="000000" w:themeColor="text1"/>
          <w:vertAlign w:val="superscript"/>
          <w14:textFill>
            <w14:solidFill>
              <w14:schemeClr w14:val="tx1"/>
            </w14:solidFill>
          </w14:textFill>
        </w:rPr>
        <w:t>[</w:t>
      </w:r>
      <w:r>
        <w:rPr>
          <w:rFonts w:ascii="Book Antiqua" w:hAnsi="Book Antiqua" w:cstheme="majorBidi"/>
          <w:vertAlign w:val="superscript"/>
        </w:rPr>
        <w:t>17,18]</w:t>
      </w:r>
      <w:r>
        <w:rPr>
          <w:rFonts w:ascii="Book Antiqua" w:hAnsi="Book Antiqua" w:cstheme="majorBidi"/>
        </w:rPr>
        <w:t xml:space="preserve">. In both astrocytomas and oligodendrogliomas, the presence of homozygous deletion of </w:t>
      </w:r>
      <w:r>
        <w:rPr>
          <w:rFonts w:ascii="Book Antiqua" w:hAnsi="Book Antiqua" w:cstheme="majorBidi"/>
          <w:i/>
          <w:iCs/>
        </w:rPr>
        <w:t>CDKN2A/B</w:t>
      </w:r>
      <w:r>
        <w:rPr>
          <w:rFonts w:ascii="Book Antiqua" w:hAnsi="Book Antiqua" w:cstheme="majorBidi"/>
        </w:rPr>
        <w:t xml:space="preserve"> at 9p21 is associated with poor prognosis in such groups, leading to decreased overall survival (OS)</w:t>
      </w:r>
      <w:r>
        <w:rPr>
          <w:rFonts w:ascii="Book Antiqua" w:hAnsi="Book Antiqua" w:cstheme="majorBidi"/>
          <w:vertAlign w:val="superscript"/>
        </w:rPr>
        <w:t>[11]</w:t>
      </w:r>
      <w:r>
        <w:rPr>
          <w:rFonts w:ascii="Book Antiqua" w:hAnsi="Book Antiqua" w:cstheme="majorBidi"/>
        </w:rPr>
        <w:t>.</w:t>
      </w:r>
      <w:r>
        <w:rPr>
          <w:rFonts w:ascii="Book Antiqua" w:hAnsi="Book Antiqua" w:cstheme="majorBidi"/>
          <w:i/>
          <w:iCs/>
        </w:rPr>
        <w:t xml:space="preserve"> CDKN2A/B</w:t>
      </w:r>
      <w:r>
        <w:rPr>
          <w:rFonts w:ascii="Book Antiqua" w:hAnsi="Book Antiqua" w:cstheme="majorBidi"/>
        </w:rPr>
        <w:t xml:space="preserve"> gene mutation can be tested through next-generation sequencing or the Sanger method if the tumor is </w:t>
      </w:r>
      <w:r>
        <w:rPr>
          <w:rFonts w:ascii="Book Antiqua" w:hAnsi="Book Antiqua" w:cstheme="majorBidi"/>
          <w:i/>
          <w:iCs/>
        </w:rPr>
        <w:t>IDH</w:t>
      </w:r>
      <w:r>
        <w:rPr>
          <w:rFonts w:ascii="Book Antiqua" w:hAnsi="Book Antiqua" w:cstheme="majorBidi"/>
        </w:rPr>
        <w:t>-mutant and 1p19q is not codeleted</w:t>
      </w:r>
      <w:r>
        <w:rPr>
          <w:rFonts w:ascii="Book Antiqua" w:hAnsi="Book Antiqua" w:cstheme="majorBidi"/>
          <w:vertAlign w:val="superscript"/>
        </w:rPr>
        <w:t>[19]</w:t>
      </w:r>
      <w:r>
        <w:rPr>
          <w:rFonts w:ascii="Book Antiqua" w:hAnsi="Book Antiqua" w:cstheme="majorBidi"/>
        </w:rPr>
        <w:t xml:space="preserve"> (</w:t>
      </w:r>
      <w:r>
        <w:rPr>
          <w:rFonts w:ascii="Book Antiqua" w:hAnsi="Book Antiqua" w:cstheme="majorBidi"/>
          <w:bCs/>
        </w:rPr>
        <w:t>Figure 1</w:t>
      </w:r>
      <w:r>
        <w:rPr>
          <w:rFonts w:ascii="Book Antiqua" w:hAnsi="Book Antiqua" w:cstheme="majorBidi"/>
        </w:rPr>
        <w:t xml:space="preserve">). </w:t>
      </w:r>
      <w:r>
        <w:rPr>
          <w:rFonts w:ascii="Book Antiqua" w:hAnsi="Book Antiqua" w:cstheme="majorBidi"/>
          <w:color w:val="000000" w:themeColor="text1"/>
          <w14:textFill>
            <w14:solidFill>
              <w14:schemeClr w14:val="tx1"/>
            </w14:solidFill>
          </w14:textFill>
        </w:rPr>
        <w:t xml:space="preserve">Loss of p16 expression (a marker of CDKNA/B) is associated with poor prognosis in </w:t>
      </w:r>
      <w:r>
        <w:rPr>
          <w:rFonts w:ascii="Book Antiqua" w:hAnsi="Book Antiqua" w:cstheme="majorBidi"/>
          <w:i/>
          <w:iCs/>
          <w:color w:val="000000" w:themeColor="text1"/>
          <w14:textFill>
            <w14:solidFill>
              <w14:schemeClr w14:val="tx1"/>
            </w14:solidFill>
          </w14:textFill>
        </w:rPr>
        <w:t>IDH</w:t>
      </w:r>
      <w:r>
        <w:rPr>
          <w:rFonts w:ascii="Book Antiqua" w:hAnsi="Book Antiqua" w:cstheme="majorBidi"/>
          <w:color w:val="000000" w:themeColor="text1"/>
          <w14:textFill>
            <w14:solidFill>
              <w14:schemeClr w14:val="tx1"/>
            </w14:solidFill>
          </w14:textFill>
        </w:rPr>
        <w:t xml:space="preserve">-mutant tumors and </w:t>
      </w:r>
      <w:r>
        <w:rPr>
          <w:rFonts w:ascii="Book Antiqua" w:hAnsi="Book Antiqua" w:cstheme="majorBidi"/>
          <w:color w:val="000000"/>
        </w:rPr>
        <w:t>those with 1p/19q codeletion</w:t>
      </w:r>
      <w:r>
        <w:rPr>
          <w:rFonts w:ascii="Book Antiqua" w:hAnsi="Book Antiqua" w:cstheme="majorBidi"/>
          <w:color w:val="000000"/>
          <w:vertAlign w:val="superscript"/>
        </w:rPr>
        <w:t>[</w:t>
      </w:r>
      <w:r>
        <w:rPr>
          <w:rFonts w:ascii="Book Antiqua" w:hAnsi="Book Antiqua" w:cstheme="majorBidi"/>
          <w:color w:val="000000" w:themeColor="text1"/>
          <w:vertAlign w:val="superscript"/>
          <w14:textFill>
            <w14:solidFill>
              <w14:schemeClr w14:val="tx1"/>
            </w14:solidFill>
          </w14:textFill>
        </w:rPr>
        <w:t>20]</w:t>
      </w:r>
      <w:r>
        <w:rPr>
          <w:rFonts w:ascii="Book Antiqua" w:hAnsi="Book Antiqua" w:cstheme="majorBidi"/>
          <w:color w:val="000000" w:themeColor="text1"/>
          <w14:textFill>
            <w14:solidFill>
              <w14:schemeClr w14:val="tx1"/>
            </w14:solidFill>
          </w14:textFill>
        </w:rPr>
        <w:t>.</w:t>
      </w:r>
      <w:r>
        <w:rPr>
          <w:rFonts w:ascii="Book Antiqua" w:hAnsi="Book Antiqua" w:cstheme="majorBidi"/>
          <w:b/>
          <w:bCs/>
          <w:color w:val="000000" w:themeColor="text1"/>
          <w:vertAlign w:val="superscript"/>
          <w14:textFill>
            <w14:solidFill>
              <w14:schemeClr w14:val="tx1"/>
            </w14:solidFill>
          </w14:textFill>
        </w:rPr>
        <w:t xml:space="preserve"> </w:t>
      </w:r>
      <w:r>
        <w:rPr>
          <w:rFonts w:ascii="Book Antiqua" w:hAnsi="Book Antiqua" w:cstheme="majorBidi"/>
          <w:i/>
          <w:iCs/>
          <w:color w:val="000000" w:themeColor="text1"/>
          <w14:textFill>
            <w14:solidFill>
              <w14:schemeClr w14:val="tx1"/>
            </w14:solidFill>
          </w14:textFill>
        </w:rPr>
        <w:t>CDKN2A/B</w:t>
      </w:r>
      <w:r>
        <w:rPr>
          <w:rFonts w:ascii="Book Antiqua" w:hAnsi="Book Antiqua" w:cstheme="majorBidi"/>
          <w:color w:val="000000" w:themeColor="text1"/>
          <w14:textFill>
            <w14:solidFill>
              <w14:schemeClr w14:val="tx1"/>
            </w14:solidFill>
          </w14:textFill>
        </w:rPr>
        <w:t xml:space="preserve"> deletion is detected in both the wild-type and mutant </w:t>
      </w:r>
      <w:r>
        <w:rPr>
          <w:rFonts w:ascii="Book Antiqua" w:hAnsi="Book Antiqua" w:cstheme="majorBidi"/>
          <w:i/>
          <w:iCs/>
          <w:color w:val="000000" w:themeColor="text1"/>
          <w14:textFill>
            <w14:solidFill>
              <w14:schemeClr w14:val="tx1"/>
            </w14:solidFill>
          </w14:textFill>
        </w:rPr>
        <w:t>IDH</w:t>
      </w:r>
      <w:r>
        <w:rPr>
          <w:rFonts w:ascii="Book Antiqua" w:hAnsi="Book Antiqua" w:cstheme="majorBidi"/>
          <w:color w:val="000000"/>
        </w:rPr>
        <w:t>;</w:t>
      </w:r>
      <w:r>
        <w:rPr>
          <w:rFonts w:ascii="Book Antiqua" w:hAnsi="Book Antiqua" w:cstheme="majorBidi"/>
          <w:color w:val="000000" w:themeColor="text1"/>
          <w14:textFill>
            <w14:solidFill>
              <w14:schemeClr w14:val="tx1"/>
            </w14:solidFill>
          </w14:textFill>
        </w:rPr>
        <w:t xml:space="preserve"> however, it has been related to a reduction in OS in wild-type tumors</w:t>
      </w:r>
      <w:r>
        <w:rPr>
          <w:rFonts w:ascii="Book Antiqua" w:hAnsi="Book Antiqua" w:cstheme="majorBidi"/>
          <w:color w:val="000000" w:themeColor="text1"/>
          <w:vertAlign w:val="superscript"/>
          <w14:textFill>
            <w14:solidFill>
              <w14:schemeClr w14:val="tx1"/>
            </w14:solidFill>
          </w14:textFill>
        </w:rPr>
        <w:t>[21-23]</w:t>
      </w:r>
      <w:r>
        <w:rPr>
          <w:rFonts w:ascii="Book Antiqua" w:hAnsi="Book Antiqua" w:cstheme="majorBidi"/>
          <w:color w:val="000000" w:themeColor="text1"/>
          <w14:textFill>
            <w14:solidFill>
              <w14:schemeClr w14:val="tx1"/>
            </w14:solidFill>
          </w14:textFill>
        </w:rPr>
        <w:t>.</w:t>
      </w:r>
      <w:r>
        <w:rPr>
          <w:rFonts w:ascii="Book Antiqua" w:hAnsi="Book Antiqua" w:cstheme="majorBidi"/>
          <w:color w:val="000000" w:themeColor="text1"/>
          <w:vertAlign w:val="superscript"/>
          <w14:textFill>
            <w14:solidFill>
              <w14:schemeClr w14:val="tx1"/>
            </w14:solidFill>
          </w14:textFill>
        </w:rPr>
        <w:t xml:space="preserve"> </w:t>
      </w:r>
    </w:p>
    <w:p>
      <w:pPr>
        <w:spacing w:line="360" w:lineRule="auto"/>
        <w:ind w:firstLine="480" w:firstLineChars="200"/>
        <w:jc w:val="both"/>
        <w:rPr>
          <w:rFonts w:ascii="Book Antiqua" w:hAnsi="Book Antiqua" w:cstheme="majorBidi"/>
        </w:rPr>
      </w:pPr>
      <w:r>
        <w:rPr>
          <w:rFonts w:ascii="Book Antiqua" w:hAnsi="Book Antiqua" w:cstheme="majorBidi"/>
        </w:rPr>
        <w:t xml:space="preserve">Glioblastomas are routinely diagnosed based on histological findings of microvascular proliferation (MVP) and/or necrosis, and are molecularly defined as either </w:t>
      </w:r>
      <w:r>
        <w:rPr>
          <w:rFonts w:ascii="Book Antiqua" w:hAnsi="Book Antiqua" w:cstheme="majorBidi"/>
          <w:i/>
          <w:iCs/>
        </w:rPr>
        <w:t>IDH</w:t>
      </w:r>
      <w:r>
        <w:rPr>
          <w:rFonts w:ascii="Book Antiqua" w:hAnsi="Book Antiqua" w:cstheme="majorBidi"/>
        </w:rPr>
        <w:t xml:space="preserve">-mutant (10%) or </w:t>
      </w:r>
      <w:r>
        <w:rPr>
          <w:rFonts w:ascii="Book Antiqua" w:hAnsi="Book Antiqua" w:cstheme="majorBidi"/>
          <w:i/>
          <w:iCs/>
        </w:rPr>
        <w:t>IDH</w:t>
      </w:r>
      <w:r>
        <w:rPr>
          <w:rFonts w:ascii="Book Antiqua" w:hAnsi="Book Antiqua" w:cstheme="majorBidi"/>
        </w:rPr>
        <w:t>-wild-type (90%) tumors with significantly different biology and prognoses</w:t>
      </w:r>
      <w:r>
        <w:rPr>
          <w:rFonts w:ascii="Book Antiqua" w:hAnsi="Book Antiqua" w:cstheme="majorBidi"/>
          <w:vertAlign w:val="superscript"/>
        </w:rPr>
        <w:t>[8]</w:t>
      </w:r>
      <w:r>
        <w:rPr>
          <w:rFonts w:ascii="Book Antiqua" w:hAnsi="Book Antiqua" w:cstheme="majorBidi"/>
        </w:rPr>
        <w:t xml:space="preserve">. The terminology of </w:t>
      </w:r>
      <w:r>
        <w:rPr>
          <w:rFonts w:ascii="Book Antiqua" w:hAnsi="Book Antiqua" w:cstheme="majorBidi"/>
          <w:i/>
          <w:iCs/>
        </w:rPr>
        <w:t>IDH</w:t>
      </w:r>
      <w:r>
        <w:rPr>
          <w:rFonts w:ascii="Book Antiqua" w:hAnsi="Book Antiqua" w:cstheme="majorBidi"/>
        </w:rPr>
        <w:t xml:space="preserve">-mutant glioblastoma was omitted from the cIMPACT as they are biologically different from </w:t>
      </w:r>
      <w:r>
        <w:rPr>
          <w:rFonts w:ascii="Book Antiqua" w:hAnsi="Book Antiqua" w:cstheme="majorBidi"/>
          <w:i/>
          <w:iCs/>
        </w:rPr>
        <w:t>IDH</w:t>
      </w:r>
      <w:r>
        <w:rPr>
          <w:rFonts w:ascii="Book Antiqua" w:hAnsi="Book Antiqua" w:cstheme="majorBidi"/>
        </w:rPr>
        <w:t xml:space="preserve">-wild-type astrocytomas and were defined as </w:t>
      </w:r>
      <w:r>
        <w:rPr>
          <w:rFonts w:ascii="Book Antiqua" w:hAnsi="Book Antiqua" w:cstheme="majorBidi"/>
          <w:i/>
          <w:iCs/>
        </w:rPr>
        <w:t>IDH</w:t>
      </w:r>
      <w:r>
        <w:rPr>
          <w:rFonts w:ascii="Book Antiqua" w:hAnsi="Book Antiqua" w:cstheme="majorBidi"/>
        </w:rPr>
        <w:t xml:space="preserve">-mutant WHO grade 4 astrocytomas. Glioblastoma is referred to as </w:t>
      </w:r>
      <w:r>
        <w:rPr>
          <w:rFonts w:ascii="Book Antiqua" w:hAnsi="Book Antiqua" w:cstheme="majorBidi"/>
          <w:i/>
          <w:iCs/>
        </w:rPr>
        <w:t>IDH</w:t>
      </w:r>
      <w:r>
        <w:rPr>
          <w:rFonts w:ascii="Book Antiqua" w:hAnsi="Book Antiqua" w:cstheme="majorBidi"/>
        </w:rPr>
        <w:t xml:space="preserve">-wild-type glioblastoma or astrocytoma. There are no longer </w:t>
      </w:r>
      <w:r>
        <w:rPr>
          <w:rFonts w:ascii="Book Antiqua" w:hAnsi="Book Antiqua" w:cstheme="majorBidi"/>
          <w:i/>
          <w:iCs/>
        </w:rPr>
        <w:t>IDH</w:t>
      </w:r>
      <w:r>
        <w:rPr>
          <w:rFonts w:ascii="Book Antiqua" w:hAnsi="Book Antiqua" w:cstheme="majorBidi"/>
        </w:rPr>
        <w:t xml:space="preserve">-mutant glioblastomas. Another new terminology is an astrocytic glioma with </w:t>
      </w:r>
      <w:r>
        <w:rPr>
          <w:rFonts w:ascii="Book Antiqua" w:hAnsi="Book Antiqua" w:cstheme="majorBidi"/>
          <w:i/>
          <w:iCs/>
        </w:rPr>
        <w:t>IDH</w:t>
      </w:r>
      <w:r>
        <w:rPr>
          <w:rFonts w:ascii="Book Antiqua" w:hAnsi="Book Antiqua" w:cstheme="majorBidi"/>
        </w:rPr>
        <w:t xml:space="preserve"> wild type, but with the presence of a </w:t>
      </w:r>
      <w:r>
        <w:rPr>
          <w:rFonts w:ascii="Book Antiqua" w:hAnsi="Book Antiqua" w:cstheme="majorBidi"/>
          <w:color w:val="000000" w:themeColor="text1"/>
          <w14:textFill>
            <w14:solidFill>
              <w14:schemeClr w14:val="tx1"/>
            </w14:solidFill>
          </w14:textFill>
        </w:rPr>
        <w:t>histone 3 (H3) mutation, classified as a WHO grade 4 astrocytoma</w:t>
      </w:r>
      <w:r>
        <w:rPr>
          <w:rFonts w:ascii="Book Antiqua" w:hAnsi="Book Antiqua" w:cstheme="majorBidi"/>
          <w:color w:val="000000" w:themeColor="text1"/>
          <w:vertAlign w:val="superscript"/>
          <w14:textFill>
            <w14:solidFill>
              <w14:schemeClr w14:val="tx1"/>
            </w14:solidFill>
          </w14:textFill>
        </w:rPr>
        <w:t>[9,24]</w:t>
      </w:r>
      <w:r>
        <w:rPr>
          <w:rFonts w:ascii="Book Antiqua" w:hAnsi="Book Antiqua" w:cstheme="majorBidi"/>
          <w:color w:val="000000" w:themeColor="text1"/>
          <w14:textFill>
            <w14:solidFill>
              <w14:schemeClr w14:val="tx1"/>
            </w14:solidFill>
          </w14:textFill>
        </w:rPr>
        <w:t xml:space="preserve"> (</w:t>
      </w:r>
      <w:r>
        <w:rPr>
          <w:rFonts w:ascii="Book Antiqua" w:hAnsi="Book Antiqua" w:cstheme="majorBidi"/>
          <w:bCs/>
          <w:color w:val="000000" w:themeColor="text1"/>
          <w14:textFill>
            <w14:solidFill>
              <w14:schemeClr w14:val="tx1"/>
            </w14:solidFill>
          </w14:textFill>
        </w:rPr>
        <w:t>Figure 1</w:t>
      </w:r>
      <w:r>
        <w:rPr>
          <w:rFonts w:ascii="Book Antiqua" w:hAnsi="Book Antiqua" w:cstheme="majorBidi"/>
          <w:color w:val="000000" w:themeColor="text1"/>
          <w14:textFill>
            <w14:solidFill>
              <w14:schemeClr w14:val="tx1"/>
            </w14:solidFill>
          </w14:textFill>
        </w:rPr>
        <w:t>). In glioblastoma, Telomerase reverse transcriptase (</w:t>
      </w:r>
      <w:r>
        <w:rPr>
          <w:rFonts w:ascii="Book Antiqua" w:hAnsi="Book Antiqua" w:cstheme="majorBidi"/>
          <w:i/>
          <w:iCs/>
          <w:color w:val="000000" w:themeColor="text1"/>
          <w14:textFill>
            <w14:solidFill>
              <w14:schemeClr w14:val="tx1"/>
            </w14:solidFill>
          </w14:textFill>
        </w:rPr>
        <w:t>TERT)</w:t>
      </w:r>
      <w:r>
        <w:rPr>
          <w:rFonts w:ascii="Book Antiqua" w:hAnsi="Book Antiqua" w:cstheme="majorBidi"/>
          <w:color w:val="000000" w:themeColor="text1"/>
          <w14:textFill>
            <w14:solidFill>
              <w14:schemeClr w14:val="tx1"/>
            </w14:solidFill>
          </w14:textFill>
        </w:rPr>
        <w:t xml:space="preserve"> promoter mutations, Epidermal growth factor receptor (</w:t>
      </w:r>
      <w:r>
        <w:rPr>
          <w:rFonts w:ascii="Book Antiqua" w:hAnsi="Book Antiqua" w:cstheme="majorBidi"/>
          <w:i/>
          <w:iCs/>
          <w:color w:val="000000" w:themeColor="text1"/>
          <w14:textFill>
            <w14:solidFill>
              <w14:schemeClr w14:val="tx1"/>
            </w14:solidFill>
          </w14:textFill>
        </w:rPr>
        <w:t>EGFR)</w:t>
      </w:r>
      <w:r>
        <w:rPr>
          <w:rFonts w:ascii="Book Antiqua" w:hAnsi="Book Antiqua" w:cstheme="majorBidi"/>
          <w:color w:val="000000" w:themeColor="text1"/>
          <w14:textFill>
            <w14:solidFill>
              <w14:schemeClr w14:val="tx1"/>
            </w14:solidFill>
          </w14:textFill>
        </w:rPr>
        <w:t xml:space="preserve"> mutations, and/or loss of chromosome 10 with gain of chromosome 7 are all prevalent</w:t>
      </w:r>
      <w:r>
        <w:rPr>
          <w:rFonts w:ascii="Book Antiqua" w:hAnsi="Book Antiqua" w:cstheme="majorBidi"/>
          <w:color w:val="000000" w:themeColor="text1"/>
          <w:vertAlign w:val="superscript"/>
          <w14:textFill>
            <w14:solidFill>
              <w14:schemeClr w14:val="tx1"/>
            </w14:solidFill>
          </w14:textFill>
        </w:rPr>
        <w:t>[25]</w:t>
      </w:r>
      <w:r>
        <w:rPr>
          <w:rFonts w:ascii="Book Antiqua" w:hAnsi="Book Antiqua" w:cstheme="majorBidi"/>
          <w:color w:val="000000" w:themeColor="text1"/>
          <w14:textFill>
            <w14:solidFill>
              <w14:schemeClr w14:val="tx1"/>
            </w14:solidFill>
          </w14:textFill>
        </w:rPr>
        <w:t xml:space="preserve">. If one of these features is detected, glioblastoma should be immediately diagnosed </w:t>
      </w:r>
      <w:r>
        <w:rPr>
          <w:rFonts w:ascii="Book Antiqua" w:hAnsi="Book Antiqua" w:cstheme="majorBidi"/>
        </w:rPr>
        <w:t>regardless of the presence of necrosis and/or MVP</w:t>
      </w:r>
      <w:r>
        <w:rPr>
          <w:rFonts w:ascii="Book Antiqua" w:hAnsi="Book Antiqua" w:cstheme="majorBidi"/>
          <w:vertAlign w:val="superscript"/>
        </w:rPr>
        <w:t>[26]</w:t>
      </w:r>
      <w:r>
        <w:rPr>
          <w:rFonts w:ascii="Book Antiqua" w:hAnsi="Book Antiqua" w:cstheme="majorBidi"/>
        </w:rPr>
        <w:t>.</w:t>
      </w:r>
      <w:r>
        <w:rPr>
          <w:rFonts w:ascii="Book Antiqua" w:hAnsi="Book Antiqua" w:cstheme="majorBidi"/>
          <w:color w:val="000000" w:themeColor="text1"/>
          <w14:textFill>
            <w14:solidFill>
              <w14:schemeClr w14:val="tx1"/>
            </w14:solidFill>
          </w14:textFill>
        </w:rPr>
        <w:t xml:space="preserve"> The presence of the H3F3A G34 histone mutation with chromosomal 1q gain distinguishes pediatric diffuse hemispheric glioma from adult diffuse hemispheric glioma. </w:t>
      </w:r>
      <w:r>
        <w:rPr>
          <w:rFonts w:ascii="Book Antiqua" w:hAnsi="Book Antiqua" w:cstheme="majorBidi"/>
          <w:i/>
          <w:iCs/>
          <w:color w:val="000000" w:themeColor="text1"/>
          <w14:textFill>
            <w14:solidFill>
              <w14:schemeClr w14:val="tx1"/>
            </w14:solidFill>
          </w14:textFill>
        </w:rPr>
        <w:t>EGFR</w:t>
      </w:r>
      <w:r>
        <w:rPr>
          <w:rFonts w:ascii="Book Antiqua" w:hAnsi="Book Antiqua" w:cstheme="majorBidi"/>
          <w:iCs/>
          <w:color w:val="000000" w:themeColor="text1"/>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TERT</w:t>
      </w:r>
      <w:r>
        <w:rPr>
          <w:rFonts w:ascii="Book Antiqua" w:hAnsi="Book Antiqua" w:cstheme="majorBidi"/>
          <w:iCs/>
          <w:color w:val="000000" w:themeColor="text1"/>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CDKNB2A/B</w:t>
      </w:r>
      <w:r>
        <w:rPr>
          <w:rFonts w:ascii="Book Antiqua" w:hAnsi="Book Antiqua" w:cstheme="majorBidi"/>
          <w:color w:val="000000" w:themeColor="text1"/>
          <w14:textFill>
            <w14:solidFill>
              <w14:schemeClr w14:val="tx1"/>
            </w14:solidFill>
          </w14:textFill>
        </w:rPr>
        <w:t xml:space="preserve">, </w:t>
      </w:r>
      <w:r>
        <w:rPr>
          <w:rFonts w:ascii="Book Antiqua" w:hAnsi="Book Antiqua" w:cstheme="majorBidi"/>
          <w:color w:val="000000"/>
        </w:rPr>
        <w:t>and Ch10</w:t>
      </w:r>
      <w:r>
        <w:rPr>
          <w:rFonts w:ascii="Book Antiqua" w:hAnsi="Book Antiqua" w:cstheme="majorBidi"/>
          <w:color w:val="000000" w:themeColor="text1"/>
          <w14:textFill>
            <w14:solidFill>
              <w14:schemeClr w14:val="tx1"/>
            </w14:solidFill>
          </w14:textFill>
        </w:rPr>
        <w:t>-Ch7+ are usually identified in adults</w:t>
      </w:r>
      <w:r>
        <w:rPr>
          <w:rFonts w:ascii="Book Antiqua" w:hAnsi="Book Antiqua" w:cstheme="majorBidi"/>
          <w:color w:val="000000"/>
        </w:rPr>
        <w:t>;</w:t>
      </w:r>
      <w:r>
        <w:rPr>
          <w:rFonts w:ascii="Book Antiqua" w:hAnsi="Book Antiqua" w:cstheme="majorBidi"/>
          <w:color w:val="000000" w:themeColor="text1"/>
          <w14:textFill>
            <w14:solidFill>
              <w14:schemeClr w14:val="tx1"/>
            </w14:solidFill>
          </w14:textFill>
        </w:rPr>
        <w:t xml:space="preserve"> however, they should be tested for H3F3A gene mutation</w:t>
      </w:r>
      <w:r>
        <w:rPr>
          <w:rFonts w:ascii="Book Antiqua" w:hAnsi="Book Antiqua" w:cstheme="majorBidi"/>
          <w:color w:val="000000" w:themeColor="text1"/>
          <w:vertAlign w:val="superscript"/>
          <w14:textFill>
            <w14:solidFill>
              <w14:schemeClr w14:val="tx1"/>
            </w14:solidFill>
          </w14:textFill>
        </w:rPr>
        <w:t>[</w:t>
      </w:r>
      <w:r>
        <w:rPr>
          <w:rFonts w:ascii="Book Antiqua" w:hAnsi="Book Antiqua" w:cstheme="majorBidi"/>
          <w:vertAlign w:val="superscript"/>
        </w:rPr>
        <w:t>27,28]</w:t>
      </w:r>
      <w:r>
        <w:rPr>
          <w:rFonts w:ascii="Book Antiqua" w:hAnsi="Book Antiqua" w:cstheme="majorBidi"/>
        </w:rPr>
        <w:t xml:space="preserve">. In comparison, the 2021 WHO classification has included </w:t>
      </w:r>
      <w:r>
        <w:rPr>
          <w:rFonts w:ascii="Book Antiqua" w:hAnsi="Book Antiqua" w:cstheme="majorBidi"/>
          <w:i/>
          <w:iCs/>
        </w:rPr>
        <w:t xml:space="preserve">IDH </w:t>
      </w:r>
      <w:r>
        <w:rPr>
          <w:rFonts w:ascii="Book Antiqua" w:hAnsi="Book Antiqua" w:cstheme="majorBidi"/>
        </w:rPr>
        <w:t xml:space="preserve">wild type and </w:t>
      </w:r>
      <w:r>
        <w:rPr>
          <w:rFonts w:ascii="Book Antiqua" w:hAnsi="Book Antiqua" w:cstheme="majorBidi"/>
          <w:i/>
          <w:iCs/>
        </w:rPr>
        <w:t>H3F3A</w:t>
      </w:r>
      <w:r>
        <w:rPr>
          <w:rFonts w:ascii="Book Antiqua" w:hAnsi="Book Antiqua" w:cstheme="majorBidi"/>
        </w:rPr>
        <w:t xml:space="preserve"> in diffuse high-grade pediatric astrocytoma (most commonly from the pons in more than two-thirds of the cases, followed by the spinal cord and thalamus)</w:t>
      </w:r>
      <w:r>
        <w:rPr>
          <w:rFonts w:ascii="Book Antiqua" w:hAnsi="Book Antiqua" w:cstheme="majorBidi"/>
          <w:vertAlign w:val="superscript"/>
        </w:rPr>
        <w:t>[29]</w:t>
      </w:r>
      <w:r>
        <w:rPr>
          <w:rFonts w:ascii="Book Antiqua" w:hAnsi="Book Antiqua" w:cstheme="majorBidi"/>
        </w:rPr>
        <w:t>.</w:t>
      </w:r>
    </w:p>
    <w:p>
      <w:pPr>
        <w:spacing w:line="360" w:lineRule="auto"/>
        <w:ind w:firstLine="480" w:firstLineChars="200"/>
        <w:jc w:val="both"/>
        <w:rPr>
          <w:rFonts w:ascii="Book Antiqua" w:hAnsi="Book Antiqua" w:cstheme="majorBidi"/>
        </w:rPr>
      </w:pPr>
      <w:r>
        <w:rPr>
          <w:rFonts w:ascii="Book Antiqua" w:hAnsi="Book Antiqua" w:cstheme="majorBidi"/>
          <w:i/>
          <w:iCs/>
        </w:rPr>
        <w:t>H3-K27</w:t>
      </w:r>
      <w:r>
        <w:rPr>
          <w:rFonts w:ascii="Book Antiqua" w:hAnsi="Book Antiqua" w:cstheme="majorBidi"/>
        </w:rPr>
        <w:t xml:space="preserve"> is another commonly reported histone mutation in midline gliomas, ependymomas, and gangliogliomas</w:t>
      </w:r>
      <w:r>
        <w:rPr>
          <w:rFonts w:ascii="Book Antiqua" w:hAnsi="Book Antiqua" w:cstheme="majorBidi"/>
          <w:vertAlign w:val="superscript"/>
        </w:rPr>
        <w:t>[30-32]</w:t>
      </w:r>
      <w:r>
        <w:rPr>
          <w:rFonts w:ascii="Book Antiqua" w:hAnsi="Book Antiqua" w:cstheme="majorBidi"/>
        </w:rPr>
        <w:t>. Altered mitogen activated protein kinase (</w:t>
      </w:r>
      <w:r>
        <w:rPr>
          <w:rFonts w:ascii="Book Antiqua" w:hAnsi="Book Antiqua" w:cstheme="majorBidi"/>
          <w:i/>
          <w:iCs/>
        </w:rPr>
        <w:t>MAPK)</w:t>
      </w:r>
      <w:r>
        <w:rPr>
          <w:rFonts w:ascii="Book Antiqua" w:hAnsi="Book Antiqua" w:cstheme="majorBidi"/>
        </w:rPr>
        <w:t xml:space="preserve"> pathway and </w:t>
      </w:r>
      <w:r>
        <w:rPr>
          <w:rFonts w:ascii="Book Antiqua" w:hAnsi="Book Antiqua" w:cstheme="majorBidi"/>
          <w:i/>
          <w:iCs/>
        </w:rPr>
        <w:t>H3-K27</w:t>
      </w:r>
      <w:r>
        <w:rPr>
          <w:rFonts w:ascii="Book Antiqua" w:hAnsi="Book Antiqua" w:cstheme="majorBidi"/>
        </w:rPr>
        <w:t>-mutant tumors are associated with diffuse low-grade midline gliomas and are associated with prolonged OS of more than 10 years</w:t>
      </w:r>
      <w:r>
        <w:rPr>
          <w:rFonts w:ascii="Book Antiqua" w:hAnsi="Book Antiqua" w:cstheme="majorBidi"/>
          <w:vertAlign w:val="superscript"/>
        </w:rPr>
        <w:t>[33]</w:t>
      </w:r>
      <w:r>
        <w:rPr>
          <w:rFonts w:ascii="Book Antiqua" w:hAnsi="Book Antiqua" w:cstheme="majorBidi"/>
        </w:rPr>
        <w:t xml:space="preserve">. The astroblastoma tumor is a new entity, </w:t>
      </w:r>
      <w:r>
        <w:rPr>
          <w:rFonts w:ascii="Book Antiqua" w:hAnsi="Book Antiqua" w:cstheme="majorBidi"/>
          <w:i/>
          <w:iCs/>
        </w:rPr>
        <w:t>MN1</w:t>
      </w:r>
      <w:r>
        <w:rPr>
          <w:rFonts w:ascii="Book Antiqua" w:hAnsi="Book Antiqua" w:cstheme="majorBidi"/>
        </w:rPr>
        <w:t>-altered, with better OS compared to C11Orf95-</w:t>
      </w:r>
      <w:r>
        <w:rPr>
          <w:rFonts w:ascii="Book Antiqua" w:hAnsi="Book Antiqua" w:cstheme="majorBidi"/>
          <w:i/>
          <w:iCs/>
        </w:rPr>
        <w:t>RELA</w:t>
      </w:r>
      <w:r>
        <w:rPr>
          <w:rFonts w:ascii="Book Antiqua" w:hAnsi="Book Antiqua" w:cstheme="majorBidi"/>
        </w:rPr>
        <w:t xml:space="preserve"> and </w:t>
      </w:r>
      <w:r>
        <w:rPr>
          <w:rFonts w:ascii="Book Antiqua" w:hAnsi="Book Antiqua" w:cstheme="majorBidi"/>
          <w:i/>
          <w:iCs/>
        </w:rPr>
        <w:t>BRAF</w:t>
      </w:r>
      <w:r>
        <w:rPr>
          <w:rFonts w:ascii="Book Antiqua" w:hAnsi="Book Antiqua" w:cstheme="majorBidi"/>
        </w:rPr>
        <w:t>-positive astrocytic tumors</w:t>
      </w:r>
      <w:r>
        <w:rPr>
          <w:rFonts w:ascii="Book Antiqua" w:hAnsi="Book Antiqua" w:cstheme="majorBidi"/>
          <w:vertAlign w:val="superscript"/>
        </w:rPr>
        <w:t>[34]</w:t>
      </w:r>
      <w:r>
        <w:rPr>
          <w:rFonts w:ascii="Book Antiqua" w:hAnsi="Book Antiqua" w:cstheme="majorBidi"/>
        </w:rPr>
        <w:t>. Four other categories of diffuse astrocytomas were described in the 5th edition of the WHO classification, which included angiocentric gliomas</w:t>
      </w:r>
      <w:r>
        <w:rPr>
          <w:rFonts w:ascii="Book Antiqua" w:hAnsi="Book Antiqua" w:cstheme="majorBidi"/>
          <w:iCs/>
        </w:rPr>
        <w:t>,</w:t>
      </w:r>
      <w:r>
        <w:rPr>
          <w:rFonts w:ascii="Book Antiqua" w:hAnsi="Book Antiqua" w:cstheme="majorBidi"/>
        </w:rPr>
        <w:t xml:space="preserve"> polymorphous low-grade neuroepithelial tumors of the young, and diffuse low-grade gliomas (</w:t>
      </w:r>
      <w:r>
        <w:rPr>
          <w:rFonts w:ascii="Book Antiqua" w:hAnsi="Book Antiqua" w:cstheme="majorBidi"/>
          <w:i/>
          <w:iCs/>
        </w:rPr>
        <w:t>MAP</w:t>
      </w:r>
      <w:r>
        <w:rPr>
          <w:rFonts w:ascii="Book Antiqua" w:hAnsi="Book Antiqua" w:cstheme="majorBidi"/>
        </w:rPr>
        <w:t xml:space="preserve"> altered) (</w:t>
      </w:r>
      <w:r>
        <w:rPr>
          <w:rFonts w:ascii="Book Antiqua" w:hAnsi="Book Antiqua" w:cstheme="majorBidi"/>
          <w:bCs/>
        </w:rPr>
        <w:t>Figure 1</w:t>
      </w:r>
      <w:r>
        <w:rPr>
          <w:rFonts w:ascii="Book Antiqua" w:hAnsi="Book Antiqua" w:cstheme="majorBidi"/>
        </w:rPr>
        <w:t xml:space="preserve">). Infantile gliomas have a special genetic signature with fusion genes of </w:t>
      </w:r>
      <w:r>
        <w:rPr>
          <w:rFonts w:ascii="Book Antiqua" w:hAnsi="Book Antiqua" w:cstheme="majorBidi"/>
          <w:i/>
          <w:iCs/>
        </w:rPr>
        <w:t>MET</w:t>
      </w:r>
      <w:r>
        <w:rPr>
          <w:rFonts w:ascii="Book Antiqua" w:hAnsi="Book Antiqua" w:cstheme="majorBidi"/>
        </w:rPr>
        <w:t xml:space="preserve">, </w:t>
      </w:r>
      <w:r>
        <w:rPr>
          <w:rFonts w:ascii="Book Antiqua" w:hAnsi="Book Antiqua" w:cstheme="majorBidi"/>
          <w:i/>
          <w:iCs/>
        </w:rPr>
        <w:t>ROS1</w:t>
      </w:r>
      <w:r>
        <w:rPr>
          <w:rFonts w:ascii="Book Antiqua" w:hAnsi="Book Antiqua" w:cstheme="majorBidi"/>
        </w:rPr>
        <w:t xml:space="preserve">, </w:t>
      </w:r>
      <w:r>
        <w:rPr>
          <w:rFonts w:ascii="Book Antiqua" w:hAnsi="Book Antiqua" w:cstheme="majorBidi"/>
          <w:i/>
          <w:iCs/>
        </w:rPr>
        <w:t>ALK</w:t>
      </w:r>
      <w:r>
        <w:rPr>
          <w:rFonts w:ascii="Book Antiqua" w:hAnsi="Book Antiqua" w:cstheme="majorBidi"/>
        </w:rPr>
        <w:t xml:space="preserve">, or </w:t>
      </w:r>
      <w:r>
        <w:rPr>
          <w:rFonts w:ascii="Book Antiqua" w:hAnsi="Book Antiqua" w:cstheme="majorBidi"/>
          <w:i/>
          <w:iCs/>
        </w:rPr>
        <w:t>NTRK1/2/3</w:t>
      </w:r>
      <w:r>
        <w:rPr>
          <w:rFonts w:ascii="Book Antiqua" w:hAnsi="Book Antiqua" w:cstheme="majorBidi"/>
          <w:vertAlign w:val="superscript"/>
        </w:rPr>
        <w:t>[35,36]</w:t>
      </w:r>
      <w:r>
        <w:rPr>
          <w:rFonts w:ascii="Book Antiqua" w:hAnsi="Book Antiqua" w:cstheme="majorBidi"/>
        </w:rPr>
        <w:t>.</w:t>
      </w:r>
    </w:p>
    <w:p>
      <w:pPr>
        <w:spacing w:line="360" w:lineRule="auto"/>
        <w:jc w:val="both"/>
        <w:rPr>
          <w:rFonts w:ascii="Book Antiqua" w:hAnsi="Book Antiqua" w:cstheme="majorBidi"/>
        </w:rPr>
      </w:pPr>
    </w:p>
    <w:p>
      <w:pPr>
        <w:spacing w:line="360" w:lineRule="auto"/>
        <w:jc w:val="both"/>
        <w:rPr>
          <w:rFonts w:ascii="Book Antiqua" w:hAnsi="Book Antiqua" w:cstheme="majorBidi"/>
          <w:b/>
          <w:i/>
          <w:iCs/>
        </w:rPr>
      </w:pPr>
      <w:r>
        <w:rPr>
          <w:rFonts w:ascii="Book Antiqua" w:hAnsi="Book Antiqua" w:cstheme="majorBidi"/>
          <w:b/>
          <w:i/>
          <w:iCs/>
        </w:rPr>
        <w:t>Guidance to treatment modalities</w:t>
      </w:r>
    </w:p>
    <w:p>
      <w:pPr>
        <w:spacing w:line="360" w:lineRule="auto"/>
        <w:jc w:val="both"/>
        <w:rPr>
          <w:rFonts w:ascii="Book Antiqua" w:hAnsi="Book Antiqua" w:cstheme="majorBidi"/>
        </w:rPr>
      </w:pPr>
      <w:r>
        <w:rPr>
          <w:rFonts w:ascii="Book Antiqua" w:hAnsi="Book Antiqua" w:cstheme="majorBidi"/>
        </w:rPr>
        <w:t xml:space="preserve">A positive prognostic factors in diffuse gliomas include young patients, good Karnofsky performance status (KPS), total resection, and </w:t>
      </w:r>
      <w:r>
        <w:rPr>
          <w:rFonts w:ascii="Book Antiqua" w:hAnsi="Book Antiqua" w:cstheme="majorBidi"/>
          <w:i/>
          <w:iCs/>
          <w:color w:val="000000" w:themeColor="text1"/>
          <w14:textFill>
            <w14:solidFill>
              <w14:schemeClr w14:val="tx1"/>
            </w14:solidFill>
          </w14:textFill>
        </w:rPr>
        <w:t>MGMT</w:t>
      </w:r>
      <w:r>
        <w:rPr>
          <w:rFonts w:ascii="Book Antiqua" w:hAnsi="Book Antiqua" w:cstheme="majorBidi"/>
          <w:color w:val="000000" w:themeColor="text1"/>
          <w14:textFill>
            <w14:solidFill>
              <w14:schemeClr w14:val="tx1"/>
            </w14:solidFill>
          </w14:textFill>
        </w:rPr>
        <w:t xml:space="preserve"> promoter methylation</w:t>
      </w:r>
      <w:r>
        <w:rPr>
          <w:rFonts w:ascii="Book Antiqua" w:hAnsi="Book Antiqua" w:cstheme="majorBidi"/>
          <w:color w:val="000000" w:themeColor="text1"/>
          <w:vertAlign w:val="superscript"/>
          <w14:textFill>
            <w14:solidFill>
              <w14:schemeClr w14:val="tx1"/>
            </w14:solidFill>
          </w14:textFill>
        </w:rPr>
        <w:t>[37]</w:t>
      </w:r>
      <w:r>
        <w:rPr>
          <w:rFonts w:ascii="Book Antiqua" w:hAnsi="Book Antiqua" w:cstheme="majorBidi"/>
          <w:color w:val="000000" w:themeColor="text1"/>
          <w14:textFill>
            <w14:solidFill>
              <w14:schemeClr w14:val="tx1"/>
            </w14:solidFill>
          </w14:textFill>
        </w:rPr>
        <w:t>. Surgical resection is considered the cornerstone of therapy</w:t>
      </w:r>
      <w:r>
        <w:rPr>
          <w:rFonts w:ascii="Book Antiqua" w:hAnsi="Book Antiqua" w:cstheme="majorBidi"/>
          <w:color w:val="000000"/>
        </w:rPr>
        <w:t xml:space="preserve">, with a 5-year survival rate (80%) followed </w:t>
      </w:r>
      <w:r>
        <w:rPr>
          <w:rFonts w:ascii="Book Antiqua" w:hAnsi="Book Antiqua" w:cstheme="majorBidi"/>
        </w:rPr>
        <w:t>by watchful waiting in low-grade gliomas. However, total resection may result in neurological deficits; thus, awake craniotomy and imaging modalities, such as tractography, may be utilized on a case-by-case basis</w:t>
      </w:r>
      <w:r>
        <w:rPr>
          <w:rFonts w:ascii="Book Antiqua" w:hAnsi="Book Antiqua" w:cstheme="majorBidi"/>
          <w:vertAlign w:val="superscript"/>
        </w:rPr>
        <w:t>[38,39]</w:t>
      </w:r>
      <w:r>
        <w:rPr>
          <w:rFonts w:ascii="Book Antiqua" w:hAnsi="Book Antiqua" w:cstheme="majorBidi"/>
        </w:rPr>
        <w:t xml:space="preserve">. Postoperatively, MRI can detect residuals, and perfusion studies may detect </w:t>
      </w:r>
      <w:r>
        <w:rPr>
          <w:rFonts w:ascii="Book Antiqua" w:hAnsi="Book Antiqua" w:cstheme="majorBidi"/>
          <w:color w:val="000000" w:themeColor="text1"/>
          <w14:textFill>
            <w14:solidFill>
              <w14:schemeClr w14:val="tx1"/>
            </w14:solidFill>
          </w14:textFill>
        </w:rPr>
        <w:t>progression</w:t>
      </w:r>
      <w:r>
        <w:rPr>
          <w:rFonts w:ascii="Book Antiqua" w:hAnsi="Book Antiqua" w:cstheme="majorBidi"/>
          <w:color w:val="000000" w:themeColor="text1"/>
          <w:vertAlign w:val="superscript"/>
          <w14:textFill>
            <w14:solidFill>
              <w14:schemeClr w14:val="tx1"/>
            </w14:solidFill>
          </w14:textFill>
        </w:rPr>
        <w:t>[</w:t>
      </w:r>
      <w:r>
        <w:rPr>
          <w:rFonts w:ascii="Book Antiqua" w:hAnsi="Book Antiqua" w:cstheme="majorBidi"/>
          <w:vertAlign w:val="superscript"/>
        </w:rPr>
        <w:t>40]</w:t>
      </w:r>
      <w:r>
        <w:rPr>
          <w:rFonts w:ascii="Book Antiqua" w:hAnsi="Book Antiqua" w:cstheme="majorBidi"/>
        </w:rPr>
        <w:t>. Therefore, the care plan must be through a multidisciplinary approach with neurooncologists, neuropathologists, and neurosurgeons on board to discuss management modalities.</w:t>
      </w:r>
    </w:p>
    <w:p>
      <w:pPr>
        <w:spacing w:line="360" w:lineRule="auto"/>
        <w:ind w:firstLine="480" w:firstLineChars="200"/>
        <w:jc w:val="both"/>
        <w:rPr>
          <w:rFonts w:ascii="Book Antiqua" w:hAnsi="Book Antiqua" w:cstheme="majorBidi"/>
        </w:rPr>
      </w:pPr>
      <w:r>
        <w:rPr>
          <w:rFonts w:ascii="Book Antiqua" w:hAnsi="Book Antiqua" w:cstheme="majorBidi"/>
          <w:color w:val="000000" w:themeColor="text1"/>
          <w14:textFill>
            <w14:solidFill>
              <w14:schemeClr w14:val="tx1"/>
            </w14:solidFill>
          </w14:textFill>
        </w:rPr>
        <w:t xml:space="preserve">For low-grade gliomas, such as </w:t>
      </w:r>
      <w:r>
        <w:rPr>
          <w:rFonts w:ascii="Book Antiqua" w:hAnsi="Book Antiqua" w:cstheme="majorBidi"/>
          <w:i/>
          <w:iCs/>
        </w:rPr>
        <w:t>IDH</w:t>
      </w:r>
      <w:r>
        <w:rPr>
          <w:rFonts w:ascii="Book Antiqua" w:hAnsi="Book Antiqua" w:cstheme="majorBidi"/>
        </w:rPr>
        <w:t xml:space="preserve">-mutant and 1p/19q codeleted oligodendroglioma (WHO grade 2), </w:t>
      </w:r>
      <w:r>
        <w:rPr>
          <w:rFonts w:ascii="Book Antiqua" w:hAnsi="Book Antiqua" w:cstheme="majorBidi"/>
          <w:color w:val="000000" w:themeColor="text1"/>
          <w14:textFill>
            <w14:solidFill>
              <w14:schemeClr w14:val="tx1"/>
            </w14:solidFill>
          </w14:textFill>
        </w:rPr>
        <w:t>careful, a watchful waiting strategy is an option, particularly for totally resected tumors or younger patients (&lt; 40 years) with incomplete tumor resection. However, this would come at a cost: the patient’s life, neurological impairments development, and a substantial increase in histological grading over time</w:t>
      </w:r>
      <w:r>
        <w:rPr>
          <w:rFonts w:ascii="Book Antiqua" w:hAnsi="Book Antiqua" w:cstheme="majorBidi"/>
          <w:color w:val="000000" w:themeColor="text1"/>
          <w:vertAlign w:val="superscript"/>
          <w14:textFill>
            <w14:solidFill>
              <w14:schemeClr w14:val="tx1"/>
            </w14:solidFill>
          </w14:textFill>
        </w:rPr>
        <w:t>[</w:t>
      </w:r>
      <w:r>
        <w:rPr>
          <w:rFonts w:ascii="Book Antiqua" w:hAnsi="Book Antiqua" w:cstheme="majorBidi"/>
          <w:vertAlign w:val="superscript"/>
        </w:rPr>
        <w:t>41,42]</w:t>
      </w:r>
      <w:r>
        <w:rPr>
          <w:rFonts w:ascii="Book Antiqua" w:hAnsi="Book Antiqua" w:cstheme="majorBidi"/>
        </w:rPr>
        <w:t>.</w:t>
      </w:r>
      <w:r>
        <w:rPr>
          <w:rFonts w:ascii="Book Antiqua" w:hAnsi="Book Antiqua" w:cstheme="majorBidi"/>
          <w:color w:val="000000" w:themeColor="text1"/>
          <w14:textFill>
            <w14:solidFill>
              <w14:schemeClr w14:val="tx1"/>
            </w14:solidFill>
          </w14:textFill>
        </w:rPr>
        <w:t xml:space="preserve"> As a result, disease progression must be monitored with neuroimaging every 2–3 months. According to the National Comprehensive Cancer Network guidelines, patients should be followed up every 2 months with an MRI brain scan, then every 3 months if they have been off therapy for a year</w:t>
      </w:r>
      <w:r>
        <w:rPr>
          <w:rFonts w:ascii="Book Antiqua" w:hAnsi="Book Antiqua" w:cstheme="majorBidi"/>
          <w:color w:val="000000" w:themeColor="text1"/>
          <w:vertAlign w:val="superscript"/>
          <w14:textFill>
            <w14:solidFill>
              <w14:schemeClr w14:val="tx1"/>
            </w14:solidFill>
          </w14:textFill>
        </w:rPr>
        <w:t>[</w:t>
      </w:r>
      <w:r>
        <w:rPr>
          <w:rFonts w:ascii="Book Antiqua" w:hAnsi="Book Antiqua" w:cstheme="majorBidi"/>
          <w:bCs/>
          <w:color w:val="000000" w:themeColor="text1"/>
          <w:vertAlign w:val="superscript"/>
          <w14:textFill>
            <w14:solidFill>
              <w14:schemeClr w14:val="tx1"/>
            </w14:solidFill>
          </w14:textFill>
        </w:rPr>
        <w:t>40]</w:t>
      </w:r>
      <w:r>
        <w:rPr>
          <w:rFonts w:ascii="Book Antiqua" w:hAnsi="Book Antiqua" w:cstheme="majorBidi"/>
          <w:color w:val="000000" w:themeColor="text1"/>
          <w14:textFill>
            <w14:solidFill>
              <w14:schemeClr w14:val="tx1"/>
            </w14:solidFill>
          </w14:textFill>
        </w:rPr>
        <w:t xml:space="preserve">. Progression may occur after 4–8 weeks, necessitating a brain MRI. </w:t>
      </w:r>
      <w:r>
        <w:rPr>
          <w:rFonts w:ascii="Book Antiqua" w:hAnsi="Book Antiqua" w:cstheme="majorBidi"/>
        </w:rPr>
        <w:t>Perfusion studies and spectroscopy can help to differentiate between progression and pseudoprogression, and, in doubt, a multidisciplinary team should be counseled.</w:t>
      </w:r>
    </w:p>
    <w:p>
      <w:pPr>
        <w:spacing w:line="360" w:lineRule="auto"/>
        <w:jc w:val="both"/>
        <w:rPr>
          <w:rFonts w:ascii="Book Antiqua" w:hAnsi="Book Antiqua" w:cstheme="majorBidi"/>
        </w:rPr>
      </w:pPr>
    </w:p>
    <w:p>
      <w:pPr>
        <w:spacing w:line="360" w:lineRule="auto"/>
        <w:jc w:val="both"/>
        <w:rPr>
          <w:rFonts w:ascii="Book Antiqua" w:hAnsi="Book Antiqua" w:cstheme="majorBidi"/>
          <w:b/>
          <w:i/>
          <w:iCs/>
        </w:rPr>
      </w:pPr>
      <w:r>
        <w:rPr>
          <w:rFonts w:ascii="Book Antiqua" w:hAnsi="Book Antiqua" w:cstheme="majorBidi"/>
          <w:b/>
          <w:i/>
          <w:iCs/>
        </w:rPr>
        <w:t>Adjuvant radiotherapy</w:t>
      </w:r>
    </w:p>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Post-surgical resection radiotherapy is the best therapeutic effect to prevent recurrence or delay the progression of diffuse gliomas (WHO grades 2</w:t>
      </w:r>
      <w:r>
        <w:rPr>
          <w:rFonts w:ascii="Book Antiqua" w:hAnsi="Book Antiqua" w:cstheme="majorBidi"/>
          <w:color w:val="000000" w:themeColor="text1"/>
          <w:lang w:eastAsia="zh-CN"/>
          <w14:textFill>
            <w14:solidFill>
              <w14:schemeClr w14:val="tx1"/>
            </w14:solidFill>
          </w14:textFill>
        </w:rPr>
        <w:t>-</w:t>
      </w:r>
      <w:r>
        <w:rPr>
          <w:rFonts w:ascii="Book Antiqua" w:hAnsi="Book Antiqua" w:cstheme="majorBidi"/>
          <w:color w:val="000000" w:themeColor="text1"/>
          <w14:textFill>
            <w14:solidFill>
              <w14:schemeClr w14:val="tx1"/>
            </w14:solidFill>
          </w14:textFill>
        </w:rPr>
        <w:t>4)</w:t>
      </w:r>
      <w:r>
        <w:rPr>
          <w:rFonts w:ascii="Book Antiqua" w:hAnsi="Book Antiqua" w:cstheme="majorBidi"/>
          <w:color w:val="000000" w:themeColor="text1"/>
          <w:vertAlign w:val="superscript"/>
          <w14:textFill>
            <w14:solidFill>
              <w14:schemeClr w14:val="tx1"/>
            </w14:solidFill>
          </w14:textFill>
        </w:rPr>
        <w:t>[43]</w:t>
      </w:r>
      <w:r>
        <w:rPr>
          <w:rFonts w:ascii="Book Antiqua" w:hAnsi="Book Antiqua" w:cstheme="majorBidi"/>
          <w:color w:val="000000" w:themeColor="text1"/>
          <w14:textFill>
            <w14:solidFill>
              <w14:schemeClr w14:val="tx1"/>
            </w14:solidFill>
          </w14:textFill>
        </w:rPr>
        <w:t>.</w:t>
      </w:r>
      <w:r>
        <w:rPr>
          <w:rFonts w:ascii="Book Antiqua" w:hAnsi="Book Antiqua" w:cstheme="majorBidi"/>
          <w:color w:val="000000" w:themeColor="text1"/>
          <w:vertAlign w:val="superscript"/>
          <w14:textFill>
            <w14:solidFill>
              <w14:schemeClr w14:val="tx1"/>
            </w14:solidFill>
          </w14:textFill>
        </w:rPr>
        <w:t xml:space="preserve"> </w:t>
      </w:r>
      <w:r>
        <w:rPr>
          <w:rFonts w:ascii="Book Antiqua" w:hAnsi="Book Antiqua" w:cstheme="majorBidi"/>
          <w:color w:val="000000" w:themeColor="text1"/>
          <w14:textFill>
            <w14:solidFill>
              <w14:schemeClr w14:val="tx1"/>
            </w14:solidFill>
          </w14:textFill>
        </w:rPr>
        <w:t xml:space="preserve">The role </w:t>
      </w:r>
      <w:r>
        <w:rPr>
          <w:rFonts w:ascii="Book Antiqua" w:hAnsi="Book Antiqua" w:cstheme="majorBidi"/>
          <w:color w:val="000000"/>
        </w:rPr>
        <w:t>of radiotherapy is to maintain the control of tumor progression, but it leads to neurotoxicity if used in high doses. Thus, the most used doses are 50-60 Gy administered 3</w:t>
      </w:r>
      <w:r>
        <w:rPr>
          <w:rFonts w:ascii="Book Antiqua" w:hAnsi="Book Antiqua" w:cstheme="majorBidi"/>
          <w:color w:val="000000"/>
          <w:lang w:eastAsia="zh-CN"/>
        </w:rPr>
        <w:t>-</w:t>
      </w:r>
      <w:r>
        <w:rPr>
          <w:rFonts w:ascii="Book Antiqua" w:hAnsi="Book Antiqua" w:cstheme="majorBidi"/>
          <w:color w:val="000000"/>
        </w:rPr>
        <w:t xml:space="preserve">5 </w:t>
      </w:r>
      <w:r>
        <w:rPr>
          <w:rFonts w:ascii="Book Antiqua" w:hAnsi="Book Antiqua" w:cstheme="majorBidi"/>
          <w:color w:val="000000" w:themeColor="text1"/>
          <w14:textFill>
            <w14:solidFill>
              <w14:schemeClr w14:val="tx1"/>
            </w14:solidFill>
          </w14:textFill>
        </w:rPr>
        <w:t>times postoperatively</w:t>
      </w:r>
      <w:r>
        <w:rPr>
          <w:rFonts w:ascii="Book Antiqua" w:hAnsi="Book Antiqua" w:cstheme="majorBidi"/>
          <w:color w:val="000000" w:themeColor="text1"/>
          <w:vertAlign w:val="superscript"/>
          <w14:textFill>
            <w14:solidFill>
              <w14:schemeClr w14:val="tx1"/>
            </w14:solidFill>
          </w14:textFill>
        </w:rPr>
        <w:t>[44]</w:t>
      </w:r>
      <w:r>
        <w:rPr>
          <w:rFonts w:ascii="Book Antiqua" w:hAnsi="Book Antiqua" w:cstheme="majorBidi"/>
          <w:color w:val="000000" w:themeColor="text1"/>
          <w14:textFill>
            <w14:solidFill>
              <w14:schemeClr w14:val="tx1"/>
            </w14:solidFill>
          </w14:textFill>
        </w:rPr>
        <w:t xml:space="preserve">. Choi </w:t>
      </w:r>
      <w:r>
        <w:rPr>
          <w:rFonts w:ascii="Book Antiqua" w:hAnsi="Book Antiqua" w:cstheme="majorBidi"/>
          <w:i/>
          <w:color w:val="000000" w:themeColor="text1"/>
          <w14:textFill>
            <w14:solidFill>
              <w14:schemeClr w14:val="tx1"/>
            </w14:solidFill>
          </w14:textFill>
        </w:rPr>
        <w:t>et al</w:t>
      </w:r>
      <w:r>
        <w:rPr>
          <w:rFonts w:ascii="Book Antiqua" w:hAnsi="Book Antiqua" w:cstheme="majorBidi"/>
          <w:color w:val="000000" w:themeColor="text1"/>
          <w:vertAlign w:val="superscript"/>
          <w14:textFill>
            <w14:solidFill>
              <w14:schemeClr w14:val="tx1"/>
            </w14:solidFill>
          </w14:textFill>
        </w:rPr>
        <w:t>[45]</w:t>
      </w:r>
      <w:r>
        <w:rPr>
          <w:rFonts w:ascii="Book Antiqua" w:hAnsi="Book Antiqua" w:cstheme="majorBidi"/>
          <w:color w:val="000000" w:themeColor="text1"/>
          <w14:textFill>
            <w14:solidFill>
              <w14:schemeClr w14:val="tx1"/>
            </w14:solidFill>
          </w14:textFill>
        </w:rPr>
        <w:t xml:space="preserve"> found that patients with WHO grade 4 astrocytoma who received 50</w:t>
      </w:r>
      <w:r>
        <w:rPr>
          <w:rFonts w:ascii="Book Antiqua" w:hAnsi="Book Antiqua" w:cstheme="majorBidi"/>
          <w:color w:val="000000" w:themeColor="text1"/>
          <w:lang w:eastAsia="zh-CN"/>
          <w14:textFill>
            <w14:solidFill>
              <w14:schemeClr w14:val="tx1"/>
            </w14:solidFill>
          </w14:textFill>
        </w:rPr>
        <w:t>-</w:t>
      </w:r>
      <w:r>
        <w:rPr>
          <w:rFonts w:ascii="Book Antiqua" w:hAnsi="Book Antiqua" w:cstheme="majorBidi"/>
          <w:color w:val="000000" w:themeColor="text1"/>
          <w14:textFill>
            <w14:solidFill>
              <w14:schemeClr w14:val="tx1"/>
            </w14:solidFill>
          </w14:textFill>
        </w:rPr>
        <w:t xml:space="preserve">60 Gy lived an average of 9 months longer than those who received 45 Gy for 3 months. </w:t>
      </w:r>
    </w:p>
    <w:p>
      <w:pPr>
        <w:spacing w:line="360" w:lineRule="auto"/>
        <w:ind w:firstLine="480" w:firstLineChars="200"/>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 xml:space="preserve">Radiotherapy is recommended for all WHO grade 2 gliomas with incomplete resection or </w:t>
      </w:r>
      <w:r>
        <w:rPr>
          <w:rFonts w:ascii="Book Antiqua" w:hAnsi="Book Antiqua" w:cstheme="majorBidi"/>
          <w:color w:val="000000"/>
        </w:rPr>
        <w:t xml:space="preserve">for patients aged &gt; 40 years and all WHO grade 3–4 gliomas. </w:t>
      </w:r>
      <w:r>
        <w:rPr>
          <w:rFonts w:ascii="Book Antiqua" w:hAnsi="Book Antiqua" w:cstheme="majorBidi"/>
          <w:color w:val="000000" w:themeColor="text1"/>
          <w:shd w:val="clear" w:color="auto" w:fill="FFFFFF"/>
          <w14:textFill>
            <w14:solidFill>
              <w14:schemeClr w14:val="tx1"/>
            </w14:solidFill>
          </w14:textFill>
        </w:rPr>
        <w:t>Early radiotherapy has been shown to prolong progression-free survival but not OS</w:t>
      </w:r>
      <w:r>
        <w:rPr>
          <w:rFonts w:ascii="Book Antiqua" w:hAnsi="Book Antiqua" w:cstheme="majorBidi"/>
          <w:color w:val="000000" w:themeColor="text1"/>
          <w:shd w:val="clear" w:color="auto" w:fill="FFFFFF"/>
          <w:vertAlign w:val="superscript"/>
          <w14:textFill>
            <w14:solidFill>
              <w14:schemeClr w14:val="tx1"/>
            </w14:solidFill>
          </w14:textFill>
        </w:rPr>
        <w:t>[</w:t>
      </w:r>
      <w:r>
        <w:rPr>
          <w:rFonts w:ascii="Book Antiqua" w:hAnsi="Book Antiqua" w:cstheme="majorBidi"/>
          <w:color w:val="000000" w:themeColor="text1"/>
          <w:vertAlign w:val="superscript"/>
          <w14:textFill>
            <w14:solidFill>
              <w14:schemeClr w14:val="tx1"/>
            </w14:solidFill>
          </w14:textFill>
        </w:rPr>
        <w:t>46]</w:t>
      </w:r>
      <w:r>
        <w:rPr>
          <w:rFonts w:ascii="Book Antiqua" w:hAnsi="Book Antiqua" w:cstheme="majorBidi"/>
          <w:color w:val="000000" w:themeColor="text1"/>
          <w14:textFill>
            <w14:solidFill>
              <w14:schemeClr w14:val="tx1"/>
            </w14:solidFill>
          </w14:textFill>
        </w:rPr>
        <w:t>. Whole-brain radiation therapy is usually not preferable in clinical practice because it is associated with cognitive effects</w:t>
      </w:r>
      <w:r>
        <w:rPr>
          <w:rFonts w:ascii="Book Antiqua" w:hAnsi="Book Antiqua" w:cstheme="majorBidi"/>
          <w:color w:val="000000" w:themeColor="text1"/>
          <w:vertAlign w:val="superscript"/>
          <w14:textFill>
            <w14:solidFill>
              <w14:schemeClr w14:val="tx1"/>
            </w14:solidFill>
          </w14:textFill>
        </w:rPr>
        <w:t>[45]</w:t>
      </w:r>
      <w:r>
        <w:rPr>
          <w:rFonts w:ascii="Book Antiqua" w:hAnsi="Book Antiqua" w:cstheme="majorBidi"/>
          <w:color w:val="000000" w:themeColor="text1"/>
          <w14:textFill>
            <w14:solidFill>
              <w14:schemeClr w14:val="tx1"/>
            </w14:solidFill>
          </w14:textFill>
        </w:rPr>
        <w:t>. A follow-up MRI 3</w:t>
      </w:r>
      <w:r>
        <w:rPr>
          <w:rFonts w:ascii="Book Antiqua" w:hAnsi="Book Antiqua" w:cstheme="majorBidi"/>
          <w:color w:val="000000" w:themeColor="text1"/>
          <w:lang w:eastAsia="zh-CN"/>
          <w14:textFill>
            <w14:solidFill>
              <w14:schemeClr w14:val="tx1"/>
            </w14:solidFill>
          </w14:textFill>
        </w:rPr>
        <w:t>-</w:t>
      </w:r>
      <w:r>
        <w:rPr>
          <w:rFonts w:ascii="Book Antiqua" w:hAnsi="Book Antiqua" w:cstheme="majorBidi"/>
          <w:color w:val="000000" w:themeColor="text1"/>
          <w14:textFill>
            <w14:solidFill>
              <w14:schemeClr w14:val="tx1"/>
            </w14:solidFill>
          </w14:textFill>
        </w:rPr>
        <w:t xml:space="preserve">4 weeks after radiotherapy completion is typically performed to monitor disease </w:t>
      </w:r>
      <w:r>
        <w:rPr>
          <w:rFonts w:ascii="Book Antiqua" w:hAnsi="Book Antiqua" w:cstheme="majorBidi"/>
          <w:color w:val="000000"/>
        </w:rPr>
        <w:t>progression</w:t>
      </w:r>
      <w:r>
        <w:rPr>
          <w:rFonts w:ascii="Book Antiqua" w:hAnsi="Book Antiqua" w:cstheme="majorBidi"/>
          <w:color w:val="000000"/>
          <w:vertAlign w:val="superscript"/>
        </w:rPr>
        <w:t>[</w:t>
      </w:r>
      <w:r>
        <w:rPr>
          <w:rFonts w:ascii="Book Antiqua" w:hAnsi="Book Antiqua" w:cstheme="majorBidi"/>
          <w:color w:val="000000" w:themeColor="text1"/>
          <w:vertAlign w:val="superscript"/>
          <w14:textFill>
            <w14:solidFill>
              <w14:schemeClr w14:val="tx1"/>
            </w14:solidFill>
          </w14:textFill>
        </w:rPr>
        <w:t>40]</w:t>
      </w:r>
      <w:r>
        <w:rPr>
          <w:rFonts w:ascii="Book Antiqua" w:hAnsi="Book Antiqua" w:cstheme="majorBidi"/>
          <w:color w:val="000000" w:themeColor="text1"/>
          <w14:textFill>
            <w14:solidFill>
              <w14:schemeClr w14:val="tx1"/>
            </w14:solidFill>
          </w14:textFill>
        </w:rPr>
        <w:t>.</w:t>
      </w:r>
      <w:r>
        <w:rPr>
          <w:rFonts w:ascii="Book Antiqua" w:hAnsi="Book Antiqua" w:cstheme="majorBidi"/>
          <w:color w:val="000000" w:themeColor="text1"/>
          <w:shd w:val="clear" w:color="auto" w:fill="FFFFFF"/>
          <w14:textFill>
            <w14:solidFill>
              <w14:schemeClr w14:val="tx1"/>
            </w14:solidFill>
          </w14:textFill>
        </w:rPr>
        <w:t xml:space="preserve"> The use of chemotherapy without radiation remains under investigation but might be an option if radiotherapy is not possible, for example, in patients with large tumors or </w:t>
      </w:r>
      <w:r>
        <w:rPr>
          <w:rFonts w:ascii="Book Antiqua" w:hAnsi="Book Antiqua" w:cstheme="majorBidi"/>
          <w:color w:val="000000" w:themeColor="text1"/>
          <w14:textFill>
            <w14:solidFill>
              <w14:schemeClr w14:val="tx1"/>
            </w14:solidFill>
          </w14:textFill>
        </w:rPr>
        <w:t>elderly patients who might not be candidates for radiation.</w:t>
      </w:r>
    </w:p>
    <w:p>
      <w:pPr>
        <w:spacing w:line="360" w:lineRule="auto"/>
        <w:jc w:val="both"/>
        <w:rPr>
          <w:rFonts w:ascii="Book Antiqua" w:hAnsi="Book Antiqua" w:cstheme="majorBidi"/>
          <w:color w:val="000000" w:themeColor="text1"/>
          <w14:textFill>
            <w14:solidFill>
              <w14:schemeClr w14:val="tx1"/>
            </w14:solidFill>
          </w14:textFill>
        </w:rPr>
      </w:pPr>
    </w:p>
    <w:p>
      <w:pPr>
        <w:spacing w:line="360" w:lineRule="auto"/>
        <w:jc w:val="both"/>
        <w:rPr>
          <w:rFonts w:ascii="Book Antiqua" w:hAnsi="Book Antiqua" w:cstheme="majorBidi"/>
          <w:b/>
          <w:i/>
          <w:iCs/>
        </w:rPr>
      </w:pPr>
      <w:r>
        <w:rPr>
          <w:rFonts w:ascii="Book Antiqua" w:hAnsi="Book Antiqua" w:cstheme="majorBidi"/>
          <w:b/>
          <w:i/>
          <w:iCs/>
        </w:rPr>
        <w:t xml:space="preserve">Chemotherapy </w:t>
      </w:r>
    </w:p>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 xml:space="preserve">Another adjunct treatment modality for diffuse gliomas is pharmacological treatment, mainly for patients with high-grade gliomas. The most used drug is the alkylating agent temozolomide (TMZ) for its immunomodulation and contribution to tumor-acquiring cell death. TMZ </w:t>
      </w:r>
      <w:r>
        <w:rPr>
          <w:rFonts w:ascii="Book Antiqua" w:hAnsi="Book Antiqua" w:cstheme="majorBidi"/>
          <w:color w:val="000000" w:themeColor="text1"/>
          <w:shd w:val="clear" w:color="auto" w:fill="FFFFFF"/>
          <w14:textFill>
            <w14:solidFill>
              <w14:schemeClr w14:val="tx1"/>
            </w14:solidFill>
          </w14:textFill>
        </w:rPr>
        <w:t xml:space="preserve">was first discovered in 1987 and has been widely applied as an effective first-line chemotherapeutic agent for treating patients with glioblastoma since </w:t>
      </w:r>
      <w:r>
        <w:rPr>
          <w:rFonts w:ascii="Book Antiqua" w:hAnsi="Book Antiqua" w:cstheme="majorBidi"/>
          <w:color w:val="000000"/>
        </w:rPr>
        <w:t>the Food and Drug Administration has approved its efficacy in 2005</w:t>
      </w:r>
      <w:r>
        <w:rPr>
          <w:rFonts w:ascii="Book Antiqua" w:hAnsi="Book Antiqua" w:cstheme="majorBidi"/>
          <w:color w:val="000000"/>
          <w:vertAlign w:val="superscript"/>
        </w:rPr>
        <w:t>[</w:t>
      </w:r>
      <w:r>
        <w:rPr>
          <w:rFonts w:ascii="Book Antiqua" w:hAnsi="Book Antiqua" w:cstheme="majorBidi"/>
          <w:color w:val="000000" w:themeColor="text1"/>
          <w:vertAlign w:val="superscript"/>
          <w14:textFill>
            <w14:solidFill>
              <w14:schemeClr w14:val="tx1"/>
            </w14:solidFill>
          </w14:textFill>
        </w:rPr>
        <w:t>47,48]</w:t>
      </w:r>
      <w:r>
        <w:rPr>
          <w:rFonts w:ascii="Book Antiqua" w:hAnsi="Book Antiqua" w:cstheme="majorBidi"/>
          <w:color w:val="000000" w:themeColor="text1"/>
          <w14:textFill>
            <w14:solidFill>
              <w14:schemeClr w14:val="tx1"/>
            </w14:solidFill>
          </w14:textFill>
        </w:rPr>
        <w:t xml:space="preserve">. Other drugs used as adjuvants in </w:t>
      </w:r>
      <w:r>
        <w:rPr>
          <w:rFonts w:ascii="Book Antiqua" w:hAnsi="Book Antiqua" w:cstheme="majorBidi"/>
          <w:color w:val="000000"/>
        </w:rPr>
        <w:t xml:space="preserve">treating gliomas </w:t>
      </w:r>
      <w:r>
        <w:rPr>
          <w:rFonts w:ascii="Book Antiqua" w:hAnsi="Book Antiqua" w:cstheme="majorBidi"/>
          <w:color w:val="000000" w:themeColor="text1"/>
          <w14:textFill>
            <w14:solidFill>
              <w14:schemeClr w14:val="tx1"/>
            </w14:solidFill>
          </w14:textFill>
        </w:rPr>
        <w:t>include nitrosourea, which includes lomustine, carmustine, nimustine</w:t>
      </w:r>
      <w:r>
        <w:rPr>
          <w:rFonts w:ascii="Book Antiqua" w:hAnsi="Book Antiqua" w:cstheme="majorBidi"/>
          <w:color w:val="000000"/>
        </w:rPr>
        <w:t>,</w:t>
      </w:r>
      <w:r>
        <w:rPr>
          <w:rFonts w:ascii="Book Antiqua" w:hAnsi="Book Antiqua" w:cstheme="majorBidi"/>
          <w:color w:val="000000" w:themeColor="text1"/>
          <w14:textFill>
            <w14:solidFill>
              <w14:schemeClr w14:val="tx1"/>
            </w14:solidFill>
          </w14:textFill>
        </w:rPr>
        <w:t xml:space="preserve"> and fotemustine. However, this class of drugs may cause pronounced low platelet count when administered long-term. As a result, patients with oligodendroglioma frequently receive a procarbazine, vincristine, and lomustine (PCV) regimen, as dose-related side effects are more evident in other nitrosourea classes, such as gastrointestinal disorders, decreased cell count, and ototoxicity</w:t>
      </w:r>
      <w:r>
        <w:rPr>
          <w:rFonts w:ascii="Book Antiqua" w:hAnsi="Book Antiqua" w:cstheme="majorBidi"/>
          <w:color w:val="000000" w:themeColor="text1"/>
          <w:vertAlign w:val="superscript"/>
          <w14:textFill>
            <w14:solidFill>
              <w14:schemeClr w14:val="tx1"/>
            </w14:solidFill>
          </w14:textFill>
        </w:rPr>
        <w:t>[48]</w:t>
      </w:r>
      <w:r>
        <w:rPr>
          <w:rFonts w:ascii="Book Antiqua" w:hAnsi="Book Antiqua" w:cstheme="majorBidi"/>
          <w:color w:val="000000" w:themeColor="text1"/>
          <w14:textFill>
            <w14:solidFill>
              <w14:schemeClr w14:val="tx1"/>
            </w14:solidFill>
          </w14:textFill>
        </w:rPr>
        <w:t>. Anti-vascular endothelial growth factor antibody (bevacizumab) has also been used as an adjuvant treatment, but it’s clear benefit is uncertain</w:t>
      </w:r>
      <w:r>
        <w:rPr>
          <w:rFonts w:ascii="Book Antiqua" w:hAnsi="Book Antiqua" w:cstheme="majorBidi"/>
          <w:color w:val="000000" w:themeColor="text1"/>
          <w:vertAlign w:val="superscript"/>
          <w14:textFill>
            <w14:solidFill>
              <w14:schemeClr w14:val="tx1"/>
            </w14:solidFill>
          </w14:textFill>
        </w:rPr>
        <w:t>[49]</w:t>
      </w:r>
      <w:r>
        <w:rPr>
          <w:rFonts w:ascii="Book Antiqua" w:hAnsi="Book Antiqua" w:cstheme="majorBidi"/>
          <w:color w:val="000000" w:themeColor="text1"/>
          <w14:textFill>
            <w14:solidFill>
              <w14:schemeClr w14:val="tx1"/>
            </w14:solidFill>
          </w14:textFill>
        </w:rPr>
        <w:t>.</w:t>
      </w:r>
    </w:p>
    <w:p>
      <w:pPr>
        <w:spacing w:line="360" w:lineRule="auto"/>
        <w:jc w:val="both"/>
        <w:rPr>
          <w:rFonts w:ascii="Book Antiqua" w:hAnsi="Book Antiqua" w:cstheme="majorBidi"/>
        </w:rPr>
      </w:pPr>
    </w:p>
    <w:p>
      <w:pPr>
        <w:spacing w:line="360" w:lineRule="auto"/>
        <w:jc w:val="both"/>
        <w:rPr>
          <w:rFonts w:ascii="Book Antiqua" w:hAnsi="Book Antiqua" w:cstheme="majorBidi"/>
          <w:b/>
          <w:i/>
          <w:iCs/>
        </w:rPr>
      </w:pPr>
      <w:r>
        <w:rPr>
          <w:rFonts w:ascii="Book Antiqua" w:hAnsi="Book Antiqua" w:cstheme="majorBidi"/>
          <w:b/>
          <w:i/>
          <w:iCs/>
        </w:rPr>
        <w:t>Recent update in glioma treatment</w:t>
      </w:r>
    </w:p>
    <w:p>
      <w:pPr>
        <w:spacing w:line="360" w:lineRule="auto"/>
        <w:jc w:val="both"/>
        <w:rPr>
          <w:rFonts w:ascii="Book Antiqua" w:hAnsi="Book Antiqua" w:cstheme="majorBidi"/>
          <w:color w:val="000000" w:themeColor="text1"/>
          <w:vertAlign w:val="superscript"/>
          <w14:textFill>
            <w14:solidFill>
              <w14:schemeClr w14:val="tx1"/>
            </w14:solidFill>
          </w14:textFill>
        </w:rPr>
      </w:pPr>
      <w:r>
        <w:rPr>
          <w:rFonts w:ascii="Book Antiqua" w:hAnsi="Book Antiqua" w:cstheme="majorBidi"/>
          <w:color w:val="000000" w:themeColor="text1"/>
          <w14:textFill>
            <w14:solidFill>
              <w14:schemeClr w14:val="tx1"/>
            </w14:solidFill>
          </w14:textFill>
        </w:rPr>
        <w:t>In the new 2021 WHO, cIMPACT-NOW</w:t>
      </w:r>
      <w:r>
        <w:rPr>
          <w:rFonts w:ascii="Book Antiqua" w:hAnsi="Book Antiqua" w:cstheme="majorBidi"/>
          <w:color w:val="000000"/>
        </w:rPr>
        <w:t>,</w:t>
      </w:r>
      <w:r>
        <w:rPr>
          <w:rFonts w:ascii="Book Antiqua" w:hAnsi="Book Antiqua" w:cstheme="majorBidi"/>
          <w:color w:val="000000" w:themeColor="text1"/>
          <w14:textFill>
            <w14:solidFill>
              <w14:schemeClr w14:val="tx1"/>
            </w14:solidFill>
          </w14:textFill>
        </w:rPr>
        <w:t xml:space="preserve"> and EANO guidelines, therapeutic options are targeted at </w:t>
      </w:r>
      <w:r>
        <w:rPr>
          <w:rFonts w:ascii="Book Antiqua" w:hAnsi="Book Antiqua" w:cstheme="majorBidi"/>
          <w:color w:val="000000"/>
        </w:rPr>
        <w:t xml:space="preserve">the genomic types of </w:t>
      </w:r>
      <w:r>
        <w:rPr>
          <w:rFonts w:ascii="Book Antiqua" w:hAnsi="Book Antiqua" w:cstheme="majorBidi"/>
          <w:color w:val="000000" w:themeColor="text1"/>
          <w14:textFill>
            <w14:solidFill>
              <w14:schemeClr w14:val="tx1"/>
            </w14:solidFill>
          </w14:textFill>
        </w:rPr>
        <w:t>tumors</w:t>
      </w:r>
      <w:r>
        <w:rPr>
          <w:rFonts w:ascii="Book Antiqua" w:hAnsi="Book Antiqua" w:cstheme="majorBidi"/>
          <w:color w:val="000000" w:themeColor="text1"/>
          <w:vertAlign w:val="superscript"/>
          <w14:textFill>
            <w14:solidFill>
              <w14:schemeClr w14:val="tx1"/>
            </w14:solidFill>
          </w14:textFill>
        </w:rPr>
        <w:t>[7,9]</w:t>
      </w:r>
      <w:r>
        <w:rPr>
          <w:rFonts w:ascii="Book Antiqua" w:hAnsi="Book Antiqua" w:cstheme="majorBidi"/>
          <w:color w:val="000000" w:themeColor="text1"/>
          <w14:textFill>
            <w14:solidFill>
              <w14:schemeClr w14:val="tx1"/>
            </w14:solidFill>
          </w14:textFill>
        </w:rPr>
        <w:t>. As total surgical resection remains the standard treatment for all CNS gliomas, radiotherapy is still considered the first-line targeted therapy after surgical resection for all WHO grade 2 and 3 oligodendrogliomas or astrocytomas, as mentioned previously</w:t>
      </w:r>
      <w:r>
        <w:rPr>
          <w:rFonts w:ascii="Book Antiqua" w:hAnsi="Book Antiqua" w:cstheme="majorBidi"/>
          <w:color w:val="000000" w:themeColor="text1"/>
          <w:vertAlign w:val="superscript"/>
          <w14:textFill>
            <w14:solidFill>
              <w14:schemeClr w14:val="tx1"/>
            </w14:solidFill>
          </w14:textFill>
        </w:rPr>
        <w:t>[50-52]</w:t>
      </w:r>
      <w:r>
        <w:rPr>
          <w:rFonts w:ascii="Book Antiqua" w:hAnsi="Book Antiqua" w:cstheme="majorBidi"/>
          <w:color w:val="000000" w:themeColor="text1"/>
          <w14:textFill>
            <w14:solidFill>
              <w14:schemeClr w14:val="tx1"/>
            </w14:solidFill>
          </w14:textFill>
        </w:rPr>
        <w:t>.</w:t>
      </w:r>
    </w:p>
    <w:p>
      <w:pPr>
        <w:spacing w:line="360" w:lineRule="auto"/>
        <w:ind w:firstLine="480" w:firstLineChars="200"/>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 xml:space="preserve">In patients with </w:t>
      </w:r>
      <w:r>
        <w:rPr>
          <w:rFonts w:ascii="Book Antiqua" w:hAnsi="Book Antiqua" w:cstheme="majorBidi"/>
          <w:i/>
          <w:iCs/>
          <w:color w:val="000000" w:themeColor="text1"/>
          <w14:textFill>
            <w14:solidFill>
              <w14:schemeClr w14:val="tx1"/>
            </w14:solidFill>
          </w14:textFill>
        </w:rPr>
        <w:t>IDH</w:t>
      </w:r>
      <w:r>
        <w:rPr>
          <w:rFonts w:ascii="Book Antiqua" w:hAnsi="Book Antiqua" w:cstheme="majorBidi"/>
          <w:color w:val="000000" w:themeColor="text1"/>
          <w14:textFill>
            <w14:solidFill>
              <w14:schemeClr w14:val="tx1"/>
            </w14:solidFill>
          </w14:textFill>
        </w:rPr>
        <w:t>-mutant oligodendroglioma (WHO grade 2 or 3) with 1p19q codeletion, aged &gt; 40 years or with no totally resected tumor, and associated with comorbidities, residuals, or recurrence &gt; 15 cm</w:t>
      </w:r>
      <w:r>
        <w:rPr>
          <w:rFonts w:ascii="Book Antiqua" w:hAnsi="Book Antiqua" w:cstheme="majorBidi"/>
          <w:color w:val="000000" w:themeColor="text1"/>
          <w:vertAlign w:val="superscript"/>
          <w14:textFill>
            <w14:solidFill>
              <w14:schemeClr w14:val="tx1"/>
            </w14:solidFill>
          </w14:textFill>
        </w:rPr>
        <w:t>[3]</w:t>
      </w:r>
      <w:r>
        <w:rPr>
          <w:rFonts w:ascii="Book Antiqua" w:hAnsi="Book Antiqua" w:cstheme="majorBidi"/>
          <w:color w:val="000000" w:themeColor="text1"/>
          <w14:textFill>
            <w14:solidFill>
              <w14:schemeClr w14:val="tx1"/>
            </w14:solidFill>
          </w14:textFill>
        </w:rPr>
        <w:t>, radiotherapy followed by PCV chemotherapy regimen is recommended</w:t>
      </w:r>
      <w:r>
        <w:rPr>
          <w:rFonts w:ascii="Book Antiqua" w:hAnsi="Book Antiqua" w:cstheme="majorBidi"/>
          <w:color w:val="000000" w:themeColor="text1"/>
          <w:vertAlign w:val="superscript"/>
          <w14:textFill>
            <w14:solidFill>
              <w14:schemeClr w14:val="tx1"/>
            </w14:solidFill>
          </w14:textFill>
        </w:rPr>
        <w:t>[51]</w:t>
      </w:r>
      <w:r>
        <w:rPr>
          <w:rFonts w:ascii="Book Antiqua" w:hAnsi="Book Antiqua" w:cstheme="majorBidi"/>
          <w:color w:val="000000" w:themeColor="text1"/>
          <w14:textFill>
            <w14:solidFill>
              <w14:schemeClr w14:val="tx1"/>
            </w14:solidFill>
          </w14:textFill>
        </w:rPr>
        <w:t xml:space="preserve">. According to the two trials (EORTC 26951 and RTOG 9402), </w:t>
      </w:r>
      <w:r>
        <w:rPr>
          <w:rFonts w:ascii="Book Antiqua" w:hAnsi="Book Antiqua" w:cstheme="majorBidi"/>
          <w:color w:val="000000"/>
        </w:rPr>
        <w:t xml:space="preserve">the combination of </w:t>
      </w:r>
      <w:r>
        <w:rPr>
          <w:rFonts w:ascii="Book Antiqua" w:hAnsi="Book Antiqua" w:cstheme="majorBidi"/>
          <w:color w:val="000000" w:themeColor="text1"/>
          <w14:textFill>
            <w14:solidFill>
              <w14:schemeClr w14:val="tx1"/>
            </w14:solidFill>
          </w14:textFill>
        </w:rPr>
        <w:t>radiotherapy and PCV regimen showed a considerable benefit</w:t>
      </w:r>
      <w:r>
        <w:rPr>
          <w:rFonts w:ascii="Book Antiqua" w:hAnsi="Book Antiqua" w:cstheme="majorBidi"/>
          <w:color w:val="000000" w:themeColor="text1"/>
          <w:vertAlign w:val="superscript"/>
          <w14:textFill>
            <w14:solidFill>
              <w14:schemeClr w14:val="tx1"/>
            </w14:solidFill>
          </w14:textFill>
        </w:rPr>
        <w:t>[52,53]</w:t>
      </w:r>
      <w:r>
        <w:rPr>
          <w:rFonts w:ascii="Book Antiqua" w:hAnsi="Book Antiqua" w:cstheme="majorBidi"/>
          <w:color w:val="000000" w:themeColor="text1"/>
          <w14:textFill>
            <w14:solidFill>
              <w14:schemeClr w14:val="tx1"/>
            </w14:solidFill>
          </w14:textFill>
        </w:rPr>
        <w:t>.</w:t>
      </w:r>
    </w:p>
    <w:p>
      <w:pPr>
        <w:spacing w:line="360" w:lineRule="auto"/>
        <w:ind w:firstLine="480" w:firstLineChars="200"/>
        <w:jc w:val="both"/>
        <w:rPr>
          <w:rFonts w:ascii="Book Antiqua" w:hAnsi="Book Antiqua" w:cstheme="majorBidi"/>
        </w:rPr>
      </w:pPr>
      <w:r>
        <w:rPr>
          <w:rFonts w:ascii="Book Antiqua" w:hAnsi="Book Antiqua" w:cstheme="majorBidi"/>
          <w:color w:val="000000" w:themeColor="text1"/>
          <w14:textFill>
            <w14:solidFill>
              <w14:schemeClr w14:val="tx1"/>
            </w14:solidFill>
          </w14:textFill>
        </w:rPr>
        <w:t xml:space="preserve">Radiotherapy followed by chemotherapy is recommended for all patients with </w:t>
      </w:r>
      <w:r>
        <w:rPr>
          <w:rFonts w:ascii="Book Antiqua" w:hAnsi="Book Antiqua" w:cstheme="majorBidi"/>
          <w:i/>
          <w:iCs/>
          <w:color w:val="000000" w:themeColor="text1"/>
          <w14:textFill>
            <w14:solidFill>
              <w14:schemeClr w14:val="tx1"/>
            </w14:solidFill>
          </w14:textFill>
        </w:rPr>
        <w:t>IDH</w:t>
      </w:r>
      <w:r>
        <w:rPr>
          <w:rFonts w:ascii="Book Antiqua" w:hAnsi="Book Antiqua" w:cstheme="majorBidi"/>
          <w:color w:val="000000" w:themeColor="text1"/>
          <w14:textFill>
            <w14:solidFill>
              <w14:schemeClr w14:val="tx1"/>
            </w14:solidFill>
          </w14:textFill>
        </w:rPr>
        <w:t>-mutant WHO grade 2, 3, or 4 astrocytomas</w:t>
      </w:r>
      <w:r>
        <w:rPr>
          <w:rFonts w:ascii="Book Antiqua" w:hAnsi="Book Antiqua" w:cstheme="majorBidi"/>
          <w:color w:val="000000"/>
        </w:rPr>
        <w:t>,</w:t>
      </w:r>
      <w:r>
        <w:rPr>
          <w:rFonts w:ascii="Book Antiqua" w:hAnsi="Book Antiqua" w:cstheme="majorBidi"/>
          <w:color w:val="000000" w:themeColor="text1"/>
          <w14:textFill>
            <w14:solidFill>
              <w14:schemeClr w14:val="tx1"/>
            </w14:solidFill>
          </w14:textFill>
        </w:rPr>
        <w:t xml:space="preserve"> particularly in patients aged &gt; 40 years, with incompletely resected tumors, and associated with neurological deficits</w:t>
      </w:r>
      <w:r>
        <w:rPr>
          <w:rFonts w:ascii="Book Antiqua" w:hAnsi="Book Antiqua" w:cstheme="majorBidi"/>
          <w:color w:val="000000" w:themeColor="text1"/>
          <w:vertAlign w:val="superscript"/>
          <w14:textFill>
            <w14:solidFill>
              <w14:schemeClr w14:val="tx1"/>
            </w14:solidFill>
          </w14:textFill>
        </w:rPr>
        <w:t>[51]</w:t>
      </w:r>
      <w:r>
        <w:rPr>
          <w:rFonts w:ascii="Book Antiqua" w:hAnsi="Book Antiqua" w:cstheme="majorBidi"/>
          <w:color w:val="000000" w:themeColor="text1"/>
          <w14:textFill>
            <w14:solidFill>
              <w14:schemeClr w14:val="tx1"/>
            </w14:solidFill>
          </w14:textFill>
        </w:rPr>
        <w:t>.</w:t>
      </w:r>
      <w:r>
        <w:rPr>
          <w:rFonts w:ascii="Book Antiqua" w:hAnsi="Book Antiqua" w:cstheme="majorBidi"/>
          <w:color w:val="000000"/>
          <w:shd w:val="clear" w:color="auto" w:fill="FFFFFF"/>
        </w:rPr>
        <w:t xml:space="preserve"> TMZ is often preferred over PCV owing to its safety and ease of administration. However, radiotherapy followed by PCV constitutes the current standard of care for patients with </w:t>
      </w:r>
      <w:r>
        <w:rPr>
          <w:rFonts w:ascii="Book Antiqua" w:hAnsi="Book Antiqua" w:cstheme="majorBidi"/>
          <w:i/>
          <w:iCs/>
          <w:color w:val="000000"/>
          <w:shd w:val="clear" w:color="auto" w:fill="FFFFFF"/>
        </w:rPr>
        <w:t>IDH</w:t>
      </w:r>
      <w:r>
        <w:rPr>
          <w:rFonts w:ascii="Book Antiqua" w:hAnsi="Book Antiqua" w:cstheme="majorBidi"/>
          <w:color w:val="000000"/>
          <w:shd w:val="clear" w:color="auto" w:fill="FFFFFF"/>
        </w:rPr>
        <w:t>-mutant astrocytomas (WHO grade 2)</w:t>
      </w:r>
      <w:r>
        <w:rPr>
          <w:rFonts w:ascii="Book Antiqua" w:hAnsi="Book Antiqua" w:cstheme="majorBidi"/>
          <w:color w:val="000000"/>
          <w:shd w:val="clear" w:color="auto" w:fill="FFFFFF"/>
          <w:vertAlign w:val="superscript"/>
        </w:rPr>
        <w:t>[</w:t>
      </w:r>
      <w:r>
        <w:rPr>
          <w:rFonts w:ascii="Book Antiqua" w:hAnsi="Book Antiqua" w:cstheme="majorBidi"/>
          <w:color w:val="000000" w:themeColor="text1"/>
          <w:vertAlign w:val="superscript"/>
          <w14:textFill>
            <w14:solidFill>
              <w14:schemeClr w14:val="tx1"/>
            </w14:solidFill>
          </w14:textFill>
        </w:rPr>
        <w:t>51]</w:t>
      </w:r>
      <w:r>
        <w:rPr>
          <w:rFonts w:ascii="Book Antiqua" w:hAnsi="Book Antiqua" w:cstheme="majorBidi"/>
          <w:color w:val="000000" w:themeColor="text1"/>
          <w14:textFill>
            <w14:solidFill>
              <w14:schemeClr w14:val="tx1"/>
            </w14:solidFill>
          </w14:textFill>
        </w:rPr>
        <w:t>.</w:t>
      </w:r>
      <w:r>
        <w:rPr>
          <w:rFonts w:ascii="Book Antiqua" w:hAnsi="Book Antiqua" w:cstheme="majorBidi"/>
          <w:color w:val="000000"/>
          <w:shd w:val="clear" w:color="auto" w:fill="FFFFFF"/>
        </w:rPr>
        <w:t xml:space="preserve"> The RTOG 9802 trial reported a major prolongation of OS with the addition of PCV to radiotherapy, from 7 to 13 years in patients with WHO grade 2 gliomas who had undergone a subtotal resection or in those aged ≥ 40 years</w:t>
      </w:r>
      <w:r>
        <w:rPr>
          <w:rFonts w:ascii="Book Antiqua" w:hAnsi="Book Antiqua" w:cstheme="majorBidi"/>
          <w:color w:val="000000"/>
          <w:shd w:val="clear" w:color="auto" w:fill="FFFFFF"/>
          <w:vertAlign w:val="superscript"/>
        </w:rPr>
        <w:t>[</w:t>
      </w:r>
      <w:r>
        <w:rPr>
          <w:rFonts w:ascii="Book Antiqua" w:hAnsi="Book Antiqua" w:cstheme="majorBidi"/>
          <w:color w:val="000000" w:themeColor="text1"/>
          <w:vertAlign w:val="superscript"/>
          <w14:textFill>
            <w14:solidFill>
              <w14:schemeClr w14:val="tx1"/>
            </w14:solidFill>
          </w14:textFill>
        </w:rPr>
        <w:t>54]</w:t>
      </w:r>
      <w:r>
        <w:rPr>
          <w:rFonts w:ascii="Book Antiqua" w:hAnsi="Book Antiqua" w:cstheme="majorBidi"/>
          <w:color w:val="000000" w:themeColor="text1"/>
          <w14:textFill>
            <w14:solidFill>
              <w14:schemeClr w14:val="tx1"/>
            </w14:solidFill>
          </w14:textFill>
        </w:rPr>
        <w:t>. To prevent functional deficits, diffusion tensor imaging and functional MRI can be utilized</w:t>
      </w:r>
      <w:r>
        <w:rPr>
          <w:rFonts w:ascii="Book Antiqua" w:hAnsi="Book Antiqua" w:cstheme="majorBidi"/>
          <w:color w:val="000000" w:themeColor="text1"/>
          <w:vertAlign w:val="superscript"/>
          <w14:textFill>
            <w14:solidFill>
              <w14:schemeClr w14:val="tx1"/>
            </w14:solidFill>
          </w14:textFill>
        </w:rPr>
        <w:t>[55]</w:t>
      </w:r>
      <w:r>
        <w:rPr>
          <w:rFonts w:ascii="Book Antiqua" w:hAnsi="Book Antiqua" w:cstheme="majorBidi"/>
          <w:color w:val="000000" w:themeColor="text1"/>
          <w14:textFill>
            <w14:solidFill>
              <w14:schemeClr w14:val="tx1"/>
            </w14:solidFill>
          </w14:textFill>
        </w:rPr>
        <w:t>.</w:t>
      </w:r>
      <w:r>
        <w:rPr>
          <w:rFonts w:ascii="Book Antiqua" w:hAnsi="Book Antiqua" w:cstheme="majorBidi"/>
        </w:rPr>
        <w:t xml:space="preserve"> In recurrence, repeat surgery with radiation and chemotherapy (TMZ and nitrosourea) can be considered equally efficient in treatment</w:t>
      </w:r>
      <w:r>
        <w:rPr>
          <w:rFonts w:ascii="Book Antiqua" w:hAnsi="Book Antiqua" w:cstheme="majorBidi"/>
          <w:vertAlign w:val="superscript"/>
        </w:rPr>
        <w:t>[9]</w:t>
      </w:r>
      <w:r>
        <w:rPr>
          <w:rFonts w:ascii="Book Antiqua" w:hAnsi="Book Antiqua" w:cstheme="majorBidi"/>
        </w:rPr>
        <w:t xml:space="preserve">. For </w:t>
      </w:r>
      <w:r>
        <w:rPr>
          <w:rFonts w:ascii="Book Antiqua" w:hAnsi="Book Antiqua" w:cstheme="majorBidi"/>
          <w:i/>
          <w:iCs/>
        </w:rPr>
        <w:t>IDH</w:t>
      </w:r>
      <w:r>
        <w:rPr>
          <w:rFonts w:ascii="Book Antiqua" w:hAnsi="Book Antiqua" w:cstheme="majorBidi"/>
        </w:rPr>
        <w:t xml:space="preserve">-mutant WHO grade 3 astrocytoma, </w:t>
      </w:r>
      <w:r>
        <w:rPr>
          <w:rFonts w:ascii="Book Antiqua" w:hAnsi="Book Antiqua" w:cstheme="majorBidi"/>
          <w:color w:val="000000"/>
          <w:shd w:val="clear" w:color="auto" w:fill="FFFFFF"/>
        </w:rPr>
        <w:t>the EORTC 26053 trial of radiotherapy alone, with concomitant or maintenance TMZ</w:t>
      </w:r>
      <w:r>
        <w:rPr>
          <w:rFonts w:ascii="Book Antiqua" w:hAnsi="Book Antiqua" w:cstheme="majorBidi"/>
          <w:color w:val="000000"/>
        </w:rPr>
        <w:t>, showed a significant prolongation of OS in patients receiving radiotherapy followed by maintenance TMZ</w:t>
      </w:r>
      <w:r>
        <w:rPr>
          <w:rFonts w:ascii="Book Antiqua" w:hAnsi="Book Antiqua" w:cstheme="majorBidi"/>
          <w:color w:val="000000"/>
          <w:vertAlign w:val="superscript"/>
        </w:rPr>
        <w:t>[</w:t>
      </w:r>
      <w:r>
        <w:rPr>
          <w:rFonts w:ascii="Book Antiqua" w:hAnsi="Book Antiqua" w:cstheme="majorBidi"/>
          <w:vertAlign w:val="superscript"/>
        </w:rPr>
        <w:t>56]</w:t>
      </w:r>
      <w:r>
        <w:rPr>
          <w:rFonts w:ascii="Book Antiqua" w:hAnsi="Book Antiqua" w:cstheme="majorBidi"/>
        </w:rPr>
        <w:t>.</w:t>
      </w:r>
      <w:r>
        <w:rPr>
          <w:rFonts w:ascii="Book Antiqua" w:hAnsi="Book Antiqua" w:cstheme="majorBidi"/>
          <w:b/>
          <w:bCs/>
          <w:vertAlign w:val="superscript"/>
        </w:rPr>
        <w:t xml:space="preserve"> </w:t>
      </w:r>
      <w:r>
        <w:rPr>
          <w:rFonts w:ascii="Book Antiqua" w:hAnsi="Book Antiqua" w:cstheme="majorBidi"/>
        </w:rPr>
        <w:t xml:space="preserve">Therefore, </w:t>
      </w:r>
      <w:r>
        <w:rPr>
          <w:rFonts w:ascii="Book Antiqua" w:hAnsi="Book Antiqua" w:cstheme="majorBidi"/>
          <w:color w:val="000000"/>
          <w:shd w:val="clear" w:color="auto" w:fill="FFFFFF"/>
        </w:rPr>
        <w:t xml:space="preserve">TMZ chemotherapy is considered as the standard treatment for tumour progression after surgery and radiotherapy for most patients with </w:t>
      </w:r>
      <w:r>
        <w:rPr>
          <w:rFonts w:ascii="Book Antiqua" w:hAnsi="Book Antiqua" w:cstheme="majorBidi"/>
          <w:i/>
          <w:iCs/>
          <w:color w:val="000000"/>
          <w:shd w:val="clear" w:color="auto" w:fill="FFFFFF"/>
        </w:rPr>
        <w:t>IDH</w:t>
      </w:r>
      <w:r>
        <w:rPr>
          <w:rFonts w:ascii="Book Antiqua" w:hAnsi="Book Antiqua" w:cstheme="majorBidi"/>
          <w:color w:val="000000"/>
          <w:shd w:val="clear" w:color="auto" w:fill="FFFFFF"/>
        </w:rPr>
        <w:t>-mutant gliomas (WHO grade 2 or 3).</w:t>
      </w:r>
    </w:p>
    <w:p>
      <w:pPr>
        <w:spacing w:line="360" w:lineRule="auto"/>
        <w:ind w:firstLine="480" w:firstLineChars="200"/>
        <w:jc w:val="both"/>
        <w:rPr>
          <w:rFonts w:ascii="Book Antiqua" w:hAnsi="Book Antiqua" w:cstheme="majorBidi"/>
          <w:color w:val="000000" w:themeColor="text1"/>
          <w14:textFill>
            <w14:solidFill>
              <w14:schemeClr w14:val="tx1"/>
            </w14:solidFill>
          </w14:textFill>
        </w:rPr>
      </w:pPr>
      <w:r>
        <w:rPr>
          <w:rFonts w:ascii="Book Antiqua" w:hAnsi="Book Antiqua" w:cstheme="majorBidi"/>
        </w:rPr>
        <w:t>Glioblastoma (</w:t>
      </w:r>
      <w:r>
        <w:rPr>
          <w:rFonts w:ascii="Book Antiqua" w:hAnsi="Book Antiqua" w:cstheme="majorBidi"/>
          <w:i/>
          <w:iCs/>
        </w:rPr>
        <w:t>IDH</w:t>
      </w:r>
      <w:r>
        <w:rPr>
          <w:rFonts w:ascii="Book Antiqua" w:hAnsi="Book Antiqua" w:cstheme="majorBidi"/>
        </w:rPr>
        <w:t>-wild-type grade 4 astrocytoma) is best managed by gross total resection followed by radiotherapy</w:t>
      </w:r>
      <w:r>
        <w:rPr>
          <w:rFonts w:ascii="Book Antiqua" w:hAnsi="Book Antiqua" w:cstheme="majorBidi"/>
          <w:vertAlign w:val="superscript"/>
        </w:rPr>
        <w:t>[51]</w:t>
      </w:r>
      <w:r>
        <w:rPr>
          <w:rFonts w:ascii="Book Antiqua" w:hAnsi="Book Antiqua" w:cstheme="majorBidi"/>
        </w:rPr>
        <w:t>.</w:t>
      </w:r>
      <w:r>
        <w:rPr>
          <w:rFonts w:ascii="Book Antiqua" w:hAnsi="Book Antiqua" w:cstheme="majorBidi"/>
          <w:color w:val="000000" w:themeColor="text1"/>
          <w14:textFill>
            <w14:solidFill>
              <w14:schemeClr w14:val="tx1"/>
            </w14:solidFill>
          </w14:textFill>
        </w:rPr>
        <w:t xml:space="preserve"> In non-feasible or nearly total resection cases with age ≥ 70 years, radiotherapy (60 Gy in 30 fractions) or over fractionated radiotherapy (40 Gy in 15 fractions) is preferable to increase OS</w:t>
      </w:r>
      <w:r>
        <w:rPr>
          <w:rFonts w:ascii="Book Antiqua" w:hAnsi="Book Antiqua" w:cstheme="majorBidi"/>
          <w:color w:val="000000" w:themeColor="text1"/>
          <w:vertAlign w:val="superscript"/>
          <w14:textFill>
            <w14:solidFill>
              <w14:schemeClr w14:val="tx1"/>
            </w14:solidFill>
          </w14:textFill>
        </w:rPr>
        <w:t>[9]</w:t>
      </w:r>
      <w:r>
        <w:rPr>
          <w:rFonts w:ascii="Book Antiqua" w:hAnsi="Book Antiqua" w:cstheme="majorBidi"/>
          <w:color w:val="000000" w:themeColor="text1"/>
          <w14:textFill>
            <w14:solidFill>
              <w14:schemeClr w14:val="tx1"/>
            </w14:solidFill>
          </w14:textFill>
        </w:rPr>
        <w:t>. Higher survival rates are recorded in younger age groups &lt; 65 years at diagnosis</w:t>
      </w:r>
      <w:r>
        <w:rPr>
          <w:rFonts w:ascii="Book Antiqua" w:hAnsi="Book Antiqua" w:cstheme="majorBidi"/>
          <w:color w:val="000000"/>
        </w:rPr>
        <w:t>, with a median of up to 40 weeks</w:t>
      </w:r>
      <w:r>
        <w:rPr>
          <w:rFonts w:ascii="Book Antiqua" w:hAnsi="Book Antiqua" w:cstheme="majorBidi"/>
          <w:color w:val="000000" w:themeColor="text1"/>
          <w14:textFill>
            <w14:solidFill>
              <w14:schemeClr w14:val="tx1"/>
            </w14:solidFill>
          </w14:textFill>
        </w:rPr>
        <w:t xml:space="preserve">. However, </w:t>
      </w:r>
      <w:r>
        <w:rPr>
          <w:rFonts w:ascii="Book Antiqua" w:hAnsi="Book Antiqua" w:cstheme="majorBidi"/>
          <w:i/>
          <w:iCs/>
          <w:color w:val="000000" w:themeColor="text1"/>
          <w14:textFill>
            <w14:solidFill>
              <w14:schemeClr w14:val="tx1"/>
            </w14:solidFill>
          </w14:textFill>
        </w:rPr>
        <w:t>TERT</w:t>
      </w:r>
      <w:r>
        <w:rPr>
          <w:rFonts w:ascii="Book Antiqua" w:hAnsi="Book Antiqua" w:cstheme="majorBidi"/>
          <w:color w:val="000000" w:themeColor="text1"/>
          <w14:textFill>
            <w14:solidFill>
              <w14:schemeClr w14:val="tx1"/>
            </w14:solidFill>
          </w14:textFill>
        </w:rPr>
        <w:t xml:space="preserve"> mutation, gain of chromosome 7</w:t>
      </w:r>
      <w:r>
        <w:rPr>
          <w:rFonts w:ascii="Book Antiqua" w:hAnsi="Book Antiqua" w:cstheme="majorBidi"/>
          <w:color w:val="000000"/>
        </w:rPr>
        <w:t>, and loss of chromosome 10 are associated with poor prognosis</w:t>
      </w:r>
      <w:r>
        <w:rPr>
          <w:rFonts w:ascii="Book Antiqua" w:hAnsi="Book Antiqua" w:cstheme="majorBidi"/>
          <w:color w:val="000000"/>
          <w:vertAlign w:val="superscript"/>
        </w:rPr>
        <w:t>[</w:t>
      </w:r>
      <w:r>
        <w:rPr>
          <w:rFonts w:ascii="Book Antiqua" w:hAnsi="Book Antiqua" w:cstheme="majorBidi"/>
          <w:vertAlign w:val="superscript"/>
        </w:rPr>
        <w:t>57]</w:t>
      </w:r>
      <w:r>
        <w:rPr>
          <w:rFonts w:ascii="Book Antiqua" w:hAnsi="Book Antiqua" w:cstheme="majorBidi"/>
        </w:rPr>
        <w:t>. Neurocognitive outcomes can be affected by overfractionated radiotherapy. In patients with good KPS and aged &lt; 70 years, a combination of radiotherapy and chemotherapy (TMZ) is the standard therapy</w:t>
      </w:r>
      <w:r>
        <w:rPr>
          <w:rFonts w:ascii="Book Antiqua" w:hAnsi="Book Antiqua" w:cstheme="majorBidi"/>
          <w:vertAlign w:val="superscript"/>
        </w:rPr>
        <w:t>[58]</w:t>
      </w:r>
      <w:r>
        <w:rPr>
          <w:rFonts w:ascii="Book Antiqua" w:hAnsi="Book Antiqua" w:cstheme="majorBidi"/>
        </w:rPr>
        <w:t xml:space="preserve">. Combined TMZ with lomustine in early diagnosis may increase OS, particularly in </w:t>
      </w:r>
      <w:r>
        <w:rPr>
          <w:rFonts w:ascii="Book Antiqua" w:hAnsi="Book Antiqua" w:cstheme="majorBidi"/>
          <w:i/>
          <w:iCs/>
        </w:rPr>
        <w:t>MGMT</w:t>
      </w:r>
      <w:r>
        <w:rPr>
          <w:rFonts w:ascii="Book Antiqua" w:hAnsi="Book Antiqua" w:cstheme="majorBidi"/>
        </w:rPr>
        <w:t>-methylated glioblastomas</w:t>
      </w:r>
      <w:r>
        <w:rPr>
          <w:rFonts w:ascii="Book Antiqua" w:hAnsi="Book Antiqua" w:cstheme="majorBidi"/>
          <w:vertAlign w:val="superscript"/>
        </w:rPr>
        <w:t>[59-61]</w:t>
      </w:r>
      <w:r>
        <w:rPr>
          <w:rFonts w:ascii="Book Antiqua" w:hAnsi="Book Antiqua" w:cstheme="majorBidi"/>
        </w:rPr>
        <w:t>.</w:t>
      </w:r>
      <w:r>
        <w:rPr>
          <w:rFonts w:ascii="Book Antiqua" w:hAnsi="Book Antiqua" w:cstheme="majorBidi"/>
          <w:color w:val="000000" w:themeColor="text1"/>
          <w14:textFill>
            <w14:solidFill>
              <w14:schemeClr w14:val="tx1"/>
            </w14:solidFill>
          </w14:textFill>
        </w:rPr>
        <w:t xml:space="preserve"> Hypofractionated radiotherapy is preferable</w:t>
      </w:r>
      <w:r>
        <w:rPr>
          <w:rFonts w:ascii="Book Antiqua" w:hAnsi="Book Antiqua" w:cstheme="majorBidi"/>
          <w:color w:val="000000"/>
        </w:rPr>
        <w:t xml:space="preserve"> for patients aged ≥ 70 years. The </w:t>
      </w:r>
      <w:r>
        <w:rPr>
          <w:rFonts w:ascii="Book Antiqua" w:hAnsi="Book Antiqua" w:cstheme="majorBidi"/>
          <w:color w:val="000000"/>
          <w:shd w:val="clear" w:color="auto" w:fill="FFFFFF"/>
        </w:rPr>
        <w:t xml:space="preserve">standard-of-care treatment for patients with recurrent glioblastoma has not yet </w:t>
      </w:r>
      <w:r>
        <w:rPr>
          <w:rFonts w:ascii="Book Antiqua" w:hAnsi="Book Antiqua" w:cstheme="majorBidi"/>
          <w:color w:val="000000"/>
        </w:rPr>
        <w:t>been clarified; treatment is selected based on the prior therapy, patient’s age, KPS score,</w:t>
      </w:r>
      <w:r>
        <w:rPr>
          <w:rStyle w:val="14"/>
          <w:rFonts w:ascii="Book Antiqua" w:hAnsi="Book Antiqua" w:cstheme="majorBidi"/>
          <w:color w:val="000000"/>
          <w:shd w:val="clear" w:color="auto" w:fill="FFFFFF"/>
        </w:rPr>
        <w:t xml:space="preserve"> </w:t>
      </w:r>
      <w:r>
        <w:rPr>
          <w:rStyle w:val="9"/>
          <w:rFonts w:ascii="Book Antiqua" w:hAnsi="Book Antiqua" w:cstheme="majorBidi"/>
          <w:color w:val="000000"/>
        </w:rPr>
        <w:t>MGMT</w:t>
      </w:r>
      <w:r>
        <w:rPr>
          <w:rStyle w:val="14"/>
          <w:rFonts w:ascii="Book Antiqua" w:hAnsi="Book Antiqua" w:cstheme="majorBidi"/>
          <w:color w:val="000000"/>
          <w:shd w:val="clear" w:color="auto" w:fill="FFFFFF"/>
        </w:rPr>
        <w:t xml:space="preserve"> </w:t>
      </w:r>
      <w:r>
        <w:rPr>
          <w:rFonts w:ascii="Book Antiqua" w:hAnsi="Book Antiqua" w:cstheme="majorBidi"/>
          <w:color w:val="000000"/>
          <w:shd w:val="clear" w:color="auto" w:fill="FFFFFF"/>
        </w:rPr>
        <w:t>promoter methylation status</w:t>
      </w:r>
      <w:r>
        <w:rPr>
          <w:rFonts w:ascii="Book Antiqua" w:hAnsi="Book Antiqua" w:cstheme="majorBidi"/>
          <w:color w:val="000000"/>
        </w:rPr>
        <w:t xml:space="preserve">, and disease progression. Therefore, </w:t>
      </w:r>
      <w:r>
        <w:rPr>
          <w:rFonts w:ascii="Book Antiqua" w:hAnsi="Book Antiqua" w:cstheme="majorBidi"/>
          <w:color w:val="000000"/>
          <w:shd w:val="clear" w:color="auto" w:fill="FFFFFF"/>
        </w:rPr>
        <w:t xml:space="preserve">surgery and radiotherapy should be considered. Nitrosourea regimens, TMZ, with consideration of bevacizumab are options for pharmacotherapy but have </w:t>
      </w:r>
      <w:r>
        <w:rPr>
          <w:rFonts w:ascii="Book Antiqua" w:hAnsi="Book Antiqua" w:cstheme="majorBidi"/>
          <w:color w:val="000000"/>
        </w:rPr>
        <w:t xml:space="preserve">an unconfirmed effect on OS. </w:t>
      </w:r>
      <w:r>
        <w:rPr>
          <w:rFonts w:ascii="Book Antiqua" w:hAnsi="Book Antiqua" w:cstheme="majorBidi"/>
          <w:color w:val="000000" w:themeColor="text1"/>
          <w14:textFill>
            <w14:solidFill>
              <w14:schemeClr w14:val="tx1"/>
            </w14:solidFill>
          </w14:textFill>
        </w:rPr>
        <w:t>In patients who did not benefit from adjuvant radiotherapy or had an early symptomatic progression, a second surgery could be considered 6 months after the initial surgery aiming to increase OS</w:t>
      </w:r>
      <w:r>
        <w:rPr>
          <w:rFonts w:ascii="Book Antiqua" w:hAnsi="Book Antiqua" w:cstheme="majorBidi"/>
          <w:color w:val="000000" w:themeColor="text1"/>
          <w:vertAlign w:val="superscript"/>
          <w14:textFill>
            <w14:solidFill>
              <w14:schemeClr w14:val="tx1"/>
            </w14:solidFill>
          </w14:textFill>
        </w:rPr>
        <w:t>[62]</w:t>
      </w:r>
      <w:r>
        <w:rPr>
          <w:rFonts w:ascii="Book Antiqua" w:hAnsi="Book Antiqua" w:cstheme="majorBidi"/>
          <w:color w:val="000000" w:themeColor="text1"/>
          <w14:textFill>
            <w14:solidFill>
              <w14:schemeClr w14:val="tx1"/>
            </w14:solidFill>
          </w14:textFill>
        </w:rPr>
        <w:t>.</w:t>
      </w:r>
    </w:p>
    <w:p>
      <w:pPr>
        <w:spacing w:line="360" w:lineRule="auto"/>
        <w:ind w:firstLine="480" w:firstLineChars="200"/>
        <w:jc w:val="both"/>
        <w:rPr>
          <w:rFonts w:ascii="Book Antiqua" w:hAnsi="Book Antiqua" w:cstheme="majorBidi"/>
        </w:rPr>
      </w:pPr>
      <w:r>
        <w:rPr>
          <w:rFonts w:ascii="Book Antiqua" w:hAnsi="Book Antiqua" w:cstheme="majorBidi"/>
        </w:rPr>
        <w:t xml:space="preserve">There is a limitation of surgical management in </w:t>
      </w:r>
      <w:r>
        <w:rPr>
          <w:rFonts w:ascii="Book Antiqua" w:hAnsi="Book Antiqua" w:cstheme="majorBidi"/>
          <w:i/>
          <w:iCs/>
        </w:rPr>
        <w:t>H3-K27M</w:t>
      </w:r>
      <w:r>
        <w:rPr>
          <w:rFonts w:ascii="Book Antiqua" w:hAnsi="Book Antiqua" w:cstheme="majorBidi"/>
        </w:rPr>
        <w:t>-mutant diffuse midline glioma (WHO grade 4</w:t>
      </w:r>
      <w:r>
        <w:rPr>
          <w:rFonts w:ascii="Book Antiqua" w:hAnsi="Book Antiqua" w:cstheme="majorBidi"/>
          <w:color w:val="000000" w:themeColor="text1"/>
          <w14:textFill>
            <w14:solidFill>
              <w14:schemeClr w14:val="tx1"/>
            </w14:solidFill>
          </w14:textFill>
        </w:rPr>
        <w:t xml:space="preserve">) because of its eloquent structures, including the pituitary, thalamus, midbrain, pons, </w:t>
      </w:r>
      <w:r>
        <w:rPr>
          <w:rFonts w:ascii="Book Antiqua" w:hAnsi="Book Antiqua" w:cstheme="majorBidi"/>
          <w:color w:val="000000"/>
        </w:rPr>
        <w:t xml:space="preserve">and medulla, </w:t>
      </w:r>
      <w:r>
        <w:rPr>
          <w:rFonts w:ascii="Book Antiqua" w:hAnsi="Book Antiqua" w:cstheme="majorBidi"/>
          <w:color w:val="000000" w:themeColor="text1"/>
          <w14:textFill>
            <w14:solidFill>
              <w14:schemeClr w14:val="tx1"/>
            </w14:solidFill>
          </w14:textFill>
        </w:rPr>
        <w:t xml:space="preserve">and it has </w:t>
      </w:r>
      <w:r>
        <w:rPr>
          <w:rFonts w:ascii="Book Antiqua" w:hAnsi="Book Antiqua" w:cstheme="majorBidi"/>
          <w:color w:val="000000"/>
        </w:rPr>
        <w:t xml:space="preserve">a </w:t>
      </w:r>
      <w:r>
        <w:rPr>
          <w:rFonts w:ascii="Book Antiqua" w:hAnsi="Book Antiqua" w:cstheme="majorBidi"/>
          <w:color w:val="000000" w:themeColor="text1"/>
          <w14:textFill>
            <w14:solidFill>
              <w14:schemeClr w14:val="tx1"/>
            </w14:solidFill>
          </w14:textFill>
        </w:rPr>
        <w:t xml:space="preserve">5-year survival period of &lt; 1%. Radiotherapy </w:t>
      </w:r>
      <w:r>
        <w:rPr>
          <w:rFonts w:ascii="Book Antiqua" w:hAnsi="Book Antiqua" w:cstheme="majorBidi"/>
        </w:rPr>
        <w:t xml:space="preserve">is often used but is associated with a poor prognosis. However, in hemispheric glioma, chemoradiotherapy drugs can be used because most of these tumors are </w:t>
      </w:r>
      <w:r>
        <w:rPr>
          <w:rFonts w:ascii="Book Antiqua" w:hAnsi="Book Antiqua" w:cstheme="majorBidi"/>
          <w:i/>
          <w:iCs/>
        </w:rPr>
        <w:t>MGMT</w:t>
      </w:r>
      <w:r>
        <w:rPr>
          <w:rFonts w:ascii="Book Antiqua" w:hAnsi="Book Antiqua" w:cstheme="majorBidi"/>
        </w:rPr>
        <w:t>-methylated</w:t>
      </w:r>
      <w:r>
        <w:rPr>
          <w:rFonts w:ascii="Book Antiqua" w:hAnsi="Book Antiqua" w:cstheme="majorBidi"/>
          <w:vertAlign w:val="superscript"/>
        </w:rPr>
        <w:t>[63]</w:t>
      </w:r>
      <w:r>
        <w:rPr>
          <w:rFonts w:ascii="Book Antiqua" w:hAnsi="Book Antiqua" w:cstheme="majorBidi"/>
        </w:rPr>
        <w:t>.</w:t>
      </w:r>
    </w:p>
    <w:p>
      <w:pPr>
        <w:spacing w:line="360" w:lineRule="auto"/>
        <w:jc w:val="both"/>
        <w:rPr>
          <w:rFonts w:ascii="Book Antiqua" w:hAnsi="Book Antiqua" w:cstheme="majorBidi"/>
        </w:rPr>
      </w:pPr>
    </w:p>
    <w:p>
      <w:pPr>
        <w:spacing w:line="360" w:lineRule="auto"/>
        <w:jc w:val="both"/>
        <w:rPr>
          <w:rFonts w:ascii="Book Antiqua" w:hAnsi="Book Antiqua" w:cstheme="majorBidi"/>
          <w:u w:val="single"/>
        </w:rPr>
      </w:pPr>
      <w:r>
        <w:rPr>
          <w:rFonts w:ascii="Book Antiqua" w:hAnsi="Book Antiqua" w:cstheme="majorBidi"/>
          <w:b/>
          <w:bCs/>
          <w:u w:val="single"/>
        </w:rPr>
        <w:t>CONCLUSION</w:t>
      </w:r>
    </w:p>
    <w:p>
      <w:pPr>
        <w:spacing w:line="360" w:lineRule="auto"/>
        <w:jc w:val="both"/>
        <w:rPr>
          <w:rFonts w:ascii="Book Antiqua" w:hAnsi="Book Antiqua" w:cstheme="majorBidi"/>
          <w:color w:val="212121"/>
          <w:shd w:val="clear" w:color="auto" w:fill="FFFFFF"/>
        </w:rPr>
      </w:pPr>
      <w:r>
        <w:rPr>
          <w:rFonts w:ascii="Book Antiqua" w:hAnsi="Book Antiqua" w:cstheme="majorBidi"/>
          <w:color w:val="212121"/>
          <w:shd w:val="clear" w:color="auto" w:fill="FFFFFF"/>
        </w:rPr>
        <w:t>In this review, we presented a simple diagnostic approach to differentiate diffuse CNS gliomas into molecularly defined subtypes using histomolecular features, based on the 5th edition of 2021 WHO classification of CNS tumors. This is to emphasize that molecular profiling is important in the diagnostic classification and grading of diffuse CNS gliomas. We also defined the role of different treatment modalities of surgery, radiotherapy, and pharmacotherapy in the treatment of these molecular defined gliomas. In fact, our review intends to serve as a simple reference for the diagnosis of CNS gliomas for healthcare providers.</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Butowski NA</w:t>
      </w:r>
      <w:r>
        <w:rPr>
          <w:rFonts w:ascii="Book Antiqua" w:hAnsi="Book Antiqua"/>
        </w:rPr>
        <w:t xml:space="preserve">. Epidemiology and diagnosis of brain tumors. </w:t>
      </w:r>
      <w:r>
        <w:rPr>
          <w:rFonts w:ascii="Book Antiqua" w:hAnsi="Book Antiqua"/>
          <w:i/>
          <w:iCs/>
        </w:rPr>
        <w:t>Continuum (Minneap Minn)</w:t>
      </w:r>
      <w:r>
        <w:rPr>
          <w:rFonts w:ascii="Book Antiqua" w:hAnsi="Book Antiqua"/>
        </w:rPr>
        <w:t xml:space="preserve"> 2015; </w:t>
      </w:r>
      <w:r>
        <w:rPr>
          <w:rFonts w:ascii="Book Antiqua" w:hAnsi="Book Antiqua"/>
          <w:b/>
          <w:bCs/>
        </w:rPr>
        <w:t>21</w:t>
      </w:r>
      <w:r>
        <w:rPr>
          <w:rFonts w:ascii="Book Antiqua" w:hAnsi="Book Antiqua"/>
        </w:rPr>
        <w:t>: 301-313 [PMID: 25837897 DOI: 10.1212/01.CON.0000464171.50638.fa]</w:t>
      </w:r>
    </w:p>
    <w:p>
      <w:pPr>
        <w:spacing w:line="360" w:lineRule="auto"/>
        <w:jc w:val="both"/>
        <w:rPr>
          <w:rFonts w:ascii="Book Antiqua" w:hAnsi="Book Antiqua"/>
        </w:rPr>
      </w:pPr>
      <w:r>
        <w:rPr>
          <w:rFonts w:ascii="Book Antiqua" w:hAnsi="Book Antiqua"/>
        </w:rPr>
        <w:t xml:space="preserve">2 </w:t>
      </w:r>
      <w:r>
        <w:rPr>
          <w:rFonts w:ascii="Book Antiqua" w:hAnsi="Book Antiqua"/>
          <w:b/>
          <w:bCs/>
        </w:rPr>
        <w:t>Ostrom QT</w:t>
      </w:r>
      <w:r>
        <w:rPr>
          <w:rFonts w:ascii="Book Antiqua" w:hAnsi="Book Antiqua"/>
        </w:rPr>
        <w:t xml:space="preserve">, Bauchet L, Davis FG, Deltour I, Fisher JL, Langer CE, Pekmezci M, Schwartzbaum JA, Turner MC, Walsh KM, Wrensch MR, Barnholtz-Sloan JS. The epidemiology of glioma in adults: a "state of the science" review. </w:t>
      </w:r>
      <w:r>
        <w:rPr>
          <w:rFonts w:ascii="Book Antiqua" w:hAnsi="Book Antiqua"/>
          <w:i/>
          <w:iCs/>
        </w:rPr>
        <w:t>Neuro Oncol</w:t>
      </w:r>
      <w:r>
        <w:rPr>
          <w:rFonts w:ascii="Book Antiqua" w:hAnsi="Book Antiqua"/>
        </w:rPr>
        <w:t xml:space="preserve"> 2014; </w:t>
      </w:r>
      <w:r>
        <w:rPr>
          <w:rFonts w:ascii="Book Antiqua" w:hAnsi="Book Antiqua"/>
          <w:b/>
          <w:bCs/>
        </w:rPr>
        <w:t>16</w:t>
      </w:r>
      <w:r>
        <w:rPr>
          <w:rFonts w:ascii="Book Antiqua" w:hAnsi="Book Antiqua"/>
        </w:rPr>
        <w:t>: 896-913 [PMID: 24842956 DOI: 10.1093/neuonc/nou087]</w:t>
      </w:r>
    </w:p>
    <w:p>
      <w:pPr>
        <w:spacing w:line="360" w:lineRule="auto"/>
        <w:jc w:val="both"/>
        <w:rPr>
          <w:rFonts w:ascii="Book Antiqua" w:hAnsi="Book Antiqua"/>
        </w:rPr>
      </w:pPr>
      <w:r>
        <w:rPr>
          <w:rFonts w:ascii="Book Antiqua" w:hAnsi="Book Antiqua"/>
        </w:rPr>
        <w:t xml:space="preserve">3 </w:t>
      </w:r>
      <w:r>
        <w:rPr>
          <w:rFonts w:ascii="Book Antiqua" w:hAnsi="Book Antiqua"/>
          <w:b/>
          <w:bCs/>
        </w:rPr>
        <w:t>Ostrom QT</w:t>
      </w:r>
      <w:r>
        <w:rPr>
          <w:rFonts w:ascii="Book Antiqua" w:hAnsi="Book Antiqua"/>
        </w:rPr>
        <w:t xml:space="preserve">, Cioffi G, Gittleman H, Patil N, Waite K, Kruchko C, Barnholtz-Sloan JS. CBTRUS Statistical Report: Primary Brain and Other Central Nervous System Tumors Diagnosed in the United States in 2012-2016. </w:t>
      </w:r>
      <w:r>
        <w:rPr>
          <w:rFonts w:ascii="Book Antiqua" w:hAnsi="Book Antiqua"/>
          <w:i/>
          <w:iCs/>
        </w:rPr>
        <w:t>Neuro Oncol</w:t>
      </w:r>
      <w:r>
        <w:rPr>
          <w:rFonts w:ascii="Book Antiqua" w:hAnsi="Book Antiqua"/>
        </w:rPr>
        <w:t xml:space="preserve"> 2019; </w:t>
      </w:r>
      <w:r>
        <w:rPr>
          <w:rFonts w:ascii="Book Antiqua" w:hAnsi="Book Antiqua"/>
          <w:b/>
          <w:bCs/>
        </w:rPr>
        <w:t>21</w:t>
      </w:r>
      <w:r>
        <w:rPr>
          <w:rFonts w:ascii="Book Antiqua" w:hAnsi="Book Antiqua"/>
        </w:rPr>
        <w:t>: v1-v100 [PMID: 31675094 DOI: 10.1093/neuonc/noz150]</w:t>
      </w:r>
    </w:p>
    <w:p>
      <w:pPr>
        <w:spacing w:line="360" w:lineRule="auto"/>
        <w:jc w:val="both"/>
        <w:rPr>
          <w:rFonts w:ascii="Book Antiqua" w:hAnsi="Book Antiqua"/>
        </w:rPr>
      </w:pPr>
      <w:r>
        <w:rPr>
          <w:rFonts w:ascii="Book Antiqua" w:hAnsi="Book Antiqua"/>
        </w:rPr>
        <w:t xml:space="preserve">4 </w:t>
      </w:r>
      <w:r>
        <w:rPr>
          <w:rFonts w:ascii="Book Antiqua" w:hAnsi="Book Antiqua"/>
          <w:b/>
          <w:bCs/>
        </w:rPr>
        <w:t>Jung E</w:t>
      </w:r>
      <w:r>
        <w:rPr>
          <w:rFonts w:ascii="Book Antiqua" w:hAnsi="Book Antiqua"/>
        </w:rPr>
        <w:t xml:space="preserve">, Alfonso J, Osswald M, Monyer H, Wick W, Winkler F. Emerging intersections between neuroscience and glioma biology. </w:t>
      </w:r>
      <w:r>
        <w:rPr>
          <w:rFonts w:ascii="Book Antiqua" w:hAnsi="Book Antiqua"/>
          <w:i/>
          <w:iCs/>
        </w:rPr>
        <w:t>Nat Neurosci</w:t>
      </w:r>
      <w:r>
        <w:rPr>
          <w:rFonts w:ascii="Book Antiqua" w:hAnsi="Book Antiqua"/>
        </w:rPr>
        <w:t xml:space="preserve"> 2019; </w:t>
      </w:r>
      <w:r>
        <w:rPr>
          <w:rFonts w:ascii="Book Antiqua" w:hAnsi="Book Antiqua"/>
          <w:b/>
          <w:bCs/>
        </w:rPr>
        <w:t>22</w:t>
      </w:r>
      <w:r>
        <w:rPr>
          <w:rFonts w:ascii="Book Antiqua" w:hAnsi="Book Antiqua"/>
        </w:rPr>
        <w:t>: 1951-1960 [PMID: 31719671 DOI: 10.1038/s41593-019-0540-y]</w:t>
      </w:r>
    </w:p>
    <w:p>
      <w:pPr>
        <w:spacing w:line="360" w:lineRule="auto"/>
        <w:jc w:val="both"/>
        <w:rPr>
          <w:rFonts w:ascii="Book Antiqua" w:hAnsi="Book Antiqua"/>
        </w:rPr>
      </w:pPr>
      <w:r>
        <w:rPr>
          <w:rFonts w:ascii="Book Antiqua" w:hAnsi="Book Antiqua"/>
        </w:rPr>
        <w:t xml:space="preserve">5 </w:t>
      </w:r>
      <w:r>
        <w:rPr>
          <w:rFonts w:ascii="Book Antiqua" w:hAnsi="Book Antiqua"/>
          <w:b/>
          <w:bCs/>
        </w:rPr>
        <w:t>Wesseling P</w:t>
      </w:r>
      <w:r>
        <w:rPr>
          <w:rFonts w:ascii="Book Antiqua" w:hAnsi="Book Antiqua"/>
        </w:rPr>
        <w:t xml:space="preserve">, Capper D. WHO 2016 Classification of gliomas. </w:t>
      </w:r>
      <w:r>
        <w:rPr>
          <w:rFonts w:ascii="Book Antiqua" w:hAnsi="Book Antiqua"/>
          <w:i/>
          <w:iCs/>
        </w:rPr>
        <w:t>Neuropathol Appl Neurobiol</w:t>
      </w:r>
      <w:r>
        <w:rPr>
          <w:rFonts w:ascii="Book Antiqua" w:hAnsi="Book Antiqua"/>
        </w:rPr>
        <w:t xml:space="preserve"> 2018; </w:t>
      </w:r>
      <w:r>
        <w:rPr>
          <w:rFonts w:ascii="Book Antiqua" w:hAnsi="Book Antiqua"/>
          <w:b/>
          <w:bCs/>
        </w:rPr>
        <w:t>44</w:t>
      </w:r>
      <w:r>
        <w:rPr>
          <w:rFonts w:ascii="Book Antiqua" w:hAnsi="Book Antiqua"/>
        </w:rPr>
        <w:t>: 139-150 [PMID: 28815663 DOI: 10.1111/nan.12432]</w:t>
      </w:r>
    </w:p>
    <w:p>
      <w:pPr>
        <w:spacing w:line="360" w:lineRule="auto"/>
        <w:jc w:val="both"/>
        <w:rPr>
          <w:rFonts w:ascii="Book Antiqua" w:hAnsi="Book Antiqua"/>
        </w:rPr>
      </w:pPr>
      <w:r>
        <w:rPr>
          <w:rFonts w:ascii="Book Antiqua" w:hAnsi="Book Antiqua"/>
        </w:rPr>
        <w:t xml:space="preserve">6 </w:t>
      </w:r>
      <w:r>
        <w:rPr>
          <w:rFonts w:ascii="Book Antiqua" w:hAnsi="Book Antiqua"/>
          <w:b/>
          <w:bCs/>
        </w:rPr>
        <w:t>Ly KI</w:t>
      </w:r>
      <w:r>
        <w:rPr>
          <w:rFonts w:ascii="Book Antiqua" w:hAnsi="Book Antiqua"/>
        </w:rPr>
        <w:t xml:space="preserve">, Wen PY, Huang RY. Imaging of Central Nervous System Tumors Based on the 2016 World Health Organization Classification. </w:t>
      </w:r>
      <w:r>
        <w:rPr>
          <w:rFonts w:ascii="Book Antiqua" w:hAnsi="Book Antiqua"/>
          <w:i/>
          <w:iCs/>
        </w:rPr>
        <w:t>Neurol Clin</w:t>
      </w:r>
      <w:r>
        <w:rPr>
          <w:rFonts w:ascii="Book Antiqua" w:hAnsi="Book Antiqua"/>
        </w:rPr>
        <w:t xml:space="preserve"> 2020; </w:t>
      </w:r>
      <w:r>
        <w:rPr>
          <w:rFonts w:ascii="Book Antiqua" w:hAnsi="Book Antiqua"/>
          <w:b/>
          <w:bCs/>
        </w:rPr>
        <w:t>38</w:t>
      </w:r>
      <w:r>
        <w:rPr>
          <w:rFonts w:ascii="Book Antiqua" w:hAnsi="Book Antiqua"/>
        </w:rPr>
        <w:t>: 95-113 [PMID: 31761063 DOI: 10.1016/j.ncl.2019.08.004]</w:t>
      </w:r>
    </w:p>
    <w:p>
      <w:pPr>
        <w:spacing w:line="360" w:lineRule="auto"/>
        <w:jc w:val="both"/>
        <w:rPr>
          <w:rFonts w:ascii="Book Antiqua" w:hAnsi="Book Antiqua"/>
        </w:rPr>
      </w:pPr>
      <w:r>
        <w:rPr>
          <w:rFonts w:ascii="Book Antiqua" w:hAnsi="Book Antiqua"/>
        </w:rPr>
        <w:t xml:space="preserve">7 </w:t>
      </w:r>
      <w:r>
        <w:rPr>
          <w:rFonts w:ascii="Book Antiqua" w:hAnsi="Book Antiqua"/>
          <w:b/>
          <w:bCs/>
        </w:rPr>
        <w:t>Louis DN</w:t>
      </w:r>
      <w:r>
        <w:rPr>
          <w:rFonts w:ascii="Book Antiqua" w:hAnsi="Book Antiqua"/>
        </w:rPr>
        <w:t xml:space="preserve">, Perry A, Wesseling P, Brat DJ, Cree IA, Figarella-Branger D, Hawkins C, Ng HK, Pfister SM, Reifenberger G, Soffietti R, von Deimling A, Ellison DW. The 2021 WHO Classification of Tumors of the Central Nervous System: a summary. </w:t>
      </w:r>
      <w:r>
        <w:rPr>
          <w:rFonts w:ascii="Book Antiqua" w:hAnsi="Book Antiqua"/>
          <w:i/>
          <w:iCs/>
        </w:rPr>
        <w:t>Neuro Oncol</w:t>
      </w:r>
      <w:r>
        <w:rPr>
          <w:rFonts w:ascii="Book Antiqua" w:hAnsi="Book Antiqua"/>
        </w:rPr>
        <w:t xml:space="preserve"> 2021; </w:t>
      </w:r>
      <w:r>
        <w:rPr>
          <w:rFonts w:ascii="Book Antiqua" w:hAnsi="Book Antiqua"/>
          <w:b/>
          <w:bCs/>
        </w:rPr>
        <w:t>23</w:t>
      </w:r>
      <w:r>
        <w:rPr>
          <w:rFonts w:ascii="Book Antiqua" w:hAnsi="Book Antiqua"/>
        </w:rPr>
        <w:t>: 1231-1251 [PMID: 34185076 DOI: 10.1093/neuonc/noab106]</w:t>
      </w:r>
    </w:p>
    <w:p>
      <w:pPr>
        <w:spacing w:line="360" w:lineRule="auto"/>
        <w:jc w:val="both"/>
        <w:rPr>
          <w:rFonts w:ascii="Book Antiqua" w:hAnsi="Book Antiqua"/>
        </w:rPr>
      </w:pPr>
      <w:r>
        <w:rPr>
          <w:rFonts w:ascii="Book Antiqua" w:hAnsi="Book Antiqua"/>
        </w:rPr>
        <w:t xml:space="preserve">8 </w:t>
      </w:r>
      <w:r>
        <w:rPr>
          <w:rFonts w:ascii="Book Antiqua" w:hAnsi="Book Antiqua"/>
          <w:b/>
          <w:bCs/>
        </w:rPr>
        <w:t>Wen PY</w:t>
      </w:r>
      <w:r>
        <w:rPr>
          <w:rFonts w:ascii="Book Antiqua" w:hAnsi="Book Antiqua"/>
        </w:rPr>
        <w:t xml:space="preserve">, Packer RJ. The 2021 WHO Classification of Tumors of the Central Nervous System: clinical implications. </w:t>
      </w:r>
      <w:r>
        <w:rPr>
          <w:rFonts w:ascii="Book Antiqua" w:hAnsi="Book Antiqua"/>
          <w:i/>
          <w:iCs/>
        </w:rPr>
        <w:t>Neuro Oncol</w:t>
      </w:r>
      <w:r>
        <w:rPr>
          <w:rFonts w:ascii="Book Antiqua" w:hAnsi="Book Antiqua"/>
        </w:rPr>
        <w:t xml:space="preserve"> 2021; </w:t>
      </w:r>
      <w:r>
        <w:rPr>
          <w:rFonts w:ascii="Book Antiqua" w:hAnsi="Book Antiqua"/>
          <w:b/>
          <w:bCs/>
        </w:rPr>
        <w:t>23</w:t>
      </w:r>
      <w:r>
        <w:rPr>
          <w:rFonts w:ascii="Book Antiqua" w:hAnsi="Book Antiqua"/>
        </w:rPr>
        <w:t>: 1215-1217 [PMID: 34185090 DOI: 10.1093/neuonc/noab120]</w:t>
      </w:r>
    </w:p>
    <w:p>
      <w:pPr>
        <w:spacing w:line="360" w:lineRule="auto"/>
        <w:jc w:val="both"/>
        <w:rPr>
          <w:rFonts w:ascii="Book Antiqua" w:hAnsi="Book Antiqua"/>
        </w:rPr>
      </w:pPr>
      <w:r>
        <w:rPr>
          <w:rFonts w:ascii="Book Antiqua" w:hAnsi="Book Antiqua"/>
        </w:rPr>
        <w:t xml:space="preserve">9 </w:t>
      </w:r>
      <w:r>
        <w:rPr>
          <w:rFonts w:ascii="Book Antiqua" w:hAnsi="Book Antiqua"/>
          <w:b/>
          <w:bCs/>
        </w:rPr>
        <w:t>Weller M</w:t>
      </w:r>
      <w:r>
        <w:rPr>
          <w:rFonts w:ascii="Book Antiqua" w:hAnsi="Book Antiqua"/>
        </w:rPr>
        <w:t xml:space="preserve">, van den Bent M, Preusser M, Le Rhun E, Tonn JC, Minniti G, Bendszus M, Balana C, Chinot O, Dirven L, French P, Hegi ME, Jakola AS, Platten M, Roth P, Rudà R, Short S, Smits M, Taphoorn MJB, von Deimling A, Westphal M, Soffietti R, Reifenberger G, Wick W. EANO guidelines on the diagnosis and treatment of diffuse gliomas of adulthood. </w:t>
      </w:r>
      <w:r>
        <w:rPr>
          <w:rFonts w:ascii="Book Antiqua" w:hAnsi="Book Antiqua"/>
          <w:i/>
          <w:iCs/>
        </w:rPr>
        <w:t>Nat Rev Clin Oncol</w:t>
      </w:r>
      <w:r>
        <w:rPr>
          <w:rFonts w:ascii="Book Antiqua" w:hAnsi="Book Antiqua"/>
        </w:rPr>
        <w:t xml:space="preserve"> 2021; </w:t>
      </w:r>
      <w:r>
        <w:rPr>
          <w:rFonts w:ascii="Book Antiqua" w:hAnsi="Book Antiqua"/>
          <w:b/>
          <w:bCs/>
        </w:rPr>
        <w:t>18</w:t>
      </w:r>
      <w:r>
        <w:rPr>
          <w:rFonts w:ascii="Book Antiqua" w:hAnsi="Book Antiqua"/>
        </w:rPr>
        <w:t>: 170-186 [PMID: 33293629 DOI: 10.1038/s41571-020-00447-z]</w:t>
      </w:r>
    </w:p>
    <w:p>
      <w:pPr>
        <w:spacing w:line="360" w:lineRule="auto"/>
        <w:jc w:val="both"/>
        <w:rPr>
          <w:rFonts w:ascii="Book Antiqua" w:hAnsi="Book Antiqua"/>
        </w:rPr>
      </w:pPr>
      <w:r>
        <w:rPr>
          <w:rFonts w:ascii="Book Antiqua" w:hAnsi="Book Antiqua"/>
        </w:rPr>
        <w:t xml:space="preserve">10 </w:t>
      </w:r>
      <w:r>
        <w:rPr>
          <w:rFonts w:ascii="Book Antiqua" w:hAnsi="Book Antiqua"/>
          <w:b/>
          <w:bCs/>
        </w:rPr>
        <w:t>Tanboon J</w:t>
      </w:r>
      <w:r>
        <w:rPr>
          <w:rFonts w:ascii="Book Antiqua" w:hAnsi="Book Antiqua"/>
        </w:rPr>
        <w:t xml:space="preserve">, Williams EA, Louis DN. The Diagnostic Use of Immunohistochemical Surrogates for Signature Molecular Genetic Alterations in Gliomas. </w:t>
      </w:r>
      <w:r>
        <w:rPr>
          <w:rFonts w:ascii="Book Antiqua" w:hAnsi="Book Antiqua"/>
          <w:i/>
          <w:iCs/>
        </w:rPr>
        <w:t>J Neuropathol Exp Neurol</w:t>
      </w:r>
      <w:r>
        <w:rPr>
          <w:rFonts w:ascii="Book Antiqua" w:hAnsi="Book Antiqua"/>
        </w:rPr>
        <w:t xml:space="preserve"> 2016; </w:t>
      </w:r>
      <w:r>
        <w:rPr>
          <w:rFonts w:ascii="Book Antiqua" w:hAnsi="Book Antiqua"/>
          <w:b/>
          <w:bCs/>
        </w:rPr>
        <w:t>75</w:t>
      </w:r>
      <w:r>
        <w:rPr>
          <w:rFonts w:ascii="Book Antiqua" w:hAnsi="Book Antiqua"/>
        </w:rPr>
        <w:t>: 4-18 [PMID: 26671986 DOI: 10.1093/jnen/nlv009]</w:t>
      </w:r>
    </w:p>
    <w:p>
      <w:pPr>
        <w:spacing w:line="360" w:lineRule="auto"/>
        <w:jc w:val="both"/>
        <w:rPr>
          <w:rFonts w:ascii="Book Antiqua" w:hAnsi="Book Antiqua"/>
        </w:rPr>
      </w:pPr>
      <w:r>
        <w:rPr>
          <w:rFonts w:ascii="Book Antiqua" w:hAnsi="Book Antiqua"/>
        </w:rPr>
        <w:t xml:space="preserve">11 </w:t>
      </w:r>
      <w:r>
        <w:rPr>
          <w:rFonts w:ascii="Book Antiqua" w:hAnsi="Book Antiqua"/>
          <w:b/>
          <w:bCs/>
        </w:rPr>
        <w:t>Reinhardt A</w:t>
      </w:r>
      <w:r>
        <w:rPr>
          <w:rFonts w:ascii="Book Antiqua" w:hAnsi="Book Antiqua"/>
        </w:rPr>
        <w:t xml:space="preserve">, Stichel D, Schrimpf D, Sahm F, Korshunov A, Reuss DE, Koelsche C, Huang K, Wefers AK, Hovestadt V, Sill M, Gramatzki D, Felsberg J, Reifenberger G, Koch A, Thomale UW, Becker A, Hans VH, Prinz M, Staszewski O, Acker T, Dohmen H, Hartmann C, Mueller W, Tuffaha MSA, Paulus W, Heß K, Brokinkel B, Schittenhelm J, Monoranu CM, Kessler AF, Loehr M, Buslei R, Deckert M, Mawrin C, Kohlhof P, Hewer E, Olar A, Rodriguez FJ, Giannini C, NageswaraRao AA, Tabori U, Nunes NM, Weller M, Pohl U, Jaunmuktane Z, Brandner S, Unterberg A, Hänggi D, Platten M, Pfister SM, Wick W, Herold-Mende C, Jones DTW, von Deimling A, Capper D. Anaplastic astrocytoma with piloid features, a novel molecular class of IDH wildtype glioma with recurrent MAPK pathway, CDKN2A/B and ATRX alterations. </w:t>
      </w:r>
      <w:r>
        <w:rPr>
          <w:rFonts w:ascii="Book Antiqua" w:hAnsi="Book Antiqua"/>
          <w:i/>
          <w:iCs/>
        </w:rPr>
        <w:t>Acta Neuropathol</w:t>
      </w:r>
      <w:r>
        <w:rPr>
          <w:rFonts w:ascii="Book Antiqua" w:hAnsi="Book Antiqua"/>
        </w:rPr>
        <w:t xml:space="preserve"> 2018; </w:t>
      </w:r>
      <w:r>
        <w:rPr>
          <w:rFonts w:ascii="Book Antiqua" w:hAnsi="Book Antiqua"/>
          <w:b/>
          <w:bCs/>
        </w:rPr>
        <w:t>136</w:t>
      </w:r>
      <w:r>
        <w:rPr>
          <w:rFonts w:ascii="Book Antiqua" w:hAnsi="Book Antiqua"/>
        </w:rPr>
        <w:t>: 273-291 [PMID: 29564591 DOI: 10.1007/s00401-018-1837-8]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Jones DTW</w:t>
      </w:r>
      <w:r>
        <w:rPr>
          <w:rFonts w:ascii="Book Antiqua" w:hAnsi="Book Antiqua"/>
        </w:rPr>
        <w:t xml:space="preserve">, Kieran MW, Bouffet E, Alexandrescu S, Bandopadhayay P, Bornhorst M, Ellison D, Fangusaro J, Fisher MJ, Foreman N, Fouladi M, Hargrave D, Hawkins C, Jabado N, Massimino M, Mueller S, Perilongo G, Schouten van Meeteren AYN, Tabori U, Warren K, Waanders AJ, Walker D, Weiss W, Witt O, Wright K, Zhu Y, Bowers DC, Pfister SM, Packer RJ. Pediatric low-grade gliomas: next biologically driven steps. </w:t>
      </w:r>
      <w:r>
        <w:rPr>
          <w:rFonts w:ascii="Book Antiqua" w:hAnsi="Book Antiqua"/>
          <w:i/>
          <w:iCs/>
        </w:rPr>
        <w:t>Neuro Oncol</w:t>
      </w:r>
      <w:r>
        <w:rPr>
          <w:rFonts w:ascii="Book Antiqua" w:hAnsi="Book Antiqua"/>
        </w:rPr>
        <w:t xml:space="preserve"> 2018; </w:t>
      </w:r>
      <w:r>
        <w:rPr>
          <w:rFonts w:ascii="Book Antiqua" w:hAnsi="Book Antiqua"/>
          <w:b/>
          <w:bCs/>
        </w:rPr>
        <w:t>20</w:t>
      </w:r>
      <w:r>
        <w:rPr>
          <w:rFonts w:ascii="Book Antiqua" w:hAnsi="Book Antiqua"/>
        </w:rPr>
        <w:t>: 160-173 [PMID: 29016845 DOI: 10.1093/neuonc/nox141]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van den Bent MJ</w:t>
      </w:r>
      <w:r>
        <w:rPr>
          <w:rFonts w:ascii="Book Antiqua" w:hAnsi="Book Antiqua"/>
        </w:rPr>
        <w:t xml:space="preserve">, Chang SM. Grade II and III Oligodendroglioma and Astrocytoma. </w:t>
      </w:r>
      <w:r>
        <w:rPr>
          <w:rFonts w:ascii="Book Antiqua" w:hAnsi="Book Antiqua"/>
          <w:i/>
          <w:iCs/>
        </w:rPr>
        <w:t>Neurol Clin</w:t>
      </w:r>
      <w:r>
        <w:rPr>
          <w:rFonts w:ascii="Book Antiqua" w:hAnsi="Book Antiqua"/>
        </w:rPr>
        <w:t xml:space="preserve"> 2018; </w:t>
      </w:r>
      <w:r>
        <w:rPr>
          <w:rFonts w:ascii="Book Antiqua" w:hAnsi="Book Antiqua"/>
          <w:b/>
          <w:bCs/>
        </w:rPr>
        <w:t>36</w:t>
      </w:r>
      <w:r>
        <w:rPr>
          <w:rFonts w:ascii="Book Antiqua" w:hAnsi="Book Antiqua"/>
        </w:rPr>
        <w:t>: 467-484 [PMID: 30072066 DOI: 10.1016/j.ncl.2018.04.005]</w:t>
      </w:r>
    </w:p>
    <w:p>
      <w:pPr>
        <w:spacing w:line="360" w:lineRule="auto"/>
        <w:jc w:val="both"/>
        <w:rPr>
          <w:rFonts w:ascii="Book Antiqua" w:hAnsi="Book Antiqua"/>
        </w:rPr>
      </w:pPr>
      <w:r>
        <w:rPr>
          <w:rFonts w:ascii="Book Antiqua" w:hAnsi="Book Antiqua"/>
        </w:rPr>
        <w:t xml:space="preserve">14 </w:t>
      </w:r>
      <w:r>
        <w:rPr>
          <w:rFonts w:ascii="Book Antiqua" w:hAnsi="Book Antiqua"/>
          <w:b/>
          <w:bCs/>
        </w:rPr>
        <w:t>Kim M</w:t>
      </w:r>
      <w:r>
        <w:rPr>
          <w:rFonts w:ascii="Book Antiqua" w:hAnsi="Book Antiqua"/>
        </w:rPr>
        <w:t xml:space="preserve">, Jung SY, Park JE, Jo Y, Park SY, Nam SJ, Kim JH, Kim HS. Diffusion- and perfusion-weighted MRI radiomics model may predict isocitrate dehydrogenase (IDH) mutation and tumor aggressiveness in diffuse lower grade glioma. </w:t>
      </w:r>
      <w:r>
        <w:rPr>
          <w:rFonts w:ascii="Book Antiqua" w:hAnsi="Book Antiqua"/>
          <w:i/>
          <w:iCs/>
        </w:rPr>
        <w:t>Eur Radiol</w:t>
      </w:r>
      <w:r>
        <w:rPr>
          <w:rFonts w:ascii="Book Antiqua" w:hAnsi="Book Antiqua"/>
        </w:rPr>
        <w:t xml:space="preserve"> 2020; </w:t>
      </w:r>
      <w:r>
        <w:rPr>
          <w:rFonts w:ascii="Book Antiqua" w:hAnsi="Book Antiqua"/>
          <w:b/>
          <w:bCs/>
        </w:rPr>
        <w:t>30</w:t>
      </w:r>
      <w:r>
        <w:rPr>
          <w:rFonts w:ascii="Book Antiqua" w:hAnsi="Book Antiqua"/>
        </w:rPr>
        <w:t>: 2142-2151 [PMID: 31828414 DOI: 10.1007/s00330-019-06548-3]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Barresi V</w:t>
      </w:r>
      <w:r>
        <w:rPr>
          <w:rFonts w:ascii="Book Antiqua" w:hAnsi="Book Antiqua"/>
        </w:rPr>
        <w:t>, Eccher A, Simbolo M, Cappellini R, Ricciardi GK, Calabria F, Cancedda M, Mazzarotto R, Bonetti B, Pinna G, Sala F, Ghimenton C, Scarpa A. Diffuse gliomas in patients aged 55</w:t>
      </w:r>
      <w:r>
        <w:rPr>
          <w:rFonts w:ascii="MS Mincho" w:hAnsi="MS Mincho" w:cs="MS Mincho"/>
        </w:rPr>
        <w:t> </w:t>
      </w:r>
      <w:r>
        <w:rPr>
          <w:rFonts w:ascii="Book Antiqua" w:hAnsi="Book Antiqua"/>
        </w:rPr>
        <w:t xml:space="preserve">years or over: A suggestion for IDH mutation testing. </w:t>
      </w:r>
      <w:r>
        <w:rPr>
          <w:rFonts w:ascii="Book Antiqua" w:hAnsi="Book Antiqua"/>
          <w:i/>
          <w:iCs/>
        </w:rPr>
        <w:t>Neuropathology</w:t>
      </w:r>
      <w:r>
        <w:rPr>
          <w:rFonts w:ascii="Book Antiqua" w:hAnsi="Book Antiqua"/>
        </w:rPr>
        <w:t xml:space="preserve"> 2020; </w:t>
      </w:r>
      <w:r>
        <w:rPr>
          <w:rFonts w:ascii="Book Antiqua" w:hAnsi="Book Antiqua"/>
          <w:b/>
          <w:bCs/>
        </w:rPr>
        <w:t>40</w:t>
      </w:r>
      <w:r>
        <w:rPr>
          <w:rFonts w:ascii="Book Antiqua" w:hAnsi="Book Antiqua"/>
        </w:rPr>
        <w:t>: 68-74 [PMID: 31758617 DOI: 10.1111/neup.12608]</w:t>
      </w:r>
    </w:p>
    <w:p>
      <w:pPr>
        <w:spacing w:line="360" w:lineRule="auto"/>
        <w:jc w:val="both"/>
        <w:rPr>
          <w:rFonts w:ascii="Book Antiqua" w:hAnsi="Book Antiqua"/>
        </w:rPr>
      </w:pPr>
      <w:r>
        <w:rPr>
          <w:rFonts w:ascii="Book Antiqua" w:hAnsi="Book Antiqua"/>
        </w:rPr>
        <w:t xml:space="preserve">16 </w:t>
      </w:r>
      <w:r>
        <w:rPr>
          <w:rFonts w:ascii="Book Antiqua" w:hAnsi="Book Antiqua"/>
          <w:b/>
          <w:bCs/>
        </w:rPr>
        <w:t>Poetsch L</w:t>
      </w:r>
      <w:r>
        <w:rPr>
          <w:rFonts w:ascii="Book Antiqua" w:hAnsi="Book Antiqua"/>
        </w:rPr>
        <w:t xml:space="preserve">, Bronnimann C, Loiseau H, Frénel JS, Siegfried A, Seizeur R, Gauchotte G, Cappellen D, Carpentier C, Figarella-Branger D, Eimer S, Meyronet D, Ducray F; POLA network. Characteristics of IDH-mutant gliomas with non-canonical IDH mutation. </w:t>
      </w:r>
      <w:r>
        <w:rPr>
          <w:rFonts w:ascii="Book Antiqua" w:hAnsi="Book Antiqua"/>
          <w:i/>
          <w:iCs/>
        </w:rPr>
        <w:t>J Neurooncol</w:t>
      </w:r>
      <w:r>
        <w:rPr>
          <w:rFonts w:ascii="Book Antiqua" w:hAnsi="Book Antiqua"/>
        </w:rPr>
        <w:t xml:space="preserve"> 2021; </w:t>
      </w:r>
      <w:r>
        <w:rPr>
          <w:rFonts w:ascii="Book Antiqua" w:hAnsi="Book Antiqua"/>
          <w:b/>
          <w:bCs/>
        </w:rPr>
        <w:t>151</w:t>
      </w:r>
      <w:r>
        <w:rPr>
          <w:rFonts w:ascii="Book Antiqua" w:hAnsi="Book Antiqua"/>
        </w:rPr>
        <w:t>: 279-286 [PMID: 33205355 DOI: 10.1007/s11060-020-03662-x]</w:t>
      </w:r>
    </w:p>
    <w:p>
      <w:pPr>
        <w:spacing w:line="360" w:lineRule="auto"/>
        <w:jc w:val="both"/>
        <w:rPr>
          <w:rFonts w:ascii="Book Antiqua" w:hAnsi="Book Antiqua"/>
        </w:rPr>
      </w:pPr>
      <w:r>
        <w:rPr>
          <w:rFonts w:ascii="Book Antiqua" w:hAnsi="Book Antiqua"/>
        </w:rPr>
        <w:t xml:space="preserve">17 </w:t>
      </w:r>
      <w:r>
        <w:rPr>
          <w:rFonts w:ascii="Book Antiqua" w:hAnsi="Book Antiqua"/>
          <w:b/>
          <w:bCs/>
        </w:rPr>
        <w:t>Ohba S</w:t>
      </w:r>
      <w:r>
        <w:rPr>
          <w:rFonts w:ascii="Book Antiqua" w:hAnsi="Book Antiqua"/>
        </w:rPr>
        <w:t xml:space="preserve">, Kuwahara K, Yamada S, Abe M, Hirose Y. Correlation between IDH, ATRX, and TERT promoter mutations in glioma. </w:t>
      </w:r>
      <w:r>
        <w:rPr>
          <w:rFonts w:ascii="Book Antiqua" w:hAnsi="Book Antiqua"/>
          <w:i/>
          <w:iCs/>
        </w:rPr>
        <w:t>Brain Tumor Pathol</w:t>
      </w:r>
      <w:r>
        <w:rPr>
          <w:rFonts w:ascii="Book Antiqua" w:hAnsi="Book Antiqua"/>
        </w:rPr>
        <w:t xml:space="preserve"> 2020; </w:t>
      </w:r>
      <w:r>
        <w:rPr>
          <w:rFonts w:ascii="Book Antiqua" w:hAnsi="Book Antiqua"/>
          <w:b/>
          <w:bCs/>
        </w:rPr>
        <w:t>37</w:t>
      </w:r>
      <w:r>
        <w:rPr>
          <w:rFonts w:ascii="Book Antiqua" w:hAnsi="Book Antiqua"/>
        </w:rPr>
        <w:t>: 33-40 [PMID: 32227259 DOI: 10.1007/s10014-020-00360-4]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Ball MK</w:t>
      </w:r>
      <w:r>
        <w:rPr>
          <w:rFonts w:ascii="Book Antiqua" w:hAnsi="Book Antiqua"/>
        </w:rPr>
        <w:t xml:space="preserve">, Kollmeyer TM, Praska CE, McKenna ML, Giannini C, Raghunathan A, Jentoft ME, Lachance DH, Kipp BR, Jenkins RB, Ida CM. Frequency of false-positive FISH 1p/19q codeletion in adult diffuse astrocytic gliomas. </w:t>
      </w:r>
      <w:r>
        <w:rPr>
          <w:rFonts w:ascii="Book Antiqua" w:hAnsi="Book Antiqua"/>
          <w:i/>
          <w:iCs/>
        </w:rPr>
        <w:t>Neurooncol Adv</w:t>
      </w:r>
      <w:r>
        <w:rPr>
          <w:rFonts w:ascii="Book Antiqua" w:hAnsi="Book Antiqua"/>
        </w:rPr>
        <w:t xml:space="preserve"> 2020; </w:t>
      </w:r>
      <w:r>
        <w:rPr>
          <w:rFonts w:ascii="Book Antiqua" w:hAnsi="Book Antiqua"/>
          <w:b/>
          <w:bCs/>
        </w:rPr>
        <w:t>2</w:t>
      </w:r>
      <w:r>
        <w:rPr>
          <w:rFonts w:ascii="Book Antiqua" w:hAnsi="Book Antiqua"/>
        </w:rPr>
        <w:t>: vdaa109 [PMID: 33205043 DOI: 10.1093/noajnl/vdaa109]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Kong Y</w:t>
      </w:r>
      <w:r>
        <w:rPr>
          <w:rFonts w:ascii="Book Antiqua" w:hAnsi="Book Antiqua"/>
        </w:rPr>
        <w:t xml:space="preserve">, Sharma RB, Ly S, Stamateris RE, Jesdale WM, Alonso LC. </w:t>
      </w:r>
      <w:r>
        <w:rPr>
          <w:rFonts w:ascii="Book Antiqua" w:hAnsi="Book Antiqua"/>
          <w:i/>
          <w:iCs/>
        </w:rPr>
        <w:t>CDKN2A/B</w:t>
      </w:r>
      <w:r>
        <w:rPr>
          <w:rFonts w:ascii="Book Antiqua" w:hAnsi="Book Antiqua"/>
        </w:rPr>
        <w:t xml:space="preserve"> T2D Genome-Wide Association Study Risk SNPs Impact Locus Gene Expression and Proliferation in Human Islets. </w:t>
      </w:r>
      <w:r>
        <w:rPr>
          <w:rFonts w:ascii="Book Antiqua" w:hAnsi="Book Antiqua"/>
          <w:i/>
          <w:iCs/>
        </w:rPr>
        <w:t>Diabetes</w:t>
      </w:r>
      <w:r>
        <w:rPr>
          <w:rFonts w:ascii="Book Antiqua" w:hAnsi="Book Antiqua"/>
        </w:rPr>
        <w:t xml:space="preserve"> 2018; </w:t>
      </w:r>
      <w:r>
        <w:rPr>
          <w:rFonts w:ascii="Book Antiqua" w:hAnsi="Book Antiqua"/>
          <w:b/>
          <w:bCs/>
        </w:rPr>
        <w:t>67</w:t>
      </w:r>
      <w:r>
        <w:rPr>
          <w:rFonts w:ascii="Book Antiqua" w:hAnsi="Book Antiqua"/>
        </w:rPr>
        <w:t>: 872-884 [PMID: 29432124 DOI: 10.2337/db17-1055]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Park JW</w:t>
      </w:r>
      <w:r>
        <w:rPr>
          <w:rFonts w:ascii="Book Antiqua" w:hAnsi="Book Antiqua"/>
        </w:rPr>
        <w:t xml:space="preserve">, Kang J, Lim KY, Kim H, Kim SI, Won JK, Park CK, Park SH. The prognostic significance of p16 expression pattern in diffuse gliomas. </w:t>
      </w:r>
      <w:r>
        <w:rPr>
          <w:rFonts w:ascii="Book Antiqua" w:hAnsi="Book Antiqua"/>
          <w:i/>
          <w:iCs/>
        </w:rPr>
        <w:t>J Pathol Transl Med</w:t>
      </w:r>
      <w:r>
        <w:rPr>
          <w:rFonts w:ascii="Book Antiqua" w:hAnsi="Book Antiqua"/>
        </w:rPr>
        <w:t xml:space="preserve"> 2021; </w:t>
      </w:r>
      <w:r>
        <w:rPr>
          <w:rFonts w:ascii="Book Antiqua" w:hAnsi="Book Antiqua"/>
          <w:b/>
          <w:bCs/>
        </w:rPr>
        <w:t>55</w:t>
      </w:r>
      <w:r>
        <w:rPr>
          <w:rFonts w:ascii="Book Antiqua" w:hAnsi="Book Antiqua"/>
        </w:rPr>
        <w:t>: 102-111 [PMID: 33348944 DOI: 10.4132/jptm.2020.10.22]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Ma S</w:t>
      </w:r>
      <w:r>
        <w:rPr>
          <w:rFonts w:ascii="Book Antiqua" w:hAnsi="Book Antiqua"/>
        </w:rPr>
        <w:t xml:space="preserve">, Rudra S, Campian JL, Dahiya S, Dunn GP, Johanns T, Goldstein M, Kim AH, Huang J. Prognostic impact of CDKN2A/B deletion, TERT mutation, and EGFR amplification on histological and molecular IDH-wildtype glioblastoma. </w:t>
      </w:r>
      <w:r>
        <w:rPr>
          <w:rFonts w:ascii="Book Antiqua" w:hAnsi="Book Antiqua"/>
          <w:i/>
          <w:iCs/>
        </w:rPr>
        <w:t>Neurooncol Adv</w:t>
      </w:r>
      <w:r>
        <w:rPr>
          <w:rFonts w:ascii="Book Antiqua" w:hAnsi="Book Antiqua"/>
        </w:rPr>
        <w:t xml:space="preserve"> 2020; </w:t>
      </w:r>
      <w:r>
        <w:rPr>
          <w:rFonts w:ascii="Book Antiqua" w:hAnsi="Book Antiqua"/>
          <w:b/>
          <w:bCs/>
        </w:rPr>
        <w:t>2</w:t>
      </w:r>
      <w:r>
        <w:rPr>
          <w:rFonts w:ascii="Book Antiqua" w:hAnsi="Book Antiqua"/>
        </w:rPr>
        <w:t>: vdaa126 [PMID: 33235995 DOI: 10.1093/noajnl/vdaa126]</w:t>
      </w:r>
    </w:p>
    <w:p>
      <w:pPr>
        <w:spacing w:line="360" w:lineRule="auto"/>
        <w:jc w:val="both"/>
        <w:rPr>
          <w:rFonts w:ascii="Book Antiqua" w:hAnsi="Book Antiqua"/>
        </w:rPr>
      </w:pPr>
      <w:r>
        <w:rPr>
          <w:rFonts w:ascii="Book Antiqua" w:hAnsi="Book Antiqua"/>
        </w:rPr>
        <w:t xml:space="preserve">22 </w:t>
      </w:r>
      <w:r>
        <w:rPr>
          <w:rFonts w:ascii="Book Antiqua" w:hAnsi="Book Antiqua"/>
          <w:b/>
          <w:bCs/>
        </w:rPr>
        <w:t>Okajima K</w:t>
      </w:r>
      <w:r>
        <w:rPr>
          <w:rFonts w:ascii="Book Antiqua" w:hAnsi="Book Antiqua"/>
        </w:rPr>
        <w:t xml:space="preserve">, Ohta Y. [Diagnostic imaging of high-grade astrocytoma: heterogeneity of clinical manifestation, image characteristics, and histopathological findings]. </w:t>
      </w:r>
      <w:r>
        <w:rPr>
          <w:rFonts w:ascii="Book Antiqua" w:hAnsi="Book Antiqua"/>
          <w:i/>
          <w:iCs/>
        </w:rPr>
        <w:t>Brain Nerve</w:t>
      </w:r>
      <w:r>
        <w:rPr>
          <w:rFonts w:ascii="Book Antiqua" w:hAnsi="Book Antiqua"/>
        </w:rPr>
        <w:t xml:space="preserve"> 2012; </w:t>
      </w:r>
      <w:r>
        <w:rPr>
          <w:rFonts w:ascii="Book Antiqua" w:hAnsi="Book Antiqua"/>
          <w:b/>
          <w:bCs/>
        </w:rPr>
        <w:t>64</w:t>
      </w:r>
      <w:r>
        <w:rPr>
          <w:rFonts w:ascii="Book Antiqua" w:hAnsi="Book Antiqua"/>
        </w:rPr>
        <w:t>: 1151-1157 [PMID: 23037605]</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López GY</w:t>
      </w:r>
      <w:r>
        <w:rPr>
          <w:rFonts w:ascii="Book Antiqua" w:hAnsi="Book Antiqua"/>
        </w:rPr>
        <w:t xml:space="preserve">, Perry A, Harding B, Li M, Santi M. CDKN2A/B Loss Is Associated with Anaplastic Transformation in a Case of NTRK2 Fusion-positive Pilocytic Astrocytoma. </w:t>
      </w:r>
      <w:r>
        <w:rPr>
          <w:rFonts w:ascii="Book Antiqua" w:hAnsi="Book Antiqua"/>
          <w:i/>
          <w:iCs/>
        </w:rPr>
        <w:t>Neuropathol Appl Neurobiol</w:t>
      </w:r>
      <w:r>
        <w:rPr>
          <w:rFonts w:ascii="Book Antiqua" w:hAnsi="Book Antiqua"/>
        </w:rPr>
        <w:t xml:space="preserve"> 2019; </w:t>
      </w:r>
      <w:r>
        <w:rPr>
          <w:rFonts w:ascii="Book Antiqua" w:hAnsi="Book Antiqua"/>
          <w:b/>
          <w:bCs/>
        </w:rPr>
        <w:t>45</w:t>
      </w:r>
      <w:r>
        <w:rPr>
          <w:rFonts w:ascii="Book Antiqua" w:hAnsi="Book Antiqua"/>
        </w:rPr>
        <w:t>: 174-178 [PMID: 29804288 DOI: 10.1111/nan.12503]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Brat DJ</w:t>
      </w:r>
      <w:r>
        <w:rPr>
          <w:rFonts w:ascii="Book Antiqua" w:hAnsi="Book Antiqua"/>
        </w:rPr>
        <w:t xml:space="preserve">, Aldape K, Colman H, Holland EC, Louis DN, Jenkins RB, Kleinschmidt-DeMasters BK, Perry A, Reifenberger G, Stupp R, von Deimling A, Weller M. cIMPACT-NOW update 3: recommended diagnostic criteria for "Diffuse astrocytic glioma, IDH-wildtype, with molecular features of glioblastoma, WHO grade IV". </w:t>
      </w:r>
      <w:r>
        <w:rPr>
          <w:rFonts w:ascii="Book Antiqua" w:hAnsi="Book Antiqua"/>
          <w:i/>
          <w:iCs/>
        </w:rPr>
        <w:t>Acta Neuropathol</w:t>
      </w:r>
      <w:r>
        <w:rPr>
          <w:rFonts w:ascii="Book Antiqua" w:hAnsi="Book Antiqua"/>
        </w:rPr>
        <w:t xml:space="preserve"> 2018; </w:t>
      </w:r>
      <w:r>
        <w:rPr>
          <w:rFonts w:ascii="Book Antiqua" w:hAnsi="Book Antiqua"/>
          <w:b/>
          <w:bCs/>
        </w:rPr>
        <w:t>136</w:t>
      </w:r>
      <w:r>
        <w:rPr>
          <w:rFonts w:ascii="Book Antiqua" w:hAnsi="Book Antiqua"/>
        </w:rPr>
        <w:t>: 805-810 [PMID: 30259105 DOI: 10.1007/s00401-018-1913-0]</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Stichel D</w:t>
      </w:r>
      <w:r>
        <w:rPr>
          <w:rFonts w:ascii="Book Antiqua" w:hAnsi="Book Antiqua"/>
        </w:rPr>
        <w:t xml:space="preserve">, Ebrahimi A, Reuss D, Schrimpf D, Ono T, Shirahata M, Reifenberger G, Weller M, Hänggi D, Wick W, Herold-Mende C, Westphal M, Brandner S, Pfister SM, Capper D, Sahm F, von Deimling A. Distribution of EGFR amplification, combined chromosome 7 gain and chromosome 10 loss, and TERT promoter mutation in brain tumors and their potential for the reclassification of IDHwt astrocytoma to glioblastoma. </w:t>
      </w:r>
      <w:r>
        <w:rPr>
          <w:rFonts w:ascii="Book Antiqua" w:hAnsi="Book Antiqua"/>
          <w:i/>
          <w:iCs/>
        </w:rPr>
        <w:t>Acta Neuropathol</w:t>
      </w:r>
      <w:r>
        <w:rPr>
          <w:rFonts w:ascii="Book Antiqua" w:hAnsi="Book Antiqua"/>
        </w:rPr>
        <w:t xml:space="preserve"> 2018; </w:t>
      </w:r>
      <w:r>
        <w:rPr>
          <w:rFonts w:ascii="Book Antiqua" w:hAnsi="Book Antiqua"/>
          <w:b/>
          <w:bCs/>
        </w:rPr>
        <w:t>136</w:t>
      </w:r>
      <w:r>
        <w:rPr>
          <w:rFonts w:ascii="Book Antiqua" w:hAnsi="Book Antiqua"/>
        </w:rPr>
        <w:t>: 793-803 [PMID: 30187121 DOI: 10.1007/s00401-018-1905-0]</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Campos B</w:t>
      </w:r>
      <w:r>
        <w:rPr>
          <w:rFonts w:ascii="Book Antiqua" w:hAnsi="Book Antiqua"/>
        </w:rPr>
        <w:t xml:space="preserve">, Olsen LR, Urup T, Poulsen HS. A comprehensive profile of recurrent glioblastoma. </w:t>
      </w:r>
      <w:r>
        <w:rPr>
          <w:rFonts w:ascii="Book Antiqua" w:hAnsi="Book Antiqua"/>
          <w:i/>
          <w:iCs/>
        </w:rPr>
        <w:t>Oncogene</w:t>
      </w:r>
      <w:r>
        <w:rPr>
          <w:rFonts w:ascii="Book Antiqua" w:hAnsi="Book Antiqua"/>
        </w:rPr>
        <w:t xml:space="preserve"> 2016; </w:t>
      </w:r>
      <w:r>
        <w:rPr>
          <w:rFonts w:ascii="Book Antiqua" w:hAnsi="Book Antiqua"/>
          <w:b/>
          <w:bCs/>
        </w:rPr>
        <w:t>35</w:t>
      </w:r>
      <w:r>
        <w:rPr>
          <w:rFonts w:ascii="Book Antiqua" w:hAnsi="Book Antiqua"/>
        </w:rPr>
        <w:t>: 5819-5825 [PMID: 27041580 DOI: 10.1038/onc.2016.85]</w:t>
      </w:r>
    </w:p>
    <w:p>
      <w:pPr>
        <w:spacing w:line="360" w:lineRule="auto"/>
        <w:jc w:val="both"/>
        <w:rPr>
          <w:rFonts w:ascii="Book Antiqua" w:hAnsi="Book Antiqua"/>
        </w:rPr>
      </w:pPr>
      <w:r>
        <w:rPr>
          <w:rFonts w:ascii="Book Antiqua" w:hAnsi="Book Antiqua"/>
        </w:rPr>
        <w:t xml:space="preserve">27 </w:t>
      </w:r>
      <w:r>
        <w:rPr>
          <w:rFonts w:ascii="Book Antiqua" w:hAnsi="Book Antiqua"/>
          <w:b/>
          <w:bCs/>
        </w:rPr>
        <w:t>Sturm D</w:t>
      </w:r>
      <w:r>
        <w:rPr>
          <w:rFonts w:ascii="Book Antiqua" w:hAnsi="Book Antiqua"/>
        </w:rPr>
        <w:t xml:space="preserve">, Bender S, Jones DT, Lichter P, Grill J, Becher O, Hawkins C, Majewski J, Jones C, Costello JF, Iavarone A, Aldape K, Brennan CW, Jabado N, Pfister SM. Paediatric and adult glioblastoma: multiform (epi)genomic culprits emerge. </w:t>
      </w:r>
      <w:r>
        <w:rPr>
          <w:rFonts w:ascii="Book Antiqua" w:hAnsi="Book Antiqua"/>
          <w:i/>
          <w:iCs/>
        </w:rPr>
        <w:t>Nat Rev Cancer</w:t>
      </w:r>
      <w:r>
        <w:rPr>
          <w:rFonts w:ascii="Book Antiqua" w:hAnsi="Book Antiqua"/>
        </w:rPr>
        <w:t xml:space="preserve"> 2014; </w:t>
      </w:r>
      <w:r>
        <w:rPr>
          <w:rFonts w:ascii="Book Antiqua" w:hAnsi="Book Antiqua"/>
          <w:b/>
          <w:bCs/>
        </w:rPr>
        <w:t>14</w:t>
      </w:r>
      <w:r>
        <w:rPr>
          <w:rFonts w:ascii="Book Antiqua" w:hAnsi="Book Antiqua"/>
        </w:rPr>
        <w:t>: 92-107 [PMID: 24457416 DOI: 10.1038/nrc3655]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Capper D</w:t>
      </w:r>
      <w:r>
        <w:rPr>
          <w:rFonts w:ascii="Book Antiqua" w:hAnsi="Book Antiqua"/>
        </w:rPr>
        <w:t xml:space="preserve">, Jones DTW, Sill M, Hovestadt V, Schrimpf D, Sturm D, Koelsche C, Sahm F, Chavez L, Reuss DE, Kratz A, Wefers AK, Huang K, Pajtler KW, Schweizer L, Stichel D, Olar A, Engel NW, Lindenberg K, Harter PN, Braczynski AK, Plate KH, Dohmen H, Garvalov BK, Coras R, Hölsken A, Hewer E, Bewerunge-Hudler M, Schick M, Fischer R, Beschorner R, Schittenhelm J, Staszewski O, Wani K, Varlet P, Pages M, Temming P, Lohmann D, Selt F, Witt H, Milde T, Witt O, Aronica E, Giangaspero F, Rushing E, Scheurlen W, Geisenberger C, Rodriguez FJ, Becker A, Preusser M, Haberler C, Bjerkvig R, Cryan J, Farrell M, Deckert M, Hench J, Frank S, Serrano J, Kannan K, Tsirigos A, Brück W, Hofer S, Brehmer S, Seiz-Rosenhagen M, Hänggi D, Hans V, Rozsnoki S, Hansford JR, Kohlhof P, Kristensen BW, Lechner M, Lopes B, Mawrin C, Ketter R, Kulozik A, Khatib Z, Heppner F, Koch A, Jouvet A, Keohane C, Mühleisen H, Mueller W, Pohl U, Prinz M, Benner A, Zapatka M, Gottardo NG, Driever PH, Kramm CM, Müller HL, Rutkowski S, von Hoff K, Frühwald MC, Gnekow A, Fleischhack G, Tippelt S, Calaminus G, Monoranu CM, Perry A, Jones C, Jacques TS, Radlwimmer B, Gessi M, Pietsch T, Schramm J, Schackert G, Westphal M, Reifenberger G, Wesseling P, Weller M, Collins VP, Blümcke I, Bendszus M, Debus J, Huang A, Jabado N, Northcott PA, Paulus W, Gajjar A, Robinson GW, Taylor MD, Jaunmuktane Z, Ryzhova M, Platten M, Unterberg A, Wick W, Karajannis MA, Mittelbronn M, Acker T, Hartmann C, Aldape K, Schüller U, Buslei R, Lichter P, Kool M, Herold-Mende C, Ellison DW, Hasselblatt M, Snuderl M, Brandner S, Korshunov A, von Deimling A, Pfister SM. DNA methylation-based classification of central nervous system tumours. </w:t>
      </w:r>
      <w:r>
        <w:rPr>
          <w:rFonts w:ascii="Book Antiqua" w:hAnsi="Book Antiqua"/>
          <w:i/>
          <w:iCs/>
        </w:rPr>
        <w:t>Nature</w:t>
      </w:r>
      <w:r>
        <w:rPr>
          <w:rFonts w:ascii="Book Antiqua" w:hAnsi="Book Antiqua"/>
        </w:rPr>
        <w:t xml:space="preserve"> 2018; </w:t>
      </w:r>
      <w:r>
        <w:rPr>
          <w:rFonts w:ascii="Book Antiqua" w:hAnsi="Book Antiqua"/>
          <w:b/>
          <w:bCs/>
        </w:rPr>
        <w:t>555</w:t>
      </w:r>
      <w:r>
        <w:rPr>
          <w:rFonts w:ascii="Book Antiqua" w:hAnsi="Book Antiqua"/>
        </w:rPr>
        <w:t>: 469-474 [PMID: 29539639 DOI: 10.1038/nature26000]</w:t>
      </w:r>
    </w:p>
    <w:p>
      <w:pPr>
        <w:spacing w:line="360" w:lineRule="auto"/>
        <w:jc w:val="both"/>
        <w:rPr>
          <w:rFonts w:ascii="Book Antiqua" w:hAnsi="Book Antiqua"/>
        </w:rPr>
      </w:pPr>
      <w:r>
        <w:rPr>
          <w:rFonts w:ascii="Book Antiqua" w:hAnsi="Book Antiqua"/>
        </w:rPr>
        <w:t xml:space="preserve">29 </w:t>
      </w:r>
      <w:r>
        <w:rPr>
          <w:rFonts w:ascii="Book Antiqua" w:hAnsi="Book Antiqua"/>
          <w:b/>
          <w:bCs/>
        </w:rPr>
        <w:t>Louis DN</w:t>
      </w:r>
      <w:r>
        <w:rPr>
          <w:rFonts w:ascii="Book Antiqua" w:hAnsi="Book Antiqua"/>
        </w:rPr>
        <w:t xml:space="preserve">, Giannini C, Capper D, Paulus W, Figarella-Branger D, Lopes MB, Batchelor TT, Cairncross JG, van den Bent M, Wick W, Wesseling P. cIMPACT-NOW update 2: diagnostic clarifications for diffuse midline glioma, H3 K27M-mutant and diffuse astrocytoma/anaplastic astrocytoma, IDH-mutant. </w:t>
      </w:r>
      <w:r>
        <w:rPr>
          <w:rFonts w:ascii="Book Antiqua" w:hAnsi="Book Antiqua"/>
          <w:i/>
          <w:iCs/>
        </w:rPr>
        <w:t>Acta Neuropathol</w:t>
      </w:r>
      <w:r>
        <w:rPr>
          <w:rFonts w:ascii="Book Antiqua" w:hAnsi="Book Antiqua"/>
        </w:rPr>
        <w:t xml:space="preserve"> 2018; </w:t>
      </w:r>
      <w:r>
        <w:rPr>
          <w:rFonts w:ascii="Book Antiqua" w:hAnsi="Book Antiqua"/>
          <w:b/>
          <w:bCs/>
        </w:rPr>
        <w:t>135</w:t>
      </w:r>
      <w:r>
        <w:rPr>
          <w:rFonts w:ascii="Book Antiqua" w:hAnsi="Book Antiqua"/>
        </w:rPr>
        <w:t>: 639-642 [PMID: 29497819 DOI: 10.1007/s00401-018-1826-y]</w:t>
      </w:r>
    </w:p>
    <w:p>
      <w:pPr>
        <w:spacing w:line="360" w:lineRule="auto"/>
        <w:jc w:val="both"/>
        <w:rPr>
          <w:rFonts w:ascii="Book Antiqua" w:hAnsi="Book Antiqua"/>
        </w:rPr>
      </w:pPr>
      <w:r>
        <w:rPr>
          <w:rFonts w:ascii="Book Antiqua" w:hAnsi="Book Antiqua"/>
        </w:rPr>
        <w:t xml:space="preserve">30 </w:t>
      </w:r>
      <w:r>
        <w:rPr>
          <w:rFonts w:ascii="Book Antiqua" w:hAnsi="Book Antiqua"/>
          <w:b/>
          <w:bCs/>
        </w:rPr>
        <w:t>Hochart A</w:t>
      </w:r>
      <w:r>
        <w:rPr>
          <w:rFonts w:ascii="Book Antiqua" w:hAnsi="Book Antiqua"/>
        </w:rPr>
        <w:t xml:space="preserve">, Escande F, Rocourt N, Grill J, Koubi-Pick V, Beaujot J, Meignan S, Vinchon M, Maurage CA, Leblond P. Long survival in a child with a mutated K27M-H3.3 pilocytic astrocytoma. </w:t>
      </w:r>
      <w:r>
        <w:rPr>
          <w:rFonts w:ascii="Book Antiqua" w:hAnsi="Book Antiqua"/>
          <w:i/>
          <w:iCs/>
        </w:rPr>
        <w:t>Ann Clin Transl Neurol</w:t>
      </w:r>
      <w:r>
        <w:rPr>
          <w:rFonts w:ascii="Book Antiqua" w:hAnsi="Book Antiqua"/>
        </w:rPr>
        <w:t xml:space="preserve"> 2015; </w:t>
      </w:r>
      <w:r>
        <w:rPr>
          <w:rFonts w:ascii="Book Antiqua" w:hAnsi="Book Antiqua"/>
          <w:b/>
          <w:bCs/>
        </w:rPr>
        <w:t>2</w:t>
      </w:r>
      <w:r>
        <w:rPr>
          <w:rFonts w:ascii="Book Antiqua" w:hAnsi="Book Antiqua"/>
        </w:rPr>
        <w:t>: 439-443 [PMID: 25909089 DOI: 10.1002/acn3.184]</w:t>
      </w:r>
    </w:p>
    <w:p>
      <w:pPr>
        <w:spacing w:line="360" w:lineRule="auto"/>
        <w:jc w:val="both"/>
        <w:rPr>
          <w:rFonts w:ascii="Book Antiqua" w:hAnsi="Book Antiqua"/>
        </w:rPr>
      </w:pPr>
      <w:r>
        <w:rPr>
          <w:rFonts w:ascii="Book Antiqua" w:hAnsi="Book Antiqua"/>
        </w:rPr>
        <w:t xml:space="preserve">31 </w:t>
      </w:r>
      <w:r>
        <w:rPr>
          <w:rFonts w:ascii="Book Antiqua" w:hAnsi="Book Antiqua"/>
          <w:b/>
          <w:bCs/>
        </w:rPr>
        <w:t>Johnson A</w:t>
      </w:r>
      <w:r>
        <w:rPr>
          <w:rFonts w:ascii="Book Antiqua" w:hAnsi="Book Antiqua"/>
        </w:rPr>
        <w:t xml:space="preserve">, Severson E, Gay L, Vergilio JA, Elvin J, Suh J, Daniel S, Covert M, Frampton GM, Hsu S, Lesser GJ, Stogner-Underwood K, Mott RT, Rush SZ, Stanke JJ, Dahiya S, Sun J, Reddy P, Chalmers ZR, Erlich R, Chudnovsky Y, Fabrizio D, Schrock AB, Ali S, Miller V, Stephens PJ, Ross J, Crawford JR, Ramkissoon SH. Comprehensive Genomic Profiling of 282 Pediatric Low- and High-Grade Gliomas Reveals Genomic Drivers, Tumor Mutational Burden, and Hypermutation Signatures. </w:t>
      </w:r>
      <w:r>
        <w:rPr>
          <w:rFonts w:ascii="Book Antiqua" w:hAnsi="Book Antiqua"/>
          <w:i/>
          <w:iCs/>
        </w:rPr>
        <w:t>Oncologist</w:t>
      </w:r>
      <w:r>
        <w:rPr>
          <w:rFonts w:ascii="Book Antiqua" w:hAnsi="Book Antiqua"/>
        </w:rPr>
        <w:t xml:space="preserve"> 2017; </w:t>
      </w:r>
      <w:r>
        <w:rPr>
          <w:rFonts w:ascii="Book Antiqua" w:hAnsi="Book Antiqua"/>
          <w:b/>
          <w:bCs/>
        </w:rPr>
        <w:t>22</w:t>
      </w:r>
      <w:r>
        <w:rPr>
          <w:rFonts w:ascii="Book Antiqua" w:hAnsi="Book Antiqua"/>
        </w:rPr>
        <w:t>: 1478-1490 [PMID: 28912153 DOI: 10.1634/theoncologist.2017-0242]</w:t>
      </w:r>
    </w:p>
    <w:p>
      <w:pPr>
        <w:spacing w:line="360" w:lineRule="auto"/>
        <w:jc w:val="both"/>
        <w:rPr>
          <w:rFonts w:ascii="Book Antiqua" w:hAnsi="Book Antiqua"/>
        </w:rPr>
      </w:pPr>
      <w:r>
        <w:rPr>
          <w:rFonts w:ascii="Book Antiqua" w:hAnsi="Book Antiqua"/>
        </w:rPr>
        <w:t xml:space="preserve">32 </w:t>
      </w:r>
      <w:r>
        <w:rPr>
          <w:rFonts w:ascii="Book Antiqua" w:hAnsi="Book Antiqua"/>
          <w:b/>
          <w:bCs/>
        </w:rPr>
        <w:t>Kleinschmidt-DeMasters BK</w:t>
      </w:r>
      <w:r>
        <w:rPr>
          <w:rFonts w:ascii="Book Antiqua" w:hAnsi="Book Antiqua"/>
        </w:rPr>
        <w:t xml:space="preserve">, Donson A, Foreman NK, Dorris K. H3 K27M Mutation in Gangliogliomas can be Associated with Poor Prognosis. </w:t>
      </w:r>
      <w:r>
        <w:rPr>
          <w:rFonts w:ascii="Book Antiqua" w:hAnsi="Book Antiqua"/>
          <w:i/>
          <w:iCs/>
        </w:rPr>
        <w:t>Brain Pathol</w:t>
      </w:r>
      <w:r>
        <w:rPr>
          <w:rFonts w:ascii="Book Antiqua" w:hAnsi="Book Antiqua"/>
        </w:rPr>
        <w:t xml:space="preserve"> 2017; </w:t>
      </w:r>
      <w:r>
        <w:rPr>
          <w:rFonts w:ascii="Book Antiqua" w:hAnsi="Book Antiqua"/>
          <w:b/>
          <w:bCs/>
        </w:rPr>
        <w:t>27</w:t>
      </w:r>
      <w:r>
        <w:rPr>
          <w:rFonts w:ascii="Book Antiqua" w:hAnsi="Book Antiqua"/>
        </w:rPr>
        <w:t>: 846-850 [PMID: 28378357 DOI: 10.1111/bpa.12455]</w:t>
      </w:r>
    </w:p>
    <w:p>
      <w:pPr>
        <w:spacing w:line="360" w:lineRule="auto"/>
        <w:jc w:val="both"/>
        <w:rPr>
          <w:rFonts w:ascii="Book Antiqua" w:hAnsi="Book Antiqua"/>
        </w:rPr>
      </w:pPr>
      <w:r>
        <w:rPr>
          <w:rFonts w:ascii="Book Antiqua" w:hAnsi="Book Antiqua"/>
        </w:rPr>
        <w:t xml:space="preserve">33 </w:t>
      </w:r>
      <w:r>
        <w:rPr>
          <w:rFonts w:ascii="Book Antiqua" w:hAnsi="Book Antiqua"/>
          <w:b/>
          <w:bCs/>
        </w:rPr>
        <w:t>Zhang J</w:t>
      </w:r>
      <w:r>
        <w:rPr>
          <w:rFonts w:ascii="Book Antiqua" w:hAnsi="Book Antiqua"/>
        </w:rPr>
        <w:t xml:space="preserve">, Wu G, Miller CP, Tatevossian RG, Dalton JD, Tang B, Orisme W, Punchihewa C, Parker M, Qaddoumi I, Boop FA, Lu C, Kandoth C, Ding L, Lee R, Huether R, Chen X, Hedlund E, Nagahawatte P, Rusch M, Boggs K, Cheng J, Becksfort J, Ma J, Song G, Li Y, Wei L, Wang J, Shurtleff S, Easton J, Zhao D, Fulton RS, Fulton LL, Dooling DJ, Vadodaria B, Mulder HL, Tang C, Ochoa K, Mullighan CG, Gajjar A, Kriwacki R, Sheer D, Gilbertson RJ, Mardis ER, Wilson RK, Downing JR, Baker SJ, Ellison DW; St. Jude Children’s Research Hospital–Washington University Pediatric Cancer Genome Project. Whole-genome sequencing identifies genetic alterations in pediatric low-grade gliomas. </w:t>
      </w:r>
      <w:r>
        <w:rPr>
          <w:rFonts w:ascii="Book Antiqua" w:hAnsi="Book Antiqua"/>
          <w:i/>
          <w:iCs/>
        </w:rPr>
        <w:t>Nat Genet</w:t>
      </w:r>
      <w:r>
        <w:rPr>
          <w:rFonts w:ascii="Book Antiqua" w:hAnsi="Book Antiqua"/>
        </w:rPr>
        <w:t xml:space="preserve"> 2013; </w:t>
      </w:r>
      <w:r>
        <w:rPr>
          <w:rFonts w:ascii="Book Antiqua" w:hAnsi="Book Antiqua"/>
          <w:b/>
          <w:bCs/>
        </w:rPr>
        <w:t>45</w:t>
      </w:r>
      <w:r>
        <w:rPr>
          <w:rFonts w:ascii="Book Antiqua" w:hAnsi="Book Antiqua"/>
        </w:rPr>
        <w:t>: 602-612 [PMID: 23583981 DOI: 10.1038/ng.2611]</w:t>
      </w:r>
    </w:p>
    <w:p>
      <w:pPr>
        <w:spacing w:line="360" w:lineRule="auto"/>
        <w:jc w:val="both"/>
        <w:rPr>
          <w:rFonts w:ascii="Book Antiqua" w:hAnsi="Book Antiqua"/>
        </w:rPr>
      </w:pPr>
      <w:r>
        <w:rPr>
          <w:rFonts w:ascii="Book Antiqua" w:hAnsi="Book Antiqua"/>
        </w:rPr>
        <w:t xml:space="preserve">34 </w:t>
      </w:r>
      <w:r>
        <w:rPr>
          <w:rFonts w:ascii="Book Antiqua" w:hAnsi="Book Antiqua"/>
          <w:b/>
          <w:bCs/>
        </w:rPr>
        <w:t>Lehman NL</w:t>
      </w:r>
      <w:r>
        <w:rPr>
          <w:rFonts w:ascii="Book Antiqua" w:hAnsi="Book Antiqua"/>
        </w:rPr>
        <w:t xml:space="preserve">, Usubalieva A, Lin T, Allen SJ, Tran QT, Mobley BC, McLendon RE, Schniederjan MJ, Georgescu MM, Couce M, Dulai MS, Raisanen JM, Al Abbadi M, Palmer CA, Hattab EM, Orr BA. Genomic analysis demonstrates that histologically-defined astroblastomas are molecularly heterogeneous and that tumors with MN1 rearrangement exhibit the most favorable prognosis. </w:t>
      </w:r>
      <w:r>
        <w:rPr>
          <w:rFonts w:ascii="Book Antiqua" w:hAnsi="Book Antiqua"/>
          <w:i/>
          <w:iCs/>
        </w:rPr>
        <w:t>Acta Neuropathol Commun</w:t>
      </w:r>
      <w:r>
        <w:rPr>
          <w:rFonts w:ascii="Book Antiqua" w:hAnsi="Book Antiqua"/>
        </w:rPr>
        <w:t xml:space="preserve"> 2019; </w:t>
      </w:r>
      <w:r>
        <w:rPr>
          <w:rFonts w:ascii="Book Antiqua" w:hAnsi="Book Antiqua"/>
          <w:b/>
          <w:bCs/>
        </w:rPr>
        <w:t>7</w:t>
      </w:r>
      <w:r>
        <w:rPr>
          <w:rFonts w:ascii="Book Antiqua" w:hAnsi="Book Antiqua"/>
        </w:rPr>
        <w:t>: 42 [PMID: 30876455 DOI: 10.1186/s40478-019-0689-3]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Guerreiro Stucklin AS</w:t>
      </w:r>
      <w:r>
        <w:rPr>
          <w:rFonts w:ascii="Book Antiqua" w:hAnsi="Book Antiqua"/>
        </w:rPr>
        <w:t xml:space="preserve">, Ryall S, Fukuoka K, Zapotocky M, Lassaletta A, Li C, Bridge T, Kim B, Arnoldo A, Kowalski PE, Zhong Y, Johnson M, Li C, Ramani AK, Siddaway R, Nobre LF, de Antonellis P, Dunham C, Cheng S, Boué DR, Finlay JL, Coven SL, de Prada I, Perez-Somarriba M, Faria CC, Grotzer MA, Rushing E, Sumerauer D, Zamecnik J, Krskova L, Garcia Ariza M, Cruz O, Morales La Madrid A, Solano P, Terashima K, Nakano Y, Ichimura K, Nagane M, Sakamoto H, Gil-da-Costa MJ, Silva R, Johnston DL, Michaud J, Wilson B, van Landeghem FKH, Oviedo A, McNeely PD, Crooks B, Fried I, Zhukova N, Hansford JR, Nageswararao A, Garzia L, Shago M, Brudno M, Irwin MS, Bartels U, Ramaswamy V, Bouffet E, Taylor MD, Tabori U, Hawkins C. Alterations in ALK/ROS1/NTRK/MET drive a group of infantile hemispheric gliomas. </w:t>
      </w:r>
      <w:r>
        <w:rPr>
          <w:rFonts w:ascii="Book Antiqua" w:hAnsi="Book Antiqua"/>
          <w:i/>
          <w:iCs/>
        </w:rPr>
        <w:t>Nat Commun</w:t>
      </w:r>
      <w:r>
        <w:rPr>
          <w:rFonts w:ascii="Book Antiqua" w:hAnsi="Book Antiqua"/>
        </w:rPr>
        <w:t xml:space="preserve"> 2019; </w:t>
      </w:r>
      <w:r>
        <w:rPr>
          <w:rFonts w:ascii="Book Antiqua" w:hAnsi="Book Antiqua"/>
          <w:b/>
          <w:bCs/>
        </w:rPr>
        <w:t>10</w:t>
      </w:r>
      <w:r>
        <w:rPr>
          <w:rFonts w:ascii="Book Antiqua" w:hAnsi="Book Antiqua"/>
        </w:rPr>
        <w:t>: 4343 [PMID: 31554817 DOI: 10.1038/s41467-019-12187-5]</w:t>
      </w:r>
    </w:p>
    <w:p>
      <w:pPr>
        <w:spacing w:line="360" w:lineRule="auto"/>
        <w:jc w:val="both"/>
        <w:rPr>
          <w:rFonts w:ascii="Book Antiqua" w:hAnsi="Book Antiqua"/>
        </w:rPr>
      </w:pPr>
      <w:r>
        <w:rPr>
          <w:rFonts w:ascii="Book Antiqua" w:hAnsi="Book Antiqua"/>
        </w:rPr>
        <w:t xml:space="preserve">36 </w:t>
      </w:r>
      <w:r>
        <w:rPr>
          <w:rFonts w:ascii="Book Antiqua" w:hAnsi="Book Antiqua"/>
          <w:b/>
          <w:bCs/>
        </w:rPr>
        <w:t>Pathania M</w:t>
      </w:r>
      <w:r>
        <w:rPr>
          <w:rFonts w:ascii="Book Antiqua" w:hAnsi="Book Antiqua"/>
        </w:rPr>
        <w:t>, De Jay N, Maestro N, Harutyunyan AS, Nitarska J, Pahlavan P, Henderson S, Mikael LG, Richard-Londt A, Zhang Y, Costa JR, Hébert S, Khazaei S, Ibrahim NS, Herrero J, Riccio A, Albrecht S, Ketteler R, Brandner S, Kleinman CL, Jabado N, Salomoni P. H3.3</w:t>
      </w:r>
      <w:r>
        <w:rPr>
          <w:rFonts w:ascii="Book Antiqua" w:hAnsi="Book Antiqua"/>
          <w:vertAlign w:val="superscript"/>
        </w:rPr>
        <w:t>K27M</w:t>
      </w:r>
      <w:r>
        <w:rPr>
          <w:rFonts w:ascii="Book Antiqua" w:hAnsi="Book Antiqua"/>
        </w:rPr>
        <w:t xml:space="preserve"> Cooperates with Trp53 Loss and PDGFRA Gain in Mouse Embryonic Neural Progenitor Cells to Induce Invasive High-Grade Gliomas. </w:t>
      </w:r>
      <w:r>
        <w:rPr>
          <w:rFonts w:ascii="Book Antiqua" w:hAnsi="Book Antiqua"/>
          <w:i/>
          <w:iCs/>
        </w:rPr>
        <w:t>Cancer Cell</w:t>
      </w:r>
      <w:r>
        <w:rPr>
          <w:rFonts w:ascii="Book Antiqua" w:hAnsi="Book Antiqua"/>
        </w:rPr>
        <w:t xml:space="preserve"> 2017; </w:t>
      </w:r>
      <w:r>
        <w:rPr>
          <w:rFonts w:ascii="Book Antiqua" w:hAnsi="Book Antiqua"/>
          <w:b/>
          <w:bCs/>
        </w:rPr>
        <w:t>32</w:t>
      </w:r>
      <w:r>
        <w:rPr>
          <w:rFonts w:ascii="Book Antiqua" w:hAnsi="Book Antiqua"/>
        </w:rPr>
        <w:t>: 684-700.e9 [PMID: 29107533 DOI: 10.1016/j.ccell.2017.09.014]</w:t>
      </w:r>
    </w:p>
    <w:p>
      <w:pPr>
        <w:spacing w:line="360" w:lineRule="auto"/>
        <w:jc w:val="both"/>
        <w:rPr>
          <w:rFonts w:ascii="Book Antiqua" w:hAnsi="Book Antiqua"/>
        </w:rPr>
      </w:pPr>
      <w:r>
        <w:rPr>
          <w:rFonts w:ascii="Book Antiqua" w:hAnsi="Book Antiqua"/>
        </w:rPr>
        <w:t xml:space="preserve">37 </w:t>
      </w:r>
      <w:r>
        <w:rPr>
          <w:rFonts w:ascii="Book Antiqua" w:hAnsi="Book Antiqua"/>
          <w:b/>
          <w:bCs/>
        </w:rPr>
        <w:t>Settle SH</w:t>
      </w:r>
      <w:r>
        <w:rPr>
          <w:rFonts w:ascii="Book Antiqua" w:hAnsi="Book Antiqua"/>
        </w:rPr>
        <w:t xml:space="preserve">, Sulman EP. Tumor profiling: development of prognostic and predictive factors to guide brain tumor treatment. </w:t>
      </w:r>
      <w:r>
        <w:rPr>
          <w:rFonts w:ascii="Book Antiqua" w:hAnsi="Book Antiqua"/>
          <w:i/>
          <w:iCs/>
        </w:rPr>
        <w:t>Curr Oncol Rep</w:t>
      </w:r>
      <w:r>
        <w:rPr>
          <w:rFonts w:ascii="Book Antiqua" w:hAnsi="Book Antiqua"/>
        </w:rPr>
        <w:t xml:space="preserve"> 2011; </w:t>
      </w:r>
      <w:r>
        <w:rPr>
          <w:rFonts w:ascii="Book Antiqua" w:hAnsi="Book Antiqua"/>
          <w:b/>
          <w:bCs/>
        </w:rPr>
        <w:t>13</w:t>
      </w:r>
      <w:r>
        <w:rPr>
          <w:rFonts w:ascii="Book Antiqua" w:hAnsi="Book Antiqua"/>
        </w:rPr>
        <w:t>: 26-36 [PMID: 21082294 DOI: 10.1007/s11912-010-0138-8]</w:t>
      </w:r>
    </w:p>
    <w:p>
      <w:pPr>
        <w:spacing w:line="360" w:lineRule="auto"/>
        <w:jc w:val="both"/>
        <w:rPr>
          <w:rFonts w:ascii="Book Antiqua" w:hAnsi="Book Antiqua"/>
        </w:rPr>
      </w:pPr>
      <w:r>
        <w:rPr>
          <w:rFonts w:ascii="Book Antiqua" w:hAnsi="Book Antiqua"/>
        </w:rPr>
        <w:t xml:space="preserve">38 </w:t>
      </w:r>
      <w:r>
        <w:rPr>
          <w:rFonts w:ascii="Book Antiqua" w:hAnsi="Book Antiqua"/>
          <w:b/>
          <w:bCs/>
        </w:rPr>
        <w:t>Brown T</w:t>
      </w:r>
      <w:r>
        <w:rPr>
          <w:rFonts w:ascii="Book Antiqua" w:hAnsi="Book Antiqua"/>
        </w:rPr>
        <w:t xml:space="preserve">, Shah AH, Bregy A, Shah NH, Thambuswamy M, Barbarite E, Fuhrman T, Komotar RJ. Awake craniotomy for brain tumor resection: the rule rather than the exception? </w:t>
      </w:r>
      <w:r>
        <w:rPr>
          <w:rFonts w:ascii="Book Antiqua" w:hAnsi="Book Antiqua"/>
          <w:i/>
          <w:iCs/>
        </w:rPr>
        <w:t>J Neurosurg Anesthesiol</w:t>
      </w:r>
      <w:r>
        <w:rPr>
          <w:rFonts w:ascii="Book Antiqua" w:hAnsi="Book Antiqua"/>
        </w:rPr>
        <w:t xml:space="preserve"> 2013; </w:t>
      </w:r>
      <w:r>
        <w:rPr>
          <w:rFonts w:ascii="Book Antiqua" w:hAnsi="Book Antiqua"/>
          <w:b/>
          <w:bCs/>
        </w:rPr>
        <w:t>25</w:t>
      </w:r>
      <w:r>
        <w:rPr>
          <w:rFonts w:ascii="Book Antiqua" w:hAnsi="Book Antiqua"/>
        </w:rPr>
        <w:t>: 240-247 [PMID: 23603885 DOI: 10.1097/ANA.0b013e318290c230]</w:t>
      </w:r>
    </w:p>
    <w:p>
      <w:pPr>
        <w:spacing w:line="360" w:lineRule="auto"/>
        <w:jc w:val="both"/>
        <w:rPr>
          <w:rFonts w:ascii="Book Antiqua" w:hAnsi="Book Antiqua"/>
        </w:rPr>
      </w:pPr>
      <w:r>
        <w:rPr>
          <w:rFonts w:ascii="Book Antiqua" w:hAnsi="Book Antiqua"/>
        </w:rPr>
        <w:t xml:space="preserve">39 </w:t>
      </w:r>
      <w:r>
        <w:rPr>
          <w:rFonts w:ascii="Book Antiqua" w:hAnsi="Book Antiqua"/>
          <w:b/>
          <w:bCs/>
        </w:rPr>
        <w:t>Zhang JJY</w:t>
      </w:r>
      <w:r>
        <w:rPr>
          <w:rFonts w:ascii="Book Antiqua" w:hAnsi="Book Antiqua"/>
        </w:rPr>
        <w:t xml:space="preserve">, Lee KS, Voisin MR, Hervey-Jumper SL, Berger MS, Zadeh G. Awake craniotomy for resection of supratentorial glioblastoma: a systematic review and meta-analysis. </w:t>
      </w:r>
      <w:r>
        <w:rPr>
          <w:rFonts w:ascii="Book Antiqua" w:hAnsi="Book Antiqua"/>
          <w:i/>
          <w:iCs/>
        </w:rPr>
        <w:t>Neurooncol Adv</w:t>
      </w:r>
      <w:r>
        <w:rPr>
          <w:rFonts w:ascii="Book Antiqua" w:hAnsi="Book Antiqua"/>
        </w:rPr>
        <w:t xml:space="preserve"> 2020; </w:t>
      </w:r>
      <w:r>
        <w:rPr>
          <w:rFonts w:ascii="Book Antiqua" w:hAnsi="Book Antiqua"/>
          <w:b/>
          <w:bCs/>
        </w:rPr>
        <w:t>2</w:t>
      </w:r>
      <w:r>
        <w:rPr>
          <w:rFonts w:ascii="Book Antiqua" w:hAnsi="Book Antiqua"/>
        </w:rPr>
        <w:t>: vdaa111 [PMID: 33063012 DOI: 10.1093/noajnl/vdaa111]</w:t>
      </w:r>
    </w:p>
    <w:p>
      <w:pPr>
        <w:spacing w:line="360" w:lineRule="auto"/>
        <w:jc w:val="both"/>
        <w:rPr>
          <w:rFonts w:ascii="Book Antiqua" w:hAnsi="Book Antiqua"/>
        </w:rPr>
      </w:pPr>
      <w:r>
        <w:rPr>
          <w:rFonts w:ascii="Book Antiqua" w:hAnsi="Book Antiqua"/>
        </w:rPr>
        <w:t xml:space="preserve">40 </w:t>
      </w:r>
      <w:r>
        <w:rPr>
          <w:rFonts w:ascii="Book Antiqua" w:hAnsi="Book Antiqua"/>
          <w:b/>
          <w:bCs/>
        </w:rPr>
        <w:t>White ML</w:t>
      </w:r>
      <w:r>
        <w:rPr>
          <w:rFonts w:ascii="Book Antiqua" w:hAnsi="Book Antiqua"/>
        </w:rPr>
        <w:t xml:space="preserve">, Zhang Y, Yu F, Shonka N, Aizenberg MR, Adapa P, Kazmi SAJ. Post-operative perfusion and diffusion MR imaging and tumor progression in high-grade gliomas.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e0213905 [PMID: 30883579 DOI: 10.1371/journal.pone.0213905]</w:t>
      </w:r>
    </w:p>
    <w:p>
      <w:pPr>
        <w:spacing w:line="360" w:lineRule="auto"/>
        <w:jc w:val="both"/>
        <w:rPr>
          <w:rFonts w:ascii="Book Antiqua" w:hAnsi="Book Antiqua"/>
        </w:rPr>
      </w:pPr>
      <w:r>
        <w:rPr>
          <w:rFonts w:ascii="Book Antiqua" w:hAnsi="Book Antiqua"/>
        </w:rPr>
        <w:t xml:space="preserve">41 </w:t>
      </w:r>
      <w:r>
        <w:rPr>
          <w:rFonts w:ascii="Book Antiqua" w:hAnsi="Book Antiqua"/>
          <w:b/>
          <w:bCs/>
        </w:rPr>
        <w:t>Jakola AS</w:t>
      </w:r>
      <w:r>
        <w:rPr>
          <w:rFonts w:ascii="Book Antiqua" w:hAnsi="Book Antiqua"/>
        </w:rPr>
        <w:t xml:space="preserve">, Skjulsvik AJ, Myrmel KS, Sjåvik K, Unsgård G, Torp SH, Aaberg K, Berg T, Dai HY, Johnsen K, Kloster R, Solheim O. Surgical resection versus watchful waiting in low-grade gliomas. </w:t>
      </w:r>
      <w:r>
        <w:rPr>
          <w:rFonts w:ascii="Book Antiqua" w:hAnsi="Book Antiqua"/>
          <w:i/>
          <w:iCs/>
        </w:rPr>
        <w:t>Ann Oncol</w:t>
      </w:r>
      <w:r>
        <w:rPr>
          <w:rFonts w:ascii="Book Antiqua" w:hAnsi="Book Antiqua"/>
        </w:rPr>
        <w:t xml:space="preserve"> 2017; </w:t>
      </w:r>
      <w:r>
        <w:rPr>
          <w:rFonts w:ascii="Book Antiqua" w:hAnsi="Book Antiqua"/>
          <w:b/>
          <w:bCs/>
        </w:rPr>
        <w:t>28</w:t>
      </w:r>
      <w:r>
        <w:rPr>
          <w:rFonts w:ascii="Book Antiqua" w:hAnsi="Book Antiqua"/>
        </w:rPr>
        <w:t>: 1942-1948 [PMID: 28475680 DOI: 10.1093/annonc/mdx230]</w:t>
      </w:r>
    </w:p>
    <w:p>
      <w:pPr>
        <w:spacing w:line="360" w:lineRule="auto"/>
        <w:jc w:val="both"/>
        <w:rPr>
          <w:rFonts w:ascii="Book Antiqua" w:hAnsi="Book Antiqua"/>
        </w:rPr>
      </w:pPr>
      <w:r>
        <w:rPr>
          <w:rFonts w:ascii="Book Antiqua" w:hAnsi="Book Antiqua"/>
        </w:rPr>
        <w:t xml:space="preserve">42 </w:t>
      </w:r>
      <w:r>
        <w:rPr>
          <w:rFonts w:ascii="Book Antiqua" w:hAnsi="Book Antiqua"/>
          <w:b/>
          <w:bCs/>
        </w:rPr>
        <w:t>Zikou A</w:t>
      </w:r>
      <w:r>
        <w:rPr>
          <w:rFonts w:ascii="Book Antiqua" w:hAnsi="Book Antiqua"/>
        </w:rPr>
        <w:t xml:space="preserve">, Sioka C, Alexiou GA, Fotopoulos A, Voulgaris S, Argyropoulou MI. Radiation Necrosis, Pseudoprogression, Pseudoresponse, and Tumor Recurrence: Imaging Challenges for the Evaluation of Treated Gliomas. </w:t>
      </w:r>
      <w:r>
        <w:rPr>
          <w:rFonts w:ascii="Book Antiqua" w:hAnsi="Book Antiqua"/>
          <w:i/>
          <w:iCs/>
        </w:rPr>
        <w:t>Contrast Media Mol Imaging</w:t>
      </w:r>
      <w:r>
        <w:rPr>
          <w:rFonts w:ascii="Book Antiqua" w:hAnsi="Book Antiqua"/>
        </w:rPr>
        <w:t xml:space="preserve"> 2018; </w:t>
      </w:r>
      <w:r>
        <w:rPr>
          <w:rFonts w:ascii="Book Antiqua" w:hAnsi="Book Antiqua"/>
          <w:b/>
          <w:bCs/>
        </w:rPr>
        <w:t>2018</w:t>
      </w:r>
      <w:r>
        <w:rPr>
          <w:rFonts w:ascii="Book Antiqua" w:hAnsi="Book Antiqua"/>
        </w:rPr>
        <w:t>: 6828396 [PMID: 30627060 DOI: 10.1155/2018/6828396]</w:t>
      </w:r>
    </w:p>
    <w:p>
      <w:pPr>
        <w:spacing w:line="360" w:lineRule="auto"/>
        <w:jc w:val="both"/>
        <w:rPr>
          <w:rFonts w:ascii="Book Antiqua" w:hAnsi="Book Antiqua"/>
        </w:rPr>
      </w:pPr>
      <w:r>
        <w:rPr>
          <w:rFonts w:ascii="Book Antiqua" w:hAnsi="Book Antiqua"/>
        </w:rPr>
        <w:t xml:space="preserve">43 </w:t>
      </w:r>
      <w:r>
        <w:rPr>
          <w:rFonts w:ascii="Book Antiqua" w:hAnsi="Book Antiqua"/>
          <w:b/>
          <w:bCs/>
        </w:rPr>
        <w:t>Hau E</w:t>
      </w:r>
      <w:r>
        <w:rPr>
          <w:rFonts w:ascii="Book Antiqua" w:hAnsi="Book Antiqua"/>
        </w:rPr>
        <w:t xml:space="preserve">, Shen H, Clark C, Graham PH, Koh ES, L McDonald K. The evolving roles and controversies of radiotherapy in the treatment of glioblastoma. </w:t>
      </w:r>
      <w:r>
        <w:rPr>
          <w:rFonts w:ascii="Book Antiqua" w:hAnsi="Book Antiqua"/>
          <w:i/>
          <w:iCs/>
        </w:rPr>
        <w:t>J Med Radiat Sci</w:t>
      </w:r>
      <w:r>
        <w:rPr>
          <w:rFonts w:ascii="Book Antiqua" w:hAnsi="Book Antiqua"/>
        </w:rPr>
        <w:t xml:space="preserve"> 2016; </w:t>
      </w:r>
      <w:r>
        <w:rPr>
          <w:rFonts w:ascii="Book Antiqua" w:hAnsi="Book Antiqua"/>
          <w:b/>
          <w:bCs/>
        </w:rPr>
        <w:t>63</w:t>
      </w:r>
      <w:r>
        <w:rPr>
          <w:rFonts w:ascii="Book Antiqua" w:hAnsi="Book Antiqua"/>
        </w:rPr>
        <w:t>: 114-123 [PMID: 27350891 DOI: 10.1002/jmrs.149]</w:t>
      </w:r>
    </w:p>
    <w:p>
      <w:pPr>
        <w:spacing w:line="360" w:lineRule="auto"/>
        <w:jc w:val="both"/>
        <w:rPr>
          <w:rFonts w:ascii="Book Antiqua" w:hAnsi="Book Antiqua"/>
        </w:rPr>
      </w:pPr>
      <w:r>
        <w:rPr>
          <w:rFonts w:ascii="Book Antiqua" w:hAnsi="Book Antiqua"/>
        </w:rPr>
        <w:t xml:space="preserve">44 </w:t>
      </w:r>
      <w:r>
        <w:rPr>
          <w:rFonts w:ascii="Book Antiqua" w:hAnsi="Book Antiqua"/>
          <w:b/>
          <w:bCs/>
        </w:rPr>
        <w:t>Keime-Guibert F</w:t>
      </w:r>
      <w:r>
        <w:rPr>
          <w:rFonts w:ascii="Book Antiqua" w:hAnsi="Book Antiqua"/>
        </w:rPr>
        <w:t xml:space="preserve">, Chinot O, Taillandier L, Cartalat-Carel S, Frenay M, Kantor G, Guillamo JS, Jadaud E, Colin P, Bondiau PY, Meneï P, Loiseau H, Bernier V, Honnorat J, Barrié M, Mokhtari K, Mazeron JJ, Bissery A, Delattre JY; Association of French-Speaking Neuro-Oncologists. Radiotherapy for glioblastoma in the elderly. </w:t>
      </w:r>
      <w:r>
        <w:rPr>
          <w:rFonts w:ascii="Book Antiqua" w:hAnsi="Book Antiqua"/>
          <w:i/>
          <w:iCs/>
        </w:rPr>
        <w:t>N Engl J Med</w:t>
      </w:r>
      <w:r>
        <w:rPr>
          <w:rFonts w:ascii="Book Antiqua" w:hAnsi="Book Antiqua"/>
        </w:rPr>
        <w:t xml:space="preserve"> 2007; </w:t>
      </w:r>
      <w:r>
        <w:rPr>
          <w:rFonts w:ascii="Book Antiqua" w:hAnsi="Book Antiqua"/>
          <w:b/>
          <w:bCs/>
        </w:rPr>
        <w:t>356</w:t>
      </w:r>
      <w:r>
        <w:rPr>
          <w:rFonts w:ascii="Book Antiqua" w:hAnsi="Book Antiqua"/>
        </w:rPr>
        <w:t>: 1527-1535 [PMID: 17429084 DOI: 10.1056/NEJMoa065901]</w:t>
      </w:r>
    </w:p>
    <w:p>
      <w:pPr>
        <w:spacing w:line="360" w:lineRule="auto"/>
        <w:jc w:val="both"/>
        <w:rPr>
          <w:rFonts w:ascii="Book Antiqua" w:hAnsi="Book Antiqua"/>
        </w:rPr>
      </w:pPr>
      <w:r>
        <w:rPr>
          <w:rFonts w:ascii="Book Antiqua" w:hAnsi="Book Antiqua"/>
        </w:rPr>
        <w:t xml:space="preserve">45 </w:t>
      </w:r>
      <w:r>
        <w:rPr>
          <w:rFonts w:ascii="Book Antiqua" w:hAnsi="Book Antiqua"/>
          <w:b/>
          <w:bCs/>
        </w:rPr>
        <w:t>Choi J</w:t>
      </w:r>
      <w:r>
        <w:rPr>
          <w:rFonts w:ascii="Book Antiqua" w:hAnsi="Book Antiqua"/>
        </w:rPr>
        <w:t xml:space="preserve">, Kim G, Cho SB, Im HJ. Radiosensitizing high-Z metal nanoparticles for enhanced radiotherapy of glioblastoma multiforme. </w:t>
      </w:r>
      <w:r>
        <w:rPr>
          <w:rFonts w:ascii="Book Antiqua" w:hAnsi="Book Antiqua"/>
          <w:i/>
          <w:iCs/>
        </w:rPr>
        <w:t>J Nanobiotechnology</w:t>
      </w:r>
      <w:r>
        <w:rPr>
          <w:rFonts w:ascii="Book Antiqua" w:hAnsi="Book Antiqua"/>
        </w:rPr>
        <w:t xml:space="preserve"> 2020; </w:t>
      </w:r>
      <w:r>
        <w:rPr>
          <w:rFonts w:ascii="Book Antiqua" w:hAnsi="Book Antiqua"/>
          <w:b/>
          <w:bCs/>
        </w:rPr>
        <w:t>18</w:t>
      </w:r>
      <w:r>
        <w:rPr>
          <w:rFonts w:ascii="Book Antiqua" w:hAnsi="Book Antiqua"/>
        </w:rPr>
        <w:t>: 122 [PMID: 32883290 DOI: 10.1186/s12951-020-00684-5]</w:t>
      </w:r>
    </w:p>
    <w:p>
      <w:pPr>
        <w:spacing w:line="360" w:lineRule="auto"/>
        <w:jc w:val="both"/>
        <w:rPr>
          <w:rFonts w:ascii="Book Antiqua" w:hAnsi="Book Antiqua"/>
        </w:rPr>
      </w:pPr>
      <w:r>
        <w:rPr>
          <w:rFonts w:ascii="Book Antiqua" w:hAnsi="Book Antiqua"/>
        </w:rPr>
        <w:t xml:space="preserve">46 </w:t>
      </w:r>
      <w:r>
        <w:rPr>
          <w:rFonts w:ascii="Book Antiqua" w:hAnsi="Book Antiqua"/>
          <w:b/>
          <w:bCs/>
        </w:rPr>
        <w:t>van den Bent MJ</w:t>
      </w:r>
      <w:r>
        <w:rPr>
          <w:rFonts w:ascii="Book Antiqua" w:hAnsi="Book Antiqua"/>
        </w:rPr>
        <w:t xml:space="preserve">, Afra D, de Witte O, Ben Hassel M, Schraub S, Hoang-Xuan K, Malmström PO, Collette L, Piérart M, Mirimanoff R, Karim AB; EORTC Radiotherapy and Brain Tumor Groups and the UK Medical Research Council. Long-term efficacy of early versus delayed radiotherapy for low-grade astrocytoma and oligodendroglioma in adults: the EORTC 22845 randomised trial. </w:t>
      </w:r>
      <w:r>
        <w:rPr>
          <w:rFonts w:ascii="Book Antiqua" w:hAnsi="Book Antiqua"/>
          <w:i/>
          <w:iCs/>
        </w:rPr>
        <w:t>Lancet</w:t>
      </w:r>
      <w:r>
        <w:rPr>
          <w:rFonts w:ascii="Book Antiqua" w:hAnsi="Book Antiqua"/>
        </w:rPr>
        <w:t xml:space="preserve"> 2005; </w:t>
      </w:r>
      <w:r>
        <w:rPr>
          <w:rFonts w:ascii="Book Antiqua" w:hAnsi="Book Antiqua"/>
          <w:b/>
          <w:bCs/>
        </w:rPr>
        <w:t>366</w:t>
      </w:r>
      <w:r>
        <w:rPr>
          <w:rFonts w:ascii="Book Antiqua" w:hAnsi="Book Antiqua"/>
        </w:rPr>
        <w:t>: 985-990 [PMID: 16168780 DOI: 10.1016/S0140-6736(05)67070-5]</w:t>
      </w:r>
    </w:p>
    <w:p>
      <w:pPr>
        <w:spacing w:line="360" w:lineRule="auto"/>
        <w:jc w:val="both"/>
        <w:rPr>
          <w:rFonts w:ascii="Book Antiqua" w:hAnsi="Book Antiqua"/>
        </w:rPr>
      </w:pPr>
      <w:r>
        <w:rPr>
          <w:rFonts w:ascii="Book Antiqua" w:hAnsi="Book Antiqua"/>
        </w:rPr>
        <w:t xml:space="preserve">47 </w:t>
      </w:r>
      <w:r>
        <w:rPr>
          <w:rFonts w:ascii="Book Antiqua" w:hAnsi="Book Antiqua"/>
          <w:b/>
          <w:bCs/>
        </w:rPr>
        <w:t>Karachi A</w:t>
      </w:r>
      <w:r>
        <w:rPr>
          <w:rFonts w:ascii="Book Antiqua" w:hAnsi="Book Antiqua"/>
        </w:rPr>
        <w:t xml:space="preserve">, Dastmalchi F, Mitchell DA, Rahman M. Temozolomide for immunomodulation in the treatment of glioblastoma. </w:t>
      </w:r>
      <w:r>
        <w:rPr>
          <w:rFonts w:ascii="Book Antiqua" w:hAnsi="Book Antiqua"/>
          <w:i/>
          <w:iCs/>
        </w:rPr>
        <w:t>Neuro Oncol</w:t>
      </w:r>
      <w:r>
        <w:rPr>
          <w:rFonts w:ascii="Book Antiqua" w:hAnsi="Book Antiqua"/>
        </w:rPr>
        <w:t xml:space="preserve"> 2018; </w:t>
      </w:r>
      <w:r>
        <w:rPr>
          <w:rFonts w:ascii="Book Antiqua" w:hAnsi="Book Antiqua"/>
          <w:b/>
          <w:bCs/>
        </w:rPr>
        <w:t>20</w:t>
      </w:r>
      <w:r>
        <w:rPr>
          <w:rFonts w:ascii="Book Antiqua" w:hAnsi="Book Antiqua"/>
        </w:rPr>
        <w:t>: 1566-1572 [PMID: 29733389 DOI: 10.1093/neuonc/noy072]</w:t>
      </w:r>
    </w:p>
    <w:p>
      <w:pPr>
        <w:spacing w:line="360" w:lineRule="auto"/>
        <w:jc w:val="both"/>
        <w:rPr>
          <w:rFonts w:ascii="Book Antiqua" w:hAnsi="Book Antiqua"/>
        </w:rPr>
      </w:pPr>
      <w:r>
        <w:rPr>
          <w:rFonts w:ascii="Book Antiqua" w:hAnsi="Book Antiqua"/>
        </w:rPr>
        <w:t xml:space="preserve">48 </w:t>
      </w:r>
      <w:r>
        <w:rPr>
          <w:rFonts w:ascii="Book Antiqua" w:hAnsi="Book Antiqua"/>
          <w:b/>
          <w:bCs/>
        </w:rPr>
        <w:t>Levin VA</w:t>
      </w:r>
      <w:r>
        <w:rPr>
          <w:rFonts w:ascii="Book Antiqua" w:hAnsi="Book Antiqua"/>
        </w:rPr>
        <w:t xml:space="preserve">, Uhm JH, Jaeckle KA, Choucair A, Flynn PJ, Yung WKA, Prados MD, Bruner JM, Chang SM, Kyritsis AP, Gleason MJ, Hess KR. Phase III randomized study of postradiotherapy chemotherapy with alpha-difluoromethylornithine-procarbazine, N-(2-chloroethyl)-N'-cyclohexyl-N-nitrosurea, vincristine (DFMO-PCV) versus PCV for glioblastoma multiforme. </w:t>
      </w:r>
      <w:r>
        <w:rPr>
          <w:rFonts w:ascii="Book Antiqua" w:hAnsi="Book Antiqua"/>
          <w:i/>
          <w:iCs/>
        </w:rPr>
        <w:t>Clin Cancer Res</w:t>
      </w:r>
      <w:r>
        <w:rPr>
          <w:rFonts w:ascii="Book Antiqua" w:hAnsi="Book Antiqua"/>
        </w:rPr>
        <w:t xml:space="preserve"> 2000; </w:t>
      </w:r>
      <w:r>
        <w:rPr>
          <w:rFonts w:ascii="Book Antiqua" w:hAnsi="Book Antiqua"/>
          <w:b/>
          <w:bCs/>
        </w:rPr>
        <w:t>6</w:t>
      </w:r>
      <w:r>
        <w:rPr>
          <w:rFonts w:ascii="Book Antiqua" w:hAnsi="Book Antiqua"/>
        </w:rPr>
        <w:t>: 3878-3884 [PMID: 11051233]</w:t>
      </w:r>
    </w:p>
    <w:p>
      <w:pPr>
        <w:spacing w:line="360" w:lineRule="auto"/>
        <w:jc w:val="both"/>
        <w:rPr>
          <w:rFonts w:ascii="Book Antiqua" w:hAnsi="Book Antiqua"/>
        </w:rPr>
      </w:pPr>
      <w:r>
        <w:rPr>
          <w:rFonts w:ascii="Book Antiqua" w:hAnsi="Book Antiqua"/>
        </w:rPr>
        <w:t xml:space="preserve">49 </w:t>
      </w:r>
      <w:r>
        <w:rPr>
          <w:rFonts w:ascii="Book Antiqua" w:hAnsi="Book Antiqua"/>
          <w:b/>
          <w:bCs/>
        </w:rPr>
        <w:t>An Z</w:t>
      </w:r>
      <w:r>
        <w:rPr>
          <w:rFonts w:ascii="Book Antiqua" w:hAnsi="Book Antiqua"/>
        </w:rPr>
        <w:t xml:space="preserve">, Aksoy O, Zheng T, Fan QW, Weiss WA. Epidermal growth factor receptor and EGFRvIII in glioblastoma: signaling pathways and targeted therapies. </w:t>
      </w:r>
      <w:r>
        <w:rPr>
          <w:rFonts w:ascii="Book Antiqua" w:hAnsi="Book Antiqua"/>
          <w:i/>
          <w:iCs/>
        </w:rPr>
        <w:t>Oncogene</w:t>
      </w:r>
      <w:r>
        <w:rPr>
          <w:rFonts w:ascii="Book Antiqua" w:hAnsi="Book Antiqua"/>
        </w:rPr>
        <w:t xml:space="preserve"> 2018; </w:t>
      </w:r>
      <w:r>
        <w:rPr>
          <w:rFonts w:ascii="Book Antiqua" w:hAnsi="Book Antiqua"/>
          <w:b/>
          <w:bCs/>
        </w:rPr>
        <w:t>37</w:t>
      </w:r>
      <w:r>
        <w:rPr>
          <w:rFonts w:ascii="Book Antiqua" w:hAnsi="Book Antiqua"/>
        </w:rPr>
        <w:t>: 1561-1575 [PMID: 29321659 DOI: 10.1038/s41388-017-0045-7]</w:t>
      </w:r>
    </w:p>
    <w:p>
      <w:pPr>
        <w:spacing w:line="360" w:lineRule="auto"/>
        <w:jc w:val="both"/>
        <w:rPr>
          <w:rFonts w:ascii="Book Antiqua" w:hAnsi="Book Antiqua"/>
        </w:rPr>
      </w:pPr>
      <w:r>
        <w:rPr>
          <w:rFonts w:ascii="Book Antiqua" w:hAnsi="Book Antiqua"/>
        </w:rPr>
        <w:t xml:space="preserve">50 </w:t>
      </w:r>
      <w:r>
        <w:rPr>
          <w:rFonts w:ascii="Book Antiqua" w:hAnsi="Book Antiqua"/>
          <w:b/>
          <w:bCs/>
        </w:rPr>
        <w:t>Schiff D</w:t>
      </w:r>
      <w:r>
        <w:rPr>
          <w:rFonts w:ascii="Book Antiqua" w:hAnsi="Book Antiqua"/>
        </w:rPr>
        <w:t xml:space="preserve">, Van den Bent M, Vogelbaum MA, Wick W, Miller CR, Taphoorn M, Pope W, Brown PD, Platten M, Jalali R, Armstrong T, Wen PY. Recent developments and future directions in adult lower-grade gliomas: Society for Neuro-Oncology (SNO) and European Association of Neuro-Oncology (EANO) consensus. </w:t>
      </w:r>
      <w:r>
        <w:rPr>
          <w:rFonts w:ascii="Book Antiqua" w:hAnsi="Book Antiqua"/>
          <w:i/>
          <w:iCs/>
        </w:rPr>
        <w:t>Neuro Oncol</w:t>
      </w:r>
      <w:r>
        <w:rPr>
          <w:rFonts w:ascii="Book Antiqua" w:hAnsi="Book Antiqua"/>
        </w:rPr>
        <w:t xml:space="preserve"> 2019; </w:t>
      </w:r>
      <w:r>
        <w:rPr>
          <w:rFonts w:ascii="Book Antiqua" w:hAnsi="Book Antiqua"/>
          <w:b/>
          <w:bCs/>
        </w:rPr>
        <w:t>21</w:t>
      </w:r>
      <w:r>
        <w:rPr>
          <w:rFonts w:ascii="Book Antiqua" w:hAnsi="Book Antiqua"/>
        </w:rPr>
        <w:t>: 837-853 [PMID: 30753579 DOI: 10.1093/neuonc/noz033]</w:t>
      </w:r>
    </w:p>
    <w:p>
      <w:pPr>
        <w:spacing w:line="360" w:lineRule="auto"/>
        <w:jc w:val="both"/>
        <w:rPr>
          <w:rFonts w:ascii="Book Antiqua" w:hAnsi="Book Antiqua"/>
        </w:rPr>
      </w:pPr>
      <w:r>
        <w:rPr>
          <w:rFonts w:ascii="Book Antiqua" w:hAnsi="Book Antiqua"/>
        </w:rPr>
        <w:t xml:space="preserve">51 </w:t>
      </w:r>
      <w:r>
        <w:rPr>
          <w:rFonts w:ascii="Book Antiqua" w:hAnsi="Book Antiqua"/>
          <w:b/>
          <w:bCs/>
        </w:rPr>
        <w:t>Weller M</w:t>
      </w:r>
      <w:r>
        <w:rPr>
          <w:rFonts w:ascii="Book Antiqua" w:hAnsi="Book Antiqua"/>
        </w:rPr>
        <w:t xml:space="preserve">, van den Bent M, Tonn JC, Stupp R, Preusser M, Cohen-Jonathan-Moyal E, Henriksson R, Le Rhun E, Balana C, Chinot O, Bendszus M, Reijneveld JC, Dhermain F, French P, Marosi C, Watts C, Oberg I, Pilkington G, Baumert BG, Taphoorn MJB, Hegi M, Westphal M, Reifenberger G, Soffietti R, Wick W; European Association for Neuro-Oncology (EANO) Task Force on Gliomas. European Association for Neuro-Oncology (EANO) guideline on the diagnosis and treatment of adult astrocytic and oligodendroglial gliomas. </w:t>
      </w:r>
      <w:r>
        <w:rPr>
          <w:rFonts w:ascii="Book Antiqua" w:hAnsi="Book Antiqua"/>
          <w:i/>
          <w:iCs/>
        </w:rPr>
        <w:t>Lancet Oncol</w:t>
      </w:r>
      <w:r>
        <w:rPr>
          <w:rFonts w:ascii="Book Antiqua" w:hAnsi="Book Antiqua"/>
        </w:rPr>
        <w:t xml:space="preserve"> 2017; </w:t>
      </w:r>
      <w:r>
        <w:rPr>
          <w:rFonts w:ascii="Book Antiqua" w:hAnsi="Book Antiqua"/>
          <w:b/>
          <w:bCs/>
        </w:rPr>
        <w:t>18</w:t>
      </w:r>
      <w:r>
        <w:rPr>
          <w:rFonts w:ascii="Book Antiqua" w:hAnsi="Book Antiqua"/>
        </w:rPr>
        <w:t>: e315-e329 [PMID: 28483413 DOI: 10.1016/S1470-2045(17)30194-8]</w:t>
      </w:r>
    </w:p>
    <w:p>
      <w:pPr>
        <w:spacing w:line="360" w:lineRule="auto"/>
        <w:jc w:val="both"/>
        <w:rPr>
          <w:rFonts w:ascii="Book Antiqua" w:hAnsi="Book Antiqua"/>
        </w:rPr>
      </w:pPr>
      <w:r>
        <w:rPr>
          <w:rFonts w:ascii="Book Antiqua" w:hAnsi="Book Antiqua"/>
        </w:rPr>
        <w:t xml:space="preserve">52 </w:t>
      </w:r>
      <w:r>
        <w:rPr>
          <w:rFonts w:ascii="Book Antiqua" w:hAnsi="Book Antiqua"/>
          <w:b/>
          <w:bCs/>
        </w:rPr>
        <w:t>Wick W</w:t>
      </w:r>
      <w:r>
        <w:rPr>
          <w:rFonts w:ascii="Book Antiqua" w:hAnsi="Book Antiqua"/>
        </w:rPr>
        <w:t xml:space="preserve">, Roth P, Hartmann C, Hau P, Nakamura M, Stockhammer F, Sabel MC, Wick A, Koeppen S, Ketter R, Vajkoczy P, Eyupoglu I, Kalff R, Pietsch T, Happold C, Galldiks N, Schmidt-Graf F, Bamberg M, Reifenberger G, Platten M, von Deimling A, Meisner C, Wiestler B, Weller M; Neurooncology Working Group (NOA) of the German Cancer Society. Long-term analysis of the NOA-04 randomized phase III trial of sequential radiochemotherapy of anaplastic glioma with PCV or temozolomide. </w:t>
      </w:r>
      <w:r>
        <w:rPr>
          <w:rFonts w:ascii="Book Antiqua" w:hAnsi="Book Antiqua"/>
          <w:i/>
          <w:iCs/>
        </w:rPr>
        <w:t>Neuro Oncol</w:t>
      </w:r>
      <w:r>
        <w:rPr>
          <w:rFonts w:ascii="Book Antiqua" w:hAnsi="Book Antiqua"/>
        </w:rPr>
        <w:t xml:space="preserve"> 2016; </w:t>
      </w:r>
      <w:r>
        <w:rPr>
          <w:rFonts w:ascii="Book Antiqua" w:hAnsi="Book Antiqua"/>
          <w:b/>
          <w:bCs/>
        </w:rPr>
        <w:t>18</w:t>
      </w:r>
      <w:r>
        <w:rPr>
          <w:rFonts w:ascii="Book Antiqua" w:hAnsi="Book Antiqua"/>
        </w:rPr>
        <w:t>: 1529-1537 [PMID: 27370396 DOI: 10.1093/neuonc/now133]</w:t>
      </w:r>
    </w:p>
    <w:p>
      <w:pPr>
        <w:spacing w:line="360" w:lineRule="auto"/>
        <w:jc w:val="both"/>
        <w:rPr>
          <w:rFonts w:ascii="Book Antiqua" w:hAnsi="Book Antiqua"/>
        </w:rPr>
      </w:pPr>
      <w:r>
        <w:rPr>
          <w:rFonts w:ascii="Book Antiqua" w:hAnsi="Book Antiqua"/>
        </w:rPr>
        <w:t xml:space="preserve">53 </w:t>
      </w:r>
      <w:r>
        <w:rPr>
          <w:rFonts w:ascii="Book Antiqua" w:hAnsi="Book Antiqua"/>
          <w:b/>
          <w:bCs/>
        </w:rPr>
        <w:t>Dono A</w:t>
      </w:r>
      <w:r>
        <w:rPr>
          <w:rFonts w:ascii="Book Antiqua" w:hAnsi="Book Antiqua"/>
        </w:rPr>
        <w:t xml:space="preserve">, Ballester LY, Primdahl D, Esquenazi Y, Bhatia A. IDH-Mutant Low-grade Glioma: Advances in Molecular Diagnosis, Management, and Future Directions. </w:t>
      </w:r>
      <w:r>
        <w:rPr>
          <w:rFonts w:ascii="Book Antiqua" w:hAnsi="Book Antiqua"/>
          <w:i/>
          <w:iCs/>
        </w:rPr>
        <w:t>Curr Oncol Rep</w:t>
      </w:r>
      <w:r>
        <w:rPr>
          <w:rFonts w:ascii="Book Antiqua" w:hAnsi="Book Antiqua"/>
        </w:rPr>
        <w:t xml:space="preserve"> 2021; </w:t>
      </w:r>
      <w:r>
        <w:rPr>
          <w:rFonts w:ascii="Book Antiqua" w:hAnsi="Book Antiqua"/>
          <w:b/>
          <w:bCs/>
        </w:rPr>
        <w:t>23</w:t>
      </w:r>
      <w:r>
        <w:rPr>
          <w:rFonts w:ascii="Book Antiqua" w:hAnsi="Book Antiqua"/>
        </w:rPr>
        <w:t>: 20 [PMID: 33492489 DOI: 10.1007/s11912-020-01006-6]</w:t>
      </w:r>
    </w:p>
    <w:p>
      <w:pPr>
        <w:spacing w:line="360" w:lineRule="auto"/>
        <w:jc w:val="both"/>
        <w:rPr>
          <w:rFonts w:ascii="Book Antiqua" w:hAnsi="Book Antiqua"/>
        </w:rPr>
      </w:pPr>
      <w:r>
        <w:rPr>
          <w:rFonts w:ascii="Book Antiqua" w:hAnsi="Book Antiqua"/>
        </w:rPr>
        <w:t xml:space="preserve">54 </w:t>
      </w:r>
      <w:r>
        <w:rPr>
          <w:rFonts w:ascii="Book Antiqua" w:hAnsi="Book Antiqua"/>
          <w:b/>
          <w:bCs/>
        </w:rPr>
        <w:t>Buckner JC</w:t>
      </w:r>
      <w:r>
        <w:rPr>
          <w:rFonts w:ascii="Book Antiqua" w:hAnsi="Book Antiqua"/>
        </w:rPr>
        <w:t xml:space="preserve">, Shaw EG, Pugh SL, Chakravarti A, Gilbert MR, Barger GR, Coons S, Ricci P, Bullard D, Brown PD, Stelzer K, Brachman D, Suh JH, Schultz CJ, Bahary JP, Fisher BJ, Kim H, Murtha AD, Bell EH, Won M, Mehta MP, Curran WJ Jr. Radiation plus Procarbazine, CCNU, and Vincristine in Low-Grade Glioma. </w:t>
      </w:r>
      <w:r>
        <w:rPr>
          <w:rFonts w:ascii="Book Antiqua" w:hAnsi="Book Antiqua"/>
          <w:i/>
          <w:iCs/>
        </w:rPr>
        <w:t>N Engl J Med</w:t>
      </w:r>
      <w:r>
        <w:rPr>
          <w:rFonts w:ascii="Book Antiqua" w:hAnsi="Book Antiqua"/>
        </w:rPr>
        <w:t xml:space="preserve"> 2016; </w:t>
      </w:r>
      <w:r>
        <w:rPr>
          <w:rFonts w:ascii="Book Antiqua" w:hAnsi="Book Antiqua"/>
          <w:b/>
          <w:bCs/>
        </w:rPr>
        <w:t>374</w:t>
      </w:r>
      <w:r>
        <w:rPr>
          <w:rFonts w:ascii="Book Antiqua" w:hAnsi="Book Antiqua"/>
        </w:rPr>
        <w:t>: 1344-1355 [PMID: 27050206 DOI: 10.1056/NEJMoa1500925]</w:t>
      </w:r>
    </w:p>
    <w:p>
      <w:pPr>
        <w:spacing w:line="360" w:lineRule="auto"/>
        <w:jc w:val="both"/>
        <w:rPr>
          <w:rFonts w:ascii="Book Antiqua" w:hAnsi="Book Antiqua"/>
        </w:rPr>
      </w:pPr>
      <w:r>
        <w:rPr>
          <w:rFonts w:ascii="Book Antiqua" w:hAnsi="Book Antiqua"/>
        </w:rPr>
        <w:t xml:space="preserve">55 </w:t>
      </w:r>
      <w:r>
        <w:rPr>
          <w:rFonts w:ascii="Book Antiqua" w:hAnsi="Book Antiqua"/>
          <w:b/>
          <w:bCs/>
        </w:rPr>
        <w:t>Krivosheya D</w:t>
      </w:r>
      <w:r>
        <w:rPr>
          <w:rFonts w:ascii="Book Antiqua" w:hAnsi="Book Antiqua"/>
        </w:rPr>
        <w:t xml:space="preserve">, Prabhu SS, Weinberg JS, Sawaya R. Technical principles in glioma surgery and preoperative considerations. </w:t>
      </w:r>
      <w:r>
        <w:rPr>
          <w:rFonts w:ascii="Book Antiqua" w:hAnsi="Book Antiqua"/>
          <w:i/>
          <w:iCs/>
        </w:rPr>
        <w:t>J Neurooncol</w:t>
      </w:r>
      <w:r>
        <w:rPr>
          <w:rFonts w:ascii="Book Antiqua" w:hAnsi="Book Antiqua"/>
        </w:rPr>
        <w:t xml:space="preserve"> 2016; </w:t>
      </w:r>
      <w:r>
        <w:rPr>
          <w:rFonts w:ascii="Book Antiqua" w:hAnsi="Book Antiqua"/>
          <w:b/>
          <w:bCs/>
        </w:rPr>
        <w:t>130</w:t>
      </w:r>
      <w:r>
        <w:rPr>
          <w:rFonts w:ascii="Book Antiqua" w:hAnsi="Book Antiqua"/>
        </w:rPr>
        <w:t>: 243-252 [PMID: 27317446 DOI: 10.1007/s11060-016-2171-4]</w:t>
      </w:r>
    </w:p>
    <w:p>
      <w:pPr>
        <w:spacing w:line="360" w:lineRule="auto"/>
        <w:jc w:val="both"/>
        <w:rPr>
          <w:rFonts w:ascii="Book Antiqua" w:hAnsi="Book Antiqua"/>
        </w:rPr>
      </w:pPr>
      <w:r>
        <w:rPr>
          <w:rFonts w:ascii="Book Antiqua" w:hAnsi="Book Antiqua"/>
        </w:rPr>
        <w:t xml:space="preserve">56 </w:t>
      </w:r>
      <w:r>
        <w:rPr>
          <w:rFonts w:ascii="Book Antiqua" w:hAnsi="Book Antiqua"/>
          <w:b/>
          <w:bCs/>
        </w:rPr>
        <w:t>van den Bent M,</w:t>
      </w:r>
      <w:r>
        <w:rPr>
          <w:rFonts w:ascii="Book Antiqua" w:hAnsi="Book Antiqua"/>
        </w:rPr>
        <w:t xml:space="preserve"> Erridge S, Vogelbaum M, Nowak A, Sanson M, Brandes A, Wick W, Clement P, Baurain JF, Mason W, Wheeler H, Weller M, aldape K, Wesseling P, Kros J, Tesileanu M, Golfinopoulos V, Gorlia T, Baumert B, French P. ACTR-11. Second interim and 1st molecular analysis of the eortc randomized phase iii intergroup catnon trial on concurrent and adjuvant temozolomide in anaplastic glioma without 1p/19q codeletion. </w:t>
      </w:r>
      <w:r>
        <w:rPr>
          <w:rFonts w:ascii="Book Antiqua" w:hAnsi="Book Antiqua"/>
          <w:i/>
        </w:rPr>
        <w:t>Neuro Oncol</w:t>
      </w:r>
      <w:r>
        <w:rPr>
          <w:rFonts w:ascii="Book Antiqua" w:hAnsi="Book Antiqua"/>
        </w:rPr>
        <w:t xml:space="preserve"> 2019; </w:t>
      </w:r>
      <w:r>
        <w:rPr>
          <w:rFonts w:ascii="Book Antiqua" w:hAnsi="Book Antiqua"/>
          <w:b/>
        </w:rPr>
        <w:t xml:space="preserve">21: </w:t>
      </w:r>
      <w:r>
        <w:rPr>
          <w:rFonts w:ascii="Book Antiqua" w:hAnsi="Book Antiqua"/>
        </w:rPr>
        <w:t>vi14 [DOI: 10.1093/neuonc/noz175.054]</w:t>
      </w:r>
    </w:p>
    <w:p>
      <w:pPr>
        <w:spacing w:line="360" w:lineRule="auto"/>
        <w:jc w:val="both"/>
        <w:rPr>
          <w:rFonts w:ascii="Book Antiqua" w:hAnsi="Book Antiqua"/>
        </w:rPr>
      </w:pPr>
      <w:r>
        <w:rPr>
          <w:rFonts w:ascii="Book Antiqua" w:hAnsi="Book Antiqua"/>
        </w:rPr>
        <w:t xml:space="preserve">57 </w:t>
      </w:r>
      <w:r>
        <w:rPr>
          <w:rFonts w:ascii="Book Antiqua" w:hAnsi="Book Antiqua"/>
          <w:b/>
          <w:bCs/>
        </w:rPr>
        <w:t>Galbraith K</w:t>
      </w:r>
      <w:r>
        <w:rPr>
          <w:rFonts w:ascii="Book Antiqua" w:hAnsi="Book Antiqua"/>
        </w:rPr>
        <w:t xml:space="preserve">, Kumar A, Abdullah KG, Walker JM, Adams SH, Prior T, Dimentberg R, Henderson FC, Mirchia K, Sathe AA, Viapiano MS, Chin LS, Corona RJ, Hatanpaa KJ, Snuderl M, Xing C, Brem S, Richardson TE. Molecular Correlates of Long Survival in IDH-Wildtype Glioblastoma Cohorts. </w:t>
      </w:r>
      <w:r>
        <w:rPr>
          <w:rFonts w:ascii="Book Antiqua" w:hAnsi="Book Antiqua"/>
          <w:i/>
          <w:iCs/>
        </w:rPr>
        <w:t>J Neuropathol Exp Neurol</w:t>
      </w:r>
      <w:r>
        <w:rPr>
          <w:rFonts w:ascii="Book Antiqua" w:hAnsi="Book Antiqua"/>
        </w:rPr>
        <w:t xml:space="preserve"> 2020; </w:t>
      </w:r>
      <w:r>
        <w:rPr>
          <w:rFonts w:ascii="Book Antiqua" w:hAnsi="Book Antiqua"/>
          <w:b/>
          <w:bCs/>
        </w:rPr>
        <w:t>79</w:t>
      </w:r>
      <w:r>
        <w:rPr>
          <w:rFonts w:ascii="Book Antiqua" w:hAnsi="Book Antiqua"/>
        </w:rPr>
        <w:t>: 843-854 [PMID: 32647886 DOI: 10.1093/jnen/nlaa059]</w:t>
      </w:r>
    </w:p>
    <w:p>
      <w:pPr>
        <w:spacing w:line="360" w:lineRule="auto"/>
        <w:jc w:val="both"/>
        <w:rPr>
          <w:rFonts w:ascii="Book Antiqua" w:hAnsi="Book Antiqua"/>
        </w:rPr>
      </w:pPr>
      <w:r>
        <w:rPr>
          <w:rFonts w:ascii="Book Antiqua" w:hAnsi="Book Antiqua"/>
        </w:rPr>
        <w:t xml:space="preserve">58 </w:t>
      </w:r>
      <w:r>
        <w:rPr>
          <w:rFonts w:ascii="Book Antiqua" w:hAnsi="Book Antiqua"/>
          <w:b/>
          <w:bCs/>
        </w:rPr>
        <w:t>Tan AC</w:t>
      </w:r>
      <w:r>
        <w:rPr>
          <w:rFonts w:ascii="Book Antiqua" w:hAnsi="Book Antiqua"/>
        </w:rPr>
        <w:t xml:space="preserve">, Ashley DM, López GY, Malinzak M, Friedman HS, Khasraw M. Management of glioblastoma: State of the art and future directions. </w:t>
      </w:r>
      <w:r>
        <w:rPr>
          <w:rFonts w:ascii="Book Antiqua" w:hAnsi="Book Antiqua"/>
          <w:i/>
          <w:iCs/>
        </w:rPr>
        <w:t>CA Cancer J Clin</w:t>
      </w:r>
      <w:r>
        <w:rPr>
          <w:rFonts w:ascii="Book Antiqua" w:hAnsi="Book Antiqua"/>
        </w:rPr>
        <w:t xml:space="preserve"> 2020; </w:t>
      </w:r>
      <w:r>
        <w:rPr>
          <w:rFonts w:ascii="Book Antiqua" w:hAnsi="Book Antiqua"/>
          <w:b/>
          <w:bCs/>
        </w:rPr>
        <w:t>70</w:t>
      </w:r>
      <w:r>
        <w:rPr>
          <w:rFonts w:ascii="Book Antiqua" w:hAnsi="Book Antiqua"/>
        </w:rPr>
        <w:t>: 299-312 [PMID: 32478924 DOI: 10.3322/caac.21613]</w:t>
      </w:r>
    </w:p>
    <w:p>
      <w:pPr>
        <w:spacing w:line="360" w:lineRule="auto"/>
        <w:jc w:val="both"/>
        <w:rPr>
          <w:rFonts w:ascii="Book Antiqua" w:hAnsi="Book Antiqua"/>
        </w:rPr>
      </w:pPr>
      <w:r>
        <w:rPr>
          <w:rFonts w:ascii="Book Antiqua" w:hAnsi="Book Antiqua"/>
        </w:rPr>
        <w:t xml:space="preserve">59 </w:t>
      </w:r>
      <w:r>
        <w:rPr>
          <w:rFonts w:ascii="Book Antiqua" w:hAnsi="Book Antiqua"/>
          <w:b/>
          <w:bCs/>
        </w:rPr>
        <w:t>Kosti A</w:t>
      </w:r>
      <w:r>
        <w:rPr>
          <w:rFonts w:ascii="Book Antiqua" w:hAnsi="Book Antiqua"/>
        </w:rPr>
        <w:t xml:space="preserve">, de Araujo PR, Li WQ, Guardia GDA, Chiou J, Yi C, Ray D, Meliso F, Li YM, Delambre T, Qiao M, Burns SS, Lorbeer FK, Georgi F, Flosbach M, Klinnert S, Jenseit A, Lei X, Sandoval CR, Ha K, Zheng H, Pandey R, Gruslova A, Gupta YK, Brenner A, Kokovay E, Hughes TR, Morris QD, Galante PAF, Tiziani S, Penalva LOF. The RNA-binding protein SERBP1 functions as a novel oncogenic factor in glioblastoma by bridging cancer metabolism and epigenetic regulation. </w:t>
      </w:r>
      <w:r>
        <w:rPr>
          <w:rFonts w:ascii="Book Antiqua" w:hAnsi="Book Antiqua"/>
          <w:i/>
          <w:iCs/>
        </w:rPr>
        <w:t>Genome Biol</w:t>
      </w:r>
      <w:r>
        <w:rPr>
          <w:rFonts w:ascii="Book Antiqua" w:hAnsi="Book Antiqua"/>
        </w:rPr>
        <w:t xml:space="preserve"> 2020; </w:t>
      </w:r>
      <w:r>
        <w:rPr>
          <w:rFonts w:ascii="Book Antiqua" w:hAnsi="Book Antiqua"/>
          <w:b/>
          <w:bCs/>
        </w:rPr>
        <w:t>21</w:t>
      </w:r>
      <w:r>
        <w:rPr>
          <w:rFonts w:ascii="Book Antiqua" w:hAnsi="Book Antiqua"/>
        </w:rPr>
        <w:t>: 195 [PMID: 32762776 DOI: 10.1186/s13059-020-02115-y]</w:t>
      </w:r>
    </w:p>
    <w:p>
      <w:pPr>
        <w:spacing w:line="360" w:lineRule="auto"/>
        <w:jc w:val="both"/>
        <w:rPr>
          <w:rFonts w:ascii="Book Antiqua" w:hAnsi="Book Antiqua"/>
        </w:rPr>
      </w:pPr>
      <w:r>
        <w:rPr>
          <w:rFonts w:ascii="Book Antiqua" w:hAnsi="Book Antiqua"/>
        </w:rPr>
        <w:t xml:space="preserve">60 </w:t>
      </w:r>
      <w:r>
        <w:rPr>
          <w:rFonts w:ascii="Book Antiqua" w:hAnsi="Book Antiqua"/>
          <w:b/>
          <w:bCs/>
        </w:rPr>
        <w:t>Erel-Akbaba G</w:t>
      </w:r>
      <w:r>
        <w:rPr>
          <w:rFonts w:ascii="Book Antiqua" w:hAnsi="Book Antiqua"/>
        </w:rPr>
        <w:t xml:space="preserve">, Carvalho LA, Tian T, Zinter M, Akbaba H, Obeid PJ, Chiocca EA, Weissleder R, Kantarci AG, Tannous BA. Radiation-Induced Targeted Nanoparticle-Based Gene Delivery for Brain Tumor Therapy. </w:t>
      </w:r>
      <w:r>
        <w:rPr>
          <w:rFonts w:ascii="Book Antiqua" w:hAnsi="Book Antiqua"/>
          <w:i/>
          <w:iCs/>
        </w:rPr>
        <w:t>ACS Nano</w:t>
      </w:r>
      <w:r>
        <w:rPr>
          <w:rFonts w:ascii="Book Antiqua" w:hAnsi="Book Antiqua"/>
        </w:rPr>
        <w:t xml:space="preserve"> 2019; </w:t>
      </w:r>
      <w:r>
        <w:rPr>
          <w:rFonts w:ascii="Book Antiqua" w:hAnsi="Book Antiqua"/>
          <w:b/>
          <w:bCs/>
        </w:rPr>
        <w:t>13</w:t>
      </w:r>
      <w:r>
        <w:rPr>
          <w:rFonts w:ascii="Book Antiqua" w:hAnsi="Book Antiqua"/>
        </w:rPr>
        <w:t>: 4028-4040 [PMID: 30916923 DOI: 10.1021/acsnano.8b08177]</w:t>
      </w:r>
    </w:p>
    <w:p>
      <w:pPr>
        <w:spacing w:line="360" w:lineRule="auto"/>
        <w:jc w:val="both"/>
        <w:rPr>
          <w:rFonts w:ascii="Book Antiqua" w:hAnsi="Book Antiqua"/>
        </w:rPr>
      </w:pPr>
      <w:r>
        <w:rPr>
          <w:rFonts w:ascii="Book Antiqua" w:hAnsi="Book Antiqua"/>
        </w:rPr>
        <w:t xml:space="preserve">61 </w:t>
      </w:r>
      <w:r>
        <w:rPr>
          <w:rFonts w:ascii="Book Antiqua" w:hAnsi="Book Antiqua"/>
          <w:b/>
          <w:bCs/>
        </w:rPr>
        <w:t>Byron SA</w:t>
      </w:r>
      <w:r>
        <w:rPr>
          <w:rFonts w:ascii="Book Antiqua" w:hAnsi="Book Antiqua"/>
        </w:rPr>
        <w:t xml:space="preserve">, Tran NL, Halperin RF, Phillips JJ, Kuhn JG, de Groot JF, Colman H, Ligon KL, Wen PY, Cloughesy TF, Mellinghoff IK, Butowski NA, Taylor JW, Clarke JL, Chang SM, Berger MS, Molinaro AM, Maggiora GM, Peng S, Nasser S, Liang WS, Trent JM, Berens ME, Carpten JD, Craig DW, Prados MD. Prospective Feasibility Trial for Genomics-Informed Treatment in Recurrent and Progressive Glioblastoma. </w:t>
      </w:r>
      <w:r>
        <w:rPr>
          <w:rFonts w:ascii="Book Antiqua" w:hAnsi="Book Antiqua"/>
          <w:i/>
          <w:iCs/>
        </w:rPr>
        <w:t>Clin Cancer Res</w:t>
      </w:r>
      <w:r>
        <w:rPr>
          <w:rFonts w:ascii="Book Antiqua" w:hAnsi="Book Antiqua"/>
        </w:rPr>
        <w:t xml:space="preserve"> 2018; </w:t>
      </w:r>
      <w:r>
        <w:rPr>
          <w:rFonts w:ascii="Book Antiqua" w:hAnsi="Book Antiqua"/>
          <w:b/>
          <w:bCs/>
        </w:rPr>
        <w:t>24</w:t>
      </w:r>
      <w:r>
        <w:rPr>
          <w:rFonts w:ascii="Book Antiqua" w:hAnsi="Book Antiqua"/>
        </w:rPr>
        <w:t>: 295-305 [PMID: 29074604 DOI: 10.1158/1078-0432.CCR-17-0963]</w:t>
      </w:r>
    </w:p>
    <w:p>
      <w:pPr>
        <w:spacing w:line="360" w:lineRule="auto"/>
        <w:jc w:val="both"/>
        <w:rPr>
          <w:rFonts w:ascii="Book Antiqua" w:hAnsi="Book Antiqua"/>
        </w:rPr>
      </w:pPr>
      <w:r>
        <w:rPr>
          <w:rFonts w:ascii="Book Antiqua" w:hAnsi="Book Antiqua"/>
        </w:rPr>
        <w:t xml:space="preserve">62 </w:t>
      </w:r>
      <w:r>
        <w:rPr>
          <w:rFonts w:ascii="Book Antiqua" w:hAnsi="Book Antiqua"/>
          <w:b/>
          <w:bCs/>
        </w:rPr>
        <w:t>Suchorska B</w:t>
      </w:r>
      <w:r>
        <w:rPr>
          <w:rFonts w:ascii="Book Antiqua" w:hAnsi="Book Antiqua"/>
        </w:rPr>
        <w:t xml:space="preserve">, Weller M, Tabatabai G, Senft C, Hau P, Sabel MC, Herrlinger U, Ketter R, Schlegel U, Marosi C, Reifenberger G, Wick W, Tonn JC, Wirsching HG. Complete resection of contrast-enhancing tumor volume is associated with improved survival in recurrent glioblastoma-results from the DIRECTOR trial. </w:t>
      </w:r>
      <w:r>
        <w:rPr>
          <w:rFonts w:ascii="Book Antiqua" w:hAnsi="Book Antiqua"/>
          <w:i/>
          <w:iCs/>
        </w:rPr>
        <w:t>Neuro Oncol</w:t>
      </w:r>
      <w:r>
        <w:rPr>
          <w:rFonts w:ascii="Book Antiqua" w:hAnsi="Book Antiqua"/>
        </w:rPr>
        <w:t xml:space="preserve"> 2016; </w:t>
      </w:r>
      <w:r>
        <w:rPr>
          <w:rFonts w:ascii="Book Antiqua" w:hAnsi="Book Antiqua"/>
          <w:b/>
          <w:bCs/>
        </w:rPr>
        <w:t>18</w:t>
      </w:r>
      <w:r>
        <w:rPr>
          <w:rFonts w:ascii="Book Antiqua" w:hAnsi="Book Antiqua"/>
        </w:rPr>
        <w:t>: 549-556 [PMID: 26823503 DOI: 10.1093/neuonc/nov326]</w:t>
      </w:r>
    </w:p>
    <w:p>
      <w:pPr>
        <w:spacing w:line="360" w:lineRule="auto"/>
        <w:jc w:val="both"/>
        <w:rPr>
          <w:rFonts w:ascii="Book Antiqua" w:hAnsi="Book Antiqua"/>
        </w:rPr>
      </w:pPr>
      <w:r>
        <w:rPr>
          <w:rFonts w:ascii="Book Antiqua" w:hAnsi="Book Antiqua"/>
        </w:rPr>
        <w:t xml:space="preserve">63 </w:t>
      </w:r>
      <w:r>
        <w:rPr>
          <w:rFonts w:ascii="Book Antiqua" w:hAnsi="Book Antiqua"/>
          <w:b/>
          <w:bCs/>
        </w:rPr>
        <w:t>Nikolaev A</w:t>
      </w:r>
      <w:r>
        <w:rPr>
          <w:rFonts w:ascii="Book Antiqua" w:hAnsi="Book Antiqua"/>
        </w:rPr>
        <w:t xml:space="preserve">, Fiveash JB, Yang ES. Combined Targeting of Mutant p53 and Jumonji Family Histone Demethylase Augments Therapeutic Efficacy of Radiation in H3K27M DIPG.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31940975 DOI: 10.3390/ijms21020490]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All the a</w:t>
      </w:r>
      <w:r>
        <w:rPr>
          <w:rFonts w:ascii="Book Antiqua" w:hAnsi="Book Antiqua" w:eastAsia="Book Antiqua" w:cs="Book Antiqua"/>
          <w:color w:val="000000"/>
        </w:rPr>
        <w:t>uthors declare no conflict of interests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19,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Saudi Arabia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Kotelevets SM, Russia; Liu Z, China; Mijwil MM, Iraq</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color w:val="000000"/>
        </w:rPr>
      </w:pPr>
      <w:bookmarkStart w:id="2" w:name="_GoBack"/>
      <w:r>
        <w:rPr>
          <w:rFonts w:ascii="Book Antiqua" w:hAnsi="Book Antiqua" w:eastAsia="Book Antiqua" w:cs="Book Antiqua"/>
          <w:color w:val="000000"/>
        </w:rPr>
        <w:drawing>
          <wp:inline distT="0" distB="0" distL="114300" distR="114300">
            <wp:extent cx="5940425" cy="3469005"/>
            <wp:effectExtent l="0" t="0" r="3175" b="5715"/>
            <wp:docPr id="2" name="图片 2" descr="WJCO-13-56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O-13-567-g001"/>
                    <pic:cNvPicPr>
                      <a:picLocks noChangeAspect="1"/>
                    </pic:cNvPicPr>
                  </pic:nvPicPr>
                  <pic:blipFill>
                    <a:blip r:embed="rId5"/>
                    <a:stretch>
                      <a:fillRect/>
                    </a:stretch>
                  </pic:blipFill>
                  <pic:spPr>
                    <a:xfrm>
                      <a:off x="0" y="0"/>
                      <a:ext cx="5940425" cy="3469005"/>
                    </a:xfrm>
                    <a:prstGeom prst="rect">
                      <a:avLst/>
                    </a:prstGeom>
                  </pic:spPr>
                </pic:pic>
              </a:graphicData>
            </a:graphic>
          </wp:inline>
        </w:drawing>
      </w:r>
      <w:bookmarkEnd w:id="2"/>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Figure 1 A simple consensus approach to diagnose diffuse central nervous system gliomas using immunohistochemistry and molecular profiling, aided with the treatment strategy.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1" w:name="OLE_LINK5"/>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1"/>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312820"/>
      <w:docPartObj>
        <w:docPartGallery w:val="autotext"/>
      </w:docPartObj>
    </w:sdtPr>
    <w:sdtEndPr>
      <w:rPr>
        <w:rFonts w:ascii="Book Antiqua" w:hAnsi="Book Antiqua"/>
        <w:sz w:val="24"/>
        <w:szCs w:val="24"/>
      </w:rPr>
    </w:sdtEndPr>
    <w:sdtContent>
      <w:sdt>
        <w:sdtPr>
          <w:id w:val="1161810175"/>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BAF"/>
    <w:rsid w:val="00031A85"/>
    <w:rsid w:val="00031C02"/>
    <w:rsid w:val="000371B0"/>
    <w:rsid w:val="000447A0"/>
    <w:rsid w:val="00074AE4"/>
    <w:rsid w:val="000D064B"/>
    <w:rsid w:val="001755D2"/>
    <w:rsid w:val="0018563C"/>
    <w:rsid w:val="001A5D4F"/>
    <w:rsid w:val="001C0232"/>
    <w:rsid w:val="001D698E"/>
    <w:rsid w:val="001E2257"/>
    <w:rsid w:val="0021778E"/>
    <w:rsid w:val="002C332C"/>
    <w:rsid w:val="002F45FD"/>
    <w:rsid w:val="0036130E"/>
    <w:rsid w:val="003623EF"/>
    <w:rsid w:val="00384C59"/>
    <w:rsid w:val="00387B6E"/>
    <w:rsid w:val="003C3EDD"/>
    <w:rsid w:val="003C5139"/>
    <w:rsid w:val="003E6E16"/>
    <w:rsid w:val="00407C35"/>
    <w:rsid w:val="0042466C"/>
    <w:rsid w:val="004334BA"/>
    <w:rsid w:val="00481A61"/>
    <w:rsid w:val="0048423D"/>
    <w:rsid w:val="004876C8"/>
    <w:rsid w:val="00487FE6"/>
    <w:rsid w:val="004B7A7A"/>
    <w:rsid w:val="00557632"/>
    <w:rsid w:val="005B4269"/>
    <w:rsid w:val="005C415A"/>
    <w:rsid w:val="005C6536"/>
    <w:rsid w:val="005D1D05"/>
    <w:rsid w:val="005D4567"/>
    <w:rsid w:val="005E52DB"/>
    <w:rsid w:val="005F6A3B"/>
    <w:rsid w:val="005F6C12"/>
    <w:rsid w:val="00631BAF"/>
    <w:rsid w:val="00654C86"/>
    <w:rsid w:val="00662417"/>
    <w:rsid w:val="00662E69"/>
    <w:rsid w:val="00662EDE"/>
    <w:rsid w:val="0067651B"/>
    <w:rsid w:val="00694C4F"/>
    <w:rsid w:val="006C658D"/>
    <w:rsid w:val="006F7016"/>
    <w:rsid w:val="00771C6F"/>
    <w:rsid w:val="007B09AA"/>
    <w:rsid w:val="007B40AC"/>
    <w:rsid w:val="007C0FC8"/>
    <w:rsid w:val="007C17A1"/>
    <w:rsid w:val="00801191"/>
    <w:rsid w:val="00810E6D"/>
    <w:rsid w:val="00833CD0"/>
    <w:rsid w:val="00855EEF"/>
    <w:rsid w:val="008762A7"/>
    <w:rsid w:val="008776C8"/>
    <w:rsid w:val="008A03E5"/>
    <w:rsid w:val="008B4FAE"/>
    <w:rsid w:val="008B5214"/>
    <w:rsid w:val="008C0BC6"/>
    <w:rsid w:val="008F4428"/>
    <w:rsid w:val="009A1868"/>
    <w:rsid w:val="009B0746"/>
    <w:rsid w:val="00A53A4E"/>
    <w:rsid w:val="00A77B3E"/>
    <w:rsid w:val="00A90B44"/>
    <w:rsid w:val="00A975C8"/>
    <w:rsid w:val="00AA67B1"/>
    <w:rsid w:val="00AA79E2"/>
    <w:rsid w:val="00AE0F9C"/>
    <w:rsid w:val="00B05F34"/>
    <w:rsid w:val="00B137A4"/>
    <w:rsid w:val="00B3410B"/>
    <w:rsid w:val="00B4242B"/>
    <w:rsid w:val="00B52D8C"/>
    <w:rsid w:val="00B85AC9"/>
    <w:rsid w:val="00BC101B"/>
    <w:rsid w:val="00BD68BC"/>
    <w:rsid w:val="00BE466C"/>
    <w:rsid w:val="00BF1BE4"/>
    <w:rsid w:val="00C63B60"/>
    <w:rsid w:val="00C64CE8"/>
    <w:rsid w:val="00C87207"/>
    <w:rsid w:val="00CA2A55"/>
    <w:rsid w:val="00CC510A"/>
    <w:rsid w:val="00CE3C2C"/>
    <w:rsid w:val="00CF5EF9"/>
    <w:rsid w:val="00CF6A8F"/>
    <w:rsid w:val="00D022CC"/>
    <w:rsid w:val="00D22F9F"/>
    <w:rsid w:val="00D2413C"/>
    <w:rsid w:val="00DE4BC9"/>
    <w:rsid w:val="00E04DDF"/>
    <w:rsid w:val="00E27DCB"/>
    <w:rsid w:val="00EA0CE9"/>
    <w:rsid w:val="00EF25CF"/>
    <w:rsid w:val="00F06908"/>
    <w:rsid w:val="00F06E30"/>
    <w:rsid w:val="00F128B4"/>
    <w:rsid w:val="00F20B1D"/>
    <w:rsid w:val="00F43DBC"/>
    <w:rsid w:val="00FA22E5"/>
    <w:rsid w:val="066A56DF"/>
    <w:rsid w:val="5A0A2A41"/>
    <w:rsid w:val="5FC53665"/>
    <w:rsid w:val="6EC33F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style>
  <w:style w:type="paragraph" w:styleId="3">
    <w:name w:val="Balloon Text"/>
    <w:basedOn w:val="1"/>
    <w:link w:val="13"/>
    <w:semiHidden/>
    <w:unhideWhenUsed/>
    <w:qFormat/>
    <w:uiPriority w:val="0"/>
    <w:rPr>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0"/>
    <w:rPr>
      <w:b/>
      <w:bCs/>
    </w:rPr>
  </w:style>
  <w:style w:type="character" w:styleId="9">
    <w:name w:val="Emphasis"/>
    <w:qFormat/>
    <w:uiPriority w:val="20"/>
    <w:rPr>
      <w:i/>
      <w:iCs/>
    </w:rPr>
  </w:style>
  <w:style w:type="character" w:styleId="10">
    <w:name w:val="annotation reference"/>
    <w:basedOn w:val="8"/>
    <w:semiHidden/>
    <w:unhideWhenUsed/>
    <w:qFormat/>
    <w:uiPriority w:val="0"/>
    <w:rPr>
      <w:sz w:val="21"/>
      <w:szCs w:val="21"/>
    </w:rPr>
  </w:style>
  <w:style w:type="character" w:customStyle="1" w:styleId="11">
    <w:name w:val="批注文字 字符"/>
    <w:basedOn w:val="8"/>
    <w:link w:val="2"/>
    <w:semiHidden/>
    <w:qFormat/>
    <w:uiPriority w:val="0"/>
    <w:rPr>
      <w:sz w:val="24"/>
      <w:szCs w:val="24"/>
    </w:rPr>
  </w:style>
  <w:style w:type="character" w:customStyle="1" w:styleId="12">
    <w:name w:val="批注主题 字符"/>
    <w:basedOn w:val="11"/>
    <w:link w:val="6"/>
    <w:semiHidden/>
    <w:qFormat/>
    <w:uiPriority w:val="0"/>
    <w:rPr>
      <w:b/>
      <w:bCs/>
      <w:sz w:val="24"/>
      <w:szCs w:val="24"/>
    </w:rPr>
  </w:style>
  <w:style w:type="character" w:customStyle="1" w:styleId="13">
    <w:name w:val="批注框文本 字符"/>
    <w:basedOn w:val="8"/>
    <w:link w:val="3"/>
    <w:semiHidden/>
    <w:qFormat/>
    <w:uiPriority w:val="0"/>
    <w:rPr>
      <w:sz w:val="18"/>
      <w:szCs w:val="18"/>
    </w:rPr>
  </w:style>
  <w:style w:type="character" w:customStyle="1" w:styleId="14">
    <w:name w:val="apple-converted-space"/>
    <w:qFormat/>
    <w:uiPriority w:val="0"/>
  </w:style>
  <w:style w:type="character" w:customStyle="1" w:styleId="15">
    <w:name w:val="页眉 字符"/>
    <w:basedOn w:val="8"/>
    <w:link w:val="5"/>
    <w:qFormat/>
    <w:uiPriority w:val="0"/>
    <w:rPr>
      <w:sz w:val="18"/>
      <w:szCs w:val="18"/>
    </w:rPr>
  </w:style>
  <w:style w:type="character" w:customStyle="1" w:styleId="16">
    <w:name w:val="页脚 字符"/>
    <w:basedOn w:val="8"/>
    <w:link w:val="4"/>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6815</Words>
  <Characters>38848</Characters>
  <Lines>323</Lines>
  <Paragraphs>91</Paragraphs>
  <TotalTime>2</TotalTime>
  <ScaleCrop>false</ScaleCrop>
  <LinksUpToDate>false</LinksUpToDate>
  <CharactersWithSpaces>45572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2022-06-21T23:26:00Z</dcterms:created>
  <dc:creator>Lian-Sheng Ma</dc:creator>
  <cp:lastModifiedBy>千</cp:lastModifiedBy>
  <dcterms:modified xsi:type="dcterms:W3CDTF">2022-07-22T00:15:01Z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D19BCDB802DF4ADDBD084CB136F08AF5</vt:lpwstr>
  </property>
</Properties>
</file>