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74FF" w14:textId="48D91AC2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Name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of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Journal: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color w:val="000000"/>
        </w:rPr>
        <w:t>World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color w:val="000000"/>
        </w:rPr>
        <w:t>Journal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color w:val="000000"/>
        </w:rPr>
        <w:t>of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color w:val="000000"/>
        </w:rPr>
        <w:t>Clinical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color w:val="000000"/>
        </w:rPr>
        <w:t>Cases</w:t>
      </w:r>
    </w:p>
    <w:p w14:paraId="5B89256A" w14:textId="28473115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Manuscript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NO: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76942</w:t>
      </w:r>
    </w:p>
    <w:p w14:paraId="376D37FD" w14:textId="4895BD92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Manuscript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Type: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SYSTEMATIC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REVIEWS</w:t>
      </w:r>
    </w:p>
    <w:p w14:paraId="7409AEA3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327D993A" w14:textId="1B572C9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Lymphocytic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 w:rsidRPr="00ED6CC7">
        <w:rPr>
          <w:rFonts w:ascii="Book Antiqua" w:eastAsia="Book Antiqua" w:hAnsi="Book Antiqua" w:cs="Book Antiqua"/>
          <w:b/>
          <w:color w:val="000000"/>
        </w:rPr>
        <w:t>choriomeningitis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 w:rsidRPr="00ED6CC7">
        <w:rPr>
          <w:rFonts w:ascii="Book Antiqua" w:eastAsia="Book Antiqua" w:hAnsi="Book Antiqua" w:cs="Book Antiqua"/>
          <w:b/>
          <w:color w:val="000000"/>
        </w:rPr>
        <w:t>virus</w:t>
      </w:r>
      <w:r w:rsidRPr="00ED6CC7">
        <w:rPr>
          <w:rFonts w:ascii="Book Antiqua" w:eastAsia="Book Antiqua" w:hAnsi="Book Antiqua" w:cs="Book Antiqua"/>
          <w:b/>
          <w:color w:val="000000"/>
        </w:rPr>
        <w:t>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Pr="00ED6CC7">
        <w:rPr>
          <w:rFonts w:ascii="Book Antiqua" w:eastAsia="Book Antiqua" w:hAnsi="Book Antiqua" w:cs="Book Antiqua"/>
          <w:b/>
          <w:color w:val="000000"/>
        </w:rPr>
        <w:t>n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 w:rsidRPr="00ED6CC7">
        <w:rPr>
          <w:rFonts w:ascii="Book Antiqua" w:eastAsia="Book Antiqua" w:hAnsi="Book Antiqua" w:cs="Book Antiqua"/>
          <w:b/>
          <w:color w:val="000000"/>
        </w:rPr>
        <w:t>under-recognized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 w:rsidRPr="00ED6CC7">
        <w:rPr>
          <w:rFonts w:ascii="Book Antiqua" w:eastAsia="Book Antiqua" w:hAnsi="Book Antiqua" w:cs="Book Antiqua"/>
          <w:b/>
          <w:color w:val="000000"/>
        </w:rPr>
        <w:t>congenital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952F9" w:rsidRPr="00ED6CC7">
        <w:rPr>
          <w:rFonts w:ascii="Book Antiqua" w:eastAsia="Book Antiqua" w:hAnsi="Book Antiqua" w:cs="Book Antiqua"/>
          <w:b/>
          <w:color w:val="000000"/>
        </w:rPr>
        <w:t>tera</w:t>
      </w:r>
      <w:r w:rsidRPr="00ED6CC7">
        <w:rPr>
          <w:rFonts w:ascii="Book Antiqua" w:eastAsia="Book Antiqua" w:hAnsi="Book Antiqua" w:cs="Book Antiqua"/>
          <w:b/>
          <w:color w:val="000000"/>
        </w:rPr>
        <w:t>togen</w:t>
      </w:r>
    </w:p>
    <w:p w14:paraId="176C2335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2A8F79A1" w14:textId="15E31A44" w:rsidR="00A77B3E" w:rsidRDefault="00181823" w:rsidP="00ED6C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6CC7">
        <w:rPr>
          <w:rFonts w:ascii="Book Antiqua" w:eastAsia="Book Antiqua" w:hAnsi="Book Antiqua" w:cs="Book Antiqua"/>
          <w:color w:val="000000"/>
        </w:rPr>
        <w:t>Ferenc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8182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741A0D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18182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92CEA"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BC4FA7"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BC4FA7">
        <w:rPr>
          <w:rFonts w:ascii="Book Antiqua" w:eastAsia="Book Antiqua" w:hAnsi="Book Antiqua" w:cs="Book Antiqua"/>
          <w:color w:val="000000"/>
        </w:rPr>
        <w:t>v</w:t>
      </w:r>
      <w:r w:rsidR="00BC4FA7" w:rsidRPr="00ED6CC7">
        <w:rPr>
          <w:rFonts w:ascii="Book Antiqua" w:eastAsia="Book Antiqua" w:hAnsi="Book Antiqua" w:cs="Book Antiqua"/>
          <w:color w:val="000000"/>
        </w:rPr>
        <w:t>i</w:t>
      </w:r>
      <w:r w:rsidR="001E6847" w:rsidRPr="00ED6CC7">
        <w:rPr>
          <w:rFonts w:ascii="Book Antiqua" w:eastAsia="Book Antiqua" w:hAnsi="Book Antiqua" w:cs="Book Antiqua"/>
          <w:color w:val="000000"/>
        </w:rPr>
        <w:t>rus</w:t>
      </w:r>
    </w:p>
    <w:p w14:paraId="5D39D301" w14:textId="77777777" w:rsidR="00181823" w:rsidRPr="00181823" w:rsidRDefault="00181823" w:rsidP="00ED6C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60AC13" w14:textId="4231ED13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Thomas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Ferenc,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Mateja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Vujica,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Anna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Mrzljak,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Tatjana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Vilibic-Cavlek</w:t>
      </w:r>
    </w:p>
    <w:p w14:paraId="2DB61F28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3ED61B98" w14:textId="55A7A78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Ferenc,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Department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Radiology,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Merkur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University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Hospital,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10000,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</w:t>
      </w:r>
    </w:p>
    <w:p w14:paraId="36ED7CC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FD96B23" w14:textId="132D1FF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Mateja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Vujica,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81823" w:rsidRPr="00ED6CC7">
        <w:rPr>
          <w:rFonts w:ascii="Book Antiqua" w:eastAsia="Book Antiqua" w:hAnsi="Book Antiqua" w:cs="Book Antiqua"/>
          <w:color w:val="000000"/>
        </w:rPr>
        <w:t>Department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81823"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Emergen</w:t>
      </w:r>
      <w:r w:rsidR="009622D0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Medicine,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Institute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Emergency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Medicine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Krapina-Zagorje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County,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Krapina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49000,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</w:t>
      </w:r>
    </w:p>
    <w:p w14:paraId="62EFED10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2966665D" w14:textId="0BDAA8BE" w:rsidR="00A77B3E" w:rsidRDefault="00792CEA" w:rsidP="00ED6C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Mrzljak,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Department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Gastroenterology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Hepatology,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University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Hospital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Center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10000,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</w:t>
      </w:r>
    </w:p>
    <w:p w14:paraId="71DBEB1A" w14:textId="77777777" w:rsidR="005532A8" w:rsidRPr="005532A8" w:rsidRDefault="005532A8" w:rsidP="00ED6C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90F0FC0" w14:textId="77777777" w:rsidR="005532A8" w:rsidRPr="00801293" w:rsidRDefault="005532A8" w:rsidP="005532A8">
      <w:pPr>
        <w:spacing w:line="360" w:lineRule="auto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/>
        </w:rPr>
        <w:t>Anna Mrzljak, Tatjana Vilibic-Cavlek</w:t>
      </w:r>
      <w:r w:rsidRPr="005A3D42">
        <w:rPr>
          <w:rFonts w:ascii="Book Antiqua" w:hAnsi="Book Antiqua" w:cs="Arial"/>
          <w:b/>
        </w:rPr>
        <w:t>,</w:t>
      </w:r>
      <w:r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</w:rPr>
        <w:t xml:space="preserve">School of Medicine, University of Zagreb, Zagreb 10000, Croatia </w:t>
      </w:r>
    </w:p>
    <w:p w14:paraId="5871D8A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229224FD" w14:textId="673CCB96" w:rsidR="00A77B3E" w:rsidRDefault="00792CEA" w:rsidP="00ED6CC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Tatjana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Vilibic-Cavlek,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Department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Virology,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National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Institute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Public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Health,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10000,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</w:t>
      </w:r>
    </w:p>
    <w:p w14:paraId="5BA1C3F7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67E7D490" w14:textId="59C44CB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Ferenc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90C24">
        <w:rPr>
          <w:rFonts w:ascii="Book Antiqua" w:eastAsia="Book Antiqua" w:hAnsi="Book Antiqua" w:cs="Book Antiqua"/>
          <w:color w:val="000000"/>
        </w:rPr>
        <w:t>conceived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690C24">
        <w:rPr>
          <w:rFonts w:ascii="Book Antiqua" w:eastAsia="Book Antiqua" w:hAnsi="Book Antiqua" w:cs="Book Antiqua"/>
          <w:color w:val="000000"/>
        </w:rPr>
        <w:t xml:space="preserve">, </w:t>
      </w:r>
      <w:r w:rsidRPr="00ED6CC7">
        <w:rPr>
          <w:rFonts w:ascii="Book Antiqua" w:eastAsia="Book Antiqua" w:hAnsi="Book Antiqua" w:cs="Book Antiqua"/>
          <w:color w:val="000000"/>
        </w:rPr>
        <w:t>performed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90C24">
        <w:rPr>
          <w:rFonts w:ascii="Book Antiqua" w:eastAsia="Book Antiqua" w:hAnsi="Book Antiqua" w:cs="Book Antiqua"/>
          <w:color w:val="000000"/>
        </w:rPr>
        <w:t xml:space="preserve">the </w:t>
      </w:r>
      <w:r w:rsidRPr="00ED6CC7">
        <w:rPr>
          <w:rFonts w:ascii="Book Antiqua" w:eastAsia="Book Antiqua" w:hAnsi="Book Antiqua" w:cs="Book Antiqua"/>
          <w:color w:val="000000"/>
        </w:rPr>
        <w:t>literature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acquisition,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wrote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original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draft;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Vujica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literature,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performed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90C24">
        <w:rPr>
          <w:rFonts w:ascii="Book Antiqua" w:eastAsia="Book Antiqua" w:hAnsi="Book Antiqua" w:cs="Book Antiqua"/>
          <w:color w:val="000000"/>
        </w:rPr>
        <w:t xml:space="preserve">the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acquisition,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contributed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manuscript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drafting;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Mrzljak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Vilibic-Cavlek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contributions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concept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manuscript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critically</w:t>
      </w:r>
      <w:r w:rsidR="00181823">
        <w:rPr>
          <w:rFonts w:ascii="Book Antiqua" w:hAnsi="Book Antiqua" w:cs="Book Antiqua" w:hint="eastAsia"/>
          <w:color w:val="000000"/>
          <w:lang w:eastAsia="zh-CN"/>
        </w:rPr>
        <w:t>;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90C24">
        <w:rPr>
          <w:rFonts w:ascii="Book Antiqua" w:hAnsi="Book Antiqua" w:cs="Book Antiqua"/>
          <w:color w:val="000000"/>
          <w:lang w:eastAsia="zh-CN"/>
        </w:rPr>
        <w:t>A</w:t>
      </w:r>
      <w:r w:rsidRPr="00ED6CC7">
        <w:rPr>
          <w:rFonts w:ascii="Book Antiqua" w:eastAsia="Book Antiqua" w:hAnsi="Book Antiqua" w:cs="Book Antiqua"/>
          <w:color w:val="000000"/>
        </w:rPr>
        <w:t>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authors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approved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version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manuscript.</w:t>
      </w:r>
    </w:p>
    <w:p w14:paraId="7D71BCD1" w14:textId="15BC262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Anna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Mrzljak,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FEBG,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Department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Gastroenterology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Hepatology,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University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Hospital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Center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Kišpatićeva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12,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Zagreb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10000,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anna.mrzljak@gmail.com</w:t>
      </w:r>
    </w:p>
    <w:p w14:paraId="0F659909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7ACB287" w14:textId="4B092452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April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2022</w:t>
      </w:r>
    </w:p>
    <w:p w14:paraId="4749D117" w14:textId="1B57C262" w:rsidR="00A77B3E" w:rsidRPr="00B218BD" w:rsidRDefault="00792CEA" w:rsidP="00ED6CC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41A0D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218BD" w:rsidRPr="00B218BD">
        <w:rPr>
          <w:rFonts w:ascii="Book Antiqua" w:hAnsi="Book Antiqua" w:cs="Book Antiqua" w:hint="eastAsia"/>
          <w:bCs/>
          <w:color w:val="000000"/>
          <w:lang w:eastAsia="zh-CN"/>
        </w:rPr>
        <w:t>J</w:t>
      </w:r>
      <w:r w:rsidR="00B218BD" w:rsidRPr="00B218BD">
        <w:rPr>
          <w:rFonts w:ascii="Book Antiqua" w:hAnsi="Book Antiqua" w:cs="Book Antiqua"/>
          <w:bCs/>
          <w:color w:val="000000"/>
          <w:lang w:eastAsia="zh-CN"/>
        </w:rPr>
        <w:t>u</w:t>
      </w:r>
      <w:r w:rsidR="00B218BD" w:rsidRPr="00B218BD">
        <w:rPr>
          <w:rFonts w:ascii="Book Antiqua" w:hAnsi="Book Antiqua" w:cs="Book Antiqua" w:hint="eastAsia"/>
          <w:bCs/>
          <w:color w:val="000000"/>
          <w:lang w:eastAsia="zh-CN"/>
        </w:rPr>
        <w:t>ne</w:t>
      </w:r>
      <w:r w:rsidR="00741A0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218BD" w:rsidRPr="00B218BD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741A0D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B218BD" w:rsidRPr="00B218BD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75E73658" w14:textId="0AC2268B" w:rsidR="00A77B3E" w:rsidRPr="00BC4FA7" w:rsidRDefault="00792CEA" w:rsidP="00ED6CC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5036" w:rsidRPr="001517C2">
        <w:rPr>
          <w:rFonts w:ascii="Book Antiqua" w:eastAsia="Book Antiqua" w:hAnsi="Book Antiqua" w:cs="Book Antiqua"/>
          <w:color w:val="000000"/>
        </w:rPr>
        <w:t>July 11, 2022</w:t>
      </w:r>
    </w:p>
    <w:p w14:paraId="4836AB91" w14:textId="6831F09F" w:rsidR="00BC4FA7" w:rsidRPr="00BC4FA7" w:rsidRDefault="00792CEA" w:rsidP="00BC4FA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21CC9C0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6574A749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  <w:sectPr w:rsidR="00A77B3E" w:rsidRPr="00ED6CC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4281DF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D7D267F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BACKGROUND</w:t>
      </w:r>
    </w:p>
    <w:p w14:paraId="253AB1DA" w14:textId="687C6C53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(LCMV)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rodent-borne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arenavirus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</w:p>
    <w:p w14:paraId="57C5B842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573AA16E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AIM</w:t>
      </w:r>
    </w:p>
    <w:p w14:paraId="7F4FD08C" w14:textId="10A77A3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T</w:t>
      </w:r>
      <w:r w:rsidR="005B4BBE">
        <w:rPr>
          <w:rFonts w:ascii="Book Antiqua" w:hAnsi="Book Antiqua" w:cs="Book Antiqua" w:hint="eastAsia"/>
          <w:color w:val="000000"/>
          <w:lang w:eastAsia="zh-CN"/>
        </w:rPr>
        <w:t>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5B4BBE">
        <w:rPr>
          <w:rFonts w:ascii="Book Antiqua" w:eastAsia="Book Antiqua" w:hAnsi="Book Antiqua" w:cs="Book Antiqua"/>
          <w:color w:val="000000"/>
        </w:rPr>
        <w:t>summarize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</w:p>
    <w:p w14:paraId="34009806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5D5001D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METHODS</w:t>
      </w:r>
    </w:p>
    <w:p w14:paraId="27721B86" w14:textId="5D984DD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literature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search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conducted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PubMed,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Medline,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Google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Scholar,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Research</w:t>
      </w:r>
      <w:r w:rsidR="00085036">
        <w:rPr>
          <w:rFonts w:ascii="Book Antiqua" w:eastAsia="Book Antiqua" w:hAnsi="Book Antiqua" w:cs="Book Antiqua"/>
          <w:color w:val="000000"/>
        </w:rPr>
        <w:t>G</w:t>
      </w:r>
      <w:r w:rsidRPr="00ED6CC7">
        <w:rPr>
          <w:rFonts w:ascii="Book Antiqua" w:eastAsia="Book Antiqua" w:hAnsi="Book Antiqua" w:cs="Book Antiqua"/>
          <w:color w:val="000000"/>
        </w:rPr>
        <w:t>ate.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keywords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AF07E4">
        <w:rPr>
          <w:rFonts w:ascii="Book Antiqua" w:eastAsia="Book Antiqua" w:hAnsi="Book Antiqua" w:cs="Book Antiqua"/>
          <w:color w:val="000000"/>
        </w:rPr>
        <w:t>‘</w:t>
      </w:r>
      <w:r w:rsidR="006B5E9D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B5E9D">
        <w:rPr>
          <w:rFonts w:ascii="Book Antiqua" w:eastAsia="Book Antiqua" w:hAnsi="Book Antiqua" w:cs="Book Antiqua"/>
          <w:color w:val="000000"/>
        </w:rPr>
        <w:t>l</w:t>
      </w:r>
      <w:r w:rsidRPr="00ED6CC7">
        <w:rPr>
          <w:rFonts w:ascii="Book Antiqua" w:eastAsia="Book Antiqua" w:hAnsi="Book Antiqua" w:cs="Book Antiqua"/>
          <w:color w:val="000000"/>
        </w:rPr>
        <w:t>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B5E9D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B5E9D">
        <w:rPr>
          <w:rFonts w:ascii="Book Antiqua" w:eastAsia="Book Antiqua" w:hAnsi="Book Antiqua" w:cs="Book Antiqua"/>
          <w:color w:val="000000"/>
        </w:rPr>
        <w:t>v</w:t>
      </w:r>
      <w:r w:rsidRPr="00ED6CC7">
        <w:rPr>
          <w:rFonts w:ascii="Book Antiqua" w:eastAsia="Book Antiqua" w:hAnsi="Book Antiqua" w:cs="Book Antiqua"/>
          <w:color w:val="000000"/>
        </w:rPr>
        <w:t>irus</w:t>
      </w:r>
      <w:r w:rsidR="006B5E9D">
        <w:rPr>
          <w:rFonts w:ascii="Book Antiqua" w:eastAsia="Book Antiqua" w:hAnsi="Book Antiqua" w:cs="Book Antiqua"/>
          <w:color w:val="000000"/>
        </w:rPr>
        <w:t>,</w:t>
      </w:r>
      <w:r w:rsidR="00AF07E4">
        <w:rPr>
          <w:rFonts w:ascii="Book Antiqua" w:eastAsia="Book Antiqua" w:hAnsi="Book Antiqua" w:cs="Book Antiqua"/>
          <w:color w:val="000000"/>
        </w:rPr>
        <w:t>’</w:t>
      </w:r>
      <w:r w:rsidR="006B5E9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95B32" w:rsidRPr="00695B32">
        <w:rPr>
          <w:rFonts w:ascii="Book Antiqua" w:eastAsia="Book Antiqua" w:hAnsi="Book Antiqua" w:cs="Book Antiqua"/>
          <w:color w:val="000000"/>
        </w:rPr>
        <w:t xml:space="preserve">In addition, we conducted a relevant search by </w:t>
      </w:r>
      <w:r w:rsidR="00695B32" w:rsidRPr="005A3D42">
        <w:rPr>
          <w:rFonts w:ascii="Book Antiqua" w:eastAsia="Book Antiqua" w:hAnsi="Book Antiqua" w:cs="Book Antiqua"/>
          <w:iCs/>
          <w:color w:val="000000"/>
        </w:rPr>
        <w:t>Reference Citation Analysis</w:t>
      </w:r>
      <w:r w:rsidR="00695B32" w:rsidRPr="006B5E9D">
        <w:rPr>
          <w:rFonts w:ascii="Book Antiqua" w:eastAsia="Book Antiqua" w:hAnsi="Book Antiqua" w:cs="Book Antiqua"/>
          <w:iCs/>
          <w:color w:val="000000"/>
        </w:rPr>
        <w:t xml:space="preserve"> (</w:t>
      </w:r>
      <w:r w:rsidR="00695B32" w:rsidRPr="005A3D42">
        <w:rPr>
          <w:rFonts w:ascii="Book Antiqua" w:eastAsia="Book Antiqua" w:hAnsi="Book Antiqua" w:cs="Book Antiqua"/>
          <w:iCs/>
          <w:color w:val="000000"/>
        </w:rPr>
        <w:t>RCA</w:t>
      </w:r>
      <w:r w:rsidR="00695B32" w:rsidRPr="006B5E9D">
        <w:rPr>
          <w:rFonts w:ascii="Book Antiqua" w:eastAsia="Book Antiqua" w:hAnsi="Book Antiqua" w:cs="Book Antiqua"/>
          <w:iCs/>
          <w:color w:val="000000"/>
        </w:rPr>
        <w:t>)</w:t>
      </w:r>
      <w:r w:rsidR="00695B32" w:rsidRPr="00695B32">
        <w:rPr>
          <w:rFonts w:ascii="Book Antiqua" w:eastAsia="Book Antiqua" w:hAnsi="Book Antiqua" w:cs="Book Antiqua"/>
          <w:color w:val="000000"/>
        </w:rPr>
        <w:t xml:space="preserve"> (https://www.referencecitationanalysis.com).</w:t>
      </w:r>
    </w:p>
    <w:p w14:paraId="5F96A5FD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316AD199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RESULTS</w:t>
      </w:r>
    </w:p>
    <w:p w14:paraId="69F7A9A1" w14:textId="6646B3E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52.73%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(83.53%),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psychomotor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retardation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Computed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tomography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and/or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magnetic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resonance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imaging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often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ventriculomegaly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(74.07%),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(66.67%),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(40%).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predominantly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flu-like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occurring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gestation.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Mortality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16.47%.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confirmed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(86.67%).</w:t>
      </w:r>
    </w:p>
    <w:p w14:paraId="5D337787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A7D616B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CONCLUSION</w:t>
      </w:r>
    </w:p>
    <w:p w14:paraId="570F0483" w14:textId="59046CD2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still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insufficiently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recognized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often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leads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long-term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sequelae.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Clinicians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familiar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potential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teratogenic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effect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effectively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83CAE">
        <w:rPr>
          <w:rFonts w:ascii="Book Antiqua" w:hAnsi="Book Antiqua" w:cs="Book Antiqua" w:hint="eastAsia"/>
          <w:color w:val="000000"/>
          <w:lang w:eastAsia="zh-CN"/>
        </w:rPr>
        <w:t>(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T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83CAE" w:rsidRPr="003010FD">
        <w:rPr>
          <w:rFonts w:ascii="Book Antiqua" w:hAnsi="Book Antiqua" w:cs="Book Antiqua"/>
          <w:i/>
          <w:iCs/>
          <w:color w:val="000000"/>
          <w:lang w:eastAsia="zh-CN"/>
        </w:rPr>
        <w:t>Toxoplasma</w:t>
      </w:r>
      <w:r w:rsidR="009622D0">
        <w:rPr>
          <w:rFonts w:ascii="Book Antiqua" w:hAnsi="Book Antiqua" w:cs="Book Antiqua"/>
          <w:color w:val="000000"/>
          <w:lang w:eastAsia="zh-CN"/>
        </w:rPr>
        <w:t xml:space="preserve"> </w:t>
      </w:r>
      <w:r w:rsidR="009622D0" w:rsidRPr="003010FD">
        <w:rPr>
          <w:rFonts w:ascii="Book Antiqua" w:hAnsi="Book Antiqua" w:cs="Book Antiqua"/>
          <w:i/>
          <w:iCs/>
          <w:color w:val="000000"/>
          <w:lang w:eastAsia="zh-CN"/>
        </w:rPr>
        <w:t>gondii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O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Other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22D0">
        <w:rPr>
          <w:rFonts w:ascii="Book Antiqua" w:hAnsi="Book Antiqua" w:cs="Book Antiqua"/>
          <w:color w:val="000000"/>
          <w:lang w:eastAsia="zh-CN"/>
        </w:rPr>
        <w:t>pathogens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R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Rubella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 v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irus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, C: </w:t>
      </w:r>
      <w:r w:rsidR="009622D0">
        <w:rPr>
          <w:rFonts w:ascii="Book Antiqua" w:hAnsi="Book Antiqua" w:cs="Book Antiqua"/>
          <w:color w:val="000000"/>
          <w:lang w:eastAsia="zh-CN"/>
        </w:rPr>
        <w:t>Cytomegalovirus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H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C83CAE" w:rsidRPr="00C83CAE">
        <w:rPr>
          <w:rFonts w:ascii="Book Antiqua" w:hAnsi="Book Antiqua" w:cs="Book Antiqua" w:hint="eastAsia"/>
          <w:color w:val="000000"/>
          <w:lang w:eastAsia="zh-CN"/>
        </w:rPr>
        <w:t>Herpes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622D0">
        <w:rPr>
          <w:rFonts w:ascii="Book Antiqua" w:hAnsi="Book Antiqua" w:cs="Book Antiqua"/>
          <w:color w:val="000000"/>
          <w:lang w:eastAsia="zh-CN"/>
        </w:rPr>
        <w:t xml:space="preserve">simplex </w:t>
      </w:r>
      <w:r w:rsidR="00C83CAE">
        <w:rPr>
          <w:rFonts w:ascii="Book Antiqua" w:hAnsi="Book Antiqua" w:cs="Book Antiqua" w:hint="eastAsia"/>
          <w:color w:val="000000"/>
          <w:lang w:eastAsia="zh-CN"/>
        </w:rPr>
        <w:t xml:space="preserve">virus) </w:t>
      </w:r>
      <w:r w:rsidRPr="00ED6CC7">
        <w:rPr>
          <w:rFonts w:ascii="Book Antiqua" w:eastAsia="Book Antiqua" w:hAnsi="Book Antiqua" w:cs="Book Antiqua"/>
          <w:color w:val="000000"/>
        </w:rPr>
        <w:t>pathogens.</w:t>
      </w:r>
    </w:p>
    <w:p w14:paraId="762CE9BB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340FAA76" w14:textId="730B481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Epidemiology;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TORCH</w:t>
      </w:r>
    </w:p>
    <w:p w14:paraId="580B50B3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523C914" w14:textId="122AABC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Ferenc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Vujica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Mrzljak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Vilibic-Cavlek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084067" w:rsidRPr="00084067">
        <w:rPr>
          <w:rFonts w:ascii="Book Antiqua" w:eastAsia="Book Antiqua" w:hAnsi="Book Antiqua" w:cs="Book Antiqua"/>
          <w:color w:val="000000"/>
        </w:rPr>
        <w:t>Lymphocytic choriomeningitis virus: An under-recognized congenital teratogen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2022;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press</w:t>
      </w:r>
    </w:p>
    <w:p w14:paraId="08E5ED3E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77CB295B" w14:textId="67FBAB9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(LCMV)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under-recognized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rodent-borne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arenavirus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often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sequelae.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gestation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risk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factor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golden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standard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6B5E9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mini-review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systematically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summarizes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confirmed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</w:p>
    <w:p w14:paraId="47FE6CFD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06A7F32A" w14:textId="77777777" w:rsidR="00A77B3E" w:rsidRPr="00ED6CC7" w:rsidRDefault="00054544" w:rsidP="00ED6CC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792CEA"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285025" w14:textId="769C3D9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(LCMV)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rodent-borne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arenavirus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acquired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Armstrong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Lillie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described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1933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aseptic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meningitis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following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years,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</w:t>
      </w:r>
      <w:r w:rsidRPr="00D93D62">
        <w:rPr>
          <w:rFonts w:ascii="Book Antiqua" w:eastAsia="Book Antiqua" w:hAnsi="Book Antiqua" w:cs="Book Antiqua"/>
          <w:i/>
          <w:iCs/>
          <w:color w:val="000000"/>
        </w:rPr>
        <w:t>Mus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D62">
        <w:rPr>
          <w:rFonts w:ascii="Book Antiqua" w:eastAsia="Book Antiqua" w:hAnsi="Book Antiqua" w:cs="Book Antiqua"/>
          <w:i/>
          <w:iCs/>
          <w:color w:val="000000"/>
        </w:rPr>
        <w:t>musculus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D93D62">
        <w:rPr>
          <w:rFonts w:ascii="Book Antiqua" w:eastAsia="Book Antiqua" w:hAnsi="Book Antiqua" w:cs="Book Antiqua"/>
          <w:i/>
          <w:iCs/>
          <w:color w:val="000000"/>
        </w:rPr>
        <w:t>M</w:t>
      </w:r>
      <w:r w:rsidR="0031477A">
        <w:rPr>
          <w:rFonts w:ascii="Book Antiqua" w:eastAsia="Book Antiqua" w:hAnsi="Book Antiqua" w:cs="Book Antiqua"/>
          <w:i/>
          <w:iCs/>
          <w:color w:val="000000"/>
        </w:rPr>
        <w:t>.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93D62">
        <w:rPr>
          <w:rFonts w:ascii="Book Antiqua" w:eastAsia="Book Antiqua" w:hAnsi="Book Antiqua" w:cs="Book Antiqua"/>
          <w:i/>
          <w:iCs/>
          <w:color w:val="000000"/>
        </w:rPr>
        <w:t>domesticus</w:t>
      </w:r>
      <w:r w:rsidRPr="00ED6CC7">
        <w:rPr>
          <w:rFonts w:ascii="Book Antiqua" w:eastAsia="Book Antiqua" w:hAnsi="Book Antiqua" w:cs="Book Antiqua"/>
          <w:color w:val="000000"/>
        </w:rPr>
        <w:t>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natural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reservoir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Nevertheless,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bank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vole,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yellow-necked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hamsters,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guinea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pigs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origin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humans</w:t>
      </w:r>
      <w:r w:rsidRPr="00D93D62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66754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93D6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occur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autumn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winter,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reflecting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migration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invasion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habitats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periods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transmitted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inhalation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ingestion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excreta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direct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contact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bites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Person-to-person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detected;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among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solid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organ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recipients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fetuses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outcome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after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England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1955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Numerous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across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Europe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decades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later.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predominantly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degeneration,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long-term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abnormalities</w:t>
      </w:r>
      <w:r w:rsidRPr="00D93D62">
        <w:rPr>
          <w:rFonts w:ascii="Book Antiqua" w:eastAsia="Book Antiqua" w:hAnsi="Book Antiqua" w:cs="Book Antiqua"/>
          <w:color w:val="000000"/>
          <w:vertAlign w:val="superscript"/>
        </w:rPr>
        <w:t>[11</w:t>
      </w:r>
      <w:r w:rsidR="0066754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93D6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early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1990s,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United States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sporadic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every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years.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lack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commercially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tests,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undetermined.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mini-review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analyze</w:t>
      </w:r>
      <w:r w:rsidR="0031477A">
        <w:rPr>
          <w:rFonts w:ascii="Book Antiqua" w:eastAsia="Book Antiqua" w:hAnsi="Book Antiqua" w:cs="Book Antiqua"/>
          <w:color w:val="000000"/>
        </w:rPr>
        <w:t>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systematically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summarize</w:t>
      </w:r>
      <w:r w:rsidR="0031477A">
        <w:rPr>
          <w:rFonts w:ascii="Book Antiqua" w:eastAsia="Book Antiqua" w:hAnsi="Book Antiqua" w:cs="Book Antiqua"/>
          <w:color w:val="000000"/>
        </w:rPr>
        <w:t>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confirmed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</w:p>
    <w:p w14:paraId="49979CFE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586E985C" w14:textId="69072CCE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41A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41A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5D7E454" w14:textId="06A283AA" w:rsidR="00A77B3E" w:rsidRPr="0066754F" w:rsidRDefault="00792CEA" w:rsidP="00ED6CC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literature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search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conducted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PubMed,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Medline,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Google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Scholar,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Research</w:t>
      </w:r>
      <w:r w:rsidR="00085036">
        <w:rPr>
          <w:rFonts w:ascii="Book Antiqua" w:eastAsia="Book Antiqua" w:hAnsi="Book Antiqua" w:cs="Book Antiqua"/>
          <w:color w:val="000000"/>
        </w:rPr>
        <w:t>G</w:t>
      </w:r>
      <w:r w:rsidRPr="00ED6CC7">
        <w:rPr>
          <w:rFonts w:ascii="Book Antiqua" w:eastAsia="Book Antiqua" w:hAnsi="Book Antiqua" w:cs="Book Antiqua"/>
          <w:color w:val="000000"/>
        </w:rPr>
        <w:t>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restrictions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placed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publication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language.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keywords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AF07E4">
        <w:rPr>
          <w:rFonts w:ascii="Book Antiqua" w:eastAsia="Book Antiqua" w:hAnsi="Book Antiqua" w:cs="Book Antiqua"/>
          <w:color w:val="000000"/>
        </w:rPr>
        <w:t>‘</w:t>
      </w:r>
      <w:r w:rsidR="0031477A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31477A">
        <w:rPr>
          <w:rFonts w:ascii="Book Antiqua" w:eastAsia="Book Antiqua" w:hAnsi="Book Antiqua" w:cs="Book Antiqua"/>
          <w:color w:val="000000"/>
        </w:rPr>
        <w:t>l</w:t>
      </w:r>
      <w:r w:rsidRPr="00ED6CC7">
        <w:rPr>
          <w:rFonts w:ascii="Book Antiqua" w:eastAsia="Book Antiqua" w:hAnsi="Book Antiqua" w:cs="Book Antiqua"/>
          <w:color w:val="000000"/>
        </w:rPr>
        <w:t>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31477A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31477A">
        <w:rPr>
          <w:rFonts w:ascii="Book Antiqua" w:eastAsia="Book Antiqua" w:hAnsi="Book Antiqua" w:cs="Book Antiqua"/>
          <w:color w:val="000000"/>
        </w:rPr>
        <w:t>v</w:t>
      </w:r>
      <w:r w:rsidRPr="00ED6CC7">
        <w:rPr>
          <w:rFonts w:ascii="Book Antiqua" w:eastAsia="Book Antiqua" w:hAnsi="Book Antiqua" w:cs="Book Antiqua"/>
          <w:color w:val="000000"/>
        </w:rPr>
        <w:t>irus</w:t>
      </w:r>
      <w:r w:rsidR="0031477A">
        <w:rPr>
          <w:rFonts w:ascii="Book Antiqua" w:eastAsia="Book Antiqua" w:hAnsi="Book Antiqua" w:cs="Book Antiqua"/>
          <w:color w:val="000000"/>
        </w:rPr>
        <w:t>.</w:t>
      </w:r>
      <w:r w:rsidR="00AF07E4">
        <w:rPr>
          <w:rFonts w:ascii="Book Antiqua" w:eastAsia="Book Antiqua" w:hAnsi="Book Antiqua" w:cs="Book Antiqua"/>
          <w:color w:val="000000"/>
        </w:rPr>
        <w:t>’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252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initially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found.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involving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animal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models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duplicate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papers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excluded.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After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abstracts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assembled,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appearing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criteria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full.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Additional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identified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reference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lists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retrieved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Finally,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(original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research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(Figure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1).</w:t>
      </w:r>
      <w:r w:rsidR="006675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6754F" w:rsidRPr="00695B32">
        <w:rPr>
          <w:rFonts w:ascii="Book Antiqua" w:eastAsia="Book Antiqua" w:hAnsi="Book Antiqua" w:cs="Book Antiqua"/>
          <w:color w:val="000000"/>
        </w:rPr>
        <w:t xml:space="preserve">In addition, we conducted a relevant search by </w:t>
      </w:r>
      <w:r w:rsidR="0066754F" w:rsidRPr="005A3D42">
        <w:rPr>
          <w:rFonts w:ascii="Book Antiqua" w:eastAsia="Book Antiqua" w:hAnsi="Book Antiqua" w:cs="Book Antiqua"/>
          <w:iCs/>
          <w:color w:val="000000"/>
        </w:rPr>
        <w:t>Reference Citation Analysis</w:t>
      </w:r>
      <w:r w:rsidR="0066754F" w:rsidRPr="0031477A">
        <w:rPr>
          <w:rFonts w:ascii="Book Antiqua" w:eastAsia="Book Antiqua" w:hAnsi="Book Antiqua" w:cs="Book Antiqua"/>
          <w:iCs/>
          <w:color w:val="000000"/>
        </w:rPr>
        <w:t xml:space="preserve"> (</w:t>
      </w:r>
      <w:r w:rsidR="0066754F" w:rsidRPr="005A3D42">
        <w:rPr>
          <w:rFonts w:ascii="Book Antiqua" w:eastAsia="Book Antiqua" w:hAnsi="Book Antiqua" w:cs="Book Antiqua"/>
          <w:iCs/>
          <w:color w:val="000000"/>
        </w:rPr>
        <w:t>RCA</w:t>
      </w:r>
      <w:r w:rsidR="0066754F" w:rsidRPr="0031477A">
        <w:rPr>
          <w:rFonts w:ascii="Book Antiqua" w:eastAsia="Book Antiqua" w:hAnsi="Book Antiqua" w:cs="Book Antiqua"/>
          <w:iCs/>
          <w:color w:val="000000"/>
        </w:rPr>
        <w:t>)</w:t>
      </w:r>
      <w:r w:rsidR="0066754F" w:rsidRPr="00695B32">
        <w:rPr>
          <w:rFonts w:ascii="Book Antiqua" w:eastAsia="Book Antiqua" w:hAnsi="Book Antiqua" w:cs="Book Antiqua"/>
          <w:color w:val="000000"/>
        </w:rPr>
        <w:t xml:space="preserve"> (https://www.referencecitationanalysis.com).</w:t>
      </w:r>
    </w:p>
    <w:p w14:paraId="665F3B5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6E75383F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1FBC472" w14:textId="7196734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Until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January</w:t>
      </w:r>
      <w:r w:rsidR="0066754F">
        <w:rPr>
          <w:rFonts w:ascii="Book Antiqua" w:hAnsi="Book Antiqua" w:cs="Book Antiqua" w:hint="eastAsia"/>
          <w:color w:val="000000"/>
          <w:lang w:eastAsia="zh-CN"/>
        </w:rPr>
        <w:t xml:space="preserve"> 30,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2022,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United States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(Table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</w:t>
      </w:r>
      <w:r w:rsidR="0066754F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Figure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full</w:t>
      </w:r>
      <w:r w:rsidR="0031477A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</w:t>
      </w:r>
      <w:r w:rsidR="0066754F">
        <w:rPr>
          <w:rFonts w:ascii="Book Antiqua" w:eastAsia="Book Antiqua" w:hAnsi="Book Antiqua" w:cs="Book Antiqua"/>
          <w:color w:val="000000"/>
        </w:rPr>
        <w:t xml:space="preserve">≥ </w:t>
      </w:r>
      <w:r w:rsidRPr="00ED6CC7">
        <w:rPr>
          <w:rFonts w:ascii="Book Antiqua" w:eastAsia="Book Antiqua" w:hAnsi="Book Antiqua" w:cs="Book Antiqua"/>
          <w:color w:val="000000"/>
        </w:rPr>
        <w:t>37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wk).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3080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(interquartile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range</w:t>
      </w:r>
      <w:r w:rsidR="00164A83">
        <w:rPr>
          <w:rFonts w:ascii="Book Antiqua" w:eastAsia="Book Antiqua" w:hAnsi="Book Antiqua" w:cs="Book Antiqua"/>
          <w:color w:val="000000"/>
        </w:rPr>
        <w:t xml:space="preserve"> [</w:t>
      </w:r>
      <w:r w:rsidRPr="00ED6CC7">
        <w:rPr>
          <w:rFonts w:ascii="Book Antiqua" w:eastAsia="Book Antiqua" w:hAnsi="Book Antiqua" w:cs="Book Antiqua"/>
          <w:color w:val="000000"/>
        </w:rPr>
        <w:t>IQR</w:t>
      </w:r>
      <w:r w:rsidR="00164A83">
        <w:rPr>
          <w:rFonts w:ascii="Book Antiqua" w:eastAsia="Book Antiqua" w:hAnsi="Book Antiqua" w:cs="Book Antiqua"/>
          <w:color w:val="000000"/>
        </w:rPr>
        <w:t>]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2550-3600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52.73%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(83.53%),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psychomotor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retardation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(38.82%),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spastic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quadriplegia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(36.47%),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(35.29%)</w:t>
      </w:r>
      <w:r w:rsidR="00164A83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atrophy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(21.18%).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Visual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impairment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>2 mo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after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(IQR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8-270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d</w:t>
      </w:r>
      <w:r w:rsidRPr="00ED6CC7">
        <w:rPr>
          <w:rFonts w:ascii="Book Antiqua" w:eastAsia="Book Antiqua" w:hAnsi="Book Antiqua" w:cs="Book Antiqua"/>
          <w:color w:val="000000"/>
        </w:rPr>
        <w:t>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Computed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tomography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(CT)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magnetic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resonance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imaging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(MRI)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often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displayed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ventriculomegaly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(74.07%),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(66.67%),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(40%),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gyral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malformations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(36.67%)</w:t>
      </w:r>
      <w:r w:rsidR="00164A83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cerebral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atrophy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(22.22%).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mainstay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whereas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reverse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transcription-polymerase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reaction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(RT-PCR)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 xml:space="preserve">2 </w:t>
      </w:r>
      <w:r w:rsidRPr="00ED6CC7">
        <w:rPr>
          <w:rFonts w:ascii="Book Antiqua" w:eastAsia="Book Antiqua" w:hAnsi="Book Antiqua" w:cs="Book Antiqua"/>
          <w:color w:val="000000"/>
        </w:rPr>
        <w:t>patients.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9E6F26">
        <w:rPr>
          <w:rFonts w:ascii="Book Antiqua" w:eastAsia="Book Antiqua" w:hAnsi="Book Antiqua" w:cs="Book Antiqua"/>
          <w:color w:val="000000"/>
        </w:rPr>
        <w:t>The i</w:t>
      </w:r>
      <w:r w:rsidRPr="00ED6CC7">
        <w:rPr>
          <w:rFonts w:ascii="Book Antiqua" w:eastAsia="Book Antiqua" w:hAnsi="Book Antiqua" w:cs="Book Antiqua"/>
          <w:color w:val="000000"/>
        </w:rPr>
        <w:t>ndirect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immunofluorescence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(IFA)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enzyme-linked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immunoassay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(ELISA)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9E6F26" w:rsidRPr="00ED6CC7">
        <w:rPr>
          <w:rFonts w:ascii="Book Antiqua" w:eastAsia="Book Antiqua" w:hAnsi="Book Antiqua" w:cs="Book Antiqua"/>
          <w:color w:val="000000"/>
        </w:rPr>
        <w:t>e</w:t>
      </w:r>
      <w:r w:rsidR="009E6F26">
        <w:rPr>
          <w:rFonts w:ascii="Book Antiqua" w:eastAsia="Book Antiqua" w:hAnsi="Book Antiqua" w:cs="Book Antiqua"/>
          <w:color w:val="000000"/>
        </w:rPr>
        <w:t xml:space="preserve">qually </w:t>
      </w:r>
      <w:r w:rsidRPr="00ED6CC7">
        <w:rPr>
          <w:rFonts w:ascii="Book Antiqua" w:eastAsia="Book Antiqua" w:hAnsi="Book Antiqua" w:cs="Book Antiqua"/>
          <w:color w:val="000000"/>
        </w:rPr>
        <w:t>(44%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42.67%,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respectively).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Mortality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16.47%,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terminated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death.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decease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(IQR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8-90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d</w:t>
      </w:r>
      <w:r w:rsidRPr="00ED6CC7">
        <w:rPr>
          <w:rFonts w:ascii="Book Antiqua" w:eastAsia="Book Antiqua" w:hAnsi="Book Antiqua" w:cs="Book Antiqua"/>
          <w:color w:val="000000"/>
        </w:rPr>
        <w:t>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tested,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IFA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predominantly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compared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ELISA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(69.77%,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23.26%,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respectively).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tests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performed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negative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</w:t>
      </w:r>
      <w:r w:rsidR="009E6F26">
        <w:rPr>
          <w:rFonts w:ascii="Book Antiqua" w:eastAsia="Book Antiqua" w:hAnsi="Book Antiqua" w:cs="Book Antiqua"/>
          <w:color w:val="000000"/>
        </w:rPr>
        <w:t>ereas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</w:t>
      </w:r>
      <w:r w:rsidR="00164A83">
        <w:rPr>
          <w:rFonts w:ascii="Book Antiqua" w:eastAsia="Book Antiqua" w:hAnsi="Book Antiqua" w:cs="Book Antiqua"/>
          <w:color w:val="000000"/>
        </w:rPr>
        <w:t>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cases.</w:t>
      </w:r>
    </w:p>
    <w:p w14:paraId="52AC111F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2E19A595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8F21E5F" w14:textId="79D4668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lastRenderedPageBreak/>
        <w:t>Seroprevalence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conducted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population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individuals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seropositive.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2.90</w:t>
      </w:r>
      <w:r w:rsidR="00164A83">
        <w:rPr>
          <w:rFonts w:ascii="Book Antiqua" w:eastAsia="Book Antiqua" w:hAnsi="Book Antiqua" w:cs="Book Antiqua"/>
          <w:color w:val="000000"/>
        </w:rPr>
        <w:t>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66%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0.40</w:t>
      </w:r>
      <w:r w:rsidR="00164A83">
        <w:rPr>
          <w:rFonts w:ascii="Book Antiqua" w:eastAsia="Book Antiqua" w:hAnsi="Book Antiqua" w:cs="Book Antiqua"/>
          <w:color w:val="000000"/>
        </w:rPr>
        <w:t>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25%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rats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still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unknown.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central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viremia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Sheinbergas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741A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conducted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>i</w:t>
      </w:r>
      <w:r w:rsidR="00164A83" w:rsidRPr="00ED6CC7">
        <w:rPr>
          <w:rFonts w:ascii="Book Antiqua" w:eastAsia="Book Antiqua" w:hAnsi="Book Antiqua" w:cs="Book Antiqua"/>
          <w:color w:val="000000"/>
        </w:rPr>
        <w:t>n</w:t>
      </w:r>
      <w:r w:rsidR="00164A83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833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healthy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110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 xml:space="preserve">2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various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A523D5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 xml:space="preserve">1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Among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141699">
        <w:rPr>
          <w:rFonts w:ascii="Book Antiqua" w:eastAsia="Book Antiqua" w:hAnsi="Book Antiqua" w:cs="Book Antiqua"/>
          <w:color w:val="000000"/>
        </w:rPr>
        <w:t>’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groups,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0.8%,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2.7%,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30%,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respectively.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Enninga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Theiler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explants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model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observe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differences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innate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immune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response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replication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</w:t>
      </w:r>
      <w:r w:rsidR="00141699">
        <w:rPr>
          <w:rFonts w:ascii="Book Antiqua" w:eastAsia="Book Antiqua" w:hAnsi="Book Antiqua" w:cs="Book Antiqua"/>
          <w:color w:val="000000"/>
        </w:rPr>
        <w:t>ereas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absent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placentae,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accordance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robust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immune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response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tissue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compared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explain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decrease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subsequent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severe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stages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gestation.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strong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neurotropism,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especially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neuroblasts.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mitotically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neuroblasts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region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brain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explain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CT/MRI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examinations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replication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ependymal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cells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germinal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matrix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inflammation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necrosis,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leading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necrotizing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ependymitis,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aqueductal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obstruction,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lesions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[15,17]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Gyral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malformations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explained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disruption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migrations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Brain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tissue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analysis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deceased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neonates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unveiled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infiltration,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encephalomalacia,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glial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proliferation,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perivascular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edema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histologically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examined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tissues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revealed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myocarditis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extramedullary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hematopoiesis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</w:p>
    <w:p w14:paraId="6B83E2CC" w14:textId="20BEDBBA" w:rsidR="00A77B3E" w:rsidRPr="00ED6CC7" w:rsidRDefault="00792CEA" w:rsidP="005A3D42">
      <w:pPr>
        <w:tabs>
          <w:tab w:val="left" w:pos="360"/>
        </w:tabs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According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analyzed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full</w:t>
      </w:r>
      <w:r w:rsidR="00CB0B7A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3080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Wright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754F" w:rsidRPr="00ED6CC7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66754F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time.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product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gestation,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3520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appropriate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gestational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suggest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acquired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significant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growth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restriction.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CB0B7A">
        <w:rPr>
          <w:rFonts w:ascii="Book Antiqua" w:eastAsia="Book Antiqua" w:hAnsi="Book Antiqua" w:cs="Book Antiqua"/>
          <w:color w:val="000000"/>
        </w:rPr>
        <w:t>’</w:t>
      </w:r>
      <w:r w:rsidRPr="00ED6CC7">
        <w:rPr>
          <w:rFonts w:ascii="Book Antiqua" w:eastAsia="Book Antiqua" w:hAnsi="Book Antiqua" w:cs="Book Antiqua"/>
          <w:color w:val="000000"/>
        </w:rPr>
        <w:t>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descriptions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hAnsi="Book Antiqua" w:cs="Book Antiqua"/>
          <w:color w:val="000000"/>
          <w:lang w:eastAsia="zh-CN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horioretinitis,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psychomotor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retardation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delay,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spastic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quadriplegia,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atrophy.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transmitted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utero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damages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brain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retina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87.50%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Besides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the </w:t>
      </w:r>
      <w:r w:rsidRPr="00ED6CC7">
        <w:rPr>
          <w:rFonts w:ascii="Book Antiqua" w:eastAsia="Book Antiqua" w:hAnsi="Book Antiqua" w:cs="Book Antiqua"/>
          <w:color w:val="000000"/>
        </w:rPr>
        <w:t>above</w:t>
      </w:r>
      <w:r w:rsidR="00CB0B7A">
        <w:rPr>
          <w:rFonts w:ascii="Book Antiqua" w:eastAsia="Book Antiqua" w:hAnsi="Book Antiqua" w:cs="Book Antiqua"/>
          <w:color w:val="000000"/>
        </w:rPr>
        <w:t>-</w:t>
      </w:r>
      <w:r w:rsidRPr="00ED6CC7">
        <w:rPr>
          <w:rFonts w:ascii="Book Antiqua" w:eastAsia="Book Antiqua" w:hAnsi="Book Antiqua" w:cs="Book Antiqua"/>
          <w:color w:val="000000"/>
        </w:rPr>
        <w:t>mentioned,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visual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impairment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nystagmus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esotropia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microphthalmia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exotropia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cataract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blepharoptosis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glaucoma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conjunctivitis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</w:t>
      </w:r>
      <w:r w:rsidR="00CB0B7A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coloboma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Previous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shown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>i</w:t>
      </w:r>
      <w:r w:rsidR="00CB0B7A" w:rsidRPr="00ED6CC7">
        <w:rPr>
          <w:rFonts w:ascii="Book Antiqua" w:eastAsia="Book Antiqua" w:hAnsi="Book Antiqua" w:cs="Book Antiqua"/>
          <w:color w:val="000000"/>
        </w:rPr>
        <w:t>s</w:t>
      </w:r>
      <w:r w:rsidR="00CB0B7A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88</w:t>
      </w:r>
      <w:r w:rsidR="00CB0B7A">
        <w:rPr>
          <w:rFonts w:ascii="Book Antiqua" w:eastAsia="Book Antiqua" w:hAnsi="Book Antiqua" w:cs="Book Antiqua"/>
          <w:color w:val="000000"/>
        </w:rPr>
        <w:t>%</w:t>
      </w:r>
      <w:r w:rsidRPr="00ED6CC7">
        <w:rPr>
          <w:rFonts w:ascii="Book Antiqua" w:eastAsia="Book Antiqua" w:hAnsi="Book Antiqua" w:cs="Book Antiqua"/>
          <w:color w:val="000000"/>
        </w:rPr>
        <w:t>-100%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[17</w:t>
      </w:r>
      <w:r w:rsidR="0066754F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19,21]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eye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examinations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United States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generalized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periphery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(71%)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(29%)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followed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atrophy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nystagmus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(24%).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seldom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[7,20,22]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(7.06%).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Cohen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[23],</w:t>
      </w:r>
      <w:r w:rsidR="00741A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incidence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(7.40%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deficits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often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bilateral.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Bonthius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754F" w:rsidRPr="00ED6CC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auditory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sensation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preserved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evaluated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deficits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under-diagnosis;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therefore,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baseline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auditory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assessment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recommended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Among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64A83">
        <w:rPr>
          <w:rFonts w:ascii="Book Antiqua" w:eastAsia="Book Antiqua" w:hAnsi="Book Antiqua" w:cs="Book Antiqua"/>
          <w:color w:val="000000"/>
        </w:rPr>
        <w:t xml:space="preserve">3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hydrops,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3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skin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lesions,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2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splenomegaly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hepatosplenomegaly,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1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abnormality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(single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pulmonary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atresia),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1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limb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dysplasia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(clinodactyly)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[17,20,24,25].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</w:p>
    <w:p w14:paraId="3DA0A678" w14:textId="2A7A3695" w:rsidR="00A77B3E" w:rsidRPr="00ED6CC7" w:rsidRDefault="00792CEA" w:rsidP="005A3D4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Imaging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techniques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and/or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structural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anomalies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ventriculomegaly,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gyral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malformations.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have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displayed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parenchymal,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ependymal,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subependymal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total),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encephalomalacia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cerebellar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hypoplasia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shizencephaly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colpocephaly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cerebellar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dysgenesis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(6),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colpocephaly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(3),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encephalomalacia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agenesis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septum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pellucidum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corpus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callosum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(2),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migration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disorders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</w:t>
      </w:r>
      <w:r w:rsidR="00CB0B7A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porencephaly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(1).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2007,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Bonthius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B0B7A" w:rsidRPr="00ED6CC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size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harbor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therefore,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testing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mainstay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transferred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immunoglobulin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(IgG)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interfere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reason,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advised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IgM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IgG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titers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IFA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ELISA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 xml:space="preserve">equally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RT-PCR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>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usual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target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RT-PCR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nucleoprotein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Information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regarding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outcomes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deaths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terminated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death.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total,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mortality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16.47%.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</w:t>
      </w:r>
      <w:r w:rsidR="00CB0B7A">
        <w:rPr>
          <w:rFonts w:ascii="Book Antiqua" w:eastAsia="Book Antiqua" w:hAnsi="Book Antiqua" w:cs="Book Antiqua"/>
          <w:color w:val="000000"/>
        </w:rPr>
        <w:t>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previously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mortality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35%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[17].</w:t>
      </w:r>
      <w:r w:rsidR="00741A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possible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explanation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larger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confirmed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better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recognition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greater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availability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methods.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Long-term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sequelae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after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severe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66-67%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[27,28]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psychomotor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retardation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63.38%,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epilepsy-like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35.21%,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spastic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quadriplegia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33.80%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children.</w:t>
      </w:r>
    </w:p>
    <w:p w14:paraId="571F14E5" w14:textId="42E09D6F" w:rsidR="00A77B3E" w:rsidRPr="00ED6CC7" w:rsidRDefault="00792CEA" w:rsidP="005A3D4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Bonthius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754F" w:rsidRPr="00ED6CC7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women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birth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flu-like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illness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gestation.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Vilibic-Cavlek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754F" w:rsidRPr="00ED6CC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significant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predictors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seropositivity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cleaning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nests.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risk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individuals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information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three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times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higher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regarding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exposure,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flu-like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illness,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period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(trimester)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45,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46,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respectively.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71.11%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44.44%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flu-like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illness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developed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60.71%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women.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According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available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primarily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occurs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second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addition,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acquired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trimester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increased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risk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spontaneous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abortion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[9,18,27]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limited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about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women.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Riera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741A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1.6%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Argentinian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seropositive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but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absence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excluded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French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positive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obtained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3.9%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women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seropositive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but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IgM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ED6CC7">
        <w:rPr>
          <w:rFonts w:ascii="Book Antiqua" w:eastAsia="Book Antiqua" w:hAnsi="Book Antiqua" w:cs="Book Antiqua"/>
          <w:color w:val="000000"/>
        </w:rPr>
        <w:t>.</w:t>
      </w:r>
    </w:p>
    <w:p w14:paraId="5E718415" w14:textId="0D18363E" w:rsidR="00A77B3E" w:rsidRPr="00ED6CC7" w:rsidRDefault="00792CEA" w:rsidP="005A3D4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major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expanded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084067" w:rsidRPr="00084067">
        <w:rPr>
          <w:rFonts w:ascii="Book Antiqua" w:eastAsia="Book Antiqua" w:hAnsi="Book Antiqua" w:cs="Book Antiqua"/>
          <w:color w:val="000000"/>
        </w:rPr>
        <w:t xml:space="preserve">TORCH </w:t>
      </w:r>
      <w:r w:rsidR="00C55141">
        <w:rPr>
          <w:rFonts w:ascii="Book Antiqua" w:eastAsia="Book Antiqua" w:hAnsi="Book Antiqua" w:cs="Book Antiqua"/>
          <w:color w:val="000000"/>
        </w:rPr>
        <w:t>(</w:t>
      </w:r>
      <w:r w:rsidR="00084067" w:rsidRPr="00084067">
        <w:rPr>
          <w:rFonts w:ascii="Book Antiqua" w:eastAsia="Book Antiqua" w:hAnsi="Book Antiqua" w:cs="Book Antiqua"/>
          <w:color w:val="000000"/>
        </w:rPr>
        <w:t xml:space="preserve">T: </w:t>
      </w:r>
      <w:r w:rsidR="00084067" w:rsidRPr="003010FD">
        <w:rPr>
          <w:rFonts w:ascii="Book Antiqua" w:eastAsia="Book Antiqua" w:hAnsi="Book Antiqua" w:cs="Book Antiqua"/>
          <w:i/>
          <w:iCs/>
          <w:color w:val="000000"/>
        </w:rPr>
        <w:t>Toxoplasma</w:t>
      </w:r>
      <w:r w:rsidR="009622D0" w:rsidRPr="003010FD">
        <w:rPr>
          <w:rFonts w:ascii="Book Antiqua" w:eastAsia="Book Antiqua" w:hAnsi="Book Antiqua" w:cs="Book Antiqua"/>
          <w:i/>
          <w:iCs/>
          <w:color w:val="000000"/>
        </w:rPr>
        <w:t xml:space="preserve"> gondii</w:t>
      </w:r>
      <w:r w:rsidR="00084067" w:rsidRPr="00084067">
        <w:rPr>
          <w:rFonts w:ascii="Book Antiqua" w:eastAsia="Book Antiqua" w:hAnsi="Book Antiqua" w:cs="Book Antiqua"/>
          <w:color w:val="000000"/>
        </w:rPr>
        <w:t xml:space="preserve">, O: Other </w:t>
      </w:r>
      <w:r w:rsidR="009622D0">
        <w:rPr>
          <w:rFonts w:ascii="Book Antiqua" w:eastAsia="Book Antiqua" w:hAnsi="Book Antiqua" w:cs="Book Antiqua"/>
          <w:color w:val="000000"/>
        </w:rPr>
        <w:t>pathogens</w:t>
      </w:r>
      <w:r w:rsidR="00084067" w:rsidRPr="00084067">
        <w:rPr>
          <w:rFonts w:ascii="Book Antiqua" w:eastAsia="Book Antiqua" w:hAnsi="Book Antiqua" w:cs="Book Antiqua"/>
          <w:color w:val="000000"/>
        </w:rPr>
        <w:t>, R: Rubella virus, C:</w:t>
      </w:r>
      <w:r w:rsidR="00A17620">
        <w:rPr>
          <w:rFonts w:ascii="Book Antiqua" w:eastAsia="Book Antiqua" w:hAnsi="Book Antiqua" w:cs="Book Antiqua"/>
          <w:color w:val="000000"/>
        </w:rPr>
        <w:t xml:space="preserve"> </w:t>
      </w:r>
      <w:r w:rsidR="009622D0">
        <w:rPr>
          <w:rFonts w:ascii="Book Antiqua" w:eastAsia="Book Antiqua" w:hAnsi="Book Antiqua" w:cs="Book Antiqua"/>
          <w:color w:val="000000"/>
        </w:rPr>
        <w:t>Cytomegalovirus</w:t>
      </w:r>
      <w:r w:rsidR="00A23DD4">
        <w:rPr>
          <w:rFonts w:ascii="Book Antiqua" w:eastAsia="Book Antiqua" w:hAnsi="Book Antiqua" w:cs="Book Antiqua"/>
          <w:color w:val="000000"/>
        </w:rPr>
        <w:t xml:space="preserve"> </w:t>
      </w:r>
      <w:r w:rsidR="00C55141">
        <w:rPr>
          <w:rFonts w:ascii="Book Antiqua" w:eastAsia="Book Antiqua" w:hAnsi="Book Antiqua" w:cs="Book Antiqua"/>
          <w:color w:val="000000"/>
        </w:rPr>
        <w:t>[</w:t>
      </w:r>
      <w:r w:rsidR="00A23DD4">
        <w:rPr>
          <w:rFonts w:ascii="Book Antiqua" w:eastAsia="Book Antiqua" w:hAnsi="Book Antiqua" w:cs="Book Antiqua"/>
          <w:color w:val="000000"/>
        </w:rPr>
        <w:t>CMV</w:t>
      </w:r>
      <w:r w:rsidR="00C55141">
        <w:rPr>
          <w:rFonts w:ascii="Book Antiqua" w:eastAsia="Book Antiqua" w:hAnsi="Book Antiqua" w:cs="Book Antiqua"/>
          <w:color w:val="000000"/>
        </w:rPr>
        <w:t>]</w:t>
      </w:r>
      <w:r w:rsidR="00084067" w:rsidRPr="00084067">
        <w:rPr>
          <w:rFonts w:ascii="Book Antiqua" w:eastAsia="Book Antiqua" w:hAnsi="Book Antiqua" w:cs="Book Antiqua"/>
          <w:color w:val="000000"/>
        </w:rPr>
        <w:t xml:space="preserve">, H: Herpes </w:t>
      </w:r>
      <w:r w:rsidR="009622D0">
        <w:rPr>
          <w:rFonts w:ascii="Book Antiqua" w:eastAsia="Book Antiqua" w:hAnsi="Book Antiqua" w:cs="Book Antiqua"/>
          <w:color w:val="000000"/>
        </w:rPr>
        <w:t xml:space="preserve">simplex </w:t>
      </w:r>
      <w:r w:rsidR="00084067" w:rsidRPr="00084067">
        <w:rPr>
          <w:rFonts w:ascii="Book Antiqua" w:eastAsia="Book Antiqua" w:hAnsi="Book Antiqua" w:cs="Book Antiqua"/>
          <w:color w:val="000000"/>
        </w:rPr>
        <w:t>virus</w:t>
      </w:r>
      <w:r w:rsidR="00A23DD4">
        <w:rPr>
          <w:rFonts w:ascii="Book Antiqua" w:eastAsia="Book Antiqua" w:hAnsi="Book Antiqua" w:cs="Book Antiqua"/>
          <w:color w:val="000000"/>
        </w:rPr>
        <w:t xml:space="preserve"> </w:t>
      </w:r>
      <w:r w:rsidR="00C55141">
        <w:rPr>
          <w:rFonts w:ascii="Book Antiqua" w:eastAsia="Book Antiqua" w:hAnsi="Book Antiqua" w:cs="Book Antiqua"/>
          <w:color w:val="000000"/>
        </w:rPr>
        <w:t>[</w:t>
      </w:r>
      <w:r w:rsidR="00A23DD4">
        <w:rPr>
          <w:rFonts w:ascii="Book Antiqua" w:eastAsia="Book Antiqua" w:hAnsi="Book Antiqua" w:cs="Book Antiqua"/>
          <w:color w:val="000000"/>
        </w:rPr>
        <w:t>HSV]</w:t>
      </w:r>
      <w:r w:rsidR="00C55141">
        <w:rPr>
          <w:rFonts w:ascii="Book Antiqua" w:eastAsia="Book Antiqua" w:hAnsi="Book Antiqua" w:cs="Book Antiqua"/>
          <w:color w:val="000000"/>
        </w:rPr>
        <w:t>)</w:t>
      </w:r>
      <w:r w:rsidR="00537E08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acronym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(parvovirus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B-19,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varicella-zoster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55141">
        <w:rPr>
          <w:rFonts w:ascii="Book Antiqua" w:eastAsia="Book Antiqua" w:hAnsi="Book Antiqua" w:cs="Book Antiqua"/>
          <w:color w:val="000000"/>
        </w:rPr>
        <w:t>[</w:t>
      </w:r>
      <w:r w:rsidRPr="00ED6CC7">
        <w:rPr>
          <w:rFonts w:ascii="Book Antiqua" w:eastAsia="Book Antiqua" w:hAnsi="Book Antiqua" w:cs="Book Antiqua"/>
          <w:color w:val="000000"/>
        </w:rPr>
        <w:t>VZV</w:t>
      </w:r>
      <w:r w:rsidR="00C55141">
        <w:rPr>
          <w:rFonts w:ascii="Book Antiqua" w:eastAsia="Book Antiqua" w:hAnsi="Book Antiqua" w:cs="Book Antiqua"/>
          <w:color w:val="000000"/>
        </w:rPr>
        <w:t>]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Treponema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pallidum</w:t>
      </w:r>
      <w:r w:rsidRPr="00ED6CC7">
        <w:rPr>
          <w:rFonts w:ascii="Book Antiqua" w:eastAsia="Book Antiqua" w:hAnsi="Book Antiqua" w:cs="Book Antiqua"/>
          <w:color w:val="000000"/>
        </w:rPr>
        <w:t>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[18,32,33]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C55141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toxoplasmosis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significantly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overlap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</w:t>
      </w:r>
      <w:r w:rsidR="00C55141">
        <w:rPr>
          <w:rFonts w:ascii="Book Antiqua" w:eastAsia="Book Antiqua" w:hAnsi="Book Antiqua" w:cs="Book Antiqua"/>
          <w:color w:val="000000"/>
        </w:rPr>
        <w:t>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macrocephaly,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[18,33]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toxoplasmosis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usually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contrast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Parvovirus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B-19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known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hydrops.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several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hydrops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must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taken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consideration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varicella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atrophy,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limb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hypoplasia,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cataract,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microphthalmia,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Horner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latter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rubella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abnormalities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(atrial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septal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defects,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ductus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arteriosus),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cataracts,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loss,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uncommon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Generalized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salt-and-pepper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retinopathy,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rubella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never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documented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LCMV-infected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[18,24,34]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particularly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difficult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combined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</w:t>
      </w:r>
      <w:r w:rsidR="00C55141">
        <w:rPr>
          <w:rFonts w:ascii="Book Antiqua" w:eastAsia="Book Antiqua" w:hAnsi="Book Antiqua" w:cs="Book Antiqua"/>
          <w:color w:val="000000"/>
        </w:rPr>
        <w:t>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macrocephaly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[18,24,32-34]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associated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hepatosplenomegaly,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impairment,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skin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lesions,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rarity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[18,33,34]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overlap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between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HSV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acute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necrosis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scarring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after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HSV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quite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distinctive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[24,34]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Characteristic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signs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syphilis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skin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lesions,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lymphadenopathy,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hepatosplenomegaly,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salt-and-pepper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retinopathy,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abnormalities.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infrequent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non-existent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[18,24,33,34]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similarities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between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X-linked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chromosomal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disorder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occurring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females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[22,35]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distinctive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hemivertebrae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vertebrae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agenesis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corpus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callosum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[17,22,35]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Yu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741A0D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agenesis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corpus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callosum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Therefore,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suspected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besides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testing,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advisable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perform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analysis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[22,35].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disorders,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must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mistaken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Aicardi-Goutières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completely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distinct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similarly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named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known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genotypes,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distinguished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progressive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course,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worsening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acute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episodes,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high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levels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interferon</w:t>
      </w:r>
      <w:r w:rsidR="00C55141">
        <w:rPr>
          <w:rFonts w:ascii="Book Antiqua" w:eastAsia="Book Antiqua" w:hAnsi="Book Antiqua" w:cs="Book Antiqua"/>
          <w:color w:val="000000"/>
        </w:rPr>
        <w:t xml:space="preserve"> alpha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cerebrospinal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fluid,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intracranial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located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basal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ganglia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</w:p>
    <w:p w14:paraId="43E5133D" w14:textId="5C1E4832" w:rsidR="00A77B3E" w:rsidRPr="00ED6CC7" w:rsidRDefault="00792CEA" w:rsidP="005A3D4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Effective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therapy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developed.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Ribavirin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inhibitory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activity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against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5A3D42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41A0D" w:rsidRPr="005A3D4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A3D42">
        <w:rPr>
          <w:rFonts w:ascii="Book Antiqua" w:eastAsia="Book Antiqua" w:hAnsi="Book Antiqua" w:cs="Book Antiqua"/>
          <w:i/>
          <w:iCs/>
          <w:color w:val="000000"/>
        </w:rPr>
        <w:t>vitro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however,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trials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confirmed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efficacy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limited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off-label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particularly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possible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effects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decade,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favipiravir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promising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cytotoxicity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robust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activity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against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arenaviruses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but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trials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determine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anti-LCMV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effect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lastRenderedPageBreak/>
        <w:t>date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umifenovir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monoclonal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possible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therapeutic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against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Pr="00ED6CC7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</w:p>
    <w:p w14:paraId="461FDD6E" w14:textId="1D05A766" w:rsidR="00A77B3E" w:rsidRPr="00ED6CC7" w:rsidRDefault="00792CEA" w:rsidP="005A3D42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literature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mini-review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limitations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regarding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certain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unavailability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previously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discussed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data,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potential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conclusions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drawn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analysis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small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size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Further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larger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number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participants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needed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better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understand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</w:p>
    <w:p w14:paraId="4F7EAFB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A2892EB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1991020" w14:textId="73C0A3D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summary,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rodent-borne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arenavirus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recognized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acronym.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55141">
        <w:rPr>
          <w:rFonts w:ascii="Book Antiqua" w:eastAsia="Book Antiqua" w:hAnsi="Book Antiqua" w:cs="Book Antiqua"/>
          <w:color w:val="000000"/>
        </w:rPr>
        <w:t>to date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long-term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disorders.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exposure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risk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factor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consequent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transmission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mainstay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antibodies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samples.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Specific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radiological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Primary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prevention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crucial,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improvement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public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education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about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reducing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household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migrations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avoiding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unnecessary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contact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excreta.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Furthermore,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clinicians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also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become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familiar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importance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unresolved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and/or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always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suspected.</w:t>
      </w:r>
    </w:p>
    <w:p w14:paraId="380C4B6E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AB69074" w14:textId="170A787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41A0D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D6CC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8D095A5" w14:textId="045A69ED" w:rsidR="00A77B3E" w:rsidRDefault="00792CEA" w:rsidP="00ED6CC7">
      <w:pPr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873F48E" w14:textId="4E61CC7C" w:rsidR="0020557E" w:rsidRPr="00ED6CC7" w:rsidRDefault="0020557E" w:rsidP="00ED6CC7">
      <w:pPr>
        <w:spacing w:line="360" w:lineRule="auto"/>
        <w:jc w:val="both"/>
        <w:rPr>
          <w:rFonts w:ascii="Book Antiqua" w:hAnsi="Book Antiqua"/>
        </w:rPr>
      </w:pPr>
      <w:r w:rsidRPr="0020557E">
        <w:rPr>
          <w:rFonts w:ascii="Book Antiqua" w:hAnsi="Book Antiqua"/>
        </w:rPr>
        <w:t>Lymphocytic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choriomeningitis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virus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(LCMV)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is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a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rodent-borne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arenavirus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that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can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be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transmitted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transplacentally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and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cause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congenital</w:t>
      </w:r>
      <w:r w:rsidR="00741A0D">
        <w:rPr>
          <w:rFonts w:ascii="Book Antiqua" w:hAnsi="Book Antiqua"/>
        </w:rPr>
        <w:t xml:space="preserve"> </w:t>
      </w:r>
      <w:r w:rsidRPr="0020557E">
        <w:rPr>
          <w:rFonts w:ascii="Book Antiqua" w:hAnsi="Book Antiqua"/>
        </w:rPr>
        <w:t>infection.</w:t>
      </w:r>
    </w:p>
    <w:p w14:paraId="71AB1FD7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CF179A9" w14:textId="159492A3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2C0DD21" w14:textId="1C6A2D2B" w:rsidR="0020557E" w:rsidRPr="00ED6CC7" w:rsidRDefault="0020557E" w:rsidP="0020557E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Data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scarce.</w:t>
      </w:r>
    </w:p>
    <w:p w14:paraId="7B0EE192" w14:textId="1291634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4F09148" w14:textId="29B87AE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summarize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epidemiological,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features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</w:p>
    <w:p w14:paraId="1C0238B9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C46C236" w14:textId="1499A73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61956383" w14:textId="6D1CB476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literature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search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conducted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PubMed,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Medline,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Google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Scholar,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Researchgate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AF07E4">
        <w:rPr>
          <w:rFonts w:ascii="Book Antiqua" w:eastAsia="Book Antiqua" w:hAnsi="Book Antiqua" w:cs="Book Antiqua"/>
          <w:color w:val="000000"/>
        </w:rPr>
        <w:t>‘</w:t>
      </w:r>
      <w:r w:rsidR="00CB0B7A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>l</w:t>
      </w:r>
      <w:r w:rsidRPr="00ED6CC7">
        <w:rPr>
          <w:rFonts w:ascii="Book Antiqua" w:eastAsia="Book Antiqua" w:hAnsi="Book Antiqua" w:cs="Book Antiqua"/>
          <w:color w:val="000000"/>
        </w:rPr>
        <w:t>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CB0B7A">
        <w:rPr>
          <w:rFonts w:ascii="Book Antiqua" w:eastAsia="Book Antiqua" w:hAnsi="Book Antiqua" w:cs="Book Antiqua"/>
          <w:color w:val="000000"/>
        </w:rPr>
        <w:t>v</w:t>
      </w:r>
      <w:r w:rsidRPr="00ED6CC7">
        <w:rPr>
          <w:rFonts w:ascii="Book Antiqua" w:eastAsia="Book Antiqua" w:hAnsi="Book Antiqua" w:cs="Book Antiqua"/>
          <w:color w:val="000000"/>
        </w:rPr>
        <w:t>irus</w:t>
      </w:r>
      <w:r w:rsidR="00AF07E4">
        <w:rPr>
          <w:rFonts w:ascii="Book Antiqua" w:eastAsia="Book Antiqua" w:hAnsi="Book Antiqua" w:cs="Book Antiqua"/>
          <w:color w:val="000000"/>
        </w:rPr>
        <w:t>’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keywords.</w:t>
      </w:r>
    </w:p>
    <w:p w14:paraId="3B1786E3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09E7454" w14:textId="51FAFA4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9E18765" w14:textId="573BB93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FB4100">
        <w:rPr>
          <w:rFonts w:ascii="Book Antiqua" w:eastAsia="Book Antiqua" w:hAnsi="Book Antiqua" w:cs="Book Antiqua"/>
          <w:color w:val="000000"/>
        </w:rPr>
        <w:t>mini-review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(original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research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reports)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describing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1955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included.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Patients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England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</w:t>
      </w:r>
      <w:r w:rsidR="00630A53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66754F">
        <w:rPr>
          <w:rFonts w:ascii="Book Antiqua" w:eastAsia="Book Antiqua" w:hAnsi="Book Antiqua" w:cs="Book Antiqua"/>
          <w:color w:val="000000"/>
        </w:rPr>
        <w:t>United States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Germany,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Lithuania,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France</w:t>
      </w:r>
      <w:r w:rsidR="00630A53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Canada.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(83.53%),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</w:t>
      </w:r>
      <w:r w:rsidR="00630A53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psychomotor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retardation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(54.12%).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most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findings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computed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tomography/magnetic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resonance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imaging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scans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ventriculomegaly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(74.07%)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periventricular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calcifications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(66.67%).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mortality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16.47%,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terminated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death.</w:t>
      </w:r>
    </w:p>
    <w:p w14:paraId="4C13EF1A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33C8A83D" w14:textId="7884067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3EB064D" w14:textId="50BC6DB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mainly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presented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symptoms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long-term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developmental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disorders.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considered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unresolved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and/or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chorioretinitis.</w:t>
      </w:r>
    </w:p>
    <w:p w14:paraId="5A5D7F27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4FE3EA70" w14:textId="7553238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41A0D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5A59A69" w14:textId="0FF01E5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Further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LCMV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needed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determine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clinical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significance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pathogen.</w:t>
      </w:r>
    </w:p>
    <w:p w14:paraId="6D21922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5CDB1043" w14:textId="77777777" w:rsidR="00CB0B7A" w:rsidRDefault="00CB0B7A" w:rsidP="00ED6C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AF707B" w14:textId="77777777" w:rsidR="00CB0B7A" w:rsidRDefault="00CB0B7A" w:rsidP="00ED6CC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3BF18EB5" w14:textId="5B0BCC7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CFC7ECF" w14:textId="10832ED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Armstrong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Lillie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Experimental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monkeys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produced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encountered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studies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1933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Louis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encephalitis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epidemic.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Public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Health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Rep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1934;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b/>
          <w:color w:val="000000"/>
        </w:rPr>
        <w:t>49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1019-1027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10.2307/4581290]</w:t>
      </w:r>
    </w:p>
    <w:p w14:paraId="3D99A8DC" w14:textId="257C0C4E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Traub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FILTERABLE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RECOVERED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FROM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1935;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81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298-299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17771201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10.1126/science.81.2099.298]</w:t>
      </w:r>
    </w:p>
    <w:p w14:paraId="4AEFDBB5" w14:textId="3277CA4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Tagliapietra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Rosà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Hauffe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Laakkonen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Voutilainen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Vapalahti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Vaheri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Henttonen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Rizzoli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Spatial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temporal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dynamics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rodents,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northern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Italy.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1019-1025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19624914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10.3201/eid1507.081524]</w:t>
      </w:r>
    </w:p>
    <w:p w14:paraId="6ECC9C26" w14:textId="26CDAE5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pediatric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540-541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10391186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</w:t>
      </w:r>
      <w:r w:rsidR="00785620">
        <w:rPr>
          <w:rFonts w:ascii="Book Antiqua" w:eastAsia="Book Antiqua" w:hAnsi="Book Antiqua" w:cs="Book Antiqua"/>
          <w:color w:val="000000"/>
        </w:rPr>
        <w:t>.1097/00006454-199906000-00013</w:t>
      </w:r>
      <w:r w:rsidRPr="00ED6CC7">
        <w:rPr>
          <w:rFonts w:ascii="Book Antiqua" w:eastAsia="Book Antiqua" w:hAnsi="Book Antiqua" w:cs="Book Antiqua"/>
          <w:color w:val="000000"/>
        </w:rPr>
        <w:t>]</w:t>
      </w:r>
    </w:p>
    <w:p w14:paraId="3A8F3F23" w14:textId="7013D8A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Jamieson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Kourtis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Rasmussen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obstetric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pathogen?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2006;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194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1532-1536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16731068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10.1016/j.ajog.2005.11.040]</w:t>
      </w:r>
    </w:p>
    <w:p w14:paraId="2475F9C2" w14:textId="74963ED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Hyndman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NJ.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central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nervous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system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2000;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E35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10699137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10.1542/peds.105.3.e35]</w:t>
      </w:r>
    </w:p>
    <w:p w14:paraId="5CFB4B5C" w14:textId="70E7FA2E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Bonthius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underrecognized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disease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adult.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Semin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2012;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89-95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22889536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10.1016/j.spen.2012.02.002]</w:t>
      </w:r>
    </w:p>
    <w:p w14:paraId="2F86F7FE" w14:textId="313743C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Mrzljak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Novak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Pandak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Tabain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Franusic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Barbic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Bogdanic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Mikulic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Pavicic-Saric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Stevanovic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Vilibic-Cavlek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zoonoses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population.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2020;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47-63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32257849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10.5500/wjt.v10.i3.47]</w:t>
      </w:r>
    </w:p>
    <w:p w14:paraId="67E49081" w14:textId="215E49B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Vilibic-Cavlek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Ferenc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Mrzljak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Barbic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Bogdanic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Stevanovic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Tabain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Ferencak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Zidovec-Lepej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Choriomeningitis-Emerging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Trends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Neglected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Narrative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34070581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10.3390/tropicalmed6020088]</w:t>
      </w:r>
    </w:p>
    <w:p w14:paraId="46889EC6" w14:textId="1E60B5A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lastRenderedPageBreak/>
        <w:t>10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D3175" w:rsidRPr="00ED6CC7">
        <w:rPr>
          <w:rFonts w:ascii="Book Antiqua" w:eastAsia="Book Antiqua" w:hAnsi="Book Antiqua" w:cs="Book Antiqua"/>
          <w:b/>
          <w:bCs/>
          <w:color w:val="000000"/>
        </w:rPr>
        <w:t>K</w:t>
      </w:r>
      <w:r w:rsidR="001D3175">
        <w:rPr>
          <w:rFonts w:ascii="Book Antiqua" w:eastAsia="Book Antiqua" w:hAnsi="Book Antiqua" w:cs="Book Antiqua"/>
          <w:b/>
          <w:bCs/>
          <w:color w:val="000000"/>
        </w:rPr>
        <w:t>omrower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GM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D3175" w:rsidRPr="00ED6CC7">
        <w:rPr>
          <w:rFonts w:ascii="Book Antiqua" w:eastAsia="Book Antiqua" w:hAnsi="Book Antiqua" w:cs="Book Antiqua"/>
          <w:color w:val="000000"/>
        </w:rPr>
        <w:t>W</w:t>
      </w:r>
      <w:r w:rsidR="001D3175">
        <w:rPr>
          <w:rFonts w:ascii="Book Antiqua" w:eastAsia="Book Antiqua" w:hAnsi="Book Antiqua" w:cs="Book Antiqua"/>
          <w:color w:val="000000"/>
        </w:rPr>
        <w:t>illiams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1D3175">
        <w:rPr>
          <w:rFonts w:ascii="Book Antiqua" w:eastAsia="Book Antiqua" w:hAnsi="Book Antiqua" w:cs="Book Antiqua"/>
          <w:color w:val="000000"/>
        </w:rPr>
        <w:t>Stones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PB.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probable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1955;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268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697-698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14354972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10.1016/s0140-6736(55)91066-7]</w:t>
      </w:r>
    </w:p>
    <w:p w14:paraId="023FD9B7" w14:textId="4FB7C9D1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Ackermann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Körver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Turss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Wönne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Hochgesand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[Prenatal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report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(author's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transl)].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Dtsch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Wochenschr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1974;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629-632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4828643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10.1055/s-0028-1107814]</w:t>
      </w:r>
    </w:p>
    <w:p w14:paraId="668FF567" w14:textId="1BE677DD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Sheinbergas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prenatal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1976;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185-191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1017876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10.1007/BF01638922]</w:t>
      </w:r>
    </w:p>
    <w:p w14:paraId="3BC66BE7" w14:textId="01951A05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Chastel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Bosshard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Goff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</w:t>
      </w:r>
      <w:r w:rsidR="00785620">
        <w:rPr>
          <w:rFonts w:ascii="Book Antiqua" w:eastAsia="Book Antiqua" w:hAnsi="Book Antiqua" w:cs="Book Antiqua"/>
          <w:color w:val="000000"/>
        </w:rPr>
        <w:t>uillien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MC,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Gilly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Aymard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Transplacental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Results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retrospective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</w:t>
      </w:r>
      <w:r w:rsidR="00785620">
        <w:rPr>
          <w:rFonts w:ascii="Book Antiqua" w:eastAsia="Book Antiqua" w:hAnsi="Book Antiqua" w:cs="Book Antiqua"/>
          <w:color w:val="000000"/>
        </w:rPr>
        <w:t>rance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(author's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transl)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Nouv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Presse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1978;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1089-1092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662624]</w:t>
      </w:r>
    </w:p>
    <w:p w14:paraId="46265496" w14:textId="009E918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Larsen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PD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Chartrand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Tomashek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Hauser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complicating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1993;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528-531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8345985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10.1097/00006454-199306000-00013]</w:t>
      </w:r>
    </w:p>
    <w:p w14:paraId="4787C5E6" w14:textId="5A2A8235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Schulte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Erickson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Rollin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Nichol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Lehman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underdiagnosed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neonatal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2006;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560-562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16732159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10.1097/01.inf.0000219409.57917.35]</w:t>
      </w:r>
    </w:p>
    <w:p w14:paraId="3EBFE65E" w14:textId="0B68599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Enninga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EAL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Theiler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Demonstrates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Higher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Replicative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Capacity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Decreased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Antiviral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Response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First-Trimester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Placenta.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2019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7375217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30882005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10.1155/2019/7375217]</w:t>
      </w:r>
    </w:p>
    <w:p w14:paraId="62F56782" w14:textId="729E1CF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Wright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Johnson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Neumann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Rollin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Keech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Bonthius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Hitchon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Grose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Jr.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syndrome: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disease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mimics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toxoplasmosis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Cytomegalovirus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1997;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9200383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10.1542/peds.100.1.e9]</w:t>
      </w:r>
    </w:p>
    <w:p w14:paraId="7B90CB60" w14:textId="674774D6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18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rediscovery.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370-374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</w:t>
      </w:r>
      <w:r w:rsidR="00785620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11438904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10.1086/321897</w:t>
      </w:r>
      <w:r w:rsidRPr="00ED6CC7">
        <w:rPr>
          <w:rFonts w:ascii="Book Antiqua" w:eastAsia="Book Antiqua" w:hAnsi="Book Antiqua" w:cs="Book Antiqua"/>
          <w:color w:val="000000"/>
        </w:rPr>
        <w:t>]</w:t>
      </w:r>
    </w:p>
    <w:p w14:paraId="7CD72A51" w14:textId="78286316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lastRenderedPageBreak/>
        <w:t>19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Bonthius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Wright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Tseng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Barton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Marco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Karacay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Larsen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PD.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spectrum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disease.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2007;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347-355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1755</w:t>
      </w:r>
      <w:r w:rsidR="00785620">
        <w:rPr>
          <w:rFonts w:ascii="Book Antiqua" w:eastAsia="Book Antiqua" w:hAnsi="Book Antiqua" w:cs="Book Antiqua"/>
          <w:color w:val="000000"/>
        </w:rPr>
        <w:t>7350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10.1002/ana.21161</w:t>
      </w:r>
      <w:r w:rsidRPr="00ED6CC7">
        <w:rPr>
          <w:rFonts w:ascii="Book Antiqua" w:eastAsia="Book Antiqua" w:hAnsi="Book Antiqua" w:cs="Book Antiqua"/>
          <w:color w:val="000000"/>
        </w:rPr>
        <w:t>]</w:t>
      </w:r>
    </w:p>
    <w:p w14:paraId="657F5CC9" w14:textId="0D930EFD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Anderson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Levy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Leonard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Smyser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Tychsen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consider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2014;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837-842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23666045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10.1177/0883073813486295</w:t>
      </w:r>
      <w:r w:rsidRPr="00ED6CC7">
        <w:rPr>
          <w:rFonts w:ascii="Book Antiqua" w:eastAsia="Book Antiqua" w:hAnsi="Book Antiqua" w:cs="Book Antiqua"/>
          <w:color w:val="000000"/>
        </w:rPr>
        <w:t>]</w:t>
      </w:r>
    </w:p>
    <w:p w14:paraId="6217727E" w14:textId="3AF6451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Mets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Childhood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blindness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visual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loss: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assessment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institutions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including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AF07E4">
        <w:rPr>
          <w:rFonts w:ascii="Book Antiqua" w:eastAsia="Book Antiqua" w:hAnsi="Book Antiqua" w:cs="Book Antiqua"/>
          <w:color w:val="000000"/>
        </w:rPr>
        <w:t>‘</w:t>
      </w:r>
      <w:r w:rsidRPr="00ED6CC7">
        <w:rPr>
          <w:rFonts w:ascii="Book Antiqua" w:eastAsia="Book Antiqua" w:hAnsi="Book Antiqua" w:cs="Book Antiqua"/>
          <w:color w:val="000000"/>
        </w:rPr>
        <w:t>new</w:t>
      </w:r>
      <w:r w:rsidR="00AF07E4">
        <w:rPr>
          <w:rFonts w:ascii="Book Antiqua" w:eastAsia="Book Antiqua" w:hAnsi="Book Antiqua" w:cs="Book Antiqua"/>
          <w:color w:val="000000"/>
        </w:rPr>
        <w:t>’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Trans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653-696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10703143]</w:t>
      </w:r>
    </w:p>
    <w:p w14:paraId="3890460F" w14:textId="7BBCC1C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Kinori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Schwartzstein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Zeid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Kurup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virus-an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underdiagnosed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AAPOS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2018;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79-81.e1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29274373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10.1016/j.jaapos.2017.08.011]</w:t>
      </w:r>
    </w:p>
    <w:p w14:paraId="11DC71B6" w14:textId="08342F9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Cohen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Durstenfeld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Roehm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PC.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loss: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hearing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health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professionals.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Hear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2014;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25080364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="00785620">
        <w:rPr>
          <w:rFonts w:ascii="Book Antiqua" w:eastAsia="Book Antiqua" w:hAnsi="Book Antiqua" w:cs="Book Antiqua"/>
          <w:color w:val="000000"/>
        </w:rPr>
        <w:t>10.1177/2331216514541361</w:t>
      </w:r>
      <w:r w:rsidRPr="00ED6CC7">
        <w:rPr>
          <w:rFonts w:ascii="Book Antiqua" w:eastAsia="Book Antiqua" w:hAnsi="Book Antiqua" w:cs="Book Antiqua"/>
          <w:color w:val="000000"/>
        </w:rPr>
        <w:t>]</w:t>
      </w:r>
    </w:p>
    <w:p w14:paraId="510318CD" w14:textId="0F02C8D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Mets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Barton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Khan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underdiagnosed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2000;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209-215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11004296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10.1016/S0002-9394(00)00570-5]</w:t>
      </w:r>
    </w:p>
    <w:p w14:paraId="7EDB4776" w14:textId="0E926E3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Greenhow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Weintrub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Your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please.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Neonate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2003;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1099,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1111-1112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14700046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10.1097/01.inf.0000101782.55760.3c]</w:t>
      </w:r>
    </w:p>
    <w:p w14:paraId="3D5175A6" w14:textId="4E15F2D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Rawlinson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WD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Jones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Jeffery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Arbuckle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Graf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Howard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Morris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Viruses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stillbirth: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evidence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should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doing?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Pathology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2008;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149-160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18203037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10.1080/00313020701813792]</w:t>
      </w:r>
    </w:p>
    <w:p w14:paraId="791B3DD7" w14:textId="632CA82D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El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Feghaly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RE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Hunstad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Newborn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Hydrops,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Hydrocephalus,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Ophthalmologic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Abnormalities.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Pediatric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2013;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391-393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26619503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10.1093/jpids/pit047]</w:t>
      </w:r>
    </w:p>
    <w:p w14:paraId="25204776" w14:textId="684DB8E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28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Delaine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Weingertner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Nougairede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Lepiller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Q,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Fafi-Kremer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Favre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Charrel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Microcephaly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2017;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1548-1550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28820372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10.3201/eid2309.170775]</w:t>
      </w:r>
    </w:p>
    <w:p w14:paraId="62623223" w14:textId="6283B0B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lastRenderedPageBreak/>
        <w:t>29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Vilibic-Cavlek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Oreski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Korva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Kolaric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Stevanovic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Zidovec-Lepej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Tabain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Jelicic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Miklausic-Pavic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Savic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Barbic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Avsic-Zupanc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Prevalence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Risk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Factors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Continental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Regions.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Trop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33947040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10.3390/tropicalmed6020067]</w:t>
      </w:r>
    </w:p>
    <w:p w14:paraId="6C2A525D" w14:textId="6812975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Riera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Castillo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Carmen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Saavedra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Priotto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Sottosanti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Polop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Ambrosio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(LCMV)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inner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city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Argentina.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Virol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2005;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285-289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15834871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10.1002/jmv.20357]</w:t>
      </w:r>
    </w:p>
    <w:p w14:paraId="2EA697F9" w14:textId="54F9C27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Hannachi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Freymuth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Luton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Herlicoviez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Oury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Boukadida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Lebon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anomalies].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Pathol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(Paris)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e85-e87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19896295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10.1016/j.patbio.2009.06.001]</w:t>
      </w:r>
    </w:p>
    <w:p w14:paraId="4820EB5F" w14:textId="47923135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Mets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Chhabra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Eye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impact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childhood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blindness.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Surv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2008;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95-111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18348876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10.1016/j.survophthal.2007.12.003]</w:t>
      </w:r>
    </w:p>
    <w:p w14:paraId="31F27307" w14:textId="2E9867B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Bale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JF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2002;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1039-1060,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12616680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10.1016/s0733-8619(02)00014-2]</w:t>
      </w:r>
    </w:p>
    <w:p w14:paraId="3D33B360" w14:textId="671FD0E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Mets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MB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Eye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manifestations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intrauterine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521-531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11705152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10.1016/s0896-1549(05)70250-9]</w:t>
      </w:r>
    </w:p>
    <w:p w14:paraId="03754FEE" w14:textId="467BDA7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Yu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JT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Culican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Tychsen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Aicardi-like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maldevelopment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corpus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callosum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AAPOS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2006;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58-60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16527682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10.1016/j.jaapos.2005.09.009]</w:t>
      </w:r>
    </w:p>
    <w:p w14:paraId="46882012" w14:textId="7A72087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Farmer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Sébire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Genetic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mimics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encephalitis.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2008;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353-355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18409198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10.1002/ana.21386]</w:t>
      </w:r>
    </w:p>
    <w:p w14:paraId="6F433EBC" w14:textId="796653E5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Enders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Varho-Göbel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Löhler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Terletskaia-Ladwig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Eggers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underdiagnosed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disease.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652-655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10440448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10.1097/00006454-199907000-00020]</w:t>
      </w:r>
    </w:p>
    <w:p w14:paraId="01CA973B" w14:textId="523F582E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38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Sheinbergas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Lewis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Thacker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WL,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Verikiene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VV.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Serological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diagnosis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prenatally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Immun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1981;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837-838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7216477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10.1128/iai.31.2.837-838.1981]</w:t>
      </w:r>
    </w:p>
    <w:p w14:paraId="54185952" w14:textId="1C4D1E31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lastRenderedPageBreak/>
        <w:t>39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Meritet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Krivine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Lewin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Poissonnier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Poizat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Loget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Rozenberg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Lebon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(LCMV)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revealed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hydrops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fetalis.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Prenat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2009;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626-627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19253314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10.1002/pd.2240]</w:t>
      </w:r>
    </w:p>
    <w:p w14:paraId="4527830C" w14:textId="62883001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Brézin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Thulliez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Cisneros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Saron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MF.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mimicking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ocular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toxoplasmosis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otherwise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normal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children.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2000;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245-247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11004308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10.1016/s0002-9394(00)00563-8]</w:t>
      </w:r>
    </w:p>
    <w:p w14:paraId="17DB2F31" w14:textId="2F876180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Budd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Morfitt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Peters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Schindler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RF,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Yoshino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MT.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twins.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1993;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942-946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8265286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10.1097/00006454-199311000-00010]</w:t>
      </w:r>
    </w:p>
    <w:p w14:paraId="4EAE1762" w14:textId="184B481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42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Peters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Ksiazek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TG.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unrecognized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pathogen.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1995;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152-153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8903188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10.3201/eid0104.950410]</w:t>
      </w:r>
    </w:p>
    <w:p w14:paraId="07C3E75E" w14:textId="5DB04EB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43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Peters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CJ,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Seaver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LH,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Chartrand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Adolesc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1996;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150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440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8634744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10.1001/archpedi.1996.02170290106019]</w:t>
      </w:r>
    </w:p>
    <w:p w14:paraId="018FAFAF" w14:textId="67A795BB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Bechtel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RT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Haught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KA,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new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addition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TORCH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evaluation.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1997;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680-681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9152144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10.1001/archopht.1997.01100150682027]</w:t>
      </w:r>
    </w:p>
    <w:p w14:paraId="00537856" w14:textId="67DB7158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45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Barton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MB,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Beauchamp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CL.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emerging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fetal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teratogen.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Obstet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Gynecol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2002;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187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1715-1716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12501090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10.1067/mob.2002.126297]</w:t>
      </w:r>
    </w:p>
    <w:p w14:paraId="1D3C31B8" w14:textId="29671FAD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46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Bou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Ghannam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Chang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Jantausch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BA,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Vézina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Miller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Member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Twin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Pregnancy.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Pediatr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2017;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15: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076</w:t>
      </w:r>
      <w:r w:rsidR="0066754F">
        <w:rPr>
          <w:rFonts w:ascii="Book Antiqua" w:eastAsia="Book Antiqua" w:hAnsi="Book Antiqua" w:cs="Book Antiqua"/>
          <w:color w:val="000000"/>
        </w:rPr>
        <w:t>-</w:t>
      </w:r>
      <w:r w:rsidRPr="00ED6CC7">
        <w:rPr>
          <w:rFonts w:ascii="Book Antiqua" w:eastAsia="Book Antiqua" w:hAnsi="Book Antiqua" w:cs="Book Antiqua"/>
          <w:color w:val="000000"/>
        </w:rPr>
        <w:t>079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10.1055/s-0036-1597654]</w:t>
      </w:r>
    </w:p>
    <w:p w14:paraId="294C20D8" w14:textId="09359DC4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47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Ansari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ED6CC7">
        <w:rPr>
          <w:rFonts w:ascii="Book Antiqua" w:eastAsia="Book Antiqua" w:hAnsi="Book Antiqua" w:cs="Book Antiqua"/>
          <w:color w:val="000000"/>
        </w:rPr>
        <w:t>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Demmler-Harrison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Coats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DK,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Paysse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EA.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Severe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chorioretinitis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caused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infection.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Am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Ophthalmol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Case</w:t>
      </w:r>
      <w:r w:rsidR="00741A0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2021;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101094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[PMID: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33981914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10.1016/j.ajoc.2021.101094]</w:t>
      </w:r>
    </w:p>
    <w:p w14:paraId="6894C6FF" w14:textId="7CD209BF" w:rsidR="00A77B3E" w:rsidRDefault="00792CEA" w:rsidP="00ED6CC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D6CC7">
        <w:rPr>
          <w:rFonts w:ascii="Book Antiqua" w:eastAsia="Book Antiqua" w:hAnsi="Book Antiqua" w:cs="Book Antiqua"/>
          <w:color w:val="000000"/>
        </w:rPr>
        <w:t>48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85620">
        <w:rPr>
          <w:rFonts w:ascii="Book Antiqua" w:eastAsia="Book Antiqua" w:hAnsi="Book Antiqua" w:cs="Book Antiqua"/>
          <w:b/>
          <w:color w:val="000000"/>
        </w:rPr>
        <w:t>Fallet-Bianco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b/>
          <w:color w:val="000000"/>
        </w:rPr>
        <w:t>C</w:t>
      </w:r>
      <w:r w:rsidRPr="00ED6CC7">
        <w:rPr>
          <w:rFonts w:ascii="Book Antiqua" w:eastAsia="Book Antiqua" w:hAnsi="Book Antiqua" w:cs="Book Antiqua"/>
          <w:color w:val="000000"/>
        </w:rPr>
        <w:t>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Congenital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Lymphocytic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Choriomeningitis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Virus: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Neuropathological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Study.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Can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J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Neurol</w:t>
      </w:r>
      <w:r w:rsidR="00741A0D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i/>
          <w:color w:val="000000"/>
        </w:rPr>
        <w:t>Sci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2015;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785620">
        <w:rPr>
          <w:rFonts w:ascii="Book Antiqua" w:eastAsia="Book Antiqua" w:hAnsi="Book Antiqua" w:cs="Book Antiqua"/>
          <w:b/>
          <w:color w:val="000000"/>
        </w:rPr>
        <w:t>42</w:t>
      </w:r>
      <w:r w:rsidRPr="00ED6CC7">
        <w:rPr>
          <w:rFonts w:ascii="Book Antiqua" w:eastAsia="Book Antiqua" w:hAnsi="Book Antiqua" w:cs="Book Antiqua"/>
          <w:color w:val="000000"/>
        </w:rPr>
        <w:t>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S4</w:t>
      </w:r>
      <w:r w:rsidR="0066754F">
        <w:rPr>
          <w:rFonts w:ascii="Book Antiqua" w:eastAsia="Book Antiqua" w:hAnsi="Book Antiqua" w:cs="Book Antiqua"/>
          <w:color w:val="000000"/>
        </w:rPr>
        <w:t>-</w:t>
      </w:r>
      <w:r w:rsidRPr="00ED6CC7">
        <w:rPr>
          <w:rFonts w:ascii="Book Antiqua" w:eastAsia="Book Antiqua" w:hAnsi="Book Antiqua" w:cs="Book Antiqua"/>
          <w:color w:val="000000"/>
        </w:rPr>
        <w:t>S4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[DOI: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10.1017/cjn.2015.257]</w:t>
      </w:r>
    </w:p>
    <w:p w14:paraId="4F165951" w14:textId="77777777" w:rsidR="00016780" w:rsidRDefault="00016780" w:rsidP="00ED6CC7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1E59F6" w14:textId="7777777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Footnotes</w:t>
      </w:r>
    </w:p>
    <w:p w14:paraId="3E6DDAC1" w14:textId="0AD0635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0B3A">
        <w:rPr>
          <w:rFonts w:ascii="Book Antiqua" w:eastAsia="Book Antiqua" w:hAnsi="Book Antiqua" w:cs="Book Antiqua"/>
          <w:color w:val="000000"/>
        </w:rPr>
        <w:t>All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authors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declare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conflict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of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interest.</w:t>
      </w:r>
    </w:p>
    <w:p w14:paraId="176DF449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70415AA6" w14:textId="3B0F405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7620">
        <w:rPr>
          <w:rFonts w:ascii="Book Antiqua" w:hAnsi="Book Antiqua" w:cs="Book Antiqua" w:hint="eastAsia"/>
          <w:color w:val="000000"/>
          <w:lang w:eastAsia="zh-CN"/>
        </w:rPr>
        <w:t>All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authors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have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read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PRISMA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Checklist,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manuscript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prepared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revised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according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PRISMA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2009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Checklist.</w:t>
      </w:r>
    </w:p>
    <w:p w14:paraId="163F931C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FFB55F1" w14:textId="3391147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41A0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open-access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that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was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selected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in-house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editor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fully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peer-reviewed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external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reviewers.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distributed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accordance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with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Creative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Commons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Attribution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NonCommercial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(CC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BY-NC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4.0)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license,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which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permits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others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to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distribute,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remix,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adapt,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build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upon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work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non-commercially,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license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their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derivative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works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on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different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terms,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provided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original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work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properly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cited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and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the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use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is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non-commercial.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See: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81CBDF2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51AF93A7" w14:textId="35EF64BE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Provenance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and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peer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review: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Invited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article;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Externally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peer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reviewed.</w:t>
      </w:r>
    </w:p>
    <w:p w14:paraId="57C043FC" w14:textId="3A445596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Peer-review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model: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Single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blind</w:t>
      </w:r>
    </w:p>
    <w:p w14:paraId="05FCFDFB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55A83B15" w14:textId="72376B73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Peer-review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started: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April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7,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2022</w:t>
      </w:r>
    </w:p>
    <w:p w14:paraId="31EF779C" w14:textId="7D3C2926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First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decision: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June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16,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2022</w:t>
      </w:r>
    </w:p>
    <w:p w14:paraId="4ACC737D" w14:textId="289836F4" w:rsidR="00A77B3E" w:rsidRPr="00836E1B" w:rsidRDefault="00792CEA" w:rsidP="00ED6CC7">
      <w:pPr>
        <w:spacing w:line="360" w:lineRule="auto"/>
        <w:jc w:val="both"/>
        <w:rPr>
          <w:rFonts w:ascii="Book Antiqua" w:hAnsi="Book Antiqua"/>
          <w:lang w:eastAsia="zh-CN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Article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in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press: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07757C1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1D6E5CAF" w14:textId="11320BE3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Specialty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type: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46BF2" w:rsidRPr="00346BF2">
        <w:rPr>
          <w:rFonts w:ascii="Book Antiqua" w:eastAsia="Book Antiqua" w:hAnsi="Book Antiqua" w:cs="Book Antiqua"/>
          <w:color w:val="000000"/>
        </w:rPr>
        <w:t>Medicine, research and experimental</w:t>
      </w:r>
    </w:p>
    <w:p w14:paraId="2DE669AF" w14:textId="79EDF01F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Country/Territory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of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origin: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Croatia</w:t>
      </w:r>
    </w:p>
    <w:p w14:paraId="7B713CAE" w14:textId="6221F791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t>Peer-review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report’s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scientific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quality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231E4CF" w14:textId="238E1D27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Grade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(Excellent):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A</w:t>
      </w:r>
    </w:p>
    <w:p w14:paraId="0F23ADF2" w14:textId="16A72F7C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Grade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(Very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good):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</w:t>
      </w:r>
    </w:p>
    <w:p w14:paraId="66D4E119" w14:textId="2B8F951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Grade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(Good):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</w:t>
      </w:r>
    </w:p>
    <w:p w14:paraId="0FCC612A" w14:textId="0A22CE4A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Grade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D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(Fair):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</w:t>
      </w:r>
    </w:p>
    <w:p w14:paraId="2EB83D02" w14:textId="49C52249" w:rsidR="00A77B3E" w:rsidRPr="00ED6CC7" w:rsidRDefault="00792CEA" w:rsidP="00ED6CC7">
      <w:pPr>
        <w:spacing w:line="360" w:lineRule="auto"/>
        <w:jc w:val="both"/>
        <w:rPr>
          <w:rFonts w:ascii="Book Antiqua" w:hAnsi="Book Antiqua"/>
        </w:rPr>
      </w:pPr>
      <w:r w:rsidRPr="00ED6CC7">
        <w:rPr>
          <w:rFonts w:ascii="Book Antiqua" w:eastAsia="Book Antiqua" w:hAnsi="Book Antiqua" w:cs="Book Antiqua"/>
          <w:color w:val="000000"/>
        </w:rPr>
        <w:t>Grade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E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(Poor):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0</w:t>
      </w:r>
    </w:p>
    <w:p w14:paraId="6D094AC5" w14:textId="77777777" w:rsidR="00A77B3E" w:rsidRPr="00ED6CC7" w:rsidRDefault="00A77B3E" w:rsidP="00ED6CC7">
      <w:pPr>
        <w:spacing w:line="360" w:lineRule="auto"/>
        <w:jc w:val="both"/>
        <w:rPr>
          <w:rFonts w:ascii="Book Antiqua" w:hAnsi="Book Antiqua"/>
        </w:rPr>
      </w:pPr>
    </w:p>
    <w:p w14:paraId="6AE89764" w14:textId="388F25FD" w:rsidR="00D42650" w:rsidRPr="00ED6CC7" w:rsidRDefault="00792CEA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D6CC7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Bieńkowski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C,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Poland;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Routray</w:t>
      </w:r>
      <w:r w:rsidR="00741A0D">
        <w:rPr>
          <w:rFonts w:ascii="Book Antiqua" w:eastAsia="Book Antiqua" w:hAnsi="Book Antiqua" w:cs="Book Antiqua"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color w:val="000000"/>
        </w:rPr>
        <w:t>S</w:t>
      </w:r>
      <w:r w:rsidR="003C1D9C">
        <w:rPr>
          <w:rFonts w:ascii="Book Antiqua" w:hAnsi="Book Antiqua" w:cs="Book Antiqua" w:hint="eastAsia"/>
          <w:color w:val="000000"/>
          <w:lang w:eastAsia="zh-CN"/>
        </w:rPr>
        <w:t xml:space="preserve">, </w:t>
      </w:r>
      <w:r w:rsidR="003C1D9C" w:rsidRPr="003C1D9C">
        <w:rPr>
          <w:rFonts w:ascii="Book Antiqua" w:hAnsi="Book Antiqua" w:cs="Book Antiqua"/>
          <w:color w:val="000000"/>
          <w:lang w:eastAsia="zh-CN"/>
        </w:rPr>
        <w:t>India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S-Editor: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1B33" w:rsidRPr="00711B33">
        <w:rPr>
          <w:rFonts w:ascii="Book Antiqua" w:hAnsi="Book Antiqua" w:cs="Book Antiqua" w:hint="eastAsia"/>
          <w:color w:val="000000"/>
          <w:lang w:eastAsia="zh-CN"/>
        </w:rPr>
        <w:t>Wang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11B33" w:rsidRPr="00711B33">
        <w:rPr>
          <w:rFonts w:ascii="Book Antiqua" w:hAnsi="Book Antiqua" w:cs="Book Antiqua" w:hint="eastAsia"/>
          <w:color w:val="000000"/>
          <w:lang w:eastAsia="zh-CN"/>
        </w:rPr>
        <w:t>LL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L-Editor: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17C2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="00001C85" w:rsidRPr="00001C85">
        <w:rPr>
          <w:rFonts w:ascii="Book Antiqua" w:hAnsi="Book Antiqua" w:cs="Book Antiqua" w:hint="eastAsia"/>
          <w:color w:val="000000"/>
          <w:lang w:eastAsia="zh-CN"/>
        </w:rPr>
        <w:t>A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D6CC7">
        <w:rPr>
          <w:rFonts w:ascii="Book Antiqua" w:eastAsia="Book Antiqua" w:hAnsi="Book Antiqua" w:cs="Book Antiqua"/>
          <w:b/>
          <w:color w:val="000000"/>
        </w:rPr>
        <w:t>P-Editor:</w:t>
      </w:r>
      <w:r w:rsidR="00741A0D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11B33" w:rsidRPr="00711B33">
        <w:rPr>
          <w:rFonts w:ascii="Book Antiqua" w:hAnsi="Book Antiqua" w:cs="Book Antiqua" w:hint="eastAsia"/>
          <w:color w:val="000000"/>
          <w:lang w:eastAsia="zh-CN"/>
        </w:rPr>
        <w:t>Wang</w:t>
      </w:r>
      <w:r w:rsidR="00741A0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11B33" w:rsidRPr="00711B33">
        <w:rPr>
          <w:rFonts w:ascii="Book Antiqua" w:hAnsi="Book Antiqua" w:cs="Book Antiqua" w:hint="eastAsia"/>
          <w:color w:val="000000"/>
          <w:lang w:eastAsia="zh-CN"/>
        </w:rPr>
        <w:t>LL</w:t>
      </w:r>
    </w:p>
    <w:p w14:paraId="7804C060" w14:textId="058F822B" w:rsidR="00D42650" w:rsidRDefault="00D42650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D6CC7">
        <w:rPr>
          <w:rFonts w:ascii="Book Antiqua" w:hAnsi="Book Antiqua" w:cs="Book Antiqua"/>
          <w:b/>
          <w:color w:val="000000"/>
          <w:lang w:eastAsia="zh-CN"/>
        </w:rPr>
        <w:br w:type="page"/>
      </w:r>
      <w:r w:rsidR="00FB30E6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741A0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B30E6">
        <w:rPr>
          <w:rFonts w:ascii="Book Antiqua" w:hAnsi="Book Antiqua" w:cs="Book Antiqua" w:hint="eastAsia"/>
          <w:b/>
          <w:color w:val="000000"/>
          <w:lang w:eastAsia="zh-CN"/>
        </w:rPr>
        <w:t>Legends</w:t>
      </w:r>
    </w:p>
    <w:p w14:paraId="69551630" w14:textId="4AF3397F" w:rsidR="00FB30E6" w:rsidRDefault="00C81E40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1BDDD439" wp14:editId="6CD538DC">
            <wp:extent cx="5219700" cy="3949700"/>
            <wp:effectExtent l="0" t="0" r="0" b="0"/>
            <wp:docPr id="1" name="图片 1" descr="D:\小桌面\新建文件夹\SE\jdz-pdf\76942\pdf\76942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942\pdf\76942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1E43" w14:textId="0DD0B234" w:rsidR="00FB30E6" w:rsidRPr="00FB30E6" w:rsidRDefault="00FB30E6" w:rsidP="00FB30E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Figure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1</w:t>
      </w:r>
      <w:r w:rsidR="00741A0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PRISMA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flow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diagram.</w:t>
      </w:r>
    </w:p>
    <w:p w14:paraId="5D329641" w14:textId="6FF1946D" w:rsidR="00C81E40" w:rsidRDefault="00C81E40">
      <w:pPr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21D80AE4" w14:textId="3DA606DA" w:rsidR="00FB30E6" w:rsidRDefault="00C81E40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653B6FB4" wp14:editId="070DF614">
            <wp:extent cx="4508500" cy="2095500"/>
            <wp:effectExtent l="0" t="0" r="6350" b="0"/>
            <wp:docPr id="2" name="图片 2" descr="D:\小桌面\新建文件夹\SE\jdz-pdf\76942\pdf\76942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942\pdf\76942-g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B1201" w14:textId="71784584" w:rsidR="00FB30E6" w:rsidRPr="00FB30E6" w:rsidRDefault="00FB30E6" w:rsidP="00FB30E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Figure</w:t>
      </w:r>
      <w:r w:rsidR="00741A0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 w:rsidR="00741A0D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Geographical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distribution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reported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cases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congenital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B5427">
        <w:rPr>
          <w:rFonts w:ascii="Book Antiqua" w:hAnsi="Book Antiqua" w:cs="Book Antiqua" w:hint="eastAsia"/>
          <w:b/>
          <w:bCs/>
          <w:color w:val="000000"/>
          <w:lang w:eastAsia="zh-CN"/>
        </w:rPr>
        <w:t>l</w:t>
      </w:r>
      <w:r w:rsidR="004B5427" w:rsidRPr="004B5427">
        <w:rPr>
          <w:rFonts w:ascii="Book Antiqua" w:hAnsi="Book Antiqua" w:cs="Book Antiqua"/>
          <w:b/>
          <w:bCs/>
          <w:color w:val="000000"/>
          <w:lang w:eastAsia="zh-CN"/>
        </w:rPr>
        <w:t>ymphocytic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B5427" w:rsidRPr="004B5427">
        <w:rPr>
          <w:rFonts w:ascii="Book Antiqua" w:hAnsi="Book Antiqua" w:cs="Book Antiqua"/>
          <w:b/>
          <w:bCs/>
          <w:color w:val="000000"/>
          <w:lang w:eastAsia="zh-CN"/>
        </w:rPr>
        <w:t>choriomeningitis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B5427" w:rsidRPr="004B5427">
        <w:rPr>
          <w:rFonts w:ascii="Book Antiqua" w:hAnsi="Book Antiqua" w:cs="Book Antiqua"/>
          <w:b/>
          <w:bCs/>
          <w:color w:val="000000"/>
          <w:lang w:eastAsia="zh-CN"/>
        </w:rPr>
        <w:t>virus</w:t>
      </w:r>
      <w:r w:rsidR="00741A0D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FB30E6">
        <w:rPr>
          <w:rFonts w:ascii="Book Antiqua" w:hAnsi="Book Antiqua" w:cs="Book Antiqua"/>
          <w:b/>
          <w:bCs/>
          <w:color w:val="000000"/>
          <w:lang w:eastAsia="zh-CN"/>
        </w:rPr>
        <w:t>infection.</w:t>
      </w:r>
    </w:p>
    <w:p w14:paraId="3BAEA926" w14:textId="77777777" w:rsidR="00FB30E6" w:rsidRPr="00FB30E6" w:rsidRDefault="00FB30E6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69BE927" w14:textId="77777777" w:rsidR="00D42650" w:rsidRPr="00ED6CC7" w:rsidRDefault="00D42650" w:rsidP="00ED6CC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64C488C" w14:textId="243B3471" w:rsidR="00D42650" w:rsidRPr="00ED6CC7" w:rsidRDefault="00D952F9" w:rsidP="00ED6CC7">
      <w:pPr>
        <w:spacing w:line="360" w:lineRule="auto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</w:rPr>
        <w:br w:type="page"/>
      </w:r>
      <w:r w:rsidR="00D42650" w:rsidRPr="00ED6CC7">
        <w:rPr>
          <w:rFonts w:ascii="Book Antiqua" w:hAnsi="Book Antiqua" w:cs="Arial"/>
          <w:b/>
          <w:bCs/>
        </w:rPr>
        <w:t>Table</w:t>
      </w:r>
      <w:r w:rsidR="00741A0D">
        <w:rPr>
          <w:rFonts w:ascii="Book Antiqua" w:hAnsi="Book Antiqua" w:cs="Arial"/>
          <w:b/>
          <w:bCs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1</w:t>
      </w:r>
      <w:r w:rsidR="00741A0D">
        <w:rPr>
          <w:rFonts w:ascii="Book Antiqua" w:hAnsi="Book Antiqua" w:cs="Arial" w:hint="eastAsia"/>
          <w:b/>
          <w:bCs/>
          <w:lang w:eastAsia="zh-CN"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List</w:t>
      </w:r>
      <w:r w:rsidR="00741A0D">
        <w:rPr>
          <w:rFonts w:ascii="Book Antiqua" w:hAnsi="Book Antiqua" w:cs="Arial"/>
          <w:b/>
          <w:bCs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of</w:t>
      </w:r>
      <w:r w:rsidR="00741A0D">
        <w:rPr>
          <w:rFonts w:ascii="Book Antiqua" w:hAnsi="Book Antiqua" w:cs="Arial"/>
          <w:b/>
          <w:bCs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reported</w:t>
      </w:r>
      <w:r w:rsidR="00741A0D">
        <w:rPr>
          <w:rFonts w:ascii="Book Antiqua" w:hAnsi="Book Antiqua" w:cs="Arial"/>
          <w:b/>
          <w:bCs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congenital</w:t>
      </w:r>
      <w:r w:rsidR="00741A0D">
        <w:rPr>
          <w:rFonts w:ascii="Book Antiqua" w:hAnsi="Book Antiqua" w:cs="Arial"/>
          <w:b/>
          <w:bCs/>
        </w:rPr>
        <w:t xml:space="preserve"> </w:t>
      </w:r>
      <w:r w:rsidR="004B5427">
        <w:rPr>
          <w:rFonts w:ascii="Book Antiqua" w:hAnsi="Book Antiqua" w:cs="Arial" w:hint="eastAsia"/>
          <w:b/>
          <w:bCs/>
          <w:lang w:eastAsia="zh-CN"/>
        </w:rPr>
        <w:t>l</w:t>
      </w:r>
      <w:r w:rsidR="004B5427" w:rsidRPr="004B5427">
        <w:rPr>
          <w:rFonts w:ascii="Book Antiqua" w:hAnsi="Book Antiqua" w:cs="Arial"/>
          <w:b/>
          <w:bCs/>
        </w:rPr>
        <w:t>ymphocytic</w:t>
      </w:r>
      <w:r w:rsidR="00741A0D">
        <w:rPr>
          <w:rFonts w:ascii="Book Antiqua" w:hAnsi="Book Antiqua" w:cs="Arial"/>
          <w:b/>
          <w:bCs/>
        </w:rPr>
        <w:t xml:space="preserve"> </w:t>
      </w:r>
      <w:r w:rsidR="004B5427" w:rsidRPr="004B5427">
        <w:rPr>
          <w:rFonts w:ascii="Book Antiqua" w:hAnsi="Book Antiqua" w:cs="Arial"/>
          <w:b/>
          <w:bCs/>
        </w:rPr>
        <w:t>choriomeningitis</w:t>
      </w:r>
      <w:r w:rsidR="00741A0D">
        <w:rPr>
          <w:rFonts w:ascii="Book Antiqua" w:hAnsi="Book Antiqua" w:cs="Arial"/>
          <w:b/>
          <w:bCs/>
        </w:rPr>
        <w:t xml:space="preserve"> </w:t>
      </w:r>
      <w:r w:rsidR="004B5427" w:rsidRPr="004B5427">
        <w:rPr>
          <w:rFonts w:ascii="Book Antiqua" w:hAnsi="Book Antiqua" w:cs="Arial"/>
          <w:b/>
          <w:bCs/>
        </w:rPr>
        <w:t>virus</w:t>
      </w:r>
      <w:r w:rsidR="00741A0D">
        <w:rPr>
          <w:rFonts w:ascii="Book Antiqua" w:hAnsi="Book Antiqua" w:cs="Arial"/>
          <w:b/>
          <w:bCs/>
        </w:rPr>
        <w:t xml:space="preserve"> </w:t>
      </w:r>
      <w:r w:rsidR="00D42650" w:rsidRPr="00ED6CC7">
        <w:rPr>
          <w:rFonts w:ascii="Book Antiqua" w:hAnsi="Book Antiqua" w:cs="Arial"/>
          <w:b/>
          <w:bCs/>
        </w:rPr>
        <w:t>infections</w:t>
      </w:r>
    </w:p>
    <w:tbl>
      <w:tblPr>
        <w:tblW w:w="5033" w:type="pct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0"/>
        <w:gridCol w:w="752"/>
        <w:gridCol w:w="2953"/>
        <w:gridCol w:w="2942"/>
        <w:gridCol w:w="1615"/>
      </w:tblGrid>
      <w:tr w:rsidR="004269EE" w:rsidRPr="00ED6CC7" w14:paraId="615E49A1" w14:textId="77777777" w:rsidTr="005A3D42"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7F25D" w14:textId="47D3BDAD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Country</w:t>
            </w:r>
            <w:r w:rsidR="00741A0D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(</w:t>
            </w:r>
            <w:r w:rsidR="00BF5E29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Y</w:t>
            </w:r>
            <w:r w:rsidR="004B5427">
              <w:rPr>
                <w:rFonts w:ascii="Book Antiqua" w:eastAsiaTheme="minorEastAsia" w:hAnsi="Book Antiqua" w:cs="Arial" w:hint="eastAsia"/>
                <w:b/>
                <w:bCs/>
                <w:color w:val="auto"/>
                <w:sz w:val="24"/>
                <w:szCs w:val="24"/>
                <w:lang w:eastAsia="zh-CN"/>
              </w:rPr>
              <w:t>r</w:t>
            </w:r>
            <w:r w:rsidRPr="00ED6CC7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0569828D" w14:textId="1883A7A4" w:rsidR="00D42650" w:rsidRPr="004B5427" w:rsidRDefault="004B5427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ascii="Book Antiqua" w:eastAsiaTheme="minorEastAsia" w:hAnsi="Book Antiqua" w:cs="Arial" w:hint="eastAsia"/>
                <w:b/>
                <w:bCs/>
                <w:color w:val="auto"/>
                <w:sz w:val="24"/>
                <w:szCs w:val="24"/>
                <w:lang w:eastAsia="zh-CN"/>
              </w:rPr>
              <w:t>C</w:t>
            </w:r>
            <w:r w:rsidR="00D42650" w:rsidRPr="00ED6CC7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ases</w:t>
            </w:r>
            <w:r w:rsidR="00BF5E29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</w:rPr>
              <w:t>,</w:t>
            </w:r>
            <w:r w:rsidR="00741A0D">
              <w:rPr>
                <w:rFonts w:ascii="Book Antiqua" w:eastAsiaTheme="minorEastAsia" w:hAnsi="Book Antiqua" w:cs="Arial" w:hint="eastAsia"/>
                <w:b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4B5427">
              <w:rPr>
                <w:rFonts w:ascii="Book Antiqua" w:eastAsiaTheme="minorEastAsia" w:hAnsi="Book Antiqua" w:cs="Arial" w:hint="eastAsia"/>
                <w:b/>
                <w:bCs/>
                <w:i/>
                <w:color w:val="auto"/>
                <w:sz w:val="24"/>
                <w:szCs w:val="24"/>
                <w:lang w:eastAsia="zh-CN"/>
              </w:rPr>
              <w:t>n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20782" w14:textId="36950021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>Clinical</w:t>
            </w:r>
            <w:r w:rsidR="00741A0D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>characteristics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6C71E" w14:textId="7218664C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>CT/MRI</w:t>
            </w:r>
            <w:r w:rsidR="00741A0D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>imaging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223188EA" w14:textId="77777777" w:rsidR="00D42650" w:rsidRPr="0043508F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b/>
                <w:bCs/>
                <w:snapToGrid/>
                <w:color w:val="auto"/>
                <w:sz w:val="24"/>
                <w:szCs w:val="24"/>
                <w:lang w:eastAsia="zh-CN"/>
              </w:rPr>
            </w:pPr>
            <w:r w:rsidRPr="00ED6CC7">
              <w:rPr>
                <w:rFonts w:ascii="Book Antiqua" w:hAnsi="Book Antiqua" w:cs="Arial"/>
                <w:b/>
                <w:bCs/>
                <w:snapToGrid/>
                <w:color w:val="auto"/>
                <w:sz w:val="24"/>
                <w:szCs w:val="24"/>
              </w:rPr>
              <w:t>Ref</w:t>
            </w:r>
            <w:r w:rsidR="0043508F">
              <w:rPr>
                <w:rFonts w:ascii="Book Antiqua" w:eastAsiaTheme="minorEastAsia" w:hAnsi="Book Antiqua" w:cs="Arial" w:hint="eastAsia"/>
                <w:b/>
                <w:bCs/>
                <w:snapToGrid/>
                <w:color w:val="auto"/>
                <w:sz w:val="24"/>
                <w:szCs w:val="24"/>
                <w:lang w:eastAsia="zh-CN"/>
              </w:rPr>
              <w:t>.</w:t>
            </w:r>
          </w:p>
        </w:tc>
      </w:tr>
      <w:tr w:rsidR="004269EE" w:rsidRPr="00ED6CC7" w14:paraId="1FC3F09C" w14:textId="77777777" w:rsidTr="005A3D42">
        <w:trPr>
          <w:trHeight w:val="76"/>
        </w:trPr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</w:tcPr>
          <w:p w14:paraId="7D1FEDB3" w14:textId="4E7CA12F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England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(1955)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CEED90C" w14:textId="77777777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</w:tcPr>
          <w:p w14:paraId="0209864B" w14:textId="496C982E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Fever,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epilepsy-like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symptoms,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color w:val="auto"/>
                <w:sz w:val="24"/>
                <w:szCs w:val="24"/>
              </w:rPr>
              <w:t>opisthotonus,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intracranial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hemorrhage,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skin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lesions,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hydrocephalus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auto"/>
          </w:tcPr>
          <w:p w14:paraId="4271920F" w14:textId="44776578" w:rsidR="00D42650" w:rsidRPr="00583DA1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ND</w:t>
            </w:r>
          </w:p>
        </w:tc>
        <w:tc>
          <w:tcPr>
            <w:tcW w:w="857" w:type="pct"/>
            <w:tcBorders>
              <w:top w:val="single" w:sz="4" w:space="0" w:color="auto"/>
            </w:tcBorders>
          </w:tcPr>
          <w:p w14:paraId="19FD26BD" w14:textId="66A2421F" w:rsidR="00D42650" w:rsidRPr="00D37D5A" w:rsidRDefault="00D37D5A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Komrower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[10]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1955</w:t>
            </w:r>
          </w:p>
        </w:tc>
      </w:tr>
      <w:tr w:rsidR="004269EE" w:rsidRPr="00ED6CC7" w14:paraId="7B3C100E" w14:textId="77777777" w:rsidTr="005A3D42">
        <w:tc>
          <w:tcPr>
            <w:tcW w:w="616" w:type="pct"/>
            <w:shd w:val="clear" w:color="auto" w:fill="auto"/>
          </w:tcPr>
          <w:p w14:paraId="7FD621CD" w14:textId="2940A56E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Germany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(1974,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1999)</w:t>
            </w:r>
          </w:p>
        </w:tc>
        <w:tc>
          <w:tcPr>
            <w:tcW w:w="399" w:type="pct"/>
          </w:tcPr>
          <w:p w14:paraId="54DBC556" w14:textId="2A071D99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8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(2</w:t>
            </w:r>
            <w:r w:rsidR="0066754F">
              <w:rPr>
                <w:rFonts w:ascii="Book Antiqua" w:hAnsi="Book Antiqua" w:cs="Arial"/>
                <w:sz w:val="24"/>
                <w:szCs w:val="24"/>
              </w:rPr>
              <w:t>-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twins)</w:t>
            </w:r>
          </w:p>
        </w:tc>
        <w:tc>
          <w:tcPr>
            <w:tcW w:w="1567" w:type="pct"/>
            <w:shd w:val="clear" w:color="auto" w:fill="auto"/>
          </w:tcPr>
          <w:p w14:paraId="0E2E447E" w14:textId="6E073D2A" w:rsidR="00D42650" w:rsidRPr="00ED6CC7" w:rsidRDefault="008470C2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h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ydrocephalus,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chorioretinitis,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myopia,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hyperbilirubinemia,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developmental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delay,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heart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failure,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psychomotor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retardation,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epilepsy-like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symptoms,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dystrophia,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visual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impairment,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intracranial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</w:t>
            </w:r>
          </w:p>
        </w:tc>
        <w:tc>
          <w:tcPr>
            <w:tcW w:w="1561" w:type="pct"/>
            <w:shd w:val="clear" w:color="auto" w:fill="auto"/>
          </w:tcPr>
          <w:p w14:paraId="20065DDB" w14:textId="528C60C6" w:rsidR="00D42650" w:rsidRPr="00583DA1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ND</w:t>
            </w:r>
          </w:p>
        </w:tc>
        <w:tc>
          <w:tcPr>
            <w:tcW w:w="857" w:type="pct"/>
          </w:tcPr>
          <w:p w14:paraId="2F4B6A5C" w14:textId="66359E24" w:rsidR="00D42650" w:rsidRPr="00ED6CC7" w:rsidRDefault="00D37D5A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Ackermann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[11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1974;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Enders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37]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1999</w:t>
            </w:r>
          </w:p>
        </w:tc>
      </w:tr>
      <w:tr w:rsidR="004269EE" w:rsidRPr="00ED6CC7" w14:paraId="1E376C77" w14:textId="77777777" w:rsidTr="005A3D42">
        <w:tc>
          <w:tcPr>
            <w:tcW w:w="616" w:type="pct"/>
            <w:shd w:val="clear" w:color="auto" w:fill="auto"/>
          </w:tcPr>
          <w:p w14:paraId="33B6367F" w14:textId="034F8E56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Lithuania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(1976,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1981)</w:t>
            </w:r>
          </w:p>
        </w:tc>
        <w:tc>
          <w:tcPr>
            <w:tcW w:w="399" w:type="pct"/>
          </w:tcPr>
          <w:p w14:paraId="70558465" w14:textId="77777777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1567" w:type="pct"/>
            <w:shd w:val="clear" w:color="auto" w:fill="auto"/>
          </w:tcPr>
          <w:p w14:paraId="1BC503DD" w14:textId="6F01C031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Hydrocephalus,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spastic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quadriplegia,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epilepsy-like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symptoms,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chorioretinitis,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optic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nerve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psychomotor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retardation,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blepharoptosis,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microphthalmy,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cataract,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cerebral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palsy,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microcephaly</w:t>
            </w:r>
          </w:p>
        </w:tc>
        <w:tc>
          <w:tcPr>
            <w:tcW w:w="1561" w:type="pct"/>
            <w:shd w:val="clear" w:color="auto" w:fill="auto"/>
          </w:tcPr>
          <w:p w14:paraId="703201C9" w14:textId="16839F8B" w:rsidR="00D42650" w:rsidRPr="00583DA1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ND</w:t>
            </w:r>
          </w:p>
        </w:tc>
        <w:tc>
          <w:tcPr>
            <w:tcW w:w="857" w:type="pct"/>
          </w:tcPr>
          <w:p w14:paraId="497B6751" w14:textId="60D29BCB" w:rsidR="00D42650" w:rsidRPr="00ED6CC7" w:rsidRDefault="00D86763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Sheinbergas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[12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1976;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Sheinbergas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38]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1981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</w:tr>
      <w:tr w:rsidR="004269EE" w:rsidRPr="00ED6CC7" w14:paraId="6D5EA243" w14:textId="77777777" w:rsidTr="005A3D42">
        <w:tc>
          <w:tcPr>
            <w:tcW w:w="616" w:type="pct"/>
            <w:shd w:val="clear" w:color="auto" w:fill="auto"/>
          </w:tcPr>
          <w:p w14:paraId="0F74F049" w14:textId="2B50034A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France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(1978,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2000,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2009,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2017)</w:t>
            </w:r>
          </w:p>
        </w:tc>
        <w:tc>
          <w:tcPr>
            <w:tcW w:w="399" w:type="pct"/>
          </w:tcPr>
          <w:p w14:paraId="1432E6E1" w14:textId="26C25DA5" w:rsidR="00D42650" w:rsidRPr="00E919F6" w:rsidRDefault="00D42650" w:rsidP="00E919F6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vertAlign w:val="superscript"/>
                <w:lang w:eastAsia="zh-CN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6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(2-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twins)</w:t>
            </w:r>
            <w:r w:rsidR="00E919F6">
              <w:rPr>
                <w:rFonts w:ascii="Book Antiqua" w:eastAsiaTheme="minorEastAsia" w:hAnsi="Book Antiqua" w:cs="Arial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567" w:type="pct"/>
            <w:shd w:val="clear" w:color="auto" w:fill="auto"/>
          </w:tcPr>
          <w:p w14:paraId="7FD00EB7" w14:textId="098F5C09" w:rsidR="00D42650" w:rsidRPr="00ED6CC7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h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ydrocephalus,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chorioretinitis,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fetal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hydrops,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hepatosplenomegaly,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cardiomegaly,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abnormal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gyration,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ascites,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anemia,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thrombocythemia</w:t>
            </w:r>
          </w:p>
        </w:tc>
        <w:tc>
          <w:tcPr>
            <w:tcW w:w="1561" w:type="pct"/>
            <w:shd w:val="clear" w:color="auto" w:fill="auto"/>
          </w:tcPr>
          <w:p w14:paraId="6BD17F89" w14:textId="5BCA779F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MRI: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8470C2">
              <w:rPr>
                <w:rFonts w:ascii="Book Antiqua" w:hAnsi="Book Antiqua" w:cs="Arial"/>
                <w:sz w:val="24"/>
                <w:szCs w:val="24"/>
              </w:rPr>
              <w:t>n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ormal</w:t>
            </w:r>
          </w:p>
        </w:tc>
        <w:tc>
          <w:tcPr>
            <w:tcW w:w="857" w:type="pct"/>
          </w:tcPr>
          <w:p w14:paraId="7ED5DBCF" w14:textId="2AA89D71" w:rsidR="00D42650" w:rsidRPr="00123A74" w:rsidRDefault="00D86763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123A74">
              <w:rPr>
                <w:rFonts w:ascii="Book Antiqua" w:hAnsi="Book Antiqua" w:cs="Arial"/>
                <w:sz w:val="24"/>
                <w:szCs w:val="24"/>
              </w:rPr>
              <w:t>Chastel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[13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23A74">
              <w:rPr>
                <w:rFonts w:ascii="Book Antiqua" w:hAnsi="Book Antiqua" w:cs="Arial"/>
                <w:sz w:val="24"/>
                <w:szCs w:val="24"/>
              </w:rPr>
              <w:t>1978;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Brézin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39198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39198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[40]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2000;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Meritet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39198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39198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[39]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39198E" w:rsidRPr="00123A74">
              <w:rPr>
                <w:rFonts w:ascii="Book Antiqua" w:hAnsi="Book Antiqua" w:cs="Arial"/>
                <w:sz w:val="24"/>
                <w:szCs w:val="24"/>
              </w:rPr>
              <w:t>2009;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23A74">
              <w:rPr>
                <w:rFonts w:ascii="Book Antiqua" w:hAnsi="Book Antiqua" w:cs="Arial"/>
                <w:sz w:val="24"/>
                <w:szCs w:val="24"/>
              </w:rPr>
              <w:t>Delaine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28</w:t>
            </w:r>
            <w:r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123A74">
              <w:rPr>
                <w:rFonts w:ascii="Book Antiqua" w:hAnsi="Book Antiqua" w:cs="Arial"/>
                <w:sz w:val="24"/>
                <w:szCs w:val="24"/>
              </w:rPr>
              <w:t>2017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</w:tr>
      <w:tr w:rsidR="004269EE" w:rsidRPr="00ED6CC7" w14:paraId="0528C8F7" w14:textId="77777777" w:rsidTr="005A3D42">
        <w:tc>
          <w:tcPr>
            <w:tcW w:w="616" w:type="pct"/>
            <w:tcBorders>
              <w:bottom w:val="single" w:sz="4" w:space="0" w:color="auto"/>
            </w:tcBorders>
            <w:shd w:val="clear" w:color="auto" w:fill="auto"/>
          </w:tcPr>
          <w:p w14:paraId="7562A297" w14:textId="500E66B1" w:rsidR="00D42650" w:rsidRPr="00ED6CC7" w:rsidRDefault="0066754F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United States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(1993,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1995-1997,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2000,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2002,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2003,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2006,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2007,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2013,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2014,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2017,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2018,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2021)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4046EFE" w14:textId="015BEB01" w:rsidR="00D42650" w:rsidRPr="00E919F6" w:rsidRDefault="00D42650" w:rsidP="00E919F6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vertAlign w:val="superscript"/>
                <w:lang w:eastAsia="zh-CN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47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(3-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twins)</w:t>
            </w:r>
            <w:r w:rsidR="00E919F6">
              <w:rPr>
                <w:rFonts w:ascii="Book Antiqua" w:eastAsiaTheme="minorEastAsia" w:hAnsi="Book Antiqua" w:cs="Arial" w:hint="eastAsia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567" w:type="pct"/>
            <w:tcBorders>
              <w:bottom w:val="single" w:sz="4" w:space="0" w:color="auto"/>
            </w:tcBorders>
            <w:shd w:val="clear" w:color="auto" w:fill="auto"/>
          </w:tcPr>
          <w:p w14:paraId="1922F518" w14:textId="176B1C4B" w:rsidR="00D42650" w:rsidRPr="00ED6CC7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m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optic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nerve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nystagmus,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chorioretinitis,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developmental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delay,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hydrocephalus,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microphthalmia,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visual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impairment,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psychomotor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retardation,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intracranial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nystagmus</w:t>
            </w:r>
            <w:r w:rsidR="0035798D">
              <w:rPr>
                <w:rFonts w:ascii="Book Antiqua" w:hAnsi="Book Antiqua" w:cs="Arial"/>
                <w:sz w:val="24"/>
                <w:szCs w:val="24"/>
              </w:rPr>
              <w:t xml:space="preserve">,  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exotropia,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dolichocephaly,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cortical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thumb,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skin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lesions,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spastic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quadriplegia,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epilepsy-like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symptoms,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esotropia,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heart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abnormality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(single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ventricle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with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pulmonary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atresia),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glaucoma,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conjunctivitis,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clinodactyly,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hearing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impairment,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progressive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supranuclear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palsy,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epilepsy,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ataxia,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spastic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diplegia,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fetal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hydrops,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ascites,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cataract,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retinal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coloboma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</w:tcPr>
          <w:p w14:paraId="0E10538D" w14:textId="03292891" w:rsidR="00D42650" w:rsidRPr="00ED6CC7" w:rsidRDefault="008F2567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CT: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subependymal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8470C2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5B74A3">
              <w:rPr>
                <w:rFonts w:ascii="Book Antiqua" w:hAnsi="Book Antiqua" w:cs="Arial"/>
                <w:sz w:val="24"/>
                <w:szCs w:val="24"/>
              </w:rPr>
              <w:t xml:space="preserve">  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ventriculomegaly,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8470C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ependymal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the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lens,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shizencephaly,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="008470C2"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="0035798D">
              <w:rPr>
                <w:rFonts w:ascii="Book Antiqua" w:hAnsi="Book Antiqua" w:cs="Arial"/>
                <w:sz w:val="24"/>
                <w:szCs w:val="24"/>
              </w:rPr>
              <w:t xml:space="preserve">   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colpocephaly,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encephalomalacia,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gyral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malformations,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cerebellar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dysgenesis,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cysts,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basal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ganglia,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and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parenchymal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</w:t>
            </w:r>
            <w:r w:rsidR="00537E08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8470C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MRI: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ventriculomegaly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and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dysmorphology,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gyral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malformations,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corpus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callosum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atrophy,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brain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stem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and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cerebellum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displacement,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F07E4">
              <w:rPr>
                <w:rFonts w:ascii="Book Antiqua" w:hAnsi="Book Antiqua" w:cs="Arial"/>
                <w:sz w:val="24"/>
                <w:szCs w:val="24"/>
              </w:rPr>
              <w:t>‘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migration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disorder</w:t>
            </w:r>
            <w:r w:rsidR="00AF07E4">
              <w:rPr>
                <w:rFonts w:ascii="Book Antiqua" w:hAnsi="Book Antiqua" w:cs="Arial"/>
                <w:sz w:val="24"/>
                <w:szCs w:val="24"/>
              </w:rPr>
              <w:t>’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prominent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cortical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sulci,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cortical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lesions,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cerebellar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dysgenesis,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agenesis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the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corpus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callosum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colpocephaly,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agenesis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of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the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septum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pellucidum,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microcephaly,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encephalomalacia,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porencephaly,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periventricular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cysts,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fetal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hydrops,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ascites,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intracranial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hemorrhage,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color w:val="auto"/>
                <w:sz w:val="24"/>
                <w:szCs w:val="24"/>
              </w:rPr>
              <w:t>subependymal</w:t>
            </w:r>
            <w:r w:rsidR="00741A0D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color w:val="auto"/>
                <w:sz w:val="24"/>
                <w:szCs w:val="24"/>
              </w:rPr>
              <w:t>calcifications,</w:t>
            </w:r>
            <w:r w:rsidR="00741A0D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color w:val="auto"/>
                <w:sz w:val="24"/>
                <w:szCs w:val="24"/>
              </w:rPr>
              <w:t>porencephalic</w:t>
            </w:r>
            <w:r w:rsidR="00741A0D">
              <w:rPr>
                <w:rFonts w:ascii="Book Antiqua" w:hAnsi="Book Antiqua" w:cs="Arial"/>
                <w:color w:val="auto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color w:val="auto"/>
                <w:sz w:val="24"/>
                <w:szCs w:val="24"/>
              </w:rPr>
              <w:t>cysts</w:t>
            </w:r>
            <w:r w:rsidR="00583DA1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003B7CA0" w14:textId="5D05E272" w:rsidR="00D42650" w:rsidRPr="00ED6CC7" w:rsidRDefault="00741A0D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Larsen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FC3C09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FC3C09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[14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1993;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Barton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[41]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1993;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8F2567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Barton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[42]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1995;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Barton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[43]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1996;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Wright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[17]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1997;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Bechtel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[44]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1997;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Mets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[24]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2000;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Barton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[45]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2002;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Greenhow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B64BB6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[25]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2003;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Schulte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15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2006;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Yu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F565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[35]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2006;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Bonthius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19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2007;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El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Feghaly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F565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[27]</w:t>
            </w:r>
            <w:r w:rsidR="002345D3" w:rsidRPr="00D93D62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2013;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Anderson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20</w:t>
            </w:r>
            <w:r w:rsidR="00A846A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2014;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Bou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Ghannam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8F2567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 </w:t>
            </w:r>
            <w:r w:rsidR="00DF565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F565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[46]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F565E" w:rsidRPr="00123A74">
              <w:rPr>
                <w:rFonts w:ascii="Book Antiqua" w:hAnsi="Book Antiqua" w:cs="Arial"/>
                <w:sz w:val="24"/>
                <w:szCs w:val="24"/>
              </w:rPr>
              <w:t>2017;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123A74">
              <w:rPr>
                <w:rFonts w:ascii="Book Antiqua" w:hAnsi="Book Antiqua" w:cs="Arial"/>
                <w:sz w:val="24"/>
                <w:szCs w:val="24"/>
              </w:rPr>
              <w:t>Kinori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="00A846A0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4269E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22</w:t>
            </w:r>
            <w:r w:rsidR="004269EE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]</w:t>
            </w:r>
            <w:r w:rsidR="00D42650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269EE" w:rsidRPr="00123A74">
              <w:rPr>
                <w:rFonts w:ascii="Book Antiqua" w:hAnsi="Book Antiqua" w:cs="Arial"/>
                <w:sz w:val="24"/>
                <w:szCs w:val="24"/>
              </w:rPr>
              <w:t>2018;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269EE" w:rsidRPr="00123A74">
              <w:rPr>
                <w:rFonts w:ascii="Book Antiqua" w:hAnsi="Book Antiqua" w:cs="Arial"/>
                <w:sz w:val="24"/>
                <w:szCs w:val="24"/>
              </w:rPr>
              <w:t>Ansari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4269E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8F2567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  </w:t>
            </w:r>
            <w:r w:rsidR="004269EE"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B64BB6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47]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,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B64BB6" w:rsidRPr="00123A74">
              <w:rPr>
                <w:rFonts w:ascii="Book Antiqua" w:hAnsi="Book Antiqua" w:cs="Arial"/>
                <w:sz w:val="24"/>
                <w:szCs w:val="24"/>
              </w:rPr>
              <w:t>2021</w:t>
            </w:r>
          </w:p>
        </w:tc>
      </w:tr>
      <w:tr w:rsidR="004269EE" w:rsidRPr="00ED6CC7" w14:paraId="40458C75" w14:textId="77777777" w:rsidTr="005A3D42">
        <w:trPr>
          <w:trHeight w:val="274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601C" w14:textId="663DCE43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Canada,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2015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</w:tcPr>
          <w:p w14:paraId="3E1DD2BF" w14:textId="77777777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AC25E" w14:textId="280B51BE" w:rsidR="00D42650" w:rsidRPr="00ED6CC7" w:rsidRDefault="00D42650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ED6CC7">
              <w:rPr>
                <w:rFonts w:ascii="Book Antiqua" w:hAnsi="Book Antiqua" w:cs="Arial"/>
                <w:sz w:val="24"/>
                <w:szCs w:val="24"/>
              </w:rPr>
              <w:t>Microcephaly,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abnormal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gyration,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hydrocephalus,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pontocerebellar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ED6CC7">
              <w:rPr>
                <w:rFonts w:ascii="Book Antiqua" w:hAnsi="Book Antiqua" w:cs="Arial"/>
                <w:sz w:val="24"/>
                <w:szCs w:val="24"/>
              </w:rPr>
              <w:t>hypoplasia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F4B32" w14:textId="62132DF5" w:rsidR="00D42650" w:rsidRPr="00583DA1" w:rsidRDefault="00C55141" w:rsidP="00583DA1">
            <w:pPr>
              <w:pStyle w:val="MDPI42tablebody"/>
              <w:spacing w:line="360" w:lineRule="auto"/>
              <w:jc w:val="both"/>
              <w:rPr>
                <w:rFonts w:ascii="Book Antiqua" w:eastAsiaTheme="minorEastAsia" w:hAnsi="Book Antiqua" w:cs="Arial"/>
                <w:sz w:val="24"/>
                <w:szCs w:val="24"/>
                <w:lang w:eastAsia="zh-CN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sz w:val="24"/>
                <w:szCs w:val="24"/>
              </w:rPr>
              <w:t>ND</w:t>
            </w:r>
          </w:p>
        </w:tc>
        <w:tc>
          <w:tcPr>
            <w:tcW w:w="857" w:type="pct"/>
            <w:tcBorders>
              <w:top w:val="single" w:sz="4" w:space="0" w:color="auto"/>
              <w:bottom w:val="single" w:sz="4" w:space="0" w:color="auto"/>
            </w:tcBorders>
          </w:tcPr>
          <w:p w14:paraId="00A475BD" w14:textId="6253B6C1" w:rsidR="00D42650" w:rsidRPr="00ED6CC7" w:rsidRDefault="00D735EE" w:rsidP="00583DA1">
            <w:pPr>
              <w:pStyle w:val="MDPI42tablebody"/>
              <w:spacing w:line="360" w:lineRule="auto"/>
              <w:jc w:val="both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Fallet-Bianco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et</w:t>
            </w:r>
            <w:r w:rsidR="00741A0D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 </w:t>
            </w:r>
            <w:r w:rsidRPr="00D93D62">
              <w:rPr>
                <w:rFonts w:ascii="Book Antiqua" w:hAnsi="Book Antiqua" w:cs="Arial"/>
                <w:i/>
                <w:iCs/>
                <w:sz w:val="24"/>
                <w:szCs w:val="24"/>
              </w:rPr>
              <w:t>al</w:t>
            </w:r>
            <w:r w:rsidR="00D42650" w:rsidRPr="00D93D62">
              <w:rPr>
                <w:rFonts w:ascii="Book Antiqua" w:hAnsi="Book Antiqua" w:cs="Arial"/>
                <w:sz w:val="24"/>
                <w:szCs w:val="24"/>
                <w:vertAlign w:val="superscript"/>
              </w:rPr>
              <w:t>[48]</w:t>
            </w:r>
            <w:r>
              <w:rPr>
                <w:rFonts w:ascii="Book Antiqua" w:hAnsi="Book Antiqua" w:cs="Arial"/>
                <w:sz w:val="24"/>
                <w:szCs w:val="24"/>
              </w:rPr>
              <w:t>,</w:t>
            </w:r>
            <w:r w:rsidR="00741A0D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>2015</w:t>
            </w:r>
          </w:p>
        </w:tc>
      </w:tr>
    </w:tbl>
    <w:p w14:paraId="472A3235" w14:textId="25CA9555" w:rsidR="00D42650" w:rsidRPr="00ED6CC7" w:rsidRDefault="00B14771" w:rsidP="00ED6CC7">
      <w:pPr>
        <w:spacing w:line="360" w:lineRule="auto"/>
        <w:jc w:val="both"/>
        <w:rPr>
          <w:rFonts w:ascii="Book Antiqua" w:hAnsi="Book Antiqua" w:cs="Arial"/>
          <w:b/>
          <w:bCs/>
          <w:vertAlign w:val="superscript"/>
          <w:lang w:eastAsia="zh-CN"/>
        </w:rPr>
      </w:pPr>
      <w:r w:rsidRPr="005A3D42">
        <w:rPr>
          <w:rFonts w:ascii="Book Antiqua" w:hAnsi="Book Antiqua" w:cs="Arial"/>
          <w:vertAlign w:val="superscript"/>
        </w:rPr>
        <w:t>1</w:t>
      </w:r>
      <w:r w:rsidR="00583DA1">
        <w:rPr>
          <w:rFonts w:ascii="Book Antiqua" w:hAnsi="Book Antiqua" w:cs="Arial" w:hint="eastAsia"/>
          <w:lang w:eastAsia="zh-CN"/>
        </w:rPr>
        <w:t>S</w:t>
      </w:r>
      <w:r w:rsidR="00D42650" w:rsidRPr="00ED6CC7">
        <w:rPr>
          <w:rFonts w:ascii="Book Antiqua" w:hAnsi="Book Antiqua" w:cs="Arial"/>
        </w:rPr>
        <w:t>econd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twin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clinically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unremarkable,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never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examined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serologically</w:t>
      </w:r>
      <w:r w:rsidR="0035798D">
        <w:rPr>
          <w:rFonts w:ascii="Book Antiqua" w:hAnsi="Book Antiqua" w:cs="Arial"/>
        </w:rPr>
        <w:t>;</w:t>
      </w:r>
      <w:r w:rsidR="00741A0D">
        <w:rPr>
          <w:rFonts w:ascii="Book Antiqua" w:hAnsi="Book Antiqua" w:cs="Arial"/>
        </w:rPr>
        <w:t xml:space="preserve"> </w:t>
      </w:r>
      <w:r w:rsidR="00E919F6" w:rsidRPr="00E919F6">
        <w:rPr>
          <w:rFonts w:ascii="Book Antiqua" w:hAnsi="Book Antiqua" w:cs="Arial" w:hint="eastAsia"/>
          <w:vertAlign w:val="superscript"/>
          <w:lang w:eastAsia="zh-CN"/>
        </w:rPr>
        <w:t>2</w:t>
      </w:r>
      <w:r w:rsidR="00E919F6">
        <w:rPr>
          <w:rFonts w:ascii="Book Antiqua" w:hAnsi="Book Antiqua" w:cs="Arial" w:hint="eastAsia"/>
          <w:lang w:eastAsia="zh-CN"/>
        </w:rPr>
        <w:t>T</w:t>
      </w:r>
      <w:r w:rsidR="00D42650" w:rsidRPr="00ED6CC7">
        <w:rPr>
          <w:rFonts w:ascii="Book Antiqua" w:hAnsi="Book Antiqua" w:cs="Arial"/>
        </w:rPr>
        <w:t>wo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pairs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of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twins:</w:t>
      </w:r>
      <w:r w:rsidR="00741A0D">
        <w:rPr>
          <w:rFonts w:ascii="Book Antiqua" w:hAnsi="Book Antiqua" w:cs="Arial"/>
        </w:rPr>
        <w:t xml:space="preserve"> </w:t>
      </w:r>
      <w:r w:rsidR="008F2567">
        <w:rPr>
          <w:rFonts w:ascii="Book Antiqua" w:hAnsi="Book Antiqua" w:cs="Arial"/>
          <w:lang w:eastAsia="zh-CN"/>
        </w:rPr>
        <w:t>o</w:t>
      </w:r>
      <w:r w:rsidR="00D42650" w:rsidRPr="00ED6CC7">
        <w:rPr>
          <w:rFonts w:ascii="Book Antiqua" w:hAnsi="Book Antiqua" w:cs="Arial"/>
        </w:rPr>
        <w:t>ne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twin</w:t>
      </w:r>
      <w:r w:rsidR="00741A0D">
        <w:rPr>
          <w:rFonts w:ascii="Book Antiqua" w:hAnsi="Book Antiqua" w:cs="Arial"/>
        </w:rPr>
        <w:t xml:space="preserve"> </w:t>
      </w:r>
      <w:r w:rsidR="008F2567">
        <w:rPr>
          <w:rFonts w:ascii="Book Antiqua" w:hAnsi="Book Antiqua" w:cs="Arial"/>
        </w:rPr>
        <w:t xml:space="preserve">was </w:t>
      </w:r>
      <w:r w:rsidR="00D42650" w:rsidRPr="00ED6CC7">
        <w:rPr>
          <w:rFonts w:ascii="Book Antiqua" w:hAnsi="Book Antiqua" w:cs="Arial"/>
        </w:rPr>
        <w:t>clinically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unremarkable,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serologically</w:t>
      </w:r>
      <w:r w:rsidR="00741A0D">
        <w:rPr>
          <w:rFonts w:ascii="Book Antiqua" w:hAnsi="Book Antiqua" w:cs="Arial"/>
        </w:rPr>
        <w:t xml:space="preserve"> </w:t>
      </w:r>
      <w:r w:rsidR="00D42650" w:rsidRPr="00ED6CC7">
        <w:rPr>
          <w:rFonts w:ascii="Book Antiqua" w:hAnsi="Book Antiqua" w:cs="Arial"/>
        </w:rPr>
        <w:t>negative.</w:t>
      </w:r>
      <w:r w:rsidR="00583DA1" w:rsidRPr="00583DA1">
        <w:rPr>
          <w:rFonts w:ascii="Book Antiqua" w:hAnsi="Book Antiqua" w:cs="Arial"/>
        </w:rPr>
        <w:t xml:space="preserve"> </w:t>
      </w:r>
      <w:r w:rsidR="00C55141">
        <w:rPr>
          <w:rFonts w:ascii="Book Antiqua" w:hAnsi="Book Antiqua" w:cs="Arial"/>
        </w:rPr>
        <w:t xml:space="preserve">CT:  Computed tomography; MRI: Magnetic resonance imaging; </w:t>
      </w:r>
      <w:r w:rsidR="00583DA1" w:rsidRPr="00ED6CC7">
        <w:rPr>
          <w:rFonts w:ascii="Book Antiqua" w:hAnsi="Book Antiqua" w:cs="Arial"/>
        </w:rPr>
        <w:t>ND</w:t>
      </w:r>
      <w:r w:rsidR="00374351">
        <w:rPr>
          <w:rFonts w:ascii="Book Antiqua" w:hAnsi="Book Antiqua" w:cs="Arial" w:hint="eastAsia"/>
          <w:lang w:eastAsia="zh-CN"/>
        </w:rPr>
        <w:t>: N</w:t>
      </w:r>
      <w:r w:rsidR="00583DA1" w:rsidRPr="00ED6CC7">
        <w:rPr>
          <w:rFonts w:ascii="Book Antiqua" w:hAnsi="Book Antiqua" w:cs="Arial"/>
        </w:rPr>
        <w:t>o</w:t>
      </w:r>
      <w:r w:rsidR="00583DA1">
        <w:rPr>
          <w:rFonts w:ascii="Book Antiqua" w:hAnsi="Book Antiqua" w:cs="Arial"/>
        </w:rPr>
        <w:t xml:space="preserve"> </w:t>
      </w:r>
      <w:r w:rsidR="00583DA1" w:rsidRPr="00ED6CC7">
        <w:rPr>
          <w:rFonts w:ascii="Book Antiqua" w:hAnsi="Book Antiqua" w:cs="Arial"/>
        </w:rPr>
        <w:t>data</w:t>
      </w:r>
      <w:r w:rsidR="00374351">
        <w:rPr>
          <w:rFonts w:ascii="Book Antiqua" w:hAnsi="Book Antiqua" w:cs="Arial" w:hint="eastAsia"/>
          <w:lang w:eastAsia="zh-CN"/>
        </w:rPr>
        <w:t>.</w:t>
      </w:r>
    </w:p>
    <w:p w14:paraId="38D4E80E" w14:textId="77777777" w:rsidR="00D42650" w:rsidRPr="00ED6CC7" w:rsidRDefault="00D42650" w:rsidP="00ED6CC7">
      <w:pPr>
        <w:spacing w:line="360" w:lineRule="auto"/>
        <w:jc w:val="both"/>
        <w:rPr>
          <w:rFonts w:ascii="Book Antiqua" w:hAnsi="Book Antiqua" w:cs="Arial"/>
        </w:rPr>
      </w:pPr>
      <w:r w:rsidRPr="00ED6CC7">
        <w:rPr>
          <w:rFonts w:ascii="Book Antiqua" w:hAnsi="Book Antiqua" w:cs="Arial"/>
        </w:rPr>
        <w:br w:type="page"/>
      </w:r>
    </w:p>
    <w:p w14:paraId="5AD741E4" w14:textId="6BB40582" w:rsidR="00D42650" w:rsidRPr="00ED6CC7" w:rsidRDefault="00D42650" w:rsidP="00ED6CC7">
      <w:pPr>
        <w:spacing w:line="360" w:lineRule="auto"/>
        <w:jc w:val="both"/>
        <w:rPr>
          <w:rFonts w:ascii="Book Antiqua" w:hAnsi="Book Antiqua" w:cs="Arial"/>
          <w:b/>
          <w:bCs/>
        </w:rPr>
      </w:pPr>
      <w:r w:rsidRPr="00ED6CC7">
        <w:rPr>
          <w:rFonts w:ascii="Book Antiqua" w:hAnsi="Book Antiqua" w:cs="Arial"/>
          <w:b/>
          <w:bCs/>
        </w:rPr>
        <w:t>Table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2</w:t>
      </w:r>
      <w:r w:rsidR="00741A0D">
        <w:rPr>
          <w:rFonts w:ascii="Book Antiqua" w:hAnsi="Book Antiqua" w:cs="Arial" w:hint="eastAsia"/>
          <w:b/>
          <w:bCs/>
          <w:lang w:eastAsia="zh-CN"/>
        </w:rPr>
        <w:t xml:space="preserve"> </w:t>
      </w:r>
      <w:r w:rsidRPr="00ED6CC7">
        <w:rPr>
          <w:rFonts w:ascii="Book Antiqua" w:hAnsi="Book Antiqua" w:cs="Arial"/>
          <w:b/>
          <w:bCs/>
        </w:rPr>
        <w:t>Epidemiological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and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clinical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features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of</w:t>
      </w:r>
      <w:r w:rsidR="00741A0D">
        <w:rPr>
          <w:rFonts w:ascii="Book Antiqua" w:hAnsi="Book Antiqua" w:cs="Arial"/>
          <w:b/>
          <w:bCs/>
        </w:rPr>
        <w:t xml:space="preserve"> </w:t>
      </w:r>
      <w:r w:rsidRPr="00ED6CC7">
        <w:rPr>
          <w:rFonts w:ascii="Book Antiqua" w:hAnsi="Book Antiqua" w:cs="Arial"/>
          <w:b/>
          <w:bCs/>
        </w:rPr>
        <w:t>maternal</w:t>
      </w:r>
      <w:r w:rsidR="00741A0D">
        <w:rPr>
          <w:rFonts w:ascii="Book Antiqua" w:hAnsi="Book Antiqua" w:cs="Arial"/>
          <w:b/>
          <w:bCs/>
        </w:rPr>
        <w:t xml:space="preserve"> </w:t>
      </w:r>
      <w:r w:rsidR="0043508F">
        <w:rPr>
          <w:rFonts w:ascii="Book Antiqua" w:hAnsi="Book Antiqua" w:cs="Arial" w:hint="eastAsia"/>
          <w:b/>
          <w:bCs/>
          <w:lang w:eastAsia="zh-CN"/>
        </w:rPr>
        <w:t>l</w:t>
      </w:r>
      <w:r w:rsidR="0043508F" w:rsidRPr="004B5427">
        <w:rPr>
          <w:rFonts w:ascii="Book Antiqua" w:hAnsi="Book Antiqua" w:cs="Arial"/>
          <w:b/>
          <w:bCs/>
        </w:rPr>
        <w:t>ymphocytic</w:t>
      </w:r>
      <w:r w:rsidR="00741A0D">
        <w:rPr>
          <w:rFonts w:ascii="Book Antiqua" w:hAnsi="Book Antiqua" w:cs="Arial"/>
          <w:b/>
          <w:bCs/>
        </w:rPr>
        <w:t xml:space="preserve"> </w:t>
      </w:r>
      <w:r w:rsidR="0043508F" w:rsidRPr="004B5427">
        <w:rPr>
          <w:rFonts w:ascii="Book Antiqua" w:hAnsi="Book Antiqua" w:cs="Arial"/>
          <w:b/>
          <w:bCs/>
        </w:rPr>
        <w:t>choriomeningitis</w:t>
      </w:r>
      <w:r w:rsidR="00741A0D">
        <w:rPr>
          <w:rFonts w:ascii="Book Antiqua" w:hAnsi="Book Antiqua" w:cs="Arial"/>
          <w:b/>
          <w:bCs/>
        </w:rPr>
        <w:t xml:space="preserve"> </w:t>
      </w:r>
      <w:r w:rsidR="0043508F" w:rsidRPr="004B5427">
        <w:rPr>
          <w:rFonts w:ascii="Book Antiqua" w:hAnsi="Book Antiqua" w:cs="Arial"/>
          <w:b/>
          <w:bCs/>
        </w:rPr>
        <w:t>virus</w:t>
      </w:r>
      <w:r w:rsidR="00741A0D">
        <w:rPr>
          <w:rFonts w:ascii="Book Antiqua" w:hAnsi="Book Antiqua" w:cs="Arial"/>
          <w:b/>
          <w:bCs/>
        </w:rPr>
        <w:t xml:space="preserve"> </w:t>
      </w:r>
      <w:r w:rsidR="0043508F" w:rsidRPr="00ED6CC7">
        <w:rPr>
          <w:rFonts w:ascii="Book Antiqua" w:hAnsi="Book Antiqua" w:cs="Arial"/>
          <w:b/>
          <w:bCs/>
        </w:rPr>
        <w:t>infections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68"/>
        <w:gridCol w:w="4292"/>
      </w:tblGrid>
      <w:tr w:rsidR="00D42650" w:rsidRPr="00ED6CC7" w14:paraId="227AAD17" w14:textId="77777777" w:rsidTr="0043508F"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</w:tcPr>
          <w:p w14:paraId="0F07BBBF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ED6CC7">
              <w:rPr>
                <w:rFonts w:ascii="Book Antiqua" w:hAnsi="Book Antiqua" w:cs="Arial"/>
                <w:b/>
                <w:bCs/>
                <w:lang w:val="en-US"/>
              </w:rPr>
              <w:t>Characteristic</w:t>
            </w: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36BA41CA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ED6CC7">
              <w:rPr>
                <w:rFonts w:ascii="Book Antiqua" w:hAnsi="Book Antiqua" w:cs="Arial"/>
                <w:b/>
                <w:bCs/>
                <w:lang w:val="en-US"/>
              </w:rPr>
              <w:t>Prevalence</w:t>
            </w:r>
          </w:p>
        </w:tc>
      </w:tr>
      <w:tr w:rsidR="00D42650" w:rsidRPr="00ED6CC7" w14:paraId="1A6327C2" w14:textId="77777777" w:rsidTr="0043508F"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</w:tcPr>
          <w:p w14:paraId="574F0280" w14:textId="79467FF3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Rodent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exposure</w:t>
            </w: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0D1FDCB8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71.11%</w:t>
            </w:r>
          </w:p>
        </w:tc>
      </w:tr>
      <w:tr w:rsidR="00D42650" w:rsidRPr="00ED6CC7" w14:paraId="59FB1A9C" w14:textId="77777777" w:rsidTr="0043508F">
        <w:tc>
          <w:tcPr>
            <w:tcW w:w="2707" w:type="pct"/>
            <w:tcBorders>
              <w:top w:val="single" w:sz="4" w:space="0" w:color="auto"/>
            </w:tcBorders>
          </w:tcPr>
          <w:p w14:paraId="68F8F7B2" w14:textId="5CFA1C65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Type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of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rodent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324346AD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D42650" w:rsidRPr="00ED6CC7" w14:paraId="0A91BC7A" w14:textId="77777777" w:rsidTr="0043508F">
        <w:tc>
          <w:tcPr>
            <w:tcW w:w="2707" w:type="pct"/>
          </w:tcPr>
          <w:p w14:paraId="1138C29E" w14:textId="0D3B5E4A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Mice</w:t>
            </w:r>
          </w:p>
        </w:tc>
        <w:tc>
          <w:tcPr>
            <w:tcW w:w="2293" w:type="pct"/>
          </w:tcPr>
          <w:p w14:paraId="498EE91C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44.44%</w:t>
            </w:r>
          </w:p>
        </w:tc>
      </w:tr>
      <w:tr w:rsidR="00D42650" w:rsidRPr="00ED6CC7" w14:paraId="5F64F7AE" w14:textId="77777777" w:rsidTr="0043508F">
        <w:tc>
          <w:tcPr>
            <w:tcW w:w="2707" w:type="pct"/>
          </w:tcPr>
          <w:p w14:paraId="13F85DFA" w14:textId="541FB235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Hamster</w:t>
            </w:r>
          </w:p>
        </w:tc>
        <w:tc>
          <w:tcPr>
            <w:tcW w:w="2293" w:type="pct"/>
          </w:tcPr>
          <w:p w14:paraId="3A3A0880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8.89%</w:t>
            </w:r>
          </w:p>
        </w:tc>
      </w:tr>
      <w:tr w:rsidR="00D42650" w:rsidRPr="00ED6CC7" w14:paraId="7DD5992B" w14:textId="77777777" w:rsidTr="0043508F">
        <w:tc>
          <w:tcPr>
            <w:tcW w:w="2707" w:type="pct"/>
          </w:tcPr>
          <w:p w14:paraId="3F7EBE9B" w14:textId="4874923F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Rat</w:t>
            </w:r>
          </w:p>
        </w:tc>
        <w:tc>
          <w:tcPr>
            <w:tcW w:w="2293" w:type="pct"/>
          </w:tcPr>
          <w:p w14:paraId="7C630577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4.44%</w:t>
            </w:r>
          </w:p>
        </w:tc>
      </w:tr>
      <w:tr w:rsidR="00D42650" w:rsidRPr="00ED6CC7" w14:paraId="2BA97388" w14:textId="77777777" w:rsidTr="0043508F">
        <w:tc>
          <w:tcPr>
            <w:tcW w:w="2707" w:type="pct"/>
          </w:tcPr>
          <w:p w14:paraId="0661F90A" w14:textId="20B9AA53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Mice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+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hamster</w:t>
            </w:r>
          </w:p>
        </w:tc>
        <w:tc>
          <w:tcPr>
            <w:tcW w:w="2293" w:type="pct"/>
          </w:tcPr>
          <w:p w14:paraId="779BB631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8.89%</w:t>
            </w:r>
          </w:p>
        </w:tc>
      </w:tr>
      <w:tr w:rsidR="00D42650" w:rsidRPr="00ED6CC7" w14:paraId="5336CEB5" w14:textId="77777777" w:rsidTr="0043508F">
        <w:tc>
          <w:tcPr>
            <w:tcW w:w="2707" w:type="pct"/>
            <w:tcBorders>
              <w:bottom w:val="single" w:sz="4" w:space="0" w:color="auto"/>
            </w:tcBorders>
          </w:tcPr>
          <w:p w14:paraId="1EC1FA75" w14:textId="4B9E222F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Mice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+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rat</w:t>
            </w: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14:paraId="12B20A03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4.44%</w:t>
            </w:r>
          </w:p>
        </w:tc>
      </w:tr>
      <w:tr w:rsidR="00D42650" w:rsidRPr="00ED6CC7" w14:paraId="6CE51F22" w14:textId="77777777" w:rsidTr="0043508F">
        <w:tc>
          <w:tcPr>
            <w:tcW w:w="2707" w:type="pct"/>
            <w:tcBorders>
              <w:top w:val="single" w:sz="4" w:space="0" w:color="auto"/>
              <w:bottom w:val="single" w:sz="4" w:space="0" w:color="auto"/>
            </w:tcBorders>
          </w:tcPr>
          <w:p w14:paraId="78A4E9BD" w14:textId="45F3958C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Flu-like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illness</w:t>
            </w:r>
          </w:p>
        </w:tc>
        <w:tc>
          <w:tcPr>
            <w:tcW w:w="2293" w:type="pct"/>
            <w:tcBorders>
              <w:top w:val="single" w:sz="4" w:space="0" w:color="auto"/>
              <w:bottom w:val="single" w:sz="4" w:space="0" w:color="auto"/>
            </w:tcBorders>
          </w:tcPr>
          <w:p w14:paraId="69A7FEC1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60.71%</w:t>
            </w:r>
          </w:p>
        </w:tc>
      </w:tr>
      <w:tr w:rsidR="00D42650" w:rsidRPr="00ED6CC7" w14:paraId="7E6F0B03" w14:textId="77777777" w:rsidTr="0043508F">
        <w:tc>
          <w:tcPr>
            <w:tcW w:w="2707" w:type="pct"/>
            <w:tcBorders>
              <w:top w:val="single" w:sz="4" w:space="0" w:color="auto"/>
            </w:tcBorders>
          </w:tcPr>
          <w:p w14:paraId="2CE84035" w14:textId="29D16EB2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First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symptoms</w:t>
            </w:r>
            <w:r w:rsidR="00741A0D">
              <w:rPr>
                <w:rFonts w:ascii="Book Antiqua" w:hAnsi="Book Antiqua" w:cs="Arial"/>
                <w:lang w:val="en-US"/>
              </w:rPr>
              <w:t xml:space="preserve"> </w:t>
            </w:r>
            <w:r w:rsidRPr="00ED6CC7">
              <w:rPr>
                <w:rFonts w:ascii="Book Antiqua" w:hAnsi="Book Antiqua" w:cs="Arial"/>
                <w:lang w:val="en-US"/>
              </w:rPr>
              <w:t>(trimester)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14:paraId="64F3F79C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</w:p>
        </w:tc>
      </w:tr>
      <w:tr w:rsidR="00D42650" w:rsidRPr="00ED6CC7" w14:paraId="2FB0293A" w14:textId="77777777" w:rsidTr="0043508F">
        <w:tc>
          <w:tcPr>
            <w:tcW w:w="2707" w:type="pct"/>
          </w:tcPr>
          <w:p w14:paraId="05066F26" w14:textId="5F316373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First</w:t>
            </w:r>
          </w:p>
        </w:tc>
        <w:tc>
          <w:tcPr>
            <w:tcW w:w="2293" w:type="pct"/>
          </w:tcPr>
          <w:p w14:paraId="62E2BE6C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27.27%</w:t>
            </w:r>
          </w:p>
        </w:tc>
      </w:tr>
      <w:tr w:rsidR="00D42650" w:rsidRPr="00ED6CC7" w14:paraId="2016B5BD" w14:textId="77777777" w:rsidTr="0043508F">
        <w:tc>
          <w:tcPr>
            <w:tcW w:w="2707" w:type="pct"/>
          </w:tcPr>
          <w:p w14:paraId="142A5071" w14:textId="7E586C32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Second</w:t>
            </w:r>
          </w:p>
        </w:tc>
        <w:tc>
          <w:tcPr>
            <w:tcW w:w="2293" w:type="pct"/>
          </w:tcPr>
          <w:p w14:paraId="365CC5A2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33.33%</w:t>
            </w:r>
          </w:p>
        </w:tc>
      </w:tr>
      <w:tr w:rsidR="00D42650" w:rsidRPr="00ED6CC7" w14:paraId="246CE702" w14:textId="77777777" w:rsidTr="0043508F">
        <w:tc>
          <w:tcPr>
            <w:tcW w:w="2707" w:type="pct"/>
          </w:tcPr>
          <w:p w14:paraId="2246DDFE" w14:textId="094FF202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Third</w:t>
            </w:r>
          </w:p>
        </w:tc>
        <w:tc>
          <w:tcPr>
            <w:tcW w:w="2293" w:type="pct"/>
          </w:tcPr>
          <w:p w14:paraId="13BF13F2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6.06%</w:t>
            </w:r>
          </w:p>
        </w:tc>
      </w:tr>
      <w:tr w:rsidR="00D42650" w:rsidRPr="00ED6CC7" w14:paraId="11BFBAE0" w14:textId="77777777" w:rsidTr="0043508F">
        <w:tc>
          <w:tcPr>
            <w:tcW w:w="2707" w:type="pct"/>
            <w:tcBorders>
              <w:bottom w:val="single" w:sz="4" w:space="0" w:color="auto"/>
            </w:tcBorders>
          </w:tcPr>
          <w:p w14:paraId="00E70522" w14:textId="40ACB985" w:rsidR="00D42650" w:rsidRPr="00ED6CC7" w:rsidRDefault="00741A0D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No</w:t>
            </w:r>
            <w:r>
              <w:rPr>
                <w:rFonts w:ascii="Book Antiqua" w:hAnsi="Book Antiqua" w:cs="Arial"/>
                <w:lang w:val="en-US"/>
              </w:rPr>
              <w:t xml:space="preserve"> </w:t>
            </w:r>
            <w:r w:rsidR="00D42650" w:rsidRPr="00ED6CC7">
              <w:rPr>
                <w:rFonts w:ascii="Book Antiqua" w:hAnsi="Book Antiqua" w:cs="Arial"/>
                <w:lang w:val="en-US"/>
              </w:rPr>
              <w:t>symptoms</w:t>
            </w:r>
          </w:p>
        </w:tc>
        <w:tc>
          <w:tcPr>
            <w:tcW w:w="2293" w:type="pct"/>
            <w:tcBorders>
              <w:bottom w:val="single" w:sz="4" w:space="0" w:color="auto"/>
            </w:tcBorders>
          </w:tcPr>
          <w:p w14:paraId="39BC8ED1" w14:textId="77777777" w:rsidR="00D42650" w:rsidRPr="00ED6CC7" w:rsidRDefault="00D42650" w:rsidP="00ED6CC7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ED6CC7">
              <w:rPr>
                <w:rFonts w:ascii="Book Antiqua" w:hAnsi="Book Antiqua" w:cs="Arial"/>
                <w:lang w:val="en-US"/>
              </w:rPr>
              <w:t>33.33%</w:t>
            </w:r>
          </w:p>
        </w:tc>
      </w:tr>
    </w:tbl>
    <w:p w14:paraId="0370E53E" w14:textId="77777777" w:rsidR="00D42650" w:rsidRPr="00ED6CC7" w:rsidRDefault="00D42650" w:rsidP="00ED6CC7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1D17220A" w14:textId="77777777" w:rsidR="00D42650" w:rsidRPr="00ED6CC7" w:rsidRDefault="00D42650" w:rsidP="00ED6CC7">
      <w:pPr>
        <w:spacing w:line="360" w:lineRule="auto"/>
        <w:jc w:val="both"/>
        <w:rPr>
          <w:rFonts w:ascii="Book Antiqua" w:hAnsi="Book Antiqua" w:cs="Arial"/>
          <w:b/>
          <w:bCs/>
        </w:rPr>
      </w:pPr>
    </w:p>
    <w:p w14:paraId="1B819B0C" w14:textId="77777777" w:rsidR="00D42650" w:rsidRPr="00ED6CC7" w:rsidRDefault="00D42650" w:rsidP="00ED6CC7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D42650" w:rsidRPr="00ED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B33E" w14:textId="77777777" w:rsidR="008E670C" w:rsidRDefault="008E670C" w:rsidP="00ED6CC7">
      <w:r>
        <w:separator/>
      </w:r>
    </w:p>
  </w:endnote>
  <w:endnote w:type="continuationSeparator" w:id="0">
    <w:p w14:paraId="34577D9D" w14:textId="77777777" w:rsidR="008E670C" w:rsidRDefault="008E670C" w:rsidP="00E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6CB8" w14:textId="7505FA6A" w:rsidR="00583DA1" w:rsidRPr="00ED6CC7" w:rsidRDefault="00583DA1" w:rsidP="00ED6CC7">
    <w:pPr>
      <w:pStyle w:val="Footer"/>
      <w:jc w:val="right"/>
      <w:rPr>
        <w:rFonts w:ascii="Book Antiqua" w:hAnsi="Book Antiqua"/>
        <w:sz w:val="24"/>
        <w:szCs w:val="24"/>
      </w:rPr>
    </w:pPr>
    <w:r w:rsidRPr="00ED6CC7">
      <w:rPr>
        <w:rFonts w:ascii="Book Antiqua" w:hAnsi="Book Antiqua"/>
        <w:sz w:val="24"/>
        <w:szCs w:val="24"/>
      </w:rPr>
      <w:fldChar w:fldCharType="begin"/>
    </w:r>
    <w:r w:rsidRPr="00ED6CC7">
      <w:rPr>
        <w:rFonts w:ascii="Book Antiqua" w:hAnsi="Book Antiqua"/>
        <w:sz w:val="24"/>
        <w:szCs w:val="24"/>
      </w:rPr>
      <w:instrText xml:space="preserve"> PAGE  \* Arabic  \* MERGEFORMAT </w:instrText>
    </w:r>
    <w:r w:rsidRPr="00ED6CC7">
      <w:rPr>
        <w:rFonts w:ascii="Book Antiqua" w:hAnsi="Book Antiqua"/>
        <w:sz w:val="24"/>
        <w:szCs w:val="24"/>
      </w:rPr>
      <w:fldChar w:fldCharType="separate"/>
    </w:r>
    <w:r w:rsidR="00103067">
      <w:rPr>
        <w:rFonts w:ascii="Book Antiqua" w:hAnsi="Book Antiqua"/>
        <w:noProof/>
        <w:sz w:val="24"/>
        <w:szCs w:val="24"/>
      </w:rPr>
      <w:t>2</w:t>
    </w:r>
    <w:r w:rsidRPr="00ED6CC7">
      <w:rPr>
        <w:rFonts w:ascii="Book Antiqua" w:hAnsi="Book Antiqua"/>
        <w:sz w:val="24"/>
        <w:szCs w:val="24"/>
      </w:rPr>
      <w:fldChar w:fldCharType="end"/>
    </w:r>
    <w:r w:rsidR="00690C24">
      <w:rPr>
        <w:rFonts w:ascii="Book Antiqua" w:hAnsi="Book Antiqua"/>
        <w:sz w:val="24"/>
        <w:szCs w:val="24"/>
      </w:rPr>
      <w:t xml:space="preserve"> </w:t>
    </w:r>
    <w:r w:rsidRPr="00ED6CC7">
      <w:rPr>
        <w:rFonts w:ascii="Book Antiqua" w:hAnsi="Book Antiqua"/>
        <w:sz w:val="24"/>
        <w:szCs w:val="24"/>
      </w:rPr>
      <w:t>/</w:t>
    </w:r>
    <w:r w:rsidR="00690C24">
      <w:rPr>
        <w:rFonts w:ascii="Book Antiqua" w:hAnsi="Book Antiqua"/>
        <w:sz w:val="24"/>
        <w:szCs w:val="24"/>
      </w:rPr>
      <w:t xml:space="preserve"> </w:t>
    </w:r>
    <w:r w:rsidRPr="00ED6CC7">
      <w:rPr>
        <w:rFonts w:ascii="Book Antiqua" w:hAnsi="Book Antiqua"/>
        <w:sz w:val="24"/>
        <w:szCs w:val="24"/>
      </w:rPr>
      <w:fldChar w:fldCharType="begin"/>
    </w:r>
    <w:r w:rsidRPr="00ED6CC7">
      <w:rPr>
        <w:rFonts w:ascii="Book Antiqua" w:hAnsi="Book Antiqua"/>
        <w:sz w:val="24"/>
        <w:szCs w:val="24"/>
      </w:rPr>
      <w:instrText xml:space="preserve"> NUMPAGES   \* MERGEFORMAT </w:instrText>
    </w:r>
    <w:r w:rsidRPr="00ED6CC7">
      <w:rPr>
        <w:rFonts w:ascii="Book Antiqua" w:hAnsi="Book Antiqua"/>
        <w:sz w:val="24"/>
        <w:szCs w:val="24"/>
      </w:rPr>
      <w:fldChar w:fldCharType="separate"/>
    </w:r>
    <w:r w:rsidR="00103067">
      <w:rPr>
        <w:rFonts w:ascii="Book Antiqua" w:hAnsi="Book Antiqua"/>
        <w:noProof/>
        <w:sz w:val="24"/>
        <w:szCs w:val="24"/>
      </w:rPr>
      <w:t>26</w:t>
    </w:r>
    <w:r w:rsidRPr="00ED6CC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3CED" w14:textId="77777777" w:rsidR="008E670C" w:rsidRDefault="008E670C" w:rsidP="00ED6CC7">
      <w:r>
        <w:separator/>
      </w:r>
    </w:p>
  </w:footnote>
  <w:footnote w:type="continuationSeparator" w:id="0">
    <w:p w14:paraId="3ECCA3B8" w14:textId="77777777" w:rsidR="008E670C" w:rsidRDefault="008E670C" w:rsidP="00ED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C85"/>
    <w:rsid w:val="0000284E"/>
    <w:rsid w:val="00002D28"/>
    <w:rsid w:val="00016780"/>
    <w:rsid w:val="00054544"/>
    <w:rsid w:val="00084067"/>
    <w:rsid w:val="00085036"/>
    <w:rsid w:val="00103067"/>
    <w:rsid w:val="00123A74"/>
    <w:rsid w:val="00141699"/>
    <w:rsid w:val="001517C2"/>
    <w:rsid w:val="00164A83"/>
    <w:rsid w:val="00181823"/>
    <w:rsid w:val="001D3175"/>
    <w:rsid w:val="001E6847"/>
    <w:rsid w:val="00200B4C"/>
    <w:rsid w:val="0020557E"/>
    <w:rsid w:val="002345D3"/>
    <w:rsid w:val="002817B8"/>
    <w:rsid w:val="003010FD"/>
    <w:rsid w:val="0031477A"/>
    <w:rsid w:val="00346BF2"/>
    <w:rsid w:val="0035798D"/>
    <w:rsid w:val="00374351"/>
    <w:rsid w:val="00375446"/>
    <w:rsid w:val="0039198E"/>
    <w:rsid w:val="003C1D9C"/>
    <w:rsid w:val="004269EE"/>
    <w:rsid w:val="0043508F"/>
    <w:rsid w:val="004B5427"/>
    <w:rsid w:val="004B5C76"/>
    <w:rsid w:val="00537E08"/>
    <w:rsid w:val="005532A8"/>
    <w:rsid w:val="00583DA1"/>
    <w:rsid w:val="005A3D42"/>
    <w:rsid w:val="005B4BBE"/>
    <w:rsid w:val="005B74A3"/>
    <w:rsid w:val="005E75A1"/>
    <w:rsid w:val="006140AD"/>
    <w:rsid w:val="00630A53"/>
    <w:rsid w:val="0066754F"/>
    <w:rsid w:val="00690C24"/>
    <w:rsid w:val="00695B32"/>
    <w:rsid w:val="006B5E9D"/>
    <w:rsid w:val="006D4E9E"/>
    <w:rsid w:val="006D643A"/>
    <w:rsid w:val="00711B33"/>
    <w:rsid w:val="007136BE"/>
    <w:rsid w:val="00726DA9"/>
    <w:rsid w:val="00741A0D"/>
    <w:rsid w:val="00771891"/>
    <w:rsid w:val="00785620"/>
    <w:rsid w:val="00792CEA"/>
    <w:rsid w:val="007A1C40"/>
    <w:rsid w:val="007C3118"/>
    <w:rsid w:val="00801293"/>
    <w:rsid w:val="00826287"/>
    <w:rsid w:val="0082738E"/>
    <w:rsid w:val="00836E1B"/>
    <w:rsid w:val="00844D18"/>
    <w:rsid w:val="008470C2"/>
    <w:rsid w:val="008511A2"/>
    <w:rsid w:val="008A47C0"/>
    <w:rsid w:val="008D4340"/>
    <w:rsid w:val="008E670C"/>
    <w:rsid w:val="008F2567"/>
    <w:rsid w:val="00920534"/>
    <w:rsid w:val="009622D0"/>
    <w:rsid w:val="009A2574"/>
    <w:rsid w:val="009E6F26"/>
    <w:rsid w:val="009F3B93"/>
    <w:rsid w:val="00A17620"/>
    <w:rsid w:val="00A23DD4"/>
    <w:rsid w:val="00A24126"/>
    <w:rsid w:val="00A350D8"/>
    <w:rsid w:val="00A509D6"/>
    <w:rsid w:val="00A523D5"/>
    <w:rsid w:val="00A77B3E"/>
    <w:rsid w:val="00A846A0"/>
    <w:rsid w:val="00AA41CD"/>
    <w:rsid w:val="00AD5520"/>
    <w:rsid w:val="00AF07E4"/>
    <w:rsid w:val="00B14771"/>
    <w:rsid w:val="00B218BD"/>
    <w:rsid w:val="00B64BB6"/>
    <w:rsid w:val="00BA21ED"/>
    <w:rsid w:val="00BC4FA7"/>
    <w:rsid w:val="00BE2551"/>
    <w:rsid w:val="00BF5E29"/>
    <w:rsid w:val="00C008C9"/>
    <w:rsid w:val="00C55141"/>
    <w:rsid w:val="00C81E40"/>
    <w:rsid w:val="00C83CAE"/>
    <w:rsid w:val="00CA2A55"/>
    <w:rsid w:val="00CB0B7A"/>
    <w:rsid w:val="00CD7C8A"/>
    <w:rsid w:val="00CE0BFB"/>
    <w:rsid w:val="00CE3F76"/>
    <w:rsid w:val="00CE42A7"/>
    <w:rsid w:val="00D37D5A"/>
    <w:rsid w:val="00D42650"/>
    <w:rsid w:val="00D578B8"/>
    <w:rsid w:val="00D735EE"/>
    <w:rsid w:val="00D86763"/>
    <w:rsid w:val="00D938BA"/>
    <w:rsid w:val="00D93D62"/>
    <w:rsid w:val="00D952F9"/>
    <w:rsid w:val="00DF565E"/>
    <w:rsid w:val="00E33D24"/>
    <w:rsid w:val="00E44BBB"/>
    <w:rsid w:val="00E60B3A"/>
    <w:rsid w:val="00E919F6"/>
    <w:rsid w:val="00ED6CC7"/>
    <w:rsid w:val="00F26CBD"/>
    <w:rsid w:val="00FB30E6"/>
    <w:rsid w:val="00FB4100"/>
    <w:rsid w:val="00FC3C09"/>
    <w:rsid w:val="00FC52C0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60709"/>
  <w15:docId w15:val="{6A58E693-4663-BC46-8E49-6EFA91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42tablebody">
    <w:name w:val="MDPI_4.2_table_body"/>
    <w:qFormat/>
    <w:rsid w:val="00D42650"/>
    <w:pPr>
      <w:widowControl w:val="0"/>
      <w:adjustRightInd w:val="0"/>
      <w:snapToGrid w:val="0"/>
      <w:spacing w:line="260" w:lineRule="atLeast"/>
      <w:jc w:val="center"/>
      <w:textAlignment w:val="baseline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table" w:styleId="TableGrid">
    <w:name w:val="Table Grid"/>
    <w:basedOn w:val="TableNormal"/>
    <w:uiPriority w:val="59"/>
    <w:rsid w:val="00D42650"/>
    <w:rPr>
      <w:rFonts w:ascii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6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D6CC7"/>
    <w:rPr>
      <w:sz w:val="18"/>
      <w:szCs w:val="18"/>
    </w:rPr>
  </w:style>
  <w:style w:type="paragraph" w:styleId="Footer">
    <w:name w:val="footer"/>
    <w:basedOn w:val="Normal"/>
    <w:link w:val="FooterChar"/>
    <w:rsid w:val="00ED6C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D6CC7"/>
    <w:rPr>
      <w:sz w:val="18"/>
      <w:szCs w:val="18"/>
    </w:rPr>
  </w:style>
  <w:style w:type="paragraph" w:styleId="NormalWeb">
    <w:name w:val="Normal (Web)"/>
    <w:basedOn w:val="Normal"/>
    <w:rsid w:val="00FB30E6"/>
  </w:style>
  <w:style w:type="character" w:styleId="CommentReference">
    <w:name w:val="annotation reference"/>
    <w:basedOn w:val="DefaultParagraphFont"/>
    <w:rsid w:val="0043508F"/>
    <w:rPr>
      <w:sz w:val="21"/>
      <w:szCs w:val="21"/>
    </w:rPr>
  </w:style>
  <w:style w:type="paragraph" w:styleId="CommentText">
    <w:name w:val="annotation text"/>
    <w:basedOn w:val="Normal"/>
    <w:link w:val="CommentTextChar"/>
    <w:rsid w:val="0043508F"/>
  </w:style>
  <w:style w:type="character" w:customStyle="1" w:styleId="CommentTextChar">
    <w:name w:val="Comment Text Char"/>
    <w:basedOn w:val="DefaultParagraphFont"/>
    <w:link w:val="CommentText"/>
    <w:rsid w:val="004350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35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08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3508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508F"/>
    <w:rPr>
      <w:sz w:val="18"/>
      <w:szCs w:val="18"/>
    </w:rPr>
  </w:style>
  <w:style w:type="paragraph" w:styleId="Revision">
    <w:name w:val="Revision"/>
    <w:hidden/>
    <w:uiPriority w:val="99"/>
    <w:semiHidden/>
    <w:rsid w:val="001E68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6075</Words>
  <Characters>34634</Characters>
  <Application>Microsoft Office Word</Application>
  <DocSecurity>0</DocSecurity>
  <Lines>288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Vilibić Čavlek</dc:creator>
  <cp:lastModifiedBy>Jennifer van Velkinburgh</cp:lastModifiedBy>
  <cp:revision>2</cp:revision>
  <dcterms:created xsi:type="dcterms:W3CDTF">2022-07-17T03:29:00Z</dcterms:created>
  <dcterms:modified xsi:type="dcterms:W3CDTF">2022-07-17T03:29:00Z</dcterms:modified>
</cp:coreProperties>
</file>