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77676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bCs/>
          <w:color w:val="000000"/>
        </w:rPr>
        <w:t xml:space="preserve">Extensive right coronary artery thrombosis in a patient with </w:t>
      </w:r>
      <w:r>
        <w:rPr>
          <w:rFonts w:ascii="Book Antiqua" w:hAnsi="Book Antiqua" w:eastAsia="Book Antiqua" w:cs="Book Antiqua"/>
          <w:b/>
          <w:color w:val="000000"/>
        </w:rPr>
        <w:t>COVID-19</w:t>
      </w:r>
      <w:r>
        <w:rPr>
          <w:rFonts w:ascii="Book Antiqua" w:hAnsi="Book Antiqua" w:eastAsia="Book Antiqua" w:cs="Book Antiqua"/>
          <w:b/>
          <w:bCs/>
          <w:color w:val="000000"/>
        </w:rPr>
        <w:t>: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Dall’Orto </w:t>
      </w:r>
      <w:r>
        <w:rPr>
          <w:rFonts w:ascii="Book Antiqua" w:hAnsi="Book Antiqua" w:cs="Book Antiqua"/>
          <w:color w:val="000000"/>
          <w:lang w:eastAsia="zh-CN"/>
        </w:rPr>
        <w:t xml:space="preserve">CC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RCA thrombosis in a COVID-19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Clarissa Campo Dall’Orto, Rubens Pierry Ferreira Lopes, Mariana Torres Cancela, Ciria de Sales Padilha, Gilvan Vilella Pinto Filho, Marcos Raphael da Silva</w:t>
      </w:r>
    </w:p>
    <w:p>
      <w:pPr>
        <w:spacing w:line="360" w:lineRule="auto"/>
        <w:jc w:val="both"/>
        <w:rPr>
          <w:rFonts w:ascii="Book Antiqua" w:hAnsi="Book Antiqua"/>
          <w:b/>
          <w:bCs/>
          <w:lang w:val="pt-BR" w:eastAsia="zh-CN"/>
        </w:rPr>
      </w:pPr>
    </w:p>
    <w:p>
      <w:pPr>
        <w:spacing w:line="360" w:lineRule="auto"/>
        <w:jc w:val="both"/>
        <w:rPr>
          <w:rFonts w:ascii="Book Antiqua" w:hAnsi="Book Antiqua"/>
          <w:lang w:val="pt-BR"/>
        </w:rPr>
      </w:pPr>
      <w:r>
        <w:rPr>
          <w:rFonts w:ascii="Book Antiqua" w:hAnsi="Book Antiqua"/>
          <w:b/>
          <w:bCs/>
          <w:lang w:val="pt-BR"/>
        </w:rPr>
        <w:t>Clarissa Campo Dall’Orto, Rubens Pierry Ferreira Lopes, Gilvan Vilella Pinto Filho, Marcos Raphael da Silva,</w:t>
      </w:r>
      <w:r>
        <w:rPr>
          <w:rFonts w:ascii="Book Antiqua" w:hAnsi="Book Antiqua"/>
          <w:lang w:val="pt-BR"/>
        </w:rPr>
        <w:t xml:space="preserve"> Therapy Center, Brazilian Society of Health Support Hospital, Teixeira de Freitas</w:t>
      </w:r>
      <w:r>
        <w:rPr>
          <w:rFonts w:ascii="Book Antiqua" w:hAnsi="Book Antiqua"/>
          <w:lang w:val="pt-BR" w:eastAsia="zh-CN"/>
        </w:rPr>
        <w:t xml:space="preserve"> </w:t>
      </w:r>
      <w:r>
        <w:rPr>
          <w:rFonts w:ascii="Book Antiqua" w:hAnsi="Book Antiqua" w:eastAsia="Book Antiqua" w:cs="Book Antiqua"/>
          <w:color w:val="000000"/>
        </w:rPr>
        <w:t>45987-088</w:t>
      </w:r>
      <w:r>
        <w:rPr>
          <w:rFonts w:ascii="Book Antiqua" w:hAnsi="Book Antiqua"/>
          <w:lang w:val="pt-BR"/>
        </w:rPr>
        <w:t>, Bahia, Brazil</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b/>
          <w:bCs/>
          <w:lang w:val="pt-BR"/>
        </w:rPr>
        <w:t>Mariana Torres Cancela,</w:t>
      </w:r>
      <w:r>
        <w:rPr>
          <w:rFonts w:ascii="Book Antiqua" w:hAnsi="Book Antiqua"/>
          <w:lang w:val="pt-BR"/>
        </w:rPr>
        <w:t xml:space="preserve"> Department of Cardiology, Deputy Luis Eduardo Magalhães Hospital, Porto Seguro</w:t>
      </w:r>
      <w:r>
        <w:rPr>
          <w:rFonts w:ascii="Book Antiqua" w:hAnsi="Book Antiqua"/>
          <w:lang w:val="pt-BR" w:eastAsia="zh-CN"/>
        </w:rPr>
        <w:t xml:space="preserve"> </w:t>
      </w:r>
      <w:r>
        <w:rPr>
          <w:rFonts w:ascii="Book Antiqua" w:hAnsi="Book Antiqua" w:eastAsia="Book Antiqua" w:cs="Book Antiqua"/>
          <w:color w:val="000000"/>
        </w:rPr>
        <w:t>45810</w:t>
      </w:r>
      <w:r>
        <w:rPr>
          <w:rFonts w:hint="eastAsia" w:ascii="Book Antiqua" w:hAnsi="Book Antiqua" w:cs="Book Antiqua"/>
          <w:color w:val="000000"/>
          <w:lang w:eastAsia="zh-CN"/>
        </w:rPr>
        <w:t>-</w:t>
      </w:r>
      <w:r>
        <w:rPr>
          <w:rFonts w:ascii="Book Antiqua" w:hAnsi="Book Antiqua" w:eastAsia="Book Antiqua" w:cs="Book Antiqua"/>
          <w:color w:val="000000"/>
        </w:rPr>
        <w:t>000</w:t>
      </w:r>
      <w:r>
        <w:rPr>
          <w:rFonts w:ascii="Book Antiqua" w:hAnsi="Book Antiqua"/>
          <w:lang w:val="pt-BR"/>
        </w:rPr>
        <w:t>, Bahia, Brazil</w:t>
      </w:r>
    </w:p>
    <w:p>
      <w:pPr>
        <w:spacing w:line="360" w:lineRule="auto"/>
        <w:jc w:val="both"/>
        <w:rPr>
          <w:rFonts w:ascii="Book Antiqua" w:hAnsi="Book Antiqua"/>
          <w:lang w:val="pt-BR"/>
        </w:rPr>
      </w:pPr>
    </w:p>
    <w:p>
      <w:pPr>
        <w:spacing w:line="360" w:lineRule="auto"/>
        <w:jc w:val="both"/>
        <w:rPr>
          <w:rFonts w:ascii="Book Antiqua" w:hAnsi="Book Antiqua"/>
          <w:vertAlign w:val="superscript"/>
          <w:lang w:val="pt-BR"/>
        </w:rPr>
      </w:pPr>
      <w:r>
        <w:rPr>
          <w:rFonts w:ascii="Book Antiqua" w:hAnsi="Book Antiqua"/>
          <w:b/>
          <w:bCs/>
          <w:lang w:val="pt-BR"/>
        </w:rPr>
        <w:t>C</w:t>
      </w:r>
      <w:r>
        <w:rPr>
          <w:rFonts w:hint="eastAsia" w:ascii="Book Antiqua" w:hAnsi="Book Antiqua"/>
          <w:b/>
          <w:bCs/>
          <w:lang w:val="pt-BR" w:eastAsia="zh-CN"/>
        </w:rPr>
        <w:t>i</w:t>
      </w:r>
      <w:r>
        <w:rPr>
          <w:rFonts w:ascii="Book Antiqua" w:hAnsi="Book Antiqua"/>
          <w:b/>
          <w:bCs/>
          <w:lang w:val="pt-BR"/>
        </w:rPr>
        <w:t>ria de Sales Padilha</w:t>
      </w:r>
      <w:r>
        <w:rPr>
          <w:rFonts w:ascii="Book Antiqua" w:hAnsi="Book Antiqua"/>
          <w:b/>
          <w:lang w:val="pt-BR"/>
        </w:rPr>
        <w:t>,</w:t>
      </w:r>
      <w:r>
        <w:rPr>
          <w:rFonts w:ascii="Book Antiqua" w:hAnsi="Book Antiqua"/>
          <w:lang w:val="pt-BR"/>
        </w:rPr>
        <w:t xml:space="preserve"> </w:t>
      </w:r>
      <w:r>
        <w:rPr>
          <w:rFonts w:hint="eastAsia" w:ascii="Book Antiqua" w:hAnsi="Book Antiqua"/>
          <w:lang w:val="pt-BR"/>
        </w:rPr>
        <w:t>I</w:t>
      </w:r>
      <w:r>
        <w:rPr>
          <w:rFonts w:ascii="Book Antiqua" w:hAnsi="Book Antiqua"/>
          <w:lang w:val="pt-BR"/>
        </w:rPr>
        <w:t xml:space="preserve">ntensive </w:t>
      </w:r>
      <w:r>
        <w:rPr>
          <w:rFonts w:hint="eastAsia" w:ascii="Book Antiqua" w:hAnsi="Book Antiqua"/>
          <w:lang w:val="pt-BR"/>
        </w:rPr>
        <w:t>C</w:t>
      </w:r>
      <w:r>
        <w:rPr>
          <w:rFonts w:ascii="Book Antiqua" w:hAnsi="Book Antiqua"/>
          <w:lang w:val="pt-BR"/>
        </w:rPr>
        <w:t xml:space="preserve">are </w:t>
      </w:r>
      <w:r>
        <w:rPr>
          <w:rFonts w:hint="eastAsia" w:ascii="Book Antiqua" w:hAnsi="Book Antiqua"/>
          <w:lang w:val="pt-BR"/>
        </w:rPr>
        <w:t>U</w:t>
      </w:r>
      <w:r>
        <w:rPr>
          <w:rFonts w:ascii="Book Antiqua" w:hAnsi="Book Antiqua"/>
          <w:lang w:val="pt-BR"/>
        </w:rPr>
        <w:t>nit,</w:t>
      </w:r>
      <w:r>
        <w:rPr>
          <w:rFonts w:hint="eastAsia" w:ascii="Book Antiqua" w:hAnsi="Book Antiqua"/>
          <w:lang w:val="pt-BR"/>
        </w:rPr>
        <w:t xml:space="preserve"> </w:t>
      </w:r>
      <w:r>
        <w:rPr>
          <w:rFonts w:ascii="Book Antiqua" w:hAnsi="Book Antiqua"/>
          <w:lang w:val="pt-BR"/>
        </w:rPr>
        <w:t>Medical Assistance Extreme South Hospital, Eunápolis</w:t>
      </w:r>
      <w:r>
        <w:rPr>
          <w:rFonts w:ascii="Book Antiqua" w:hAnsi="Book Antiqua"/>
          <w:lang w:val="pt-BR" w:eastAsia="zh-CN"/>
        </w:rPr>
        <w:t xml:space="preserve"> </w:t>
      </w:r>
      <w:r>
        <w:rPr>
          <w:rFonts w:ascii="Book Antiqua" w:hAnsi="Book Antiqua" w:eastAsia="Book Antiqua" w:cs="Book Antiqua"/>
          <w:color w:val="000000"/>
        </w:rPr>
        <w:t>45820-131</w:t>
      </w:r>
      <w:r>
        <w:rPr>
          <w:rFonts w:ascii="Book Antiqua" w:hAnsi="Book Antiqua"/>
          <w:lang w:val="pt-BR"/>
        </w:rPr>
        <w:t>, Bahia, Brazil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Dall’Orto </w:t>
      </w:r>
      <w:r>
        <w:rPr>
          <w:rFonts w:hint="eastAsia" w:ascii="Book Antiqua" w:hAnsi="Book Antiqua" w:cs="Book Antiqua"/>
          <w:color w:val="000000"/>
          <w:lang w:eastAsia="zh-CN"/>
        </w:rPr>
        <w:t xml:space="preserve">CC </w:t>
      </w:r>
      <w:r>
        <w:rPr>
          <w:rFonts w:ascii="Book Antiqua" w:hAnsi="Book Antiqua" w:eastAsia="Book Antiqua" w:cs="Book Antiqua"/>
          <w:color w:val="000000"/>
        </w:rPr>
        <w:t xml:space="preserve">and Lopes </w:t>
      </w:r>
      <w:r>
        <w:rPr>
          <w:rFonts w:hint="eastAsia" w:ascii="Book Antiqua" w:hAnsi="Book Antiqua" w:cs="Book Antiqua"/>
          <w:color w:val="000000"/>
          <w:lang w:eastAsia="zh-CN"/>
        </w:rPr>
        <w:t xml:space="preserve">RPF </w:t>
      </w:r>
      <w:r>
        <w:rPr>
          <w:rFonts w:ascii="Book Antiqua" w:hAnsi="Book Antiqua" w:eastAsia="Book Antiqua" w:cs="Book Antiqua"/>
          <w:color w:val="000000"/>
          <w:shd w:val="clear" w:color="auto" w:fill="FFFFFF"/>
        </w:rPr>
        <w:t xml:space="preserve">contributed to </w:t>
      </w:r>
      <w:r>
        <w:rPr>
          <w:rFonts w:ascii="Book Antiqua" w:hAnsi="Book Antiqua" w:eastAsia="Book Antiqua" w:cs="Book Antiqua"/>
          <w:color w:val="000000"/>
        </w:rPr>
        <w:t xml:space="preserve">manuscript writing, editing and </w:t>
      </w:r>
      <w:r>
        <w:rPr>
          <w:rFonts w:ascii="Book Antiqua" w:hAnsi="Book Antiqua" w:eastAsia="Book Antiqua" w:cs="Book Antiqua"/>
          <w:color w:val="000000"/>
          <w:shd w:val="clear" w:color="auto" w:fill="FFFFFF"/>
        </w:rPr>
        <w:t>supervision</w:t>
      </w:r>
      <w:r>
        <w:rPr>
          <w:rFonts w:hint="eastAsia" w:ascii="Book Antiqua" w:hAnsi="Book Antiqua" w:cs="Book Antiqua"/>
          <w:color w:val="000000"/>
          <w:lang w:eastAsia="zh-CN"/>
        </w:rPr>
        <w:t>;</w:t>
      </w:r>
      <w:r>
        <w:rPr>
          <w:rFonts w:ascii="Book Antiqua" w:hAnsi="Book Antiqua" w:eastAsia="Book Antiqua" w:cs="Book Antiqua"/>
          <w:color w:val="000000"/>
        </w:rPr>
        <w:t xml:space="preserve"> Pinto Filho GV</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Raphael </w:t>
      </w:r>
      <w:r>
        <w:rPr>
          <w:rFonts w:hint="eastAsia" w:ascii="Book Antiqua" w:hAnsi="Book Antiqua" w:cs="Book Antiqua"/>
          <w:color w:val="000000"/>
          <w:lang w:eastAsia="zh-CN"/>
        </w:rPr>
        <w:t xml:space="preserve">M </w:t>
      </w:r>
      <w:r>
        <w:rPr>
          <w:rFonts w:ascii="Book Antiqua" w:hAnsi="Book Antiqua" w:eastAsia="Book Antiqua" w:cs="Book Antiqua"/>
          <w:color w:val="000000"/>
          <w:shd w:val="clear" w:color="auto" w:fill="FFFFFF"/>
        </w:rPr>
        <w:t xml:space="preserve">contributed to </w:t>
      </w:r>
      <w:r>
        <w:rPr>
          <w:rFonts w:ascii="Book Antiqua" w:hAnsi="Book Antiqua" w:eastAsia="Book Antiqua" w:cs="Book Antiqua"/>
          <w:color w:val="000000"/>
        </w:rPr>
        <w:t xml:space="preserve">data </w:t>
      </w:r>
      <w:r>
        <w:rPr>
          <w:rFonts w:ascii="Book Antiqua" w:hAnsi="Book Antiqua" w:eastAsia="Book Antiqua" w:cs="Book Antiqua"/>
          <w:color w:val="000000"/>
          <w:shd w:val="clear" w:color="auto" w:fill="FFFFFF"/>
        </w:rPr>
        <w:t>analysis</w:t>
      </w:r>
      <w:r>
        <w:rPr>
          <w:rFonts w:ascii="Book Antiqua" w:hAnsi="Book Antiqua" w:eastAsia="Book Antiqua" w:cs="Book Antiqua"/>
          <w:color w:val="000000"/>
        </w:rPr>
        <w:t xml:space="preserve">; Cancela </w:t>
      </w:r>
      <w:r>
        <w:rPr>
          <w:rFonts w:hint="eastAsia" w:ascii="Book Antiqua" w:hAnsi="Book Antiqua" w:cs="Book Antiqua"/>
          <w:color w:val="000000"/>
          <w:lang w:eastAsia="zh-CN"/>
        </w:rPr>
        <w:t xml:space="preserve">MT </w:t>
      </w:r>
      <w:r>
        <w:rPr>
          <w:rFonts w:ascii="Book Antiqua" w:hAnsi="Book Antiqua" w:eastAsia="Book Antiqua" w:cs="Book Antiqua"/>
          <w:color w:val="000000"/>
          <w:shd w:val="clear" w:color="auto" w:fill="FFFFFF"/>
        </w:rPr>
        <w:t xml:space="preserve">contributed to conceptualization; </w:t>
      </w:r>
      <w:r>
        <w:rPr>
          <w:rFonts w:hint="eastAsia" w:ascii="Book Antiqua" w:hAnsi="Book Antiqua" w:cs="Book Antiqua"/>
          <w:color w:val="000000"/>
          <w:shd w:val="clear" w:color="auto" w:fill="FFFFFF"/>
          <w:lang w:eastAsia="zh-CN"/>
        </w:rPr>
        <w:t xml:space="preserve">de </w:t>
      </w:r>
      <w:r>
        <w:rPr>
          <w:rFonts w:ascii="Book Antiqua" w:hAnsi="Book Antiqua" w:eastAsia="Book Antiqua" w:cs="Book Antiqua"/>
          <w:color w:val="000000"/>
          <w:shd w:val="clear" w:color="auto" w:fill="FFFFFF"/>
        </w:rPr>
        <w:t xml:space="preserve">Sales Padilha </w:t>
      </w:r>
      <w:r>
        <w:rPr>
          <w:rFonts w:hint="eastAsia" w:ascii="Book Antiqua" w:hAnsi="Book Antiqua" w:cs="Book Antiqua"/>
          <w:color w:val="000000"/>
          <w:shd w:val="clear" w:color="auto" w:fill="FFFFFF"/>
          <w:lang w:eastAsia="zh-CN"/>
        </w:rPr>
        <w:t xml:space="preserve">C </w:t>
      </w:r>
      <w:r>
        <w:rPr>
          <w:rFonts w:ascii="Book Antiqua" w:hAnsi="Book Antiqua" w:eastAsia="Book Antiqua" w:cs="Book Antiqua"/>
          <w:color w:val="000000"/>
          <w:shd w:val="clear" w:color="auto" w:fill="FFFFFF"/>
        </w:rPr>
        <w:t xml:space="preserve">contributed to </w:t>
      </w:r>
      <w:r>
        <w:rPr>
          <w:rFonts w:ascii="Book Antiqua" w:hAnsi="Book Antiqua" w:eastAsia="Book Antiqua" w:cs="Book Antiqua"/>
          <w:color w:val="000000"/>
        </w:rPr>
        <w:t xml:space="preserve">data collection; </w:t>
      </w:r>
      <w:r>
        <w:rPr>
          <w:rFonts w:ascii="Book Antiqua" w:hAnsi="Book Antiqua" w:eastAsia="Book Antiqua" w:cs="Book Antiqua"/>
          <w:color w:val="000000"/>
          <w:shd w:val="clear" w:color="auto" w:fill="FFFFFF"/>
        </w:rPr>
        <w:t xml:space="preserve">all authors have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Clarissa Campo Dall’Orto, MD, PhD, Chief Doctor, </w:t>
      </w:r>
      <w:r>
        <w:rPr>
          <w:rFonts w:ascii="Book Antiqua" w:hAnsi="Book Antiqua"/>
          <w:lang w:val="pt-BR"/>
        </w:rPr>
        <w:t>Therapy Center, Brazilian Society of Health Support Hospital</w:t>
      </w:r>
      <w:r>
        <w:rPr>
          <w:rFonts w:ascii="Book Antiqua" w:hAnsi="Book Antiqua" w:eastAsia="Book Antiqua" w:cs="Book Antiqua"/>
          <w:color w:val="000000"/>
        </w:rPr>
        <w:t>, Av. Pres. Getúlio Vargas-Recanto do Lago 2752, Teixeira de Freitas 45987-088, Bahia, Brazil. clarissadallorto@alumni.usp.br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12,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27,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21,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November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Occurring in approximately 30% of hospitalized patients, cardiovascular complications that take place during the course of coronavirus disease 2019 (COVID-19) have been shown to cause morbidity and mortality. This case is the first report of extensive right coronary artery (RCA) thrombosis that was evaluated by intracoronary imaging and intracoronary invasive physiology in a patient with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62-year-old woman presented with flu-like symptoms; ten days later, she presented with inferior ST-segment elevations, chest pain, dyspnea, nausea and vomiting. The patient was diagnosed with COVID-19 following a positive test result. Emergency angiography of the RCA and its branches indicated intraluminal filling defects, suggesting a thrombus. Intravascular ultrasound confirmed a subacute thrombus in the RCA, the right posterior descending branch and the right posterior ventricular (RPV) branch. There was also an acute thrombus in the RPV branch and atherosclerosis in the RCA. Dual antiplatelet/anticoagulation therapy was administered. After 7 d, angiography revealed complete disappearance of the thrombi. Optical coherence tomography confirmed this with the exception of a small thrombus in the RPV branch and atherosclerotic plaque in the RCA. The atherosclerotic RCA was measured using the resting full-cycle ratio, indicating no impairment to coronary physiology. The patient was discharged on the 11</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hospitalization and remained asymptomatic through the 6-mo follow-up.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was the first report of RCA thrombosis in a patient with COVID-19. Dual antiplatelet/anticoagulation therapy was successful.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Acute coronary syndrome; Coronary angiography; COVID-19, Intravascular ultrasound; Thrombosis</w:t>
      </w:r>
      <w:r>
        <w:rPr>
          <w:rFonts w:hint="eastAsia" w:ascii="Book Antiqua" w:hAnsi="Book Antiqua" w:cs="Book Antiqua"/>
          <w:color w:val="000000"/>
          <w:lang w:eastAsia="zh-CN"/>
        </w:rPr>
        <w:t>;</w:t>
      </w:r>
      <w:r>
        <w:rPr>
          <w:rFonts w:ascii="Book Antiqua" w:hAnsi="Book Antiqua" w:eastAsia="Book Antiqua" w:cs="Book Antiqua"/>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b/>
          <w:bCs/>
        </w:rPr>
        <w:t>Citation</w:t>
      </w:r>
      <w:r>
        <w:rPr>
          <w:rFonts w:ascii="Book Antiqua" w:hAnsi="Book Antiqua"/>
        </w:rPr>
        <w:t xml:space="preserve">: </w:t>
      </w:r>
      <w:r>
        <w:rPr>
          <w:rFonts w:ascii="Book Antiqua" w:hAnsi="Book Antiqua" w:eastAsia="Book Antiqua" w:cs="Book Antiqua"/>
          <w:color w:val="000000"/>
        </w:rPr>
        <w:t>Dall’Orto CC, Lopes RPF, Cancela MT, de Sales Padilha</w:t>
      </w:r>
      <w:r>
        <w:rPr>
          <w:rFonts w:hint="eastAsia" w:ascii="Book Antiqua" w:hAnsi="Book Antiqua" w:cs="Book Antiqua"/>
          <w:color w:val="000000"/>
          <w:lang w:eastAsia="zh-CN"/>
        </w:rPr>
        <w:t xml:space="preserve"> C</w:t>
      </w:r>
      <w:r>
        <w:rPr>
          <w:rFonts w:ascii="Book Antiqua" w:hAnsi="Book Antiqua" w:eastAsia="Book Antiqua" w:cs="Book Antiqua"/>
          <w:color w:val="000000"/>
        </w:rPr>
        <w:t xml:space="preserve">, Pinto Filho GV, da Silva MR. </w:t>
      </w:r>
      <w:r>
        <w:rPr>
          <w:rFonts w:ascii="Book Antiqua" w:hAnsi="Book Antiqua" w:eastAsia="Book Antiqua" w:cs="Book Antiqua"/>
          <w:bCs/>
          <w:color w:val="000000"/>
        </w:rPr>
        <w:t xml:space="preserve">Extensive right coronary artery thrombosis in a patient with </w:t>
      </w:r>
      <w:r>
        <w:rPr>
          <w:rFonts w:ascii="Book Antiqua" w:hAnsi="Book Antiqua" w:eastAsia="Book Antiqua" w:cs="Book Antiqua"/>
          <w:color w:val="000000"/>
        </w:rPr>
        <w:t>COVID-19</w:t>
      </w:r>
      <w:r>
        <w:rPr>
          <w:rFonts w:ascii="Book Antiqua" w:hAnsi="Book Antiqua" w:eastAsia="Book Antiqua" w:cs="Book Antiqua"/>
          <w:bCs/>
          <w:color w:val="000000"/>
        </w:rPr>
        <w:t>: A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11508-11516</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11508</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11508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Cardiovascular complications occurring during the course of coronavirus disease 2019 (COVID-19) cause morbidity and mortality. We report the case of a 62-year-old woman with COVID-19 and </w:t>
      </w:r>
      <w:r>
        <w:rPr>
          <w:rFonts w:ascii="Book Antiqua" w:hAnsi="Book Antiqua" w:eastAsia="Book Antiqua" w:cs="Book Antiqua"/>
          <w:color w:val="000000"/>
          <w:shd w:val="clear" w:color="auto" w:fill="FFFFFF"/>
        </w:rPr>
        <w:t xml:space="preserve">ST-elevation myocardial infarction. </w:t>
      </w:r>
      <w:r>
        <w:rPr>
          <w:rFonts w:ascii="Book Antiqua" w:hAnsi="Book Antiqua" w:eastAsia="Book Antiqua" w:cs="Book Antiqua"/>
          <w:color w:val="000000"/>
        </w:rPr>
        <w:t xml:space="preserve">Angiography of the right coronary artery suggested a thrombus, and findings were confirmed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intravascular ultrasound and optimal coherence tomography. Dual antiplatelet therapy and anticoagulation with enoxaparin therapy was administered for 7 d, followed by disappearance of the thrombi. </w:t>
      </w:r>
      <w:r>
        <w:rPr>
          <w:rFonts w:ascii="Book Antiqua" w:hAnsi="Book Antiqua" w:eastAsia="Book Antiqua" w:cs="Book Antiqua"/>
          <w:color w:val="000000"/>
          <w:shd w:val="clear" w:color="auto" w:fill="FFFFFF"/>
        </w:rPr>
        <w:t>Resting full-cycle ratio</w:t>
      </w:r>
      <w:r>
        <w:rPr>
          <w:rFonts w:ascii="Book Antiqua" w:hAnsi="Book Antiqua" w:eastAsia="Book Antiqua" w:cs="Book Antiqua"/>
          <w:color w:val="000000"/>
        </w:rPr>
        <w:t xml:space="preserve"> was performed without damage to coronary physiology. There is no consensus on the ideal management approach for acute coronary syndrome in this scenario; however, in this case the thrombi disappeared after dual antiplatelet and anticoagulation therapy.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Cardiovascular complications occurring in the course of coronavirus disease 2019 (COVID-19) cause morbidity and mortality affecting 30% of hospitalized patients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One possible explanation for the damage caused to the myocardium by severe acute respiratory syndrome coronavirus 2 (SARS-CoV-2) involves hypoxia following respiratory failure along with excessive inflammation, excess cytokine production, angiotensin-converting enzyme 2 receptor expression downregulation, platelet activation, coagulation cascade, endothelial cell injury, rupture of previously existing plaques </w:t>
      </w:r>
      <w:r>
        <w:rPr>
          <w:rFonts w:hint="eastAsia" w:ascii="Book Antiqua" w:hAnsi="Book Antiqua" w:cs="Book Antiqua"/>
          <w:color w:val="000000"/>
          <w:lang w:eastAsia="zh-CN"/>
        </w:rPr>
        <w:t>[</w:t>
      </w:r>
      <w:r>
        <w:rPr>
          <w:rFonts w:ascii="Book Antiqua" w:hAnsi="Book Antiqua" w:eastAsia="Book Antiqua" w:cs="Book Antiqua"/>
          <w:color w:val="000000"/>
        </w:rPr>
        <w:t xml:space="preserve">type 1 acute myocardial infarction </w:t>
      </w:r>
      <w:r>
        <w:rPr>
          <w:rFonts w:hint="eastAsia" w:ascii="Book Antiqua" w:hAnsi="Book Antiqua" w:cs="Book Antiqua"/>
          <w:color w:val="000000"/>
          <w:lang w:eastAsia="zh-CN"/>
        </w:rPr>
        <w:t>(</w:t>
      </w:r>
      <w:r>
        <w:rPr>
          <w:rFonts w:ascii="Book Antiqua" w:hAnsi="Book Antiqua" w:eastAsia="Book Antiqua" w:cs="Book Antiqua"/>
          <w:color w:val="000000"/>
        </w:rPr>
        <w:t>AMI</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direct myocyte infiltration by the virus</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62-year-old woman with COVID-19 who presented with chest pain, dyspnea, nausea, and vomiting.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initially presented with flu-like symptoms and was diagnosed with COVID-19 following a positive reading on a polymerase chain reaction (PCR) test. Ten days later, the patient presented with chest pain, dyspnea, nausea and vomiting.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patient’s medical history included dyslipidemia and incipient atherosclerosis in the carotid and aortic territories, continuous use of nortriptyline for migraines and 9 years of tiboline </w:t>
      </w:r>
      <w:r>
        <w:rPr>
          <w:rFonts w:hint="eastAsia" w:ascii="Book Antiqua" w:hAnsi="Book Antiqua" w:cs="Book Antiqua"/>
          <w:color w:val="000000"/>
          <w:lang w:eastAsia="zh-CN"/>
        </w:rPr>
        <w:t>[</w:t>
      </w:r>
      <w:r>
        <w:rPr>
          <w:rFonts w:ascii="Book Antiqua" w:hAnsi="Book Antiqua" w:eastAsia="Book Antiqua" w:cs="Book Antiqua"/>
          <w:color w:val="000000"/>
        </w:rPr>
        <w:t xml:space="preserve">Libiam 1.25 mg once a day </w:t>
      </w:r>
      <w:r>
        <w:rPr>
          <w:rFonts w:hint="eastAsia" w:ascii="Book Antiqua" w:hAnsi="Book Antiqua" w:cs="Book Antiqua"/>
          <w:color w:val="000000"/>
          <w:lang w:eastAsia="zh-CN"/>
        </w:rPr>
        <w:t>(</w:t>
      </w:r>
      <w:r>
        <w:rPr>
          <w:rFonts w:ascii="Book Antiqua" w:hAnsi="Book Antiqua" w:eastAsia="Book Antiqua" w:cs="Book Antiqua"/>
          <w:color w:val="000000"/>
        </w:rPr>
        <w:t>Libbs-São Paulo–SP/BR</w:t>
      </w:r>
      <w:r>
        <w:rPr>
          <w:rFonts w:hint="eastAsia" w:ascii="Book Antiqua" w:hAnsi="Book Antiqua" w:cs="Book Antiqua"/>
          <w:color w:val="000000"/>
          <w:lang w:eastAsia="zh-CN"/>
        </w:rPr>
        <w:t>)]</w:t>
      </w:r>
      <w:r>
        <w:rPr>
          <w:rFonts w:ascii="Book Antiqua" w:hAnsi="Book Antiqua" w:eastAsia="Book Antiqua" w:cs="Book Antiqua"/>
          <w:color w:val="000000"/>
        </w:rPr>
        <w:t xml:space="preserve"> use as menopausal hormone therapy. The patient had received three doses of a vaccine for SARS-CoV-2; two chimpanzee adenovirus vector vaccines (ChAdOx1 nCoV-19 AZD1222; Oxford/AstraZeneca/Fiocruz, Rio de Janeiro, Brazil) on April 12, 2021 and July 13, 2021, respectively, and one BNT162b2 mRNA COVID-19 vaccine (BioNTech/Pfizer, New York City, NY, U</w:t>
      </w:r>
      <w:r>
        <w:rPr>
          <w:rFonts w:hint="eastAsia" w:ascii="Book Antiqua" w:hAnsi="Book Antiqua" w:cs="Book Antiqua"/>
          <w:color w:val="000000"/>
          <w:lang w:eastAsia="zh-CN"/>
        </w:rPr>
        <w:t>nited States</w:t>
      </w:r>
      <w:r>
        <w:rPr>
          <w:rFonts w:ascii="Book Antiqua" w:hAnsi="Book Antiqua" w:eastAsia="Book Antiqua" w:cs="Book Antiqua"/>
          <w:color w:val="000000"/>
        </w:rPr>
        <w:t>) on December 13, 2021. Timeline is showed in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Upon physical examination, the vital signs were as follows: </w:t>
      </w:r>
      <w:r>
        <w:rPr>
          <w:rFonts w:hint="eastAsia" w:ascii="Book Antiqua" w:hAnsi="Book Antiqua" w:cs="Book Antiqua"/>
          <w:color w:val="000000"/>
          <w:shd w:val="clear" w:color="auto" w:fill="FFFFFF"/>
          <w:lang w:eastAsia="zh-CN"/>
        </w:rPr>
        <w:t>B</w:t>
      </w:r>
      <w:r>
        <w:rPr>
          <w:rFonts w:ascii="Book Antiqua" w:hAnsi="Book Antiqua" w:eastAsia="Book Antiqua" w:cs="Book Antiqua"/>
          <w:color w:val="000000"/>
          <w:shd w:val="clear" w:color="auto" w:fill="FFFFFF"/>
        </w:rPr>
        <w:t>ody temperature 36.5</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°C; blood pressure 122/78 mmHg; heart rate 82 beats </w:t>
      </w:r>
      <w:r>
        <w:rPr>
          <w:rFonts w:ascii="Book Antiqua" w:hAnsi="Book Antiqua" w:eastAsia="Book Antiqua" w:cs="Book Antiqua"/>
          <w:i/>
          <w:color w:val="000000"/>
          <w:shd w:val="clear" w:color="auto" w:fill="FFFFFF"/>
        </w:rPr>
        <w:t>per</w:t>
      </w:r>
      <w:r>
        <w:rPr>
          <w:rFonts w:ascii="Book Antiqua" w:hAnsi="Book Antiqua" w:eastAsia="Book Antiqua" w:cs="Book Antiqua"/>
          <w:color w:val="000000"/>
          <w:shd w:val="clear" w:color="auto" w:fill="FFFFFF"/>
        </w:rPr>
        <w:t xml:space="preserve"> min; and respiratory rate 22 breaths </w:t>
      </w:r>
      <w:r>
        <w:rPr>
          <w:rFonts w:ascii="Book Antiqua" w:hAnsi="Book Antiqua" w:eastAsia="Book Antiqua" w:cs="Book Antiqua"/>
          <w:i/>
          <w:color w:val="000000"/>
          <w:shd w:val="clear" w:color="auto" w:fill="FFFFFF"/>
        </w:rPr>
        <w:t>per</w:t>
      </w:r>
      <w:r>
        <w:rPr>
          <w:rFonts w:ascii="Book Antiqua" w:hAnsi="Book Antiqua" w:eastAsia="Book Antiqua" w:cs="Book Antiqua"/>
          <w:color w:val="000000"/>
          <w:shd w:val="clear" w:color="auto" w:fill="FFFFFF"/>
        </w:rPr>
        <w:t xml:space="preserve"> min. The patient’s clinical presentation was compatible with Killip-Kimball grade I classification.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examination results were as follows: </w:t>
      </w:r>
      <w:r>
        <w:rPr>
          <w:rFonts w:hint="eastAsia" w:ascii="Book Antiqua" w:hAnsi="Book Antiqua" w:cs="Book Antiqua"/>
          <w:color w:val="000000"/>
          <w:lang w:eastAsia="zh-CN"/>
        </w:rPr>
        <w:t>B</w:t>
      </w:r>
      <w:r>
        <w:rPr>
          <w:rFonts w:ascii="Book Antiqua" w:hAnsi="Book Antiqua" w:eastAsia="Book Antiqua" w:cs="Book Antiqua"/>
          <w:color w:val="000000"/>
        </w:rPr>
        <w:t>lood cardiac biomarkers included a creatine kinase level of 6105 IU/L, a creatine kinase myocardial band fraction of 300 IU/L, a cardiac troponin I level of 25000 pg/mL, a C-reactive protein level of 75.8 mg/dL, a lactic dehydrogenase level of 1.510 U/L and a D-dimer level of 2.540 mcg/L FEU. In addition, transthoracic Doppler echocardiography revealed akinesis in the inferior mid-basal and apical infero-basal portions of the left ventricle.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Emergency coronary angiography revealed that the anterior descending coronary artery and its diagonal branches and circumflex artery and its marginal branches were free of obstructive atherosclerotic lesions (Figure </w:t>
      </w:r>
      <w:r>
        <w:rPr>
          <w:rFonts w:hint="eastAsia" w:ascii="Book Antiqua" w:hAnsi="Book Antiqua" w:cs="Book Antiqua"/>
          <w:color w:val="000000"/>
          <w:lang w:eastAsia="zh-CN"/>
        </w:rPr>
        <w:t>2</w:t>
      </w:r>
      <w:r>
        <w:rPr>
          <w:rFonts w:ascii="Book Antiqua" w:hAnsi="Book Antiqua" w:eastAsia="Book Antiqua" w:cs="Book Antiqua"/>
          <w:color w:val="000000"/>
        </w:rPr>
        <w:t xml:space="preserve">). However, images of the right coronary artery (RCA) and its right posterior descending (RPD) and right posterior ventricular (RPV) branches indicated defects in intraluminal filling, suggesting a thrombus (Figure </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Graphic methods </w:t>
      </w:r>
    </w:p>
    <w:p>
      <w:pPr>
        <w:spacing w:line="360" w:lineRule="auto"/>
        <w:jc w:val="both"/>
        <w:rPr>
          <w:rFonts w:ascii="Book Antiqua" w:hAnsi="Book Antiqua"/>
        </w:rPr>
      </w:pPr>
      <w:r>
        <w:rPr>
          <w:rFonts w:ascii="Book Antiqua" w:hAnsi="Book Antiqua" w:eastAsia="Book Antiqua" w:cs="Book Antiqua"/>
          <w:color w:val="000000"/>
        </w:rPr>
        <w:t xml:space="preserve">Electrocardiography showed sinus rhythm, inferior ST-segment elevations and reciprocal changes in the anterolateral leads (Figure </w:t>
      </w:r>
      <w:r>
        <w:rPr>
          <w:rFonts w:hint="eastAsia" w:ascii="Book Antiqua" w:hAnsi="Book Antiqua" w:cs="Book Antiqua"/>
          <w:color w:val="000000"/>
          <w:lang w:eastAsia="zh-CN"/>
        </w:rPr>
        <w:t>4</w:t>
      </w:r>
      <w:r>
        <w:rPr>
          <w:rFonts w:ascii="Book Antiqua" w:hAnsi="Book Antiqua" w:eastAsia="Book Antiqua" w:cs="Book Antiqua"/>
          <w:color w:val="000000"/>
        </w:rPr>
        <w:t>). The patient was referred for emergency angiography.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We evaluated the RCA by intracoronary ultrasound. Intravascular ultrasound (IVUS) pullbacks were performed using a 40 MHz IVUS OPTICROSS catheter (Boston Scientific, Natick, MA, U</w:t>
      </w:r>
      <w:r>
        <w:rPr>
          <w:rFonts w:hint="eastAsia" w:ascii="Book Antiqua" w:hAnsi="Book Antiqua" w:cs="Book Antiqua"/>
          <w:color w:val="000000"/>
          <w:lang w:eastAsia="zh-CN"/>
        </w:rPr>
        <w:t>nited States</w:t>
      </w:r>
      <w:r>
        <w:rPr>
          <w:rFonts w:ascii="Book Antiqua" w:hAnsi="Book Antiqua" w:eastAsia="Book Antiqua" w:cs="Book Antiqua"/>
          <w:color w:val="000000"/>
        </w:rPr>
        <w:t>) at 0.5 mm/s. The images suggested a subacute, homogeneous, echolucent thrombus in a large extension of the RCA, RPD branch, and RPV branch. Additionally, they showed an acute thrombus with a bright aspect, clear outline and no signal attenuation in the RPV branch (Figure 5)</w:t>
      </w:r>
      <w:r>
        <w:rPr>
          <w:rFonts w:ascii="Book Antiqua" w:hAnsi="Book Antiqua" w:eastAsia="Book Antiqua" w:cs="Book Antiqua"/>
          <w:color w:val="000000"/>
          <w:vertAlign w:val="superscript"/>
        </w:rPr>
        <w:t>[7]</w:t>
      </w:r>
      <w:r>
        <w:rPr>
          <w:rFonts w:ascii="Book Antiqua" w:hAnsi="Book Antiqua" w:eastAsia="Book Antiqua" w:cs="Book Antiqua"/>
          <w:color w:val="000000"/>
        </w:rPr>
        <w:t>. We believe that the presence of thrombi on IVUS in the acute and subacute stages was due to the fact that at the time the patient was studied, the process had already been evolving for over 24 h and the thrombotic process (when it does not culminate with vessel occlusion) is a continuum of thrombus stages.</w:t>
      </w:r>
      <w:r>
        <w:rPr>
          <w:rFonts w:ascii="Book Antiqua" w:hAnsi="Book Antiqua" w:eastAsia="Book Antiqua" w:cs="Book Antiqua"/>
          <w:b/>
          <w:bCs/>
          <w:color w:val="000000"/>
        </w:rPr>
        <w:t xml:space="preserve"> </w:t>
      </w:r>
      <w:r>
        <w:rPr>
          <w:rFonts w:ascii="Book Antiqua" w:hAnsi="Book Antiqua" w:eastAsia="Book Antiqua" w:cs="Book Antiqua"/>
          <w:color w:val="000000"/>
        </w:rPr>
        <w:t>We also identified mild to moderate atherosclerosis in the middle third of the RCA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AMI with inferior ST-segment elevations, Killip grade I heart failure and COVID-19.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On angiography, the patient was pain-free and had thrombolysis in myocardial infarction grade 3 flow, despite extensive thrombotic burden in the RCA. Therefore, we did not perform primary angioplasty and, instead, opted for dual antiplatelet therapy with ticagrelor and aspirin and anticoagulation therapy with enoxaparin 1 mg/kg twice a day. Additionally, we administered the pharmacology recommended by current guidelines for patients with AMI with ST-segment elevation, including statins, a beta-blocker, an angiotensin-converting enzyme or angiotensin II receptor blocker and a mineralocorticoid receptor antagonist</w:t>
      </w:r>
      <w:r>
        <w:rPr>
          <w:rFonts w:ascii="Book Antiqua" w:hAnsi="Book Antiqua" w:eastAsia="Book Antiqua" w:cs="Book Antiqua"/>
          <w:color w:val="000000"/>
          <w:vertAlign w:val="superscript"/>
        </w:rPr>
        <w:t>[8-10]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On angiography and IVUS, we were unable to identify any culprit lesions. Therefore, we used optical coherence tomography (OCT) for confirmation to look for signs of erosion or plaque rupture, which could have explained the condition and guided treatment; for example, if there was a need for mechanical passivation of the plate with a stent. However, we did not find plaque erosion or rupture on OCT.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7 d, repeat coronary angiography showed complete disappearance of the thrombi located in the RCA and its branches (Figure 6). Therefore, we performed intravascular OCT for confirmation, using the ILUMIENTM OPISTM, OPTIS Integrated, and OPTIS Mobile systems (Abbott Vascular, Santa Clara, CA, U</w:t>
      </w:r>
      <w:r>
        <w:rPr>
          <w:rFonts w:hint="eastAsia" w:ascii="Book Antiqua" w:hAnsi="Book Antiqua" w:cs="Book Antiqua"/>
          <w:color w:val="000000"/>
          <w:lang w:eastAsia="zh-CN"/>
        </w:rPr>
        <w:t>nited States</w:t>
      </w:r>
      <w:r>
        <w:rPr>
          <w:rFonts w:ascii="Book Antiqua" w:hAnsi="Book Antiqua" w:eastAsia="Book Antiqua" w:cs="Book Antiqua"/>
          <w:color w:val="000000"/>
        </w:rPr>
        <w:t>) with a rapid exchange catheter (Dragonfly</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DUO, Dragonfly</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OPISTM, and Dragonfly OpStar</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Imaging Catheter; Abbott Vascular, Santa Clara, CA, U</w:t>
      </w:r>
      <w:r>
        <w:rPr>
          <w:rFonts w:hint="eastAsia" w:ascii="Book Antiqua" w:hAnsi="Book Antiqua" w:cs="Book Antiqua"/>
          <w:color w:val="000000"/>
          <w:lang w:eastAsia="zh-CN"/>
        </w:rPr>
        <w:t>nited States</w:t>
      </w:r>
      <w:r>
        <w:rPr>
          <w:rFonts w:ascii="Book Antiqua" w:hAnsi="Book Antiqua" w:eastAsia="Book Antiqua" w:cs="Book Antiqua"/>
          <w:color w:val="000000"/>
        </w:rPr>
        <w:t>) with a 75 mm/2.1 s (36 mm/s) pullback and 180 frames/s. The OCT exam confirmed that the thrombi had disappeared with the exception of a small residual thrombus in the RPV branch (Figure 7). It also identified a plaque in the middle third of the RCA. Severity of coronary stenosis was measured using the resting full-cycle ratio, a non-hyperemic index based on unbiased detection of the lowest existing relationship between distal coronary pressure and aortic pressure (Pd/Pa), independent of the electrocardiogram, landmark identifications and time within the heart cycle. We evaluated this plaque as 40% mild in the RCA, causing 40% arterial lumen obstruction. We used PressureWire X (Abbott Vascular, Santa Clara, CA, U</w:t>
      </w:r>
      <w:r>
        <w:rPr>
          <w:rFonts w:hint="eastAsia" w:ascii="Book Antiqua" w:hAnsi="Book Antiqua" w:cs="Book Antiqua"/>
          <w:color w:val="000000"/>
          <w:lang w:eastAsia="zh-CN"/>
        </w:rPr>
        <w:t>nited States</w:t>
      </w:r>
      <w:r>
        <w:rPr>
          <w:rFonts w:ascii="Book Antiqua" w:hAnsi="Book Antiqua" w:eastAsia="Book Antiqua" w:cs="Book Antiqua"/>
          <w:color w:val="000000"/>
        </w:rPr>
        <w:t>), which reported a value of 0.99, indicating the absence of impairment to coronary physiology.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recovered without further event and was discharged on the 11</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hospitalization. After showing good tolerance to medications with no adverse effects, she was prescribed ticagrelor, aspirin, statins, beta-blockers and angiotensin-converting enzyme inhibitors.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has been under follow-up until the present day by our team, with a 6 mo follow-up completed thus far, and she remains asymptomatic without any other clinical conditions since then.</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In the present case, the diagnosis of AMI with ST-segment elevation was confirmed by clinical findings, electrocardiogram, laboratory blood tests and coronary angiography. The latter showed extensive failure of intraluminal filling suggesting a thrombus, which was then confirmed by IVUS and OCT findings. The plaque in the middle third of the RCA, which we believe was not responsible for the event, did not cause any hemodynamic repercussions, a fact confirmed by the assessment of invasive physiology.</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diagnosis that proved to be feasible in this case was AMI with ST-segment elevation type 2; that is, AMI not related to the instability of atherosclerotic plaque in the coronary artery. Faced with this diagnosis, it is necessary to reflect on the possible causes to guide us towards the most appropriate treatment. A possible cause suggested in this patient could be hormone replacement therapy for menopause. The patient was chronically using tibolone, which is a synthetic steroid whose metabolites have estrogenic, androgenic and progestogenic properties. In the Long-term Intervention on Fracture with Tibolone study, tibolone in postmenopausal women was linked to an excessive risk of stroke in women receiving tibolone compared with placebo. However, there were no significant differences in the risk of coronary heart disease or venous thromboembolism between the two groups</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hypothesis of a post-vaccination reaction to the vaccine for COVID-19 could also be raised. However, we did not emphasize the possibility that the patient's clinical condition was due to an adverse effect of the vaccine because the event occurred more than 30 d after the third dose; additionally, she had a positive PCR test result indicating active infection.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view of the abovementioned findings, with a positive PCR test result for SARS-CoV-2, in addition to inflammatory markers, with very high serum (lactic dehydrogenase, C-reactive protein and D-dimer) levels corroborating active infection, the most plausible cause we found for the etiology of AMI with ST-segment elevation type 2 in this case was COVID-19.</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common occurrence of extra-respiratory involvement in SARS-CoV-2 infections has become more evident over time. AMI with ST-segment elevation is observed with a pattern on angiography, and extensive thrombosis can affect one or more coronary arteries and different vascular territories simultaneously, not caused by rupture of atherosclerotic plaques. These occurrences present new challenges to treating and managing this viral infection</w:t>
      </w:r>
      <w:r>
        <w:rPr>
          <w:rFonts w:ascii="Book Antiqua" w:hAnsi="Book Antiqua" w:eastAsia="Book Antiqua" w:cs="Book Antiqua"/>
          <w:color w:val="000000"/>
          <w:vertAlign w:val="superscript"/>
        </w:rPr>
        <w:t>[10,12]</w:t>
      </w:r>
      <w:r>
        <w:rPr>
          <w:rFonts w:ascii="Book Antiqua" w:hAnsi="Book Antiqua" w:eastAsia="Book Antiqua" w:cs="Book Antiqua"/>
          <w:color w:val="000000"/>
        </w:rPr>
        <w:t>. The increased incidence of stent thrombosis may be associated with these phenomena, and severe inflammation with consequent hypercoagulation is another primary pathology associated with SARS-CoV-2</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is no specific finding that confirms the relationship between COVID-19 infection and AMI other than the known extensive thrombotic burden, which is not a specific finding. The high thrombotic load in patients with AMI and COVID is known. In addition to the findings in other studies in the literature</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there are also other important reports addressing this issue, such as a statement from the American College of Cardiology in which the authors concluded that patients with ST-segment elevation myocardial infarction and concurrent COVID-19 experienced a higher thrombotic burden than those without concurrent COVID-19</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AMI without plaque rupture (type 2) can indeed occur in addition to COVID-19; however, we did not identify any other causes of type 2 AMI, such as coronary dissection, vasospasm, emboli, microvascular dysfunction or increases in demand with or without underlying coronary artery disease.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difference between this case and those previously published is that we were able to document the absence of plaque rupture or erosion in a patient with coronary artery disease and to demonstrate that the plaque had no hemokinetic repercussions,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shown </w:t>
      </w:r>
      <w:r>
        <w:rPr>
          <w:rFonts w:ascii="Book Antiqua" w:hAnsi="Book Antiqua" w:eastAsia="Book Antiqua" w:cs="Book Antiqua"/>
          <w:i/>
          <w:iCs/>
          <w:color w:val="000000"/>
        </w:rPr>
        <w:t>via</w:t>
      </w:r>
      <w:r>
        <w:rPr>
          <w:rFonts w:ascii="Book Antiqua" w:hAnsi="Book Antiqua" w:eastAsia="Book Antiqua" w:cs="Book Antiqua"/>
          <w:color w:val="000000"/>
        </w:rPr>
        <w:t xml:space="preserve"> invasive physiology. We believe that our case corroborates a body of evidence that has been building toward an understanding of COVID and AMI.</w:t>
      </w:r>
    </w:p>
    <w:p>
      <w:pPr>
        <w:spacing w:line="360" w:lineRule="auto"/>
        <w:ind w:firstLine="480" w:firstLineChars="200"/>
        <w:jc w:val="both"/>
        <w:rPr>
          <w:rFonts w:ascii="Book Antiqua" w:hAnsi="Book Antiqua"/>
        </w:rPr>
      </w:pPr>
      <w:r>
        <w:rPr>
          <w:rFonts w:ascii="Book Antiqua" w:hAnsi="Book Antiqua" w:eastAsia="Book Antiqua" w:cs="Book Antiqua"/>
          <w:color w:val="000000"/>
        </w:rPr>
        <w:t>While the importance of differentiating between type I and type II AMI and myocarditis in patients with COVID-19 presenting with acute coronary syndrome (ACS) is established, there is no consensus on the ideal management approach for ACS in this scenario. In patients with known or suspected COVID-19, treatment of ST-segment elevation myocardial infarction is similar to that for patients without COVID-19, using aspirin, nitrate, beta-blockers, anticoagulation, antiplatelet aggregation with a P2Y12 agent, statins, and reperfusion therapy with fibrinolytics or primary angioplasty. Percutaneous coronary intervention, aspiration and antiplatelet thrombectomy are options, with the latter being the most generally agreed upon for treating these patients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However, in this study, the thrombi disappeared after dual antiplatelet therapy, anticoagulation therapy and traditional post-myocardial infarction pharmaceutical interventions were administered. </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was the first report of extensive RCA thrombosis in a patient with COVID-19 evaluated by intracoronary imaging and intracoronary invasive physiology.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Zhou F</w:t>
      </w:r>
      <w:r>
        <w:rPr>
          <w:rFonts w:ascii="Book Antiqua" w:hAnsi="Book Antiqua" w:eastAsia="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1054-1062 [PMID: 32171076 DOI: 10.1016/S0140-6736(20)30566-3]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Arentz M</w:t>
      </w:r>
      <w:r>
        <w:rPr>
          <w:rFonts w:ascii="Book Antiqua" w:hAnsi="Book Antiqua" w:eastAsia="Book Antiqua" w:cs="Book Antiqua"/>
          <w:color w:val="000000"/>
        </w:rPr>
        <w:t xml:space="preserve">, Yim E, Klaff L, Lokhandwala S, Riedo FX, Chong M, Lee M. Characteristics and Outcomes of 21 Critically Ill Patients With COVID-19 in Washington State. </w:t>
      </w:r>
      <w:r>
        <w:rPr>
          <w:rFonts w:ascii="Book Antiqua" w:hAnsi="Book Antiqua" w:eastAsia="Book Antiqua" w:cs="Book Antiqua"/>
          <w:i/>
          <w:iCs/>
          <w:color w:val="000000"/>
        </w:rPr>
        <w:t>JAMA</w:t>
      </w:r>
      <w:r>
        <w:rPr>
          <w:rFonts w:ascii="Book Antiqua" w:hAnsi="Book Antiqua" w:eastAsia="Book Antiqua" w:cs="Book Antiqua"/>
          <w:color w:val="000000"/>
        </w:rPr>
        <w:t xml:space="preserve"> 2020; </w:t>
      </w:r>
      <w:r>
        <w:rPr>
          <w:rFonts w:ascii="Book Antiqua" w:hAnsi="Book Antiqua" w:eastAsia="Book Antiqua" w:cs="Book Antiqua"/>
          <w:b/>
          <w:bCs/>
          <w:color w:val="000000"/>
        </w:rPr>
        <w:t>323</w:t>
      </w:r>
      <w:r>
        <w:rPr>
          <w:rFonts w:ascii="Book Antiqua" w:hAnsi="Book Antiqua" w:eastAsia="Book Antiqua" w:cs="Book Antiqua"/>
          <w:color w:val="000000"/>
        </w:rPr>
        <w:t>: 1612-1614 [PMID: 32191259 DOI: 10.1001/jama.2020.4326]</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Guo T</w:t>
      </w:r>
      <w:r>
        <w:rPr>
          <w:rFonts w:ascii="Book Antiqua" w:hAnsi="Book Antiqua" w:eastAsia="Book Antiqua" w:cs="Book Antiqua"/>
          <w:color w:val="000000"/>
        </w:rPr>
        <w:t xml:space="preserve">, Fan Y, Chen M, Wu X, Zhang L, He T, Wang H, Wan J, Wang X, Lu Z. Cardiovascular Implications of Fatal Outcomes of Patients With Coronavirus Disease 2019 (COVID-19). </w:t>
      </w:r>
      <w:r>
        <w:rPr>
          <w:rFonts w:ascii="Book Antiqua" w:hAnsi="Book Antiqua" w:eastAsia="Book Antiqua" w:cs="Book Antiqua"/>
          <w:i/>
          <w:iCs/>
          <w:color w:val="000000"/>
        </w:rPr>
        <w:t>JAMA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811-818 [PMID: 32219356 DOI: 10.1001/jamacardio.2020.1017]</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Stefanini GG</w:t>
      </w:r>
      <w:r>
        <w:rPr>
          <w:rFonts w:ascii="Book Antiqua" w:hAnsi="Book Antiqua" w:eastAsia="Book Antiqua" w:cs="Book Antiqua"/>
          <w:color w:val="000000"/>
        </w:rPr>
        <w:t xml:space="preserve">, Montorfano M, Trabattoni D, Andreini D, Ferrante G, Ancona M, Metra M, Curello S, Maffeo D, Pero G, Cacucci M, Assanelli E, Bellini B, Russo F, Ielasi A, Tespili M, Danzi GB, Vandoni P, Bollati M, Barbieri L, Oreglia J, Lettieri C, Cremonesi A, Carugo S, Reimers B, Condorelli G, Chieffo A. ST-Elevation Myocardial Infarction in Patients With COVID-19: Clinical and Angiographic Outcomes.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141</w:t>
      </w:r>
      <w:r>
        <w:rPr>
          <w:rFonts w:ascii="Book Antiqua" w:hAnsi="Book Antiqua" w:eastAsia="Book Antiqua" w:cs="Book Antiqua"/>
          <w:color w:val="000000"/>
        </w:rPr>
        <w:t>: 2113-2116 [PMID: 32352306 DOI: 10.1161/CIRCULATIONAHA.120.047525]</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Bois MC</w:t>
      </w:r>
      <w:r>
        <w:rPr>
          <w:rFonts w:ascii="Book Antiqua" w:hAnsi="Book Antiqua" w:eastAsia="Book Antiqua" w:cs="Book Antiqua"/>
          <w:color w:val="000000"/>
        </w:rPr>
        <w:t xml:space="preserve">, Boire NA, Layman AJ, Aubry MC, Alexander MP, Roden AC, Hagen CE, Quinton RA, Larsen C, Erben Y, Majumdar R, Jenkins SM, Kipp BR, Lin PT, Maleszewski JJ. COVID-19-Associated Nonocclusive Fibrin Microthrombi in the Heart.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2021; </w:t>
      </w:r>
      <w:r>
        <w:rPr>
          <w:rFonts w:ascii="Book Antiqua" w:hAnsi="Book Antiqua" w:eastAsia="Book Antiqua" w:cs="Book Antiqua"/>
          <w:b/>
          <w:bCs/>
          <w:color w:val="000000"/>
        </w:rPr>
        <w:t>143</w:t>
      </w:r>
      <w:r>
        <w:rPr>
          <w:rFonts w:ascii="Book Antiqua" w:hAnsi="Book Antiqua" w:eastAsia="Book Antiqua" w:cs="Book Antiqua"/>
          <w:color w:val="000000"/>
        </w:rPr>
        <w:t>: 230-243 [PMID: 33197204 DOI: 10.1161/CIRCULATIONAHA.120.050754]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Masi P</w:t>
      </w:r>
      <w:r>
        <w:rPr>
          <w:rFonts w:ascii="Book Antiqua" w:hAnsi="Book Antiqua" w:eastAsia="Book Antiqua" w:cs="Book Antiqua"/>
          <w:color w:val="000000"/>
        </w:rPr>
        <w:t xml:space="preserve">, Hékimian G, Lejeune M, Chommeloux J, Desnos C, Pineton De Chambrun M, Martin-Toutain I, Nieszkowska A, Lebreton G, Bréchot N, Schmidt M, Edouard Luyt C, Combes A, Frere C. Systemic Inflammatory Response Syndrome Is a Major Contributor to COVID-19-Associated Coagulopathy: Insights From a Prospective, Single-Center Cohort Study.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142</w:t>
      </w:r>
      <w:r>
        <w:rPr>
          <w:rFonts w:ascii="Book Antiqua" w:hAnsi="Book Antiqua" w:eastAsia="Book Antiqua" w:cs="Book Antiqua"/>
          <w:color w:val="000000"/>
        </w:rPr>
        <w:t>: 611-614 [PMID: 32776849 DOI: 10.1161/CIRCULATIONAHA.120.048925]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Groenland FTW</w:t>
      </w:r>
      <w:r>
        <w:rPr>
          <w:rFonts w:ascii="Book Antiqua" w:hAnsi="Book Antiqua" w:eastAsia="Book Antiqua" w:cs="Book Antiqua"/>
          <w:color w:val="000000"/>
        </w:rPr>
        <w:t xml:space="preserve">, Ligthart JMR, Witberg KT, Daemen J. Patterns of intracoronary thrombus by high-definition intravascular ultrasound. </w:t>
      </w:r>
      <w:r>
        <w:rPr>
          <w:rFonts w:ascii="Book Antiqua" w:hAnsi="Book Antiqua" w:eastAsia="Book Antiqua" w:cs="Book Antiqua"/>
          <w:i/>
          <w:iCs/>
          <w:color w:val="000000"/>
        </w:rPr>
        <w:t>EuroIntervention</w:t>
      </w:r>
      <w:r>
        <w:rPr>
          <w:rFonts w:ascii="Book Antiqua" w:hAnsi="Book Antiqua" w:eastAsia="Book Antiqua" w:cs="Book Antiqua"/>
          <w:color w:val="000000"/>
        </w:rPr>
        <w:t xml:space="preserve"> 2022; </w:t>
      </w:r>
      <w:r>
        <w:rPr>
          <w:rFonts w:ascii="Book Antiqua" w:hAnsi="Book Antiqua" w:eastAsia="Book Antiqua" w:cs="Book Antiqua"/>
          <w:b/>
          <w:bCs/>
          <w:color w:val="000000"/>
        </w:rPr>
        <w:t>18</w:t>
      </w:r>
      <w:r>
        <w:rPr>
          <w:rFonts w:ascii="Book Antiqua" w:hAnsi="Book Antiqua" w:eastAsia="Book Antiqua" w:cs="Book Antiqua"/>
          <w:color w:val="000000"/>
        </w:rPr>
        <w:t>: e158-e159 [PMID: 34984982 DOI: 10.4244/EIJ-D-21-00796]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Ibanez B</w:t>
      </w:r>
      <w:r>
        <w:rPr>
          <w:rFonts w:ascii="Book Antiqua" w:hAnsi="Book Antiqua" w:eastAsia="Book Antiqua" w:cs="Book Antiqua"/>
          <w:color w:val="000000"/>
        </w:rPr>
        <w:t xml:space="preserve">, James S, Agewall S, Antunes MJ, Bucciarelli-Ducci C, Bueno H, Caforio ALP, Crea F, Goudevenos JA, Halvorsen S, Hindricks G, Kastrati A, Lenzen MJ, Prescott E, Roffi M, Valgimigli M, Varenhorst C, Vranckx P, Widimský P; ESC Scientific Document Group.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2018; </w:t>
      </w:r>
      <w:r>
        <w:rPr>
          <w:rFonts w:ascii="Book Antiqua" w:hAnsi="Book Antiqua" w:eastAsia="Book Antiqua" w:cs="Book Antiqua"/>
          <w:b/>
          <w:bCs/>
          <w:color w:val="000000"/>
        </w:rPr>
        <w:t>39</w:t>
      </w:r>
      <w:r>
        <w:rPr>
          <w:rFonts w:ascii="Book Antiqua" w:hAnsi="Book Antiqua" w:eastAsia="Book Antiqua" w:cs="Book Antiqua"/>
          <w:color w:val="000000"/>
        </w:rPr>
        <w:t>: 119-177 [PMID: 28886621 DOI: 10.1093/eurheartj/ehx393]</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Mahmud E</w:t>
      </w:r>
      <w:r>
        <w:rPr>
          <w:rFonts w:ascii="Book Antiqua" w:hAnsi="Book Antiqua" w:eastAsia="Book Antiqua" w:cs="Book Antiqua"/>
          <w:color w:val="000000"/>
        </w:rPr>
        <w:t xml:space="preserve">, Dauerman HL, Welt FGP, Messenger JC, Rao SV, Grines C, Mattu A, Kirtane AJ, Jauhar R, Meraj P, Rokos IC, Rumsfeld JS, Henry TD. Management of acute myocardial infarction during the COVID-19 pandemic: A Consensus Statement from the Society for Cardiovascular Angiography and Interventions (SCAI), the American College of Cardiology (ACC), and the American College of Emergency Physicians (ACEP). </w:t>
      </w:r>
      <w:r>
        <w:rPr>
          <w:rFonts w:ascii="Book Antiqua" w:hAnsi="Book Antiqua" w:eastAsia="Book Antiqua" w:cs="Book Antiqua"/>
          <w:i/>
          <w:iCs/>
          <w:color w:val="000000"/>
        </w:rPr>
        <w:t>Catheter Cardiovasc Interv</w:t>
      </w:r>
      <w:r>
        <w:rPr>
          <w:rFonts w:ascii="Book Antiqua" w:hAnsi="Book Antiqua" w:eastAsia="Book Antiqua" w:cs="Book Antiqua"/>
          <w:color w:val="000000"/>
        </w:rPr>
        <w:t xml:space="preserve"> 2020; </w:t>
      </w:r>
      <w:r>
        <w:rPr>
          <w:rFonts w:ascii="Book Antiqua" w:hAnsi="Book Antiqua" w:eastAsia="Book Antiqua" w:cs="Book Antiqua"/>
          <w:b/>
          <w:bCs/>
          <w:color w:val="000000"/>
        </w:rPr>
        <w:t>96</w:t>
      </w:r>
      <w:r>
        <w:rPr>
          <w:rFonts w:ascii="Book Antiqua" w:hAnsi="Book Antiqua" w:eastAsia="Book Antiqua" w:cs="Book Antiqua"/>
          <w:color w:val="000000"/>
        </w:rPr>
        <w:t>: 336-345 [PMID: 32311816 DOI: 10.1002/ccd.28946]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Task Force for the management of COVID-19 of the European Society of Cardiology</w:t>
      </w:r>
      <w:r>
        <w:rPr>
          <w:rFonts w:ascii="Book Antiqua" w:hAnsi="Book Antiqua" w:eastAsia="Book Antiqua" w:cs="Book Antiqua"/>
          <w:color w:val="000000"/>
        </w:rPr>
        <w:t xml:space="preserve">. ESC guidance for the diagnosis and management of cardiovascular disease during the COVID-19 pandemic: part 2-care pathways, treatment, and follow-up.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2022; </w:t>
      </w:r>
      <w:r>
        <w:rPr>
          <w:rFonts w:ascii="Book Antiqua" w:hAnsi="Book Antiqua" w:eastAsia="Book Antiqua" w:cs="Book Antiqua"/>
          <w:b/>
          <w:bCs/>
          <w:color w:val="000000"/>
        </w:rPr>
        <w:t>43</w:t>
      </w:r>
      <w:r>
        <w:rPr>
          <w:rFonts w:ascii="Book Antiqua" w:hAnsi="Book Antiqua" w:eastAsia="Book Antiqua" w:cs="Book Antiqua"/>
          <w:color w:val="000000"/>
        </w:rPr>
        <w:t>: 1059-1103 [PMID: 34791154 DOI: 10.1093/eurheartj/ehab697]</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Cummings SR</w:t>
      </w:r>
      <w:r>
        <w:rPr>
          <w:rFonts w:ascii="Book Antiqua" w:hAnsi="Book Antiqua" w:eastAsia="Book Antiqua" w:cs="Book Antiqua"/>
          <w:color w:val="000000"/>
        </w:rPr>
        <w:t xml:space="preserve">, Ettinger B, Delmas PD, Kenemans P, Stathopoulos V, Verweij P, Mol-Arts M, Kloosterboer L, Mosca L, Christiansen C, Bilezikian J, Kerzberg EM, Johnson S, Zanchetta J, Grobbee DE, Seifert W, Eastell R; LIFT Trial Investigators. The effects of tibolone in older postmenopausal women.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359</w:t>
      </w:r>
      <w:r>
        <w:rPr>
          <w:rFonts w:ascii="Book Antiqua" w:hAnsi="Book Antiqua" w:eastAsia="Book Antiqua" w:cs="Book Antiqua"/>
          <w:color w:val="000000"/>
        </w:rPr>
        <w:t>: 697-708 [PMID: 18703472 DOI: 10.1056/NEJMoa0800743]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Kermani-Alghoraishi M</w:t>
      </w:r>
      <w:r>
        <w:rPr>
          <w:rFonts w:ascii="Book Antiqua" w:hAnsi="Book Antiqua" w:eastAsia="Book Antiqua" w:cs="Book Antiqua"/>
          <w:color w:val="000000"/>
        </w:rPr>
        <w:t xml:space="preserve">. A Review of Coronary Artery Thrombosis: A New Challenging Finding in COVID-19 Patients and ST-elevation Myocardial Infarction. </w:t>
      </w:r>
      <w:r>
        <w:rPr>
          <w:rFonts w:ascii="Book Antiqua" w:hAnsi="Book Antiqua" w:eastAsia="Book Antiqua" w:cs="Book Antiqua"/>
          <w:i/>
          <w:iCs/>
          <w:color w:val="000000"/>
        </w:rPr>
        <w:t>Curr Probl Cardiol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46</w:t>
      </w:r>
      <w:r>
        <w:rPr>
          <w:rFonts w:ascii="Book Antiqua" w:hAnsi="Book Antiqua" w:eastAsia="Book Antiqua" w:cs="Book Antiqua"/>
          <w:color w:val="000000"/>
        </w:rPr>
        <w:t>: 100744 [PMID: 33218787 DOI: 10.1016/j.cpcardiol.2020.100744]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Choudry FA</w:t>
      </w:r>
      <w:r>
        <w:rPr>
          <w:rFonts w:ascii="Book Antiqua" w:hAnsi="Book Antiqua" w:eastAsia="Book Antiqua" w:cs="Book Antiqua"/>
          <w:color w:val="000000"/>
        </w:rPr>
        <w:t xml:space="preserve">, Hamshere SM, Rathod KS, Akhtar MM, Archbold RA, Guttmann OP, Woldman S, Jain AK, Knight CJ, Baumbach A, Mathur A, Jones DA. High Thrombus Burden in Patients With COVID-19 Presenting With ST-Segment Elevation Myocardial Infarction. </w:t>
      </w:r>
      <w:r>
        <w:rPr>
          <w:rFonts w:ascii="Book Antiqua" w:hAnsi="Book Antiqua" w:eastAsia="Book Antiqua" w:cs="Book Antiqua"/>
          <w:i/>
          <w:iCs/>
          <w:color w:val="000000"/>
        </w:rPr>
        <w:t>J Am Coll 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76</w:t>
      </w:r>
      <w:r>
        <w:rPr>
          <w:rFonts w:ascii="Book Antiqua" w:hAnsi="Book Antiqua" w:eastAsia="Book Antiqua" w:cs="Book Antiqua"/>
          <w:color w:val="000000"/>
        </w:rPr>
        <w:t>: 1168-1176 [PMID: 32679155 DOI: 10.1016/j.jacc.2020.07.022]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Pandit BN</w:t>
      </w:r>
      <w:r>
        <w:rPr>
          <w:rFonts w:ascii="Book Antiqua" w:hAnsi="Book Antiqua" w:eastAsia="Book Antiqua" w:cs="Book Antiqua"/>
          <w:color w:val="000000"/>
        </w:rPr>
        <w:t xml:space="preserve">, Shrivastava A, Nath RK, Kuber D, Sinha SK, Aggarwal P. Impact of COVID-19 on Thrombus Burden and Outcome in Acute Myocardial Infarction.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e16817 [PMID: 34522477 DOI: 10.7759/cureus.16817]</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Trivi M</w:t>
      </w:r>
      <w:r>
        <w:rPr>
          <w:rFonts w:ascii="Book Antiqua" w:hAnsi="Book Antiqua" w:eastAsia="Book Antiqua" w:cs="Book Antiqua"/>
          <w:color w:val="000000"/>
        </w:rPr>
        <w:t xml:space="preserve">, Lalor N, Spaletra P, Raffaeli A, Costabel J, Belardi J. [Acute myocardial infarction in patients recovering from COVID-19 pneumonia]. </w:t>
      </w:r>
      <w:r>
        <w:rPr>
          <w:rFonts w:ascii="Book Antiqua" w:hAnsi="Book Antiqua" w:eastAsia="Book Antiqua" w:cs="Book Antiqua"/>
          <w:i/>
          <w:iCs/>
          <w:color w:val="000000"/>
        </w:rPr>
        <w:t>Medicina (B Aires)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80 Suppl 6</w:t>
      </w:r>
      <w:r>
        <w:rPr>
          <w:rFonts w:ascii="Book Antiqua" w:hAnsi="Book Antiqua" w:eastAsia="Book Antiqua" w:cs="Book Antiqua"/>
          <w:color w:val="000000"/>
        </w:rPr>
        <w:t>: 97-99 [PMID: 33481739]</w:t>
      </w:r>
    </w:p>
    <w:p>
      <w:pPr>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cs="Book Antiqua"/>
          <w:color w:val="000000"/>
          <w:lang w:eastAsia="zh-CN"/>
        </w:rPr>
        <w:t>6</w:t>
      </w:r>
      <w:r>
        <w:rPr>
          <w:rFonts w:ascii="Book Antiqua" w:hAnsi="Book Antiqua" w:eastAsia="Book Antiqua" w:cs="Book Antiqua"/>
          <w:color w:val="000000"/>
        </w:rPr>
        <w:t xml:space="preserve"> </w:t>
      </w:r>
      <w:r>
        <w:rPr>
          <w:rFonts w:ascii="Book Antiqua" w:hAnsi="Book Antiqua" w:eastAsia="Book Antiqua" w:cs="Book Antiqua"/>
          <w:b/>
          <w:bCs/>
          <w:color w:val="000000"/>
        </w:rPr>
        <w:t>Varga Z</w:t>
      </w:r>
      <w:r>
        <w:rPr>
          <w:rFonts w:ascii="Book Antiqua" w:hAnsi="Book Antiqua" w:eastAsia="Book Antiqua" w:cs="Book Antiqua"/>
          <w:color w:val="000000"/>
        </w:rPr>
        <w:t xml:space="preserve">, Flammer AJ, Steiger P, Haberecker M, Andermatt R, Zinkernagel AS, Mehra MR, Schuepbach RA, Ruschitzka F, Moch H. Endothelial cell infection and endotheliitis in COVID-19.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1417-1418 [PMID: 32325026 DOI: 10.1016/S0140-6736(20)30937-5]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hd w:val="clear" w:color="auto" w:fill="FFFFFF"/>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All the</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shd w:val="clear" w:color="auto" w:fill="FFFFFF"/>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12,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27,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September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2"/>
      <w:bookmarkStart w:id="2" w:name="OLE_LINK2066"/>
      <w:bookmarkStart w:id="3" w:name="OLE_LINK1953"/>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lang w:eastAsia="zh-CN"/>
        </w:rPr>
      </w:pPr>
      <w:r>
        <w:rPr>
          <w:rFonts w:ascii="Book Antiqua" w:hAnsi="Book Antiqua" w:eastAsia="Book Antiqua" w:cs="Book Antiqua"/>
          <w:color w:val="000000"/>
        </w:rPr>
        <w:t>Grade D (Fair): D</w:t>
      </w:r>
      <w:r>
        <w:rPr>
          <w:rFonts w:ascii="Book Antiqua" w:hAnsi="Book Antiqua" w:cs="Book Antiqua"/>
          <w:color w:val="000000"/>
          <w:lang w:eastAsia="zh-CN"/>
        </w:rPr>
        <w:t>,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Ito S, Japan; Kharlamov AN, Netherlands</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2804160" cy="3261360"/>
            <wp:effectExtent l="0" t="0" r="0" b="0"/>
            <wp:docPr id="1" name="图片 1" descr="WJCC-10-1150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1508-g001"/>
                    <pic:cNvPicPr>
                      <a:picLocks noChangeAspect="1"/>
                    </pic:cNvPicPr>
                  </pic:nvPicPr>
                  <pic:blipFill>
                    <a:blip r:embed="rId5"/>
                    <a:stretch>
                      <a:fillRect/>
                    </a:stretch>
                  </pic:blipFill>
                  <pic:spPr>
                    <a:xfrm>
                      <a:off x="0" y="0"/>
                      <a:ext cx="2804160" cy="326136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1 Timeline. </w:t>
      </w:r>
      <w:r>
        <w:rPr>
          <w:rFonts w:ascii="Book Antiqua" w:hAnsi="Book Antiqua" w:eastAsia="Book Antiqua" w:cs="Book Antiqua"/>
          <w:color w:val="000000"/>
        </w:rPr>
        <w:t xml:space="preserve">PCR: </w:t>
      </w:r>
      <w:r>
        <w:rPr>
          <w:rFonts w:ascii="Book Antiqua" w:hAnsi="Book Antiqua" w:cs="Book Antiqua"/>
          <w:color w:val="000000"/>
          <w:lang w:eastAsia="zh-CN"/>
        </w:rPr>
        <w:t>P</w:t>
      </w:r>
      <w:r>
        <w:rPr>
          <w:rFonts w:ascii="Book Antiqua" w:hAnsi="Book Antiqua" w:eastAsia="Book Antiqua" w:cs="Book Antiqua"/>
          <w:color w:val="000000"/>
        </w:rPr>
        <w:t xml:space="preserve">olymerase chain reaction; MI: </w:t>
      </w:r>
      <w:r>
        <w:rPr>
          <w:rFonts w:ascii="Book Antiqua" w:hAnsi="Book Antiqua" w:cs="Book Antiqua"/>
          <w:color w:val="000000"/>
          <w:lang w:eastAsia="zh-CN"/>
        </w:rPr>
        <w:t>M</w:t>
      </w:r>
      <w:r>
        <w:rPr>
          <w:rFonts w:ascii="Book Antiqua" w:hAnsi="Book Antiqua" w:eastAsia="Book Antiqua" w:cs="Book Antiqua"/>
          <w:color w:val="000000"/>
        </w:rPr>
        <w:t xml:space="preserve">yocardial infarction; RCA: </w:t>
      </w:r>
      <w:r>
        <w:rPr>
          <w:rFonts w:ascii="Book Antiqua" w:hAnsi="Book Antiqua" w:cs="Book Antiqua"/>
          <w:color w:val="000000"/>
          <w:lang w:eastAsia="zh-CN"/>
        </w:rPr>
        <w:t>R</w:t>
      </w:r>
      <w:r>
        <w:rPr>
          <w:rFonts w:ascii="Book Antiqua" w:hAnsi="Book Antiqua" w:eastAsia="Book Antiqua" w:cs="Book Antiqua"/>
          <w:color w:val="000000"/>
        </w:rPr>
        <w:t xml:space="preserve">ight coronary artery; IVUS: Intravascular ultrasound; OCT: </w:t>
      </w:r>
      <w:r>
        <w:rPr>
          <w:rFonts w:ascii="Book Antiqua" w:hAnsi="Book Antiqua" w:cs="Book Antiqua"/>
          <w:color w:val="000000"/>
          <w:lang w:eastAsia="zh-CN"/>
        </w:rPr>
        <w:t>O</w:t>
      </w:r>
      <w:r>
        <w:rPr>
          <w:rFonts w:ascii="Book Antiqua" w:hAnsi="Book Antiqua" w:eastAsia="Book Antiqua" w:cs="Book Antiqua"/>
          <w:color w:val="000000"/>
        </w:rPr>
        <w:t xml:space="preserve">ptical coherence tomography; RFR: </w:t>
      </w:r>
      <w:r>
        <w:rPr>
          <w:rFonts w:ascii="Book Antiqua" w:hAnsi="Book Antiqua" w:cs="Book Antiqua"/>
          <w:color w:val="000000"/>
          <w:lang w:eastAsia="zh-CN"/>
        </w:rPr>
        <w:t>R</w:t>
      </w:r>
      <w:r>
        <w:rPr>
          <w:rFonts w:ascii="Book Antiqua" w:hAnsi="Book Antiqua" w:eastAsia="Book Antiqua" w:cs="Book Antiqua"/>
          <w:color w:val="000000"/>
        </w:rPr>
        <w:t>esting full-cycle ratio</w:t>
      </w:r>
      <w:r>
        <w:rPr>
          <w:rFonts w:ascii="Book Antiqua" w:hAnsi="Book Antiqua" w:cs="Book Antiqua"/>
          <w:color w:val="000000"/>
          <w:lang w:eastAsia="zh-CN"/>
        </w:rPr>
        <w:t>; COVID-19: C</w:t>
      </w:r>
      <w:r>
        <w:rPr>
          <w:rFonts w:ascii="Book Antiqua" w:hAnsi="Book Antiqua" w:eastAsia="Book Antiqua" w:cs="Book Antiqua"/>
          <w:color w:val="000000"/>
        </w:rPr>
        <w:t>oronavirus disease 2019</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06770" cy="1591310"/>
            <wp:effectExtent l="0" t="0" r="6350" b="8890"/>
            <wp:docPr id="3" name="图片 3" descr="WJCC-10-1150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1508-g002"/>
                    <pic:cNvPicPr>
                      <a:picLocks noChangeAspect="1"/>
                    </pic:cNvPicPr>
                  </pic:nvPicPr>
                  <pic:blipFill>
                    <a:blip r:embed="rId6"/>
                    <a:stretch>
                      <a:fillRect/>
                    </a:stretch>
                  </pic:blipFill>
                  <pic:spPr>
                    <a:xfrm>
                      <a:off x="0" y="0"/>
                      <a:ext cx="5906770" cy="15913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2</w:t>
      </w:r>
      <w:r>
        <w:rPr>
          <w:rFonts w:ascii="Book Antiqua" w:hAnsi="Book Antiqua" w:eastAsia="Book Antiqua" w:cs="Book Antiqua"/>
          <w:b/>
          <w:bCs/>
          <w:color w:val="000000"/>
        </w:rPr>
        <w:t xml:space="preserve"> Emergency coronary angiogram: </w:t>
      </w:r>
      <w:r>
        <w:rPr>
          <w:rFonts w:ascii="Book Antiqua" w:hAnsi="Book Antiqua" w:cs="Book Antiqua"/>
          <w:b/>
          <w:bCs/>
          <w:color w:val="000000"/>
          <w:lang w:eastAsia="zh-CN"/>
        </w:rPr>
        <w:t>L</w:t>
      </w:r>
      <w:r>
        <w:rPr>
          <w:rFonts w:ascii="Book Antiqua" w:hAnsi="Book Antiqua" w:eastAsia="Book Antiqua" w:cs="Book Antiqua"/>
          <w:b/>
          <w:bCs/>
          <w:color w:val="000000"/>
        </w:rPr>
        <w:t xml:space="preserve">eft coronary artery. </w:t>
      </w:r>
      <w:r>
        <w:rPr>
          <w:rFonts w:ascii="Book Antiqua" w:hAnsi="Book Antiqua" w:eastAsia="Book Antiqua" w:cs="Book Antiqua"/>
          <w:color w:val="000000"/>
        </w:rPr>
        <w:t xml:space="preserve">Angiography reveals no significant stenoses. A: </w:t>
      </w:r>
      <w:r>
        <w:rPr>
          <w:rFonts w:ascii="Book Antiqua" w:hAnsi="Book Antiqua" w:cs="Book Antiqua"/>
          <w:bCs/>
          <w:color w:val="000000"/>
          <w:lang w:eastAsia="zh-CN"/>
        </w:rPr>
        <w:t>L</w:t>
      </w:r>
      <w:r>
        <w:rPr>
          <w:rFonts w:ascii="Book Antiqua" w:hAnsi="Book Antiqua" w:eastAsia="Book Antiqua" w:cs="Book Antiqua"/>
          <w:bCs/>
          <w:color w:val="000000"/>
        </w:rPr>
        <w:t>eft coronary artery (LCA)</w:t>
      </w:r>
      <w:r>
        <w:rPr>
          <w:rFonts w:ascii="Book Antiqua" w:hAnsi="Book Antiqua" w:eastAsia="Book Antiqua" w:cs="Book Antiqua"/>
          <w:color w:val="000000"/>
        </w:rPr>
        <w:t xml:space="preserve"> in the conventional right anterior oblique projection; B: LCA in the caudal right anterior oblique projection; C: LCA in the cranial posteroanterior projection; D: LCA in the cranial left anterior oblique projection. </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06770" cy="1572895"/>
            <wp:effectExtent l="0" t="0" r="6350" b="12065"/>
            <wp:docPr id="4" name="图片 4" descr="WJCC-10-1150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508-g003"/>
                    <pic:cNvPicPr>
                      <a:picLocks noChangeAspect="1"/>
                    </pic:cNvPicPr>
                  </pic:nvPicPr>
                  <pic:blipFill>
                    <a:blip r:embed="rId7"/>
                    <a:stretch>
                      <a:fillRect/>
                    </a:stretch>
                  </pic:blipFill>
                  <pic:spPr>
                    <a:xfrm>
                      <a:off x="0" y="0"/>
                      <a:ext cx="5906770" cy="1572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3</w:t>
      </w:r>
      <w:r>
        <w:rPr>
          <w:rFonts w:ascii="Book Antiqua" w:hAnsi="Book Antiqua" w:eastAsia="Book Antiqua" w:cs="Book Antiqua"/>
          <w:b/>
          <w:bCs/>
          <w:color w:val="000000"/>
        </w:rPr>
        <w:t xml:space="preserve"> Emergency coronary angiogram: </w:t>
      </w:r>
      <w:r>
        <w:rPr>
          <w:rFonts w:ascii="Book Antiqua" w:hAnsi="Book Antiqua" w:cs="Book Antiqua"/>
          <w:b/>
          <w:bCs/>
          <w:color w:val="000000"/>
          <w:lang w:eastAsia="zh-CN"/>
        </w:rPr>
        <w:t>R</w:t>
      </w:r>
      <w:r>
        <w:rPr>
          <w:rFonts w:ascii="Book Antiqua" w:hAnsi="Book Antiqua" w:eastAsia="Book Antiqua" w:cs="Book Antiqua"/>
          <w:b/>
          <w:bCs/>
          <w:color w:val="000000"/>
        </w:rPr>
        <w:t xml:space="preserve">ight coronary artery and left ventriculography. </w:t>
      </w:r>
      <w:r>
        <w:rPr>
          <w:rFonts w:ascii="Book Antiqua" w:hAnsi="Book Antiqua" w:eastAsia="Book Antiqua" w:cs="Book Antiqua"/>
          <w:color w:val="000000"/>
        </w:rPr>
        <w:t xml:space="preserve">The images show intraluminal filling defects (red arrows) starting in the middle third of the </w:t>
      </w:r>
      <w:r>
        <w:rPr>
          <w:rFonts w:ascii="Book Antiqua" w:hAnsi="Book Antiqua" w:eastAsia="Book Antiqua" w:cs="Book Antiqua"/>
          <w:bCs/>
          <w:color w:val="000000"/>
        </w:rPr>
        <w:t>right coronary artery (RCA)</w:t>
      </w:r>
      <w:r>
        <w:rPr>
          <w:rFonts w:ascii="Book Antiqua" w:hAnsi="Book Antiqua" w:eastAsia="Book Antiqua" w:cs="Book Antiqua"/>
          <w:color w:val="000000"/>
        </w:rPr>
        <w:t xml:space="preserve"> and extending to the distal third, affecting the posterior descending and posterolateral RCA branches. A: RCA in the conventional left anterior oblique projection; B: RCA in the cranial left anterior oblique projection; C: </w:t>
      </w:r>
      <w:r>
        <w:rPr>
          <w:rFonts w:ascii="Book Antiqua" w:hAnsi="Book Antiqua" w:cs="Book Antiqua"/>
          <w:bCs/>
          <w:color w:val="000000"/>
          <w:lang w:eastAsia="zh-CN"/>
        </w:rPr>
        <w:t>L</w:t>
      </w:r>
      <w:r>
        <w:rPr>
          <w:rFonts w:ascii="Book Antiqua" w:hAnsi="Book Antiqua" w:eastAsia="Book Antiqua" w:cs="Book Antiqua"/>
          <w:bCs/>
          <w:color w:val="000000"/>
        </w:rPr>
        <w:t>eft ventriculography (LV)</w:t>
      </w:r>
      <w:r>
        <w:rPr>
          <w:rFonts w:ascii="Book Antiqua" w:hAnsi="Book Antiqua" w:eastAsia="Book Antiqua" w:cs="Book Antiqua"/>
          <w:color w:val="000000"/>
        </w:rPr>
        <w:t xml:space="preserve"> in systole demonstrates inferior akinesia (yellow arrows); D: LV in diastole.</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3931920" cy="4673600"/>
            <wp:effectExtent l="0" t="0" r="0" b="5080"/>
            <wp:docPr id="7" name="图片 7" descr="WJCC-10-1150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1508-g004"/>
                    <pic:cNvPicPr>
                      <a:picLocks noChangeAspect="1"/>
                    </pic:cNvPicPr>
                  </pic:nvPicPr>
                  <pic:blipFill>
                    <a:blip r:embed="rId8"/>
                    <a:stretch>
                      <a:fillRect/>
                    </a:stretch>
                  </pic:blipFill>
                  <pic:spPr>
                    <a:xfrm>
                      <a:off x="0" y="0"/>
                      <a:ext cx="3931920" cy="46736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4</w:t>
      </w:r>
      <w:r>
        <w:rPr>
          <w:rFonts w:ascii="Book Antiqua" w:hAnsi="Book Antiqua" w:eastAsia="Book Antiqua" w:cs="Book Antiqua"/>
          <w:b/>
          <w:bCs/>
          <w:color w:val="000000"/>
        </w:rPr>
        <w:t xml:space="preserve"> Electrocardiogram on admission. </w:t>
      </w:r>
      <w:r>
        <w:rPr>
          <w:rFonts w:ascii="Book Antiqua" w:hAnsi="Book Antiqua" w:eastAsia="Book Antiqua" w:cs="Book Antiqua"/>
          <w:color w:val="000000"/>
        </w:rPr>
        <w:t>The results show sinus rhythm with ST-segment elevation in the inferior wall and reciprocal changes in the anterolateral leads.</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67400" cy="5440680"/>
            <wp:effectExtent l="0" t="0" r="0" b="0"/>
            <wp:docPr id="8" name="图片 8" descr="WJCC-10-1150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1508-g005"/>
                    <pic:cNvPicPr>
                      <a:picLocks noChangeAspect="1"/>
                    </pic:cNvPicPr>
                  </pic:nvPicPr>
                  <pic:blipFill>
                    <a:blip r:embed="rId9"/>
                    <a:stretch>
                      <a:fillRect/>
                    </a:stretch>
                  </pic:blipFill>
                  <pic:spPr>
                    <a:xfrm>
                      <a:off x="0" y="0"/>
                      <a:ext cx="5867400" cy="54406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5 Intravascular ultrasound images from two angles. </w:t>
      </w:r>
      <w:r>
        <w:rPr>
          <w:rFonts w:ascii="Book Antiqua" w:hAnsi="Book Antiqua" w:eastAsia="Book Antiqua" w:cs="Book Antiqua"/>
          <w:color w:val="000000"/>
        </w:rPr>
        <w:t>A: Right coronary artery (RCA) in the conventional left anterior oblique projection</w:t>
      </w:r>
      <w:r>
        <w:rPr>
          <w:rFonts w:ascii="Book Antiqua" w:hAnsi="Book Antiqua" w:cs="Book Antiqua"/>
          <w:color w:val="000000"/>
          <w:lang w:eastAsia="zh-CN"/>
        </w:rPr>
        <w:t>;</w:t>
      </w:r>
      <w:r>
        <w:rPr>
          <w:rFonts w:ascii="Book Antiqua" w:hAnsi="Book Antiqua" w:eastAsia="Book Antiqua" w:cs="Book Antiqua"/>
          <w:color w:val="000000"/>
        </w:rPr>
        <w:t xml:space="preserve"> B: RCA in the cranial left anterior oblique projection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 An incipient plaque; </w:t>
      </w:r>
      <w:r>
        <w:rPr>
          <w:rFonts w:ascii="Book Antiqua" w:hAnsi="Book Antiqua" w:cs="Book Antiqua"/>
          <w:color w:val="000000"/>
          <w:lang w:eastAsia="zh-CN"/>
        </w:rPr>
        <w:t>D</w:t>
      </w:r>
      <w:r>
        <w:rPr>
          <w:rFonts w:ascii="Book Antiqua" w:hAnsi="Book Antiqua" w:eastAsia="Book Antiqua" w:cs="Book Antiqua"/>
          <w:color w:val="000000"/>
        </w:rPr>
        <w:t xml:space="preserve">: A concentric plaque-causing moderate luminal stenosis; </w:t>
      </w:r>
      <w:r>
        <w:rPr>
          <w:rFonts w:ascii="Book Antiqua" w:hAnsi="Book Antiqua" w:cs="Book Antiqua"/>
          <w:color w:val="000000"/>
          <w:lang w:eastAsia="zh-CN"/>
        </w:rPr>
        <w:t>E-H</w:t>
      </w:r>
      <w:r>
        <w:rPr>
          <w:rFonts w:ascii="Book Antiqua" w:hAnsi="Book Antiqua" w:eastAsia="Book Antiqua" w:cs="Book Antiqua"/>
          <w:color w:val="000000"/>
        </w:rPr>
        <w:t xml:space="preserve">: A subacute-appearing thrombus with a layered light to dark-gray appearance with white patches and less clear delineations. Moderate-to-severe signal attenuation may also be observed, likely due to the deviation or absorption of ultrasound waves by the subacute thrombus; </w:t>
      </w:r>
      <w:r>
        <w:rPr>
          <w:rFonts w:ascii="Book Antiqua" w:hAnsi="Book Antiqua" w:cs="Book Antiqua"/>
          <w:color w:val="000000"/>
          <w:lang w:eastAsia="zh-CN"/>
        </w:rPr>
        <w:t>I</w:t>
      </w:r>
      <w:r>
        <w:rPr>
          <w:rFonts w:ascii="Book Antiqua" w:hAnsi="Book Antiqua" w:eastAsia="Book Antiqua" w:cs="Book Antiqua"/>
          <w:color w:val="000000"/>
        </w:rPr>
        <w:t xml:space="preserve">: An acute thrombus (asterisk) with a bright appearance, clear outline, and no signal attenuation; </w:t>
      </w:r>
      <w:r>
        <w:rPr>
          <w:rFonts w:ascii="Book Antiqua" w:hAnsi="Book Antiqua" w:cs="Book Antiqua"/>
          <w:color w:val="000000"/>
          <w:lang w:eastAsia="zh-CN"/>
        </w:rPr>
        <w:t>J</w:t>
      </w:r>
      <w:r>
        <w:rPr>
          <w:rFonts w:ascii="Book Antiqua" w:hAnsi="Book Antiqua" w:eastAsia="Book Antiqua" w:cs="Book Antiqua"/>
          <w:color w:val="000000"/>
        </w:rPr>
        <w:t xml:space="preserve">: Discreet intimal thickening. </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76115" cy="2386330"/>
            <wp:effectExtent l="0" t="0" r="4445" b="6350"/>
            <wp:docPr id="9" name="图片 9" descr="WJCC-10-11508-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1508-g006"/>
                    <pic:cNvPicPr>
                      <a:picLocks noChangeAspect="1"/>
                    </pic:cNvPicPr>
                  </pic:nvPicPr>
                  <pic:blipFill>
                    <a:blip r:embed="rId10"/>
                    <a:stretch>
                      <a:fillRect/>
                    </a:stretch>
                  </pic:blipFill>
                  <pic:spPr>
                    <a:xfrm>
                      <a:off x="0" y="0"/>
                      <a:ext cx="4476115" cy="23863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6 Reexamination of the right coronary artery after 7 d. </w:t>
      </w:r>
      <w:r>
        <w:rPr>
          <w:rFonts w:ascii="Book Antiqua" w:hAnsi="Book Antiqua" w:eastAsia="Book Antiqua" w:cs="Book Antiqua"/>
          <w:color w:val="000000"/>
        </w:rPr>
        <w:t xml:space="preserve">The images show nearly complete resolution of the </w:t>
      </w:r>
      <w:r>
        <w:rPr>
          <w:rFonts w:ascii="Book Antiqua" w:hAnsi="Book Antiqua" w:eastAsia="Book Antiqua" w:cs="Book Antiqua"/>
          <w:bCs/>
          <w:color w:val="000000"/>
        </w:rPr>
        <w:t>right coronary artery (RCA)</w:t>
      </w:r>
      <w:r>
        <w:rPr>
          <w:rFonts w:ascii="Book Antiqua" w:hAnsi="Book Antiqua" w:eastAsia="Book Antiqua" w:cs="Book Antiqua"/>
          <w:color w:val="000000"/>
        </w:rPr>
        <w:t xml:space="preserve"> thrombus. A: RCA in the conventional left anterior oblique projection; B: RCA in the cranial left anterior oblique projection. </w:t>
      </w:r>
    </w:p>
    <w:p>
      <w:pPr>
        <w:spacing w:line="360" w:lineRule="auto"/>
        <w:jc w:val="both"/>
        <w:rPr>
          <w:rFonts w:ascii="Book Antiqua" w:hAnsi="Book Antiqua"/>
          <w:lang w:eastAsia="zh-CN"/>
        </w:rPr>
      </w:pPr>
      <w:r>
        <w:rPr>
          <w:rFonts w:ascii="Book Antiqua" w:hAnsi="Book Antiqua"/>
        </w:rPr>
        <w:br w:type="page"/>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5867400" cy="5431790"/>
            <wp:effectExtent l="0" t="0" r="0" b="8890"/>
            <wp:docPr id="10" name="图片 10" descr="WJCC-10-11508-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1508-g007"/>
                    <pic:cNvPicPr>
                      <a:picLocks noChangeAspect="1"/>
                    </pic:cNvPicPr>
                  </pic:nvPicPr>
                  <pic:blipFill>
                    <a:blip r:embed="rId11"/>
                    <a:stretch>
                      <a:fillRect/>
                    </a:stretch>
                  </pic:blipFill>
                  <pic:spPr>
                    <a:xfrm>
                      <a:off x="0" y="0"/>
                      <a:ext cx="5867400" cy="5431790"/>
                    </a:xfrm>
                    <a:prstGeom prst="rect">
                      <a:avLst/>
                    </a:prstGeom>
                  </pic:spPr>
                </pic:pic>
              </a:graphicData>
            </a:graphic>
          </wp:inline>
        </w:drawing>
      </w:r>
      <w:bookmarkEnd w:id="4"/>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7 Optical coherence tomography images from two angles</w:t>
      </w:r>
      <w:r>
        <w:rPr>
          <w:rFonts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 Right coronary artery (RCA) in the conventional left anterior oblique projection</w:t>
      </w:r>
      <w:r>
        <w:rPr>
          <w:rFonts w:ascii="Book Antiqua" w:hAnsi="Book Antiqua" w:cs="Book Antiqua"/>
          <w:color w:val="000000"/>
          <w:lang w:eastAsia="zh-CN"/>
        </w:rPr>
        <w:t>;</w:t>
      </w:r>
      <w:r>
        <w:rPr>
          <w:rFonts w:ascii="Book Antiqua" w:hAnsi="Book Antiqua" w:eastAsia="Book Antiqua" w:cs="Book Antiqua"/>
          <w:color w:val="000000"/>
        </w:rPr>
        <w:t xml:space="preserve"> B: RCA in the cranial left anterior oblique projection; </w:t>
      </w:r>
      <w:r>
        <w:rPr>
          <w:rFonts w:ascii="Book Antiqua" w:hAnsi="Book Antiqua" w:cs="Book Antiqua"/>
          <w:color w:val="000000"/>
          <w:lang w:eastAsia="zh-CN"/>
        </w:rPr>
        <w:t>C</w:t>
      </w:r>
      <w:r>
        <w:rPr>
          <w:rFonts w:ascii="Book Antiqua" w:hAnsi="Book Antiqua" w:eastAsia="Book Antiqua" w:cs="Book Antiqua"/>
          <w:color w:val="000000"/>
        </w:rPr>
        <w:t>: A normal vessel with a three-layered structure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D</w:t>
      </w:r>
      <w:r>
        <w:rPr>
          <w:rFonts w:ascii="Book Antiqua" w:hAnsi="Book Antiqua" w:eastAsia="Book Antiqua" w:cs="Book Antiqua"/>
          <w:color w:val="000000"/>
        </w:rPr>
        <w:t xml:space="preserve">: A fibrotic plaque; </w:t>
      </w:r>
      <w:r>
        <w:rPr>
          <w:rFonts w:ascii="Book Antiqua" w:hAnsi="Book Antiqua" w:cs="Book Antiqua"/>
          <w:color w:val="000000"/>
          <w:lang w:eastAsia="zh-CN"/>
        </w:rPr>
        <w:t>E</w:t>
      </w:r>
      <w:r>
        <w:rPr>
          <w:rFonts w:ascii="Book Antiqua" w:hAnsi="Book Antiqua" w:eastAsia="Book Antiqua" w:cs="Book Antiqua"/>
          <w:color w:val="000000"/>
        </w:rPr>
        <w:t xml:space="preserve"> and </w:t>
      </w:r>
      <w:r>
        <w:rPr>
          <w:rFonts w:ascii="Book Antiqua" w:hAnsi="Book Antiqua" w:cs="Book Antiqua"/>
          <w:color w:val="000000"/>
          <w:lang w:eastAsia="zh-CN"/>
        </w:rPr>
        <w:t>F</w:t>
      </w:r>
      <w:r>
        <w:rPr>
          <w:rFonts w:ascii="Book Antiqua" w:hAnsi="Book Antiqua" w:eastAsia="Book Antiqua" w:cs="Book Antiqua"/>
          <w:color w:val="000000"/>
        </w:rPr>
        <w:t xml:space="preserve">: Normal vessels with a three-layer structure; </w:t>
      </w:r>
      <w:r>
        <w:rPr>
          <w:rFonts w:ascii="Book Antiqua" w:hAnsi="Book Antiqua" w:cs="Book Antiqua"/>
          <w:color w:val="000000"/>
          <w:lang w:eastAsia="zh-CN"/>
        </w:rPr>
        <w:t>G</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 xml:space="preserve">, and </w:t>
      </w:r>
      <w:r>
        <w:rPr>
          <w:rFonts w:ascii="Book Antiqua" w:hAnsi="Book Antiqua" w:cs="Book Antiqua"/>
          <w:color w:val="000000"/>
          <w:lang w:eastAsia="zh-CN"/>
        </w:rPr>
        <w:t>J</w:t>
      </w:r>
      <w:r>
        <w:rPr>
          <w:rFonts w:ascii="Book Antiqua" w:hAnsi="Book Antiqua" w:eastAsia="Book Antiqua" w:cs="Book Antiqua"/>
          <w:color w:val="000000"/>
        </w:rPr>
        <w:t xml:space="preserve">: Normal vessels with a three-layer structure; </w:t>
      </w:r>
      <w:r>
        <w:rPr>
          <w:rFonts w:ascii="Book Antiqua" w:hAnsi="Book Antiqua" w:cs="Book Antiqua"/>
          <w:color w:val="000000"/>
          <w:lang w:eastAsia="zh-CN"/>
        </w:rPr>
        <w:t>I</w:t>
      </w:r>
      <w:r>
        <w:rPr>
          <w:rFonts w:ascii="Book Antiqua" w:hAnsi="Book Antiqua" w:eastAsia="Book Antiqua" w:cs="Book Antiqua"/>
          <w:color w:val="000000"/>
        </w:rPr>
        <w:t>: Mild signal attenuation and easily delineated borders suggest white thrombus remnants (</w:t>
      </w:r>
      <w:r>
        <w:rPr>
          <w:rFonts w:ascii="Book Antiqua" w:hAnsi="Book Antiqua" w:cs="Book Antiqua"/>
          <w:color w:val="000000"/>
          <w:lang w:eastAsia="zh-CN"/>
        </w:rPr>
        <w:t>white</w:t>
      </w:r>
      <w:r>
        <w:rPr>
          <w:rFonts w:ascii="Book Antiqua" w:hAnsi="Book Antiqua" w:eastAsia="Book Antiqua" w:cs="Book Antiqua"/>
          <w:color w:val="000000"/>
        </w:rPr>
        <w:t xml:space="preserve"> arrow).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942962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622E6"/>
    <w:rsid w:val="000927EC"/>
    <w:rsid w:val="000A19E1"/>
    <w:rsid w:val="000E3883"/>
    <w:rsid w:val="000E6EE1"/>
    <w:rsid w:val="000E7361"/>
    <w:rsid w:val="00100A52"/>
    <w:rsid w:val="0010443F"/>
    <w:rsid w:val="00111D08"/>
    <w:rsid w:val="001378DB"/>
    <w:rsid w:val="00153154"/>
    <w:rsid w:val="001537AE"/>
    <w:rsid w:val="001B54B2"/>
    <w:rsid w:val="001C1D04"/>
    <w:rsid w:val="001C2986"/>
    <w:rsid w:val="001E29DE"/>
    <w:rsid w:val="001E5E04"/>
    <w:rsid w:val="00221A25"/>
    <w:rsid w:val="002679E6"/>
    <w:rsid w:val="00291DD8"/>
    <w:rsid w:val="002A2896"/>
    <w:rsid w:val="002C499D"/>
    <w:rsid w:val="002D788C"/>
    <w:rsid w:val="003567A2"/>
    <w:rsid w:val="00366460"/>
    <w:rsid w:val="00381C4A"/>
    <w:rsid w:val="00392EB2"/>
    <w:rsid w:val="003E719B"/>
    <w:rsid w:val="00467D52"/>
    <w:rsid w:val="00484234"/>
    <w:rsid w:val="00490828"/>
    <w:rsid w:val="004B1E73"/>
    <w:rsid w:val="004E1A2C"/>
    <w:rsid w:val="004E5B37"/>
    <w:rsid w:val="004F37D0"/>
    <w:rsid w:val="005136AF"/>
    <w:rsid w:val="00514D1B"/>
    <w:rsid w:val="005251A8"/>
    <w:rsid w:val="005344EC"/>
    <w:rsid w:val="00567DA5"/>
    <w:rsid w:val="005773CC"/>
    <w:rsid w:val="00577652"/>
    <w:rsid w:val="00597825"/>
    <w:rsid w:val="005A35F1"/>
    <w:rsid w:val="005B4CDF"/>
    <w:rsid w:val="005B4D5C"/>
    <w:rsid w:val="005D0561"/>
    <w:rsid w:val="005D2AB9"/>
    <w:rsid w:val="005D3143"/>
    <w:rsid w:val="005D648F"/>
    <w:rsid w:val="00615E1A"/>
    <w:rsid w:val="0065272C"/>
    <w:rsid w:val="006B0F8C"/>
    <w:rsid w:val="006E0E3D"/>
    <w:rsid w:val="00704205"/>
    <w:rsid w:val="00754B3F"/>
    <w:rsid w:val="00761A8F"/>
    <w:rsid w:val="00776706"/>
    <w:rsid w:val="00795DB2"/>
    <w:rsid w:val="007C6B27"/>
    <w:rsid w:val="007E0BF6"/>
    <w:rsid w:val="007E3CFA"/>
    <w:rsid w:val="00815181"/>
    <w:rsid w:val="00830AEB"/>
    <w:rsid w:val="008621BE"/>
    <w:rsid w:val="008B40F6"/>
    <w:rsid w:val="008D6D26"/>
    <w:rsid w:val="008D70E8"/>
    <w:rsid w:val="009278D2"/>
    <w:rsid w:val="009307E3"/>
    <w:rsid w:val="009436EE"/>
    <w:rsid w:val="0097085B"/>
    <w:rsid w:val="00972A14"/>
    <w:rsid w:val="009B711E"/>
    <w:rsid w:val="009F255B"/>
    <w:rsid w:val="00A00410"/>
    <w:rsid w:val="00A07DC5"/>
    <w:rsid w:val="00A1665E"/>
    <w:rsid w:val="00A27696"/>
    <w:rsid w:val="00A77B3E"/>
    <w:rsid w:val="00AB4A52"/>
    <w:rsid w:val="00AF5A83"/>
    <w:rsid w:val="00AF70FF"/>
    <w:rsid w:val="00B031A6"/>
    <w:rsid w:val="00B17CAB"/>
    <w:rsid w:val="00B560F5"/>
    <w:rsid w:val="00B61FA4"/>
    <w:rsid w:val="00B77A95"/>
    <w:rsid w:val="00B825E5"/>
    <w:rsid w:val="00BA78C4"/>
    <w:rsid w:val="00BC2B4D"/>
    <w:rsid w:val="00BF2022"/>
    <w:rsid w:val="00C46E83"/>
    <w:rsid w:val="00C71877"/>
    <w:rsid w:val="00C91EF6"/>
    <w:rsid w:val="00CA2A55"/>
    <w:rsid w:val="00CF084E"/>
    <w:rsid w:val="00D30AA6"/>
    <w:rsid w:val="00D33B7A"/>
    <w:rsid w:val="00D35E2B"/>
    <w:rsid w:val="00E010B8"/>
    <w:rsid w:val="00E174C3"/>
    <w:rsid w:val="00E352A2"/>
    <w:rsid w:val="00E35AA5"/>
    <w:rsid w:val="00E36A3F"/>
    <w:rsid w:val="00E421DA"/>
    <w:rsid w:val="00E516E0"/>
    <w:rsid w:val="00EC0CE0"/>
    <w:rsid w:val="00F14D4A"/>
    <w:rsid w:val="00F25721"/>
    <w:rsid w:val="00F33B65"/>
    <w:rsid w:val="00F77588"/>
    <w:rsid w:val="00FB00A1"/>
    <w:rsid w:val="00FD0805"/>
    <w:rsid w:val="00FE5206"/>
    <w:rsid w:val="42FF5189"/>
    <w:rsid w:val="55FF0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2"/>
    <w:qFormat/>
    <w:uiPriority w:val="0"/>
    <w:rPr>
      <w:sz w:val="18"/>
      <w:szCs w:val="18"/>
    </w:rPr>
  </w:style>
  <w:style w:type="paragraph" w:styleId="4">
    <w:name w:val="footer"/>
    <w:basedOn w:val="1"/>
    <w:link w:val="11"/>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dxebase_office2010blue"/>
    <w:basedOn w:val="8"/>
    <w:qFormat/>
    <w:uiPriority w:val="0"/>
  </w:style>
  <w:style w:type="character" w:customStyle="1" w:styleId="14">
    <w:name w:val="批注文字 字符"/>
    <w:basedOn w:val="8"/>
    <w:link w:val="2"/>
    <w:qFormat/>
    <w:uiPriority w:val="0"/>
    <w:rPr>
      <w:sz w:val="24"/>
      <w:szCs w:val="24"/>
    </w:rPr>
  </w:style>
  <w:style w:type="character" w:customStyle="1" w:styleId="15">
    <w:name w:val="批注主题 字符"/>
    <w:basedOn w:val="14"/>
    <w:link w:val="6"/>
    <w:qFormat/>
    <w:uiPriority w:val="0"/>
    <w:rPr>
      <w:b/>
      <w:bCs/>
      <w:sz w:val="24"/>
      <w:szCs w:val="24"/>
    </w:rPr>
  </w:style>
  <w:style w:type="character" w:customStyle="1" w:styleId="16">
    <w:name w:val="q4iawc"/>
    <w:basedOn w:val="8"/>
    <w:qFormat/>
    <w:uiPriority w:val="0"/>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3841</Words>
  <Characters>23008</Characters>
  <Lines>188</Lines>
  <Paragraphs>52</Paragraphs>
  <TotalTime>0</TotalTime>
  <ScaleCrop>false</ScaleCrop>
  <LinksUpToDate>false</LinksUpToDate>
  <CharactersWithSpaces>26745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2022-08-20T00:39:00Z</dcterms:created>
  <dc:creator>梅长苏</dc:creator>
  <cp:lastModifiedBy>晓晨</cp:lastModifiedBy>
  <dcterms:modified xsi:type="dcterms:W3CDTF">2022-10-25T12:15:58Z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4A8FEFDBD0F74703A5251823A34F3FC2</vt:lpwstr>
  </property>
</Properties>
</file>