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color w:val="000000" w:themeColor="text1"/>
          <w14:textFill>
            <w14:solidFill>
              <w14:schemeClr w14:val="tx1"/>
            </w14:solidFill>
          </w14:textFill>
        </w:rPr>
      </w:pPr>
      <w:bookmarkStart w:id="0" w:name="OLE_LINK4823"/>
      <w:bookmarkStart w:id="1" w:name="OLE_LINK4822"/>
      <w:r>
        <w:rPr>
          <w:rFonts w:ascii="Book Antiqua" w:hAnsi="Book Antiqua" w:eastAsia="Book Antiqua" w:cs="Book Antiqua"/>
          <w:b/>
          <w:color w:val="000000" w:themeColor="text1"/>
          <w14:textFill>
            <w14:solidFill>
              <w14:schemeClr w14:val="tx1"/>
            </w14:solidFill>
          </w14:textFill>
        </w:rPr>
        <w:t xml:space="preserve">Name of Journal: </w:t>
      </w:r>
      <w:r>
        <w:rPr>
          <w:rFonts w:ascii="Book Antiqua" w:hAnsi="Book Antiqua" w:eastAsia="Book Antiqua" w:cs="Book Antiqua"/>
          <w:i/>
          <w:color w:val="000000" w:themeColor="text1"/>
          <w14:textFill>
            <w14:solidFill>
              <w14:schemeClr w14:val="tx1"/>
            </w14:solidFill>
          </w14:textFill>
        </w:rPr>
        <w:t>World Journal of Clinical Cases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Manuscript NO: </w:t>
      </w:r>
      <w:r>
        <w:rPr>
          <w:rFonts w:ascii="Book Antiqua" w:hAnsi="Book Antiqua" w:eastAsia="Book Antiqua" w:cs="Book Antiqua"/>
          <w:color w:val="000000" w:themeColor="text1"/>
          <w14:textFill>
            <w14:solidFill>
              <w14:schemeClr w14:val="tx1"/>
            </w14:solidFill>
          </w14:textFill>
        </w:rPr>
        <w:t>77841</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Manuscript Type: </w:t>
      </w:r>
      <w:r>
        <w:rPr>
          <w:rFonts w:ascii="Book Antiqua" w:hAnsi="Book Antiqua" w:eastAsia="Book Antiqua" w:cs="Book Antiqua"/>
          <w:color w:val="000000" w:themeColor="text1"/>
          <w14:textFill>
            <w14:solidFill>
              <w14:schemeClr w14:val="tx1"/>
            </w14:solidFill>
          </w14:textFill>
        </w:rPr>
        <w:t>CASE REPORT</w:t>
      </w:r>
    </w:p>
    <w:p>
      <w:pPr>
        <w:spacing w:line="360" w:lineRule="auto"/>
        <w:jc w:val="both"/>
        <w:rPr>
          <w:rFonts w:ascii="Book Antiqua" w:hAnsi="Book Antiqua" w:eastAsia="Book Antiqua" w:cs="Book Antiqua"/>
          <w:b/>
          <w:color w:val="000000" w:themeColor="text1"/>
          <w14:textFill>
            <w14:solidFill>
              <w14:schemeClr w14:val="tx1"/>
            </w14:solidFill>
          </w14:textFill>
        </w:rPr>
      </w:pPr>
    </w:p>
    <w:p>
      <w:pPr>
        <w:spacing w:line="360" w:lineRule="auto"/>
        <w:jc w:val="both"/>
        <w:rPr>
          <w:rFonts w:ascii="Book Antiqua" w:hAnsi="Book Antiqua" w:eastAsia="Book Antiqua" w:cs="Book Antiqua"/>
          <w:b/>
          <w:color w:val="000000" w:themeColor="text1"/>
          <w14:textFill>
            <w14:solidFill>
              <w14:schemeClr w14:val="tx1"/>
            </w14:solidFill>
          </w14:textFill>
        </w:rPr>
      </w:pPr>
      <w:bookmarkStart w:id="2" w:name="OLE_LINK4305"/>
      <w:bookmarkStart w:id="3" w:name="OLE_LINK3811"/>
      <w:bookmarkStart w:id="4" w:name="OLE_LINK3812"/>
      <w:r>
        <w:rPr>
          <w:rFonts w:ascii="Book Antiqua" w:hAnsi="Book Antiqua" w:eastAsia="Book Antiqua" w:cs="Book Antiqua"/>
          <w:b/>
          <w:color w:val="000000" w:themeColor="text1"/>
          <w14:textFill>
            <w14:solidFill>
              <w14:schemeClr w14:val="tx1"/>
            </w14:solidFill>
          </w14:textFill>
        </w:rPr>
        <w:t>Malignant peritoneal mesothelioma with massive ascites as the first symptom: A case report</w:t>
      </w:r>
    </w:p>
    <w:bookmarkEnd w:id="2"/>
    <w:bookmarkEnd w:id="3"/>
    <w:bookmarkEnd w:id="4"/>
    <w:p>
      <w:pPr>
        <w:spacing w:line="360" w:lineRule="auto"/>
        <w:jc w:val="both"/>
        <w:rPr>
          <w:rFonts w:ascii="Book Antiqua" w:hAnsi="Book Antiqua" w:eastAsia="Book Antiqua" w:cs="Book Antiqua"/>
          <w:b/>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Huang X </w:t>
      </w:r>
      <w:r>
        <w:rPr>
          <w:rFonts w:hint="eastAsia" w:ascii="Book Antiqua" w:hAnsi="Book Antiqua" w:eastAsia="Book Antiqua" w:cs="Book Antiqua"/>
          <w:i/>
          <w:iCs/>
          <w:color w:val="000000" w:themeColor="text1"/>
          <w:lang w:eastAsia="zh-CN"/>
          <w14:textFill>
            <w14:solidFill>
              <w14:schemeClr w14:val="tx1"/>
            </w14:solidFill>
          </w14:textFill>
        </w:rPr>
        <w:t>et</w:t>
      </w:r>
      <w:r>
        <w:rPr>
          <w:rFonts w:ascii="Book Antiqua" w:hAnsi="Book Antiqua" w:eastAsia="Book Antiqua" w:cs="Book Antiqua"/>
          <w:i/>
          <w:iCs/>
          <w:color w:val="000000" w:themeColor="text1"/>
          <w:lang w:eastAsia="zh-CN"/>
          <w14:textFill>
            <w14:solidFill>
              <w14:schemeClr w14:val="tx1"/>
            </w14:solidFill>
          </w14:textFill>
        </w:rPr>
        <w:t xml:space="preserve"> al</w:t>
      </w:r>
      <w:r>
        <w:rPr>
          <w:rFonts w:ascii="Book Antiqua" w:hAnsi="Book Antiqua" w:eastAsia="Book Antiqua" w:cs="Book Antiqua"/>
          <w:color w:val="000000" w:themeColor="text1"/>
          <w:lang w:eastAsia="zh-CN"/>
          <w14:textFill>
            <w14:solidFill>
              <w14:schemeClr w14:val="tx1"/>
            </w14:solidFill>
          </w14:textFill>
        </w:rPr>
        <w:t xml:space="preserve">. </w:t>
      </w:r>
      <w:bookmarkStart w:id="5" w:name="OLE_LINK4306"/>
      <w:bookmarkStart w:id="6" w:name="OLE_LINK4307"/>
      <w:r>
        <w:rPr>
          <w:rFonts w:ascii="Book Antiqua" w:hAnsi="Book Antiqua" w:eastAsia="Book Antiqua" w:cs="Book Antiqua"/>
          <w:color w:val="000000" w:themeColor="text1"/>
          <w14:textFill>
            <w14:solidFill>
              <w14:schemeClr w14:val="tx1"/>
            </w14:solidFill>
          </w14:textFill>
        </w:rPr>
        <w:t>Ascites in malignant peritoneal mesothelioma</w:t>
      </w:r>
      <w:bookmarkEnd w:id="5"/>
      <w:bookmarkEnd w:id="6"/>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Xi </w:t>
      </w:r>
      <w:bookmarkStart w:id="7" w:name="OLE_LINK4824"/>
      <w:bookmarkStart w:id="8" w:name="OLE_LINK4825"/>
      <w:r>
        <w:rPr>
          <w:rFonts w:ascii="Book Antiqua" w:hAnsi="Book Antiqua" w:eastAsia="Book Antiqua" w:cs="Book Antiqua"/>
          <w:color w:val="000000" w:themeColor="text1"/>
          <w14:textFill>
            <w14:solidFill>
              <w14:schemeClr w14:val="tx1"/>
            </w14:solidFill>
          </w14:textFill>
        </w:rPr>
        <w:t>Huang,</w:t>
      </w:r>
      <w:bookmarkEnd w:id="7"/>
      <w:bookmarkEnd w:id="8"/>
      <w:r>
        <w:rPr>
          <w:rFonts w:ascii="Book Antiqua" w:hAnsi="Book Antiqua" w:eastAsia="Book Antiqua" w:cs="Book Antiqua"/>
          <w:color w:val="000000" w:themeColor="text1"/>
          <w14:textFill>
            <w14:solidFill>
              <w14:schemeClr w14:val="tx1"/>
            </w14:solidFill>
          </w14:textFill>
        </w:rPr>
        <w:t xml:space="preserve"> Yu Hong, </w:t>
      </w:r>
      <w:bookmarkStart w:id="9" w:name="OLE_LINK3814"/>
      <w:bookmarkStart w:id="10" w:name="OLE_LINK3813"/>
      <w:r>
        <w:rPr>
          <w:rFonts w:ascii="Book Antiqua" w:hAnsi="Book Antiqua" w:eastAsia="Book Antiqua" w:cs="Book Antiqua"/>
          <w:color w:val="000000" w:themeColor="text1"/>
          <w14:textFill>
            <w14:solidFill>
              <w14:schemeClr w14:val="tx1"/>
            </w14:solidFill>
          </w14:textFill>
        </w:rPr>
        <w:t>Si-Ya</w:t>
      </w:r>
      <w:bookmarkEnd w:id="9"/>
      <w:bookmarkEnd w:id="10"/>
      <w:r>
        <w:rPr>
          <w:rFonts w:ascii="Book Antiqua" w:hAnsi="Book Antiqua" w:eastAsia="Book Antiqua" w:cs="Book Antiqua"/>
          <w:color w:val="000000" w:themeColor="text1"/>
          <w14:textFill>
            <w14:solidFill>
              <w14:schemeClr w14:val="tx1"/>
            </w14:solidFill>
          </w14:textFill>
        </w:rPr>
        <w:t xml:space="preserve"> Xie, Hui-Li Liao, Hao-Ming Huang, Jian-Hong </w:t>
      </w:r>
      <w:bookmarkStart w:id="11" w:name="OLE_LINK4831"/>
      <w:bookmarkStart w:id="12" w:name="OLE_LINK4830"/>
      <w:r>
        <w:rPr>
          <w:rFonts w:ascii="Book Antiqua" w:hAnsi="Book Antiqua" w:eastAsia="Book Antiqua" w:cs="Book Antiqua"/>
          <w:color w:val="000000" w:themeColor="text1"/>
          <w14:textFill>
            <w14:solidFill>
              <w14:schemeClr w14:val="tx1"/>
            </w14:solidFill>
          </w14:textFill>
        </w:rPr>
        <w:t>Liu</w:t>
      </w:r>
      <w:bookmarkEnd w:id="11"/>
      <w:bookmarkEnd w:id="12"/>
      <w:r>
        <w:rPr>
          <w:rFonts w:ascii="Book Antiqua" w:hAnsi="Book Antiqua" w:eastAsia="Book Antiqua" w:cs="Book Antiqua"/>
          <w:color w:val="000000" w:themeColor="text1"/>
          <w14:textFill>
            <w14:solidFill>
              <w14:schemeClr w14:val="tx1"/>
            </w14:solidFill>
          </w14:textFill>
        </w:rPr>
        <w:t>, Wen-Jie Long</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Xi Huang, Jian-Hong Liu, Wen-Jie Long, </w:t>
      </w:r>
      <w:r>
        <w:rPr>
          <w:rFonts w:ascii="Book Antiqua" w:hAnsi="Book Antiqua" w:eastAsia="Book Antiqua" w:cs="Book Antiqua"/>
          <w:color w:val="000000" w:themeColor="text1"/>
          <w14:textFill>
            <w14:solidFill>
              <w14:schemeClr w14:val="tx1"/>
            </w14:solidFill>
          </w14:textFill>
        </w:rPr>
        <w:t xml:space="preserve">Department of Geriatrics, The First Affiliated Hospital of Guangzhou University of Chinese Medicine, </w:t>
      </w:r>
      <w:bookmarkStart w:id="13" w:name="OLE_LINK4826"/>
      <w:bookmarkStart w:id="14" w:name="OLE_LINK4827"/>
      <w:r>
        <w:rPr>
          <w:rFonts w:ascii="Book Antiqua" w:hAnsi="Book Antiqua" w:eastAsia="Book Antiqua" w:cs="Book Antiqua"/>
          <w:color w:val="000000" w:themeColor="text1"/>
          <w14:textFill>
            <w14:solidFill>
              <w14:schemeClr w14:val="tx1"/>
            </w14:solidFill>
          </w14:textFill>
        </w:rPr>
        <w:t>Guangzhou 510006, Guangdong Province,</w:t>
      </w:r>
      <w:bookmarkEnd w:id="13"/>
      <w:bookmarkEnd w:id="14"/>
      <w:r>
        <w:rPr>
          <w:rFonts w:ascii="Book Antiqua" w:hAnsi="Book Antiqua" w:eastAsia="Book Antiqua" w:cs="Book Antiqua"/>
          <w:color w:val="000000" w:themeColor="text1"/>
          <w14:textFill>
            <w14:solidFill>
              <w14:schemeClr w14:val="tx1"/>
            </w14:solidFill>
          </w14:textFill>
        </w:rPr>
        <w:t xml:space="preserve"> China</w:t>
      </w:r>
    </w:p>
    <w:p>
      <w:pPr>
        <w:spacing w:line="360" w:lineRule="auto"/>
        <w:jc w:val="both"/>
        <w:rPr>
          <w:rFonts w:ascii="Book Antiqua" w:hAnsi="Book Antiqua"/>
          <w:color w:val="000000" w:themeColor="text1"/>
          <w:lang w:eastAsia="zh-CN"/>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Yu Hong, Si-Ya Xie, </w:t>
      </w:r>
      <w:r>
        <w:rPr>
          <w:rFonts w:ascii="Book Antiqua" w:hAnsi="Book Antiqua" w:eastAsia="Book Antiqua" w:cs="Book Antiqua"/>
          <w:color w:val="000000" w:themeColor="text1"/>
          <w14:textFill>
            <w14:solidFill>
              <w14:schemeClr w14:val="tx1"/>
            </w14:solidFill>
          </w14:textFill>
        </w:rPr>
        <w:t>Department of Chinese Internal Medicine, The First Clinical Medical College, Guangzhou University of Chinese Medicine, Guangzhou 510006, Guangdong Province, China</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Hui-Li Liao, </w:t>
      </w:r>
      <w:bookmarkStart w:id="15" w:name="OLE_LINK4829"/>
      <w:bookmarkStart w:id="16" w:name="OLE_LINK4828"/>
      <w:r>
        <w:rPr>
          <w:rFonts w:ascii="Book Antiqua" w:hAnsi="Book Antiqua" w:eastAsia="Book Antiqua" w:cs="Book Antiqua"/>
          <w:color w:val="000000" w:themeColor="text1"/>
          <w14:textFill>
            <w14:solidFill>
              <w14:schemeClr w14:val="tx1"/>
            </w14:solidFill>
          </w14:textFill>
        </w:rPr>
        <w:t xml:space="preserve">Department of </w:t>
      </w:r>
      <w:bookmarkEnd w:id="15"/>
      <w:bookmarkEnd w:id="16"/>
      <w:r>
        <w:rPr>
          <w:rFonts w:ascii="Book Antiqua" w:hAnsi="Book Antiqua" w:eastAsia="Book Antiqua" w:cs="Book Antiqua"/>
          <w:color w:val="000000" w:themeColor="text1"/>
          <w14:textFill>
            <w14:solidFill>
              <w14:schemeClr w14:val="tx1"/>
            </w14:solidFill>
          </w14:textFill>
        </w:rPr>
        <w:t>Geriatrics, The First Clinical Medical College, Guangzhou University of Chinese Medicine, Guangzhou 510006, Guangdong Province, China</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Hao-Ming Huang, </w:t>
      </w:r>
      <w:r>
        <w:rPr>
          <w:rFonts w:ascii="Book Antiqua" w:hAnsi="Book Antiqua" w:eastAsia="Book Antiqua" w:cs="Book Antiqua"/>
          <w:color w:val="000000" w:themeColor="text1"/>
          <w14:textFill>
            <w14:solidFill>
              <w14:schemeClr w14:val="tx1"/>
            </w14:solidFill>
          </w14:textFill>
        </w:rPr>
        <w:t>Department of Emergency, The First Affiliated Hospital of Guangzhou University of Chinese Medicine, Guangzhou 510006, Guangdong Province, China</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Author contributions: </w:t>
      </w:r>
      <w:r>
        <w:rPr>
          <w:rFonts w:ascii="Book Antiqua" w:hAnsi="Book Antiqua" w:eastAsia="Book Antiqua" w:cs="Book Antiqua"/>
          <w:color w:val="000000" w:themeColor="text1"/>
          <w14:textFill>
            <w14:solidFill>
              <w14:schemeClr w14:val="tx1"/>
            </w14:solidFill>
          </w14:textFill>
        </w:rPr>
        <w:t>Huang X and Hong Y are the co-first authors who contributed equally, organized the case content, and wrote the manuscript; Xie SY and Huang HM wrote the manuscript and organized the images; Liao HL wrote and reviewed the manuscript and organized the table; Long WJ and Liu JH were responsible for the supervision and review of the manuscript.</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Supported by </w:t>
      </w:r>
      <w:bookmarkStart w:id="17" w:name="OLE_LINK4290"/>
      <w:bookmarkStart w:id="18" w:name="OLE_LINK4289"/>
      <w:r>
        <w:rPr>
          <w:rFonts w:ascii="Book Antiqua" w:hAnsi="Book Antiqua" w:eastAsia="Book Antiqua" w:cs="Book Antiqua"/>
          <w:color w:val="000000" w:themeColor="text1"/>
          <w14:textFill>
            <w14:solidFill>
              <w14:schemeClr w14:val="tx1"/>
            </w14:solidFill>
          </w14:textFill>
        </w:rPr>
        <w:t>the National Traditional Chinese Medicine Clinical Research Base, No. 2018131; and the Guangzhou Science and Technology Program Key Projects, No. 202206080015.</w:t>
      </w:r>
    </w:p>
    <w:bookmarkEnd w:id="17"/>
    <w:bookmarkEnd w:id="18"/>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Corresponding author: Jian-Hong Liu, Doctor, Chief Doctor, </w:t>
      </w:r>
      <w:r>
        <w:rPr>
          <w:rFonts w:ascii="Book Antiqua" w:hAnsi="Book Antiqua" w:eastAsia="Book Antiqua" w:cs="Book Antiqua"/>
          <w:color w:val="000000" w:themeColor="text1"/>
          <w14:textFill>
            <w14:solidFill>
              <w14:schemeClr w14:val="tx1"/>
            </w14:solidFill>
          </w14:textFill>
        </w:rPr>
        <w:t>Department of Geriatrics, The First Affiliated Hospital of Guangzhou University of Chinese Medicine, N</w:t>
      </w:r>
      <w:r>
        <w:rPr>
          <w:rFonts w:hint="eastAsia" w:ascii="Book Antiqua" w:hAnsi="Book Antiqua" w:eastAsia="Book Antiqua" w:cs="Book Antiqua"/>
          <w:color w:val="000000" w:themeColor="text1"/>
          <w:lang w:eastAsia="zh-CN"/>
          <w14:textFill>
            <w14:solidFill>
              <w14:schemeClr w14:val="tx1"/>
            </w14:solidFill>
          </w14:textFill>
        </w:rPr>
        <w:t>o</w:t>
      </w:r>
      <w:r>
        <w:rPr>
          <w:rFonts w:ascii="Book Antiqua" w:hAnsi="Book Antiqua" w:eastAsia="Book Antiqua" w:cs="Book Antiqua"/>
          <w:color w:val="000000" w:themeColor="text1"/>
          <w14:textFill>
            <w14:solidFill>
              <w14:schemeClr w14:val="tx1"/>
            </w14:solidFill>
          </w14:textFill>
        </w:rPr>
        <w:t>. 16 Jichang Road, Guangzhou 510006, Guangdong Province, China.</w:t>
      </w:r>
      <w:r>
        <w:rPr>
          <w:rFonts w:hint="eastAsia" w:ascii="Book Antiqua" w:hAnsi="Book Antiqua"/>
          <w:color w:val="000000" w:themeColor="text1"/>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ljh833@163.com</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Received: </w:t>
      </w:r>
      <w:r>
        <w:rPr>
          <w:rFonts w:ascii="Book Antiqua" w:hAnsi="Book Antiqua" w:eastAsia="Book Antiqua" w:cs="Book Antiqua"/>
          <w:color w:val="000000" w:themeColor="text1"/>
          <w14:textFill>
            <w14:solidFill>
              <w14:schemeClr w14:val="tx1"/>
            </w14:solidFill>
          </w14:textFill>
        </w:rPr>
        <w:t>May 31, 2022</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Revised: </w:t>
      </w:r>
      <w:r>
        <w:rPr>
          <w:rFonts w:ascii="Book Antiqua" w:hAnsi="Book Antiqua" w:eastAsia="Book Antiqua" w:cs="Book Antiqua"/>
          <w:color w:val="000000" w:themeColor="text1"/>
          <w14:textFill>
            <w14:solidFill>
              <w14:schemeClr w14:val="tx1"/>
            </w14:solidFill>
          </w14:textFill>
        </w:rPr>
        <w:t>June 23, 2022</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Accepted: </w:t>
      </w:r>
      <w:r>
        <w:rPr>
          <w:rFonts w:ascii="Book Antiqua" w:hAnsi="Book Antiqua" w:eastAsia="Book Antiqua" w:cs="Book Antiqua"/>
          <w:b w:val="0"/>
          <w:bCs w:val="0"/>
          <w:color w:val="000000" w:themeColor="text1"/>
          <w14:textFill>
            <w14:solidFill>
              <w14:schemeClr w14:val="tx1"/>
            </w14:solidFill>
          </w14:textFill>
        </w:rPr>
        <w:t>August 16, 2022</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Published online: </w:t>
      </w:r>
      <w:r>
        <w:rPr>
          <w:rFonts w:ascii="Book Antiqua" w:hAnsi="Book Antiqua" w:eastAsia="Book Antiqua" w:cs="Book Antiqua"/>
          <w:b w:val="0"/>
          <w:bCs w:val="0"/>
          <w:color w:val="000000"/>
        </w:rPr>
        <w:t>October 6, 2022</w:t>
      </w:r>
    </w:p>
    <w:p>
      <w:pPr>
        <w:spacing w:line="360" w:lineRule="auto"/>
        <w:jc w:val="both"/>
        <w:rPr>
          <w:rFonts w:ascii="Book Antiqua" w:hAnsi="Book Antiqua"/>
          <w:color w:val="000000" w:themeColor="text1"/>
          <w:lang w:eastAsia="zh-CN"/>
          <w14:textFill>
            <w14:solidFill>
              <w14:schemeClr w14:val="tx1"/>
            </w14:solidFill>
          </w14:textFill>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Abstract</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BACKGROUND</w:t>
      </w:r>
    </w:p>
    <w:p>
      <w:pPr>
        <w:spacing w:line="360" w:lineRule="auto"/>
        <w:jc w:val="both"/>
        <w:rPr>
          <w:rFonts w:ascii="Book Antiqua" w:hAnsi="Book Antiqua" w:eastAsia="Book Antiqua" w:cs="Book Antiqua"/>
          <w:color w:val="000000" w:themeColor="text1"/>
          <w14:textFill>
            <w14:solidFill>
              <w14:schemeClr w14:val="tx1"/>
            </w14:solidFill>
          </w14:textFill>
        </w:rPr>
      </w:pPr>
      <w:bookmarkStart w:id="19" w:name="OLE_LINK4832"/>
      <w:bookmarkStart w:id="20" w:name="OLE_LINK4833"/>
      <w:r>
        <w:rPr>
          <w:rFonts w:ascii="Book Antiqua" w:hAnsi="Book Antiqua" w:eastAsia="Book Antiqua" w:cs="Book Antiqua"/>
          <w:color w:val="000000" w:themeColor="text1"/>
          <w14:textFill>
            <w14:solidFill>
              <w14:schemeClr w14:val="tx1"/>
            </w14:solidFill>
          </w14:textFill>
        </w:rPr>
        <w:t>Malignant peritoneal mesothelioma</w:t>
      </w:r>
      <w:bookmarkEnd w:id="19"/>
      <w:bookmarkEnd w:id="20"/>
      <w:r>
        <w:rPr>
          <w:rFonts w:ascii="Book Antiqua" w:hAnsi="Book Antiqua" w:eastAsia="Book Antiqua" w:cs="Book Antiqua"/>
          <w:color w:val="000000" w:themeColor="text1"/>
          <w14:textFill>
            <w14:solidFill>
              <w14:schemeClr w14:val="tx1"/>
            </w14:solidFill>
          </w14:textFill>
        </w:rPr>
        <w:t xml:space="preserve"> (MPM) is an extremely rare tumor with nonspecific clinical manifestations, which is extremely difficult to diagnose. Herein, we reported a case of MPM in the abdominal cavity with massive short-term ascites as the first symptom.</w:t>
      </w:r>
    </w:p>
    <w:p>
      <w:pPr>
        <w:spacing w:line="360" w:lineRule="auto"/>
        <w:jc w:val="both"/>
        <w:rPr>
          <w:rFonts w:ascii="Book Antiqua" w:hAnsi="Book Antiqua" w:eastAsia="Book Antiqua" w:cs="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CASE SUMMARY</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A 65-year-old woman presented to the hospital with abdominal pain, distention, and shortness of breath that persisted for 15 d. The serum CA-125 level was 1075 U/mL. The abdominal </w:t>
      </w:r>
      <w:bookmarkStart w:id="21" w:name="OLE_LINK4835"/>
      <w:bookmarkStart w:id="22" w:name="OLE_LINK4834"/>
      <w:r>
        <w:rPr>
          <w:rFonts w:ascii="Book Antiqua" w:hAnsi="Book Antiqua" w:eastAsia="Book Antiqua" w:cs="Book Antiqua"/>
          <w:color w:val="000000" w:themeColor="text1"/>
          <w14:textFill>
            <w14:solidFill>
              <w14:schemeClr w14:val="tx1"/>
            </w14:solidFill>
          </w14:textFill>
        </w:rPr>
        <w:t>computed tomography</w:t>
      </w:r>
      <w:bookmarkEnd w:id="21"/>
      <w:bookmarkEnd w:id="22"/>
      <w:r>
        <w:rPr>
          <w:rFonts w:ascii="Book Antiqua" w:hAnsi="Book Antiqua" w:eastAsia="Book Antiqua" w:cs="Book Antiqua"/>
          <w:color w:val="000000" w:themeColor="text1"/>
          <w14:textFill>
            <w14:solidFill>
              <w14:schemeClr w14:val="tx1"/>
            </w14:solidFill>
          </w14:textFill>
        </w:rPr>
        <w:t xml:space="preserve"> showed massive ascites and no obvious tumor lesions. The pathological examination of the ascitic fluid showed numerous heterotypic cells with some papillary structures.</w:t>
      </w:r>
      <w:r>
        <w:rPr>
          <w:rFonts w:ascii="Book Antiqua" w:hAnsi="Book Antiqua"/>
          <w:color w:val="000000" w:themeColor="text1"/>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The immunohistochemistry and </w:t>
      </w:r>
      <w:bookmarkStart w:id="23" w:name="OLE_LINK4836"/>
      <w:bookmarkStart w:id="24" w:name="OLE_LINK4838"/>
      <w:bookmarkStart w:id="25" w:name="OLE_LINK4858"/>
      <w:bookmarkStart w:id="26" w:name="OLE_LINK4837"/>
      <w:r>
        <w:rPr>
          <w:rFonts w:ascii="Book Antiqua" w:hAnsi="Book Antiqua" w:cs="Arial"/>
          <w:color w:val="000000" w:themeColor="text1"/>
          <w:shd w:val="clear" w:color="auto" w:fill="FFFFFF"/>
          <w14:textFill>
            <w14:solidFill>
              <w14:schemeClr w14:val="tx1"/>
            </w14:solidFill>
          </w14:textFill>
        </w:rPr>
        <w:t xml:space="preserve">fluorescence </w:t>
      </w:r>
      <w:r>
        <w:rPr>
          <w:rFonts w:ascii="Book Antiqua" w:hAnsi="Book Antiqua" w:cs="Arial"/>
          <w:i/>
          <w:iCs/>
          <w:color w:val="000000" w:themeColor="text1"/>
          <w:shd w:val="clear" w:color="auto" w:fill="FFFFFF"/>
          <w14:textFill>
            <w14:solidFill>
              <w14:schemeClr w14:val="tx1"/>
            </w14:solidFill>
          </w14:textFill>
        </w:rPr>
        <w:t>in situ</w:t>
      </w:r>
      <w:r>
        <w:rPr>
          <w:rFonts w:ascii="Book Antiqua" w:hAnsi="Book Antiqua" w:cs="Arial"/>
          <w:color w:val="000000" w:themeColor="text1"/>
          <w:shd w:val="clear" w:color="auto" w:fill="FFFFFF"/>
          <w14:textFill>
            <w14:solidFill>
              <w14:schemeClr w14:val="tx1"/>
            </w14:solidFill>
          </w14:textFill>
        </w:rPr>
        <w:t xml:space="preserve"> hybridization</w:t>
      </w:r>
      <w:bookmarkEnd w:id="23"/>
      <w:bookmarkEnd w:id="24"/>
      <w:bookmarkEnd w:id="25"/>
      <w:bookmarkEnd w:id="26"/>
      <w:r>
        <w:rPr>
          <w:rFonts w:ascii="Book Antiqua" w:hAnsi="Book Antiqua" w:eastAsia="Book Antiqua" w:cs="Book Antiqua"/>
          <w:color w:val="000000" w:themeColor="text1"/>
          <w14:textFill>
            <w14:solidFill>
              <w14:schemeClr w14:val="tx1"/>
            </w14:solidFill>
          </w14:textFill>
        </w:rPr>
        <w:t xml:space="preserve"> showed the deletion of CDX2 (-), WT-1 (-), Ki-67 (about 10% +), CEA (-), Glut-1 (+++), desmin (-), PD-L1 (-), and CDKN2A (P16). The final diagnosis was MPM. The patient refused tumor cytoreductive surgery and received two cycles of cisplatin plus pemetrexed bidirectional chemotherapy. In the second cycle, she received an additional cycle of </w:t>
      </w:r>
      <w:bookmarkStart w:id="27" w:name="OLE_LINK4839"/>
      <w:bookmarkStart w:id="28" w:name="OLE_LINK4840"/>
      <w:r>
        <w:rPr>
          <w:rFonts w:ascii="Book Antiqua" w:hAnsi="Book Antiqua" w:eastAsia="Book Antiqua" w:cs="Book Antiqua"/>
          <w:color w:val="000000" w:themeColor="text1"/>
          <w14:textFill>
            <w14:solidFill>
              <w14:schemeClr w14:val="tx1"/>
            </w14:solidFill>
          </w14:textFill>
        </w:rPr>
        <w:t>hyperthermic intraperitoneal chemotherapy</w:t>
      </w:r>
      <w:bookmarkEnd w:id="27"/>
      <w:bookmarkEnd w:id="28"/>
      <w:r>
        <w:rPr>
          <w:rFonts w:ascii="Book Antiqua" w:hAnsi="Book Antiqua" w:eastAsia="Book Antiqua" w:cs="Book Antiqua"/>
          <w:color w:val="000000" w:themeColor="text1"/>
          <w14:textFill>
            <w14:solidFill>
              <w14:schemeClr w14:val="tx1"/>
            </w14:solidFill>
          </w14:textFill>
        </w:rPr>
        <w:t xml:space="preserve"> and immune checkpoint inhibitor therapy due to massive recalcitrant ascites. She died of disease progression 2 mo after diagnosis.</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CONCLUSION</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In case of massive unexplained ascites, the possibility of MPM should not be excluded to avoid misdiagnosis and delay in treatment.</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eastAsia="Book Antiqua" w:cs="Book Antiqua"/>
          <w:iCs/>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Key Words: </w:t>
      </w:r>
      <w:bookmarkStart w:id="29" w:name="OLE_LINK4309"/>
      <w:bookmarkStart w:id="30" w:name="OLE_LINK4308"/>
      <w:r>
        <w:rPr>
          <w:rFonts w:ascii="Book Antiqua" w:hAnsi="Book Antiqua" w:eastAsia="Book Antiqua" w:cs="Book Antiqua"/>
          <w:iCs/>
          <w:color w:val="000000" w:themeColor="text1"/>
          <w14:textFill>
            <w14:solidFill>
              <w14:schemeClr w14:val="tx1"/>
            </w14:solidFill>
          </w14:textFill>
        </w:rPr>
        <w:t>Malignant peritoneal mesothelioma; Ascites; Immunohistochemistry; Chemotherapy; Immunotherapy; Case report</w:t>
      </w:r>
    </w:p>
    <w:bookmarkEnd w:id="29"/>
    <w:bookmarkEnd w:id="30"/>
    <w:p>
      <w:pPr>
        <w:spacing w:line="360" w:lineRule="auto"/>
        <w:jc w:val="both"/>
        <w:rPr>
          <w:rFonts w:ascii="Book Antiqua" w:hAnsi="Book Antiqua"/>
          <w:i/>
          <w:color w:val="000000" w:themeColor="text1"/>
          <w14:textFill>
            <w14:solidFill>
              <w14:schemeClr w14:val="tx1"/>
            </w14:solidFill>
          </w14:textFill>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i/>
          <w:color w:val="000000" w:themeColor="text1"/>
          <w14:textFill>
            <w14:solidFill>
              <w14:schemeClr w14:val="tx1"/>
            </w14:solidFill>
          </w14:textFill>
        </w:rPr>
      </w:pPr>
    </w:p>
    <w:p>
      <w:pPr>
        <w:spacing w:line="360" w:lineRule="auto"/>
        <w:jc w:val="both"/>
        <w:rPr>
          <w:rFonts w:hint="eastAsia" w:ascii="Book Antiqua" w:hAnsi="Book Antiqua" w:eastAsia="Book Antiqua" w:cs="Book Antiqua"/>
          <w:color w:val="000000"/>
        </w:rPr>
      </w:pPr>
      <w:bookmarkStart w:id="31" w:name="OLE_LINK4311"/>
      <w:bookmarkStart w:id="32" w:name="OLE_LINK4310"/>
      <w:r>
        <w:rPr>
          <w:rFonts w:hint="eastAsia" w:ascii="Book Antiqua" w:hAnsi="Book Antiqua" w:eastAsia="宋体" w:cs="Book Antiqua"/>
          <w:b/>
          <w:bCs/>
          <w:color w:val="000000" w:themeColor="text1"/>
          <w:lang w:val="en-US" w:eastAsia="zh-CN"/>
          <w14:textFill>
            <w14:solidFill>
              <w14:schemeClr w14:val="tx1"/>
            </w14:solidFill>
          </w14:textFill>
        </w:rPr>
        <w:t>Citation</w:t>
      </w:r>
      <w:r>
        <w:rPr>
          <w:rFonts w:hint="eastAsia" w:ascii="Book Antiqua" w:hAnsi="Book Antiqua" w:eastAsia="宋体" w:cs="Book Antiqua"/>
          <w:color w:val="000000" w:themeColor="text1"/>
          <w:lang w:val="en-US"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Huang X, Hong Y, Xie SY, Liao HL, Huang HM, Liu JH, Long WJ. Malignant peritoneal mesothelioma with massive ascites as the first symptom: A case report. </w:t>
      </w:r>
      <w:r>
        <w:rPr>
          <w:rFonts w:ascii="Book Antiqua" w:hAnsi="Book Antiqua" w:eastAsia="Book Antiqua" w:cs="Book Antiqua"/>
          <w:i/>
          <w:iCs/>
          <w:color w:val="000000" w:themeColor="text1"/>
          <w14:textFill>
            <w14:solidFill>
              <w14:schemeClr w14:val="tx1"/>
            </w14:solidFill>
          </w14:textFill>
        </w:rPr>
        <w:t>World J Clin Cases</w:t>
      </w:r>
      <w:r>
        <w:rPr>
          <w:rFonts w:ascii="Book Antiqua" w:hAnsi="Book Antiqua" w:eastAsia="Book Antiqua" w:cs="Book Antiqua"/>
          <w:color w:val="000000" w:themeColor="text1"/>
          <w14:textFill>
            <w14:solidFill>
              <w14:schemeClr w14:val="tx1"/>
            </w14:solidFill>
          </w14:textFill>
        </w:rPr>
        <w:t xml:space="preserve"> 2022; </w:t>
      </w:r>
      <w:bookmarkEnd w:id="31"/>
      <w:bookmarkEnd w:id="32"/>
      <w:r>
        <w:rPr>
          <w:rFonts w:hint="eastAsia" w:ascii="Book Antiqua" w:hAnsi="Book Antiqua" w:eastAsia="Book Antiqua" w:cs="Book Antiqua"/>
          <w:color w:val="000000"/>
        </w:rPr>
        <w:t>10(2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 xml:space="preserve">): </w:t>
      </w:r>
      <w:r>
        <w:rPr>
          <w:rFonts w:hint="default" w:ascii="Book Antiqua" w:hAnsi="Book Antiqua" w:eastAsia="宋体" w:cs="Book Antiqua"/>
          <w:i w:val="0"/>
          <w:iCs w:val="0"/>
          <w:color w:val="000000"/>
          <w:kern w:val="0"/>
          <w:sz w:val="24"/>
          <w:szCs w:val="24"/>
          <w:u w:val="none"/>
          <w:lang w:val="en-US" w:eastAsia="zh-CN" w:bidi="ar"/>
        </w:rPr>
        <w:t>10317-10325</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b w:val="0"/>
          <w:bCs w:val="0"/>
          <w:color w:val="000000"/>
        </w:rPr>
        <w:t>:</w:t>
      </w:r>
      <w:r>
        <w:rPr>
          <w:rFonts w:hint="eastAsia" w:ascii="Book Antiqua" w:hAnsi="Book Antiqua" w:eastAsia="Book Antiqua" w:cs="Book Antiqua"/>
          <w:color w:val="000000"/>
        </w:rPr>
        <w:t xml:space="preserve"> https://www.wjgnet.com/2307-8960/full/v10/i2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10317</w:t>
      </w:r>
      <w:r>
        <w:rPr>
          <w:rFonts w:hint="eastAsia" w:ascii="Book Antiqua" w:hAnsi="Book Antiqua" w:eastAsia="Book Antiqua" w:cs="Book Antiqua"/>
          <w:color w:val="000000"/>
        </w:rPr>
        <w:t>.htm</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b w:val="0"/>
          <w:bCs w:val="0"/>
          <w:color w:val="000000"/>
        </w:rPr>
        <w:t>:</w:t>
      </w:r>
      <w:r>
        <w:rPr>
          <w:rFonts w:hint="eastAsia" w:ascii="Book Antiqua" w:hAnsi="Book Antiqua" w:eastAsia="Book Antiqua" w:cs="Book Antiqua"/>
          <w:color w:val="000000"/>
        </w:rPr>
        <w:t xml:space="preserve"> https://dx.doi.org/10.12998/wjcc.v10.i2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10317</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Core Tip: </w:t>
      </w:r>
      <w:bookmarkStart w:id="33" w:name="OLE_LINK4313"/>
      <w:bookmarkStart w:id="34" w:name="OLE_LINK4312"/>
      <w:r>
        <w:rPr>
          <w:rFonts w:ascii="Book Antiqua" w:hAnsi="Book Antiqua" w:eastAsia="Book Antiqua" w:cs="Book Antiqua"/>
          <w:color w:val="000000" w:themeColor="text1"/>
          <w14:textFill>
            <w14:solidFill>
              <w14:schemeClr w14:val="tx1"/>
            </w14:solidFill>
          </w14:textFill>
        </w:rPr>
        <w:t xml:space="preserve">Malignant peritoneal mesothelioma (MPM) is an extremely rare tumor with nonspecific clinical manifestations, which is extremely difficult to diagnose. Herein, we reported a case with massive ascites as the first symptom. The patient was diagnosed with MPM based on a combination of histological, immune, and imaging findings. The patient refused tumor </w:t>
      </w:r>
      <w:bookmarkStart w:id="35" w:name="OLE_LINK4841"/>
      <w:bookmarkStart w:id="36" w:name="OLE_LINK4842"/>
      <w:r>
        <w:rPr>
          <w:rFonts w:ascii="Book Antiqua" w:hAnsi="Book Antiqua" w:eastAsia="Book Antiqua" w:cs="Book Antiqua"/>
          <w:color w:val="000000" w:themeColor="text1"/>
          <w14:textFill>
            <w14:solidFill>
              <w14:schemeClr w14:val="tx1"/>
            </w14:solidFill>
          </w14:textFill>
        </w:rPr>
        <w:t>cytoreductive surgery</w:t>
      </w:r>
      <w:bookmarkEnd w:id="35"/>
      <w:bookmarkEnd w:id="36"/>
      <w:r>
        <w:rPr>
          <w:rFonts w:ascii="Book Antiqua" w:hAnsi="Book Antiqua" w:eastAsia="Book Antiqua" w:cs="Book Antiqua"/>
          <w:color w:val="000000" w:themeColor="text1"/>
          <w14:textFill>
            <w14:solidFill>
              <w14:schemeClr w14:val="tx1"/>
            </w14:solidFill>
          </w14:textFill>
        </w:rPr>
        <w:t xml:space="preserve"> and then received bidirectional chemotherapy, hyperthermic intraperitoneal chemotherapy, and immune checkpoint inhibitor therapy. Unfortunately, she died of disease progression two months after diagnosis. This case report aims to provide clinical evidence for the diagnosis, treatment, and prognosis of rare MPM.</w:t>
      </w:r>
    </w:p>
    <w:bookmarkEnd w:id="33"/>
    <w:bookmarkEnd w:id="34"/>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b/>
          <w:color w:val="000000" w:themeColor="text1"/>
          <w:u w:val="single"/>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INTRODUCTION</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Mesothelioma is a rare malignancy of serosal membranes. It commonly appears in the visceral pleura but may also be seen in the peritoneum</w:t>
      </w:r>
      <w:r>
        <w:rPr>
          <w:rFonts w:ascii="Book Antiqua" w:hAnsi="Book Antiqua" w:eastAsia="Book Antiqua" w:cs="Book Antiqua"/>
          <w:color w:val="000000" w:themeColor="text1"/>
          <w:vertAlign w:val="superscript"/>
          <w14:textFill>
            <w14:solidFill>
              <w14:schemeClr w14:val="tx1"/>
            </w14:solidFill>
          </w14:textFill>
        </w:rPr>
        <w:t>[1]</w:t>
      </w:r>
      <w:r>
        <w:rPr>
          <w:rFonts w:ascii="Book Antiqua" w:hAnsi="Book Antiqua" w:eastAsia="Book Antiqua" w:cs="Book Antiqua"/>
          <w:color w:val="000000" w:themeColor="text1"/>
          <w14:textFill>
            <w14:solidFill>
              <w14:schemeClr w14:val="tx1"/>
            </w14:solidFill>
          </w14:textFill>
        </w:rPr>
        <w:t>. Patients with malignant peritoneal mesothelioma (MPM) may have different symptoms, including abdominal distention, abdominal pain, early satiety, weight loss, nausea, new hernias, unexplained fever, night sweats, and so forth</w:t>
      </w:r>
      <w:r>
        <w:rPr>
          <w:rFonts w:ascii="Book Antiqua" w:hAnsi="Book Antiqua" w:eastAsia="Book Antiqua" w:cs="Book Antiqua"/>
          <w:color w:val="000000" w:themeColor="text1"/>
          <w:vertAlign w:val="superscript"/>
          <w14:textFill>
            <w14:solidFill>
              <w14:schemeClr w14:val="tx1"/>
            </w14:solidFill>
          </w14:textFill>
        </w:rPr>
        <w:t>[2,3]</w:t>
      </w:r>
      <w:r>
        <w:rPr>
          <w:rFonts w:ascii="Book Antiqua" w:hAnsi="Book Antiqua" w:eastAsia="Book Antiqua" w:cs="Book Antiqua"/>
          <w:color w:val="000000" w:themeColor="text1"/>
          <w14:textFill>
            <w14:solidFill>
              <w14:schemeClr w14:val="tx1"/>
            </w14:solidFill>
          </w14:textFill>
        </w:rPr>
        <w:t>. In addition, acute abdominal symptoms due to malignant intestinal obstruction or perforation have also been reported</w:t>
      </w:r>
      <w:r>
        <w:rPr>
          <w:rFonts w:ascii="Book Antiqua" w:hAnsi="Book Antiqua" w:eastAsia="Book Antiqua" w:cs="Book Antiqua"/>
          <w:color w:val="000000" w:themeColor="text1"/>
          <w:vertAlign w:val="superscript"/>
          <w14:textFill>
            <w14:solidFill>
              <w14:schemeClr w14:val="tx1"/>
            </w14:solidFill>
          </w14:textFill>
        </w:rPr>
        <w:t>[</w:t>
      </w:r>
      <w:r>
        <w:fldChar w:fldCharType="begin"/>
      </w:r>
      <w:r>
        <w:instrText xml:space="preserve"> HYPERLINK \l "_ENREF_4" \o "Kalaycı, 2019 #16" </w:instrText>
      </w:r>
      <w:r>
        <w:fldChar w:fldCharType="separate"/>
      </w:r>
      <w:r>
        <w:rPr>
          <w:rFonts w:ascii="Book Antiqua" w:hAnsi="Book Antiqua" w:eastAsia="Book Antiqua" w:cs="Book Antiqua"/>
          <w:color w:val="000000" w:themeColor="text1"/>
          <w:vertAlign w:val="superscript"/>
          <w14:textFill>
            <w14:solidFill>
              <w14:schemeClr w14:val="tx1"/>
            </w14:solidFill>
          </w14:textFill>
        </w:rPr>
        <w:t>4</w:t>
      </w:r>
      <w:r>
        <w:rPr>
          <w:rFonts w:ascii="Book Antiqua" w:hAnsi="Book Antiqua" w:eastAsia="Book Antiqua" w:cs="Book Antiqua"/>
          <w:color w:val="000000" w:themeColor="text1"/>
          <w:vertAlign w:val="superscript"/>
          <w14:textFill>
            <w14:solidFill>
              <w14:schemeClr w14:val="tx1"/>
            </w14:solidFill>
          </w14:textFill>
        </w:rPr>
        <w:fldChar w:fldCharType="end"/>
      </w:r>
      <w:r>
        <w:rPr>
          <w:rFonts w:ascii="Book Antiqua" w:hAnsi="Book Antiqua" w:eastAsia="Book Antiqua" w:cs="Book Antiqua"/>
          <w:color w:val="000000" w:themeColor="text1"/>
          <w:vertAlign w:val="superscript"/>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At present, there is no specific diagnosis for abdominal mesothelioma</w:t>
      </w:r>
      <w:r>
        <w:rPr>
          <w:rFonts w:ascii="Book Antiqua" w:hAnsi="Book Antiqua" w:eastAsia="Book Antiqua" w:cs="Book Antiqua"/>
          <w:color w:val="000000" w:themeColor="text1"/>
          <w:vertAlign w:val="superscript"/>
          <w14:textFill>
            <w14:solidFill>
              <w14:schemeClr w14:val="tx1"/>
            </w14:solidFill>
          </w14:textFill>
        </w:rPr>
        <w:t>[</w:t>
      </w:r>
      <w:r>
        <w:fldChar w:fldCharType="begin"/>
      </w:r>
      <w:r>
        <w:instrText xml:space="preserve"> HYPERLINK \l "_ENREF_5" \o "Greenbaum, 2020 #19" </w:instrText>
      </w:r>
      <w:r>
        <w:fldChar w:fldCharType="separate"/>
      </w:r>
      <w:r>
        <w:rPr>
          <w:rFonts w:ascii="Book Antiqua" w:hAnsi="Book Antiqua" w:eastAsia="Book Antiqua" w:cs="Book Antiqua"/>
          <w:color w:val="000000" w:themeColor="text1"/>
          <w:vertAlign w:val="superscript"/>
          <w14:textFill>
            <w14:solidFill>
              <w14:schemeClr w14:val="tx1"/>
            </w14:solidFill>
          </w14:textFill>
        </w:rPr>
        <w:t>5</w:t>
      </w:r>
      <w:r>
        <w:rPr>
          <w:rFonts w:ascii="Book Antiqua" w:hAnsi="Book Antiqua" w:eastAsia="Book Antiqua" w:cs="Book Antiqua"/>
          <w:color w:val="000000" w:themeColor="text1"/>
          <w:vertAlign w:val="superscript"/>
          <w14:textFill>
            <w14:solidFill>
              <w14:schemeClr w14:val="tx1"/>
            </w14:solidFill>
          </w14:textFill>
        </w:rPr>
        <w:fldChar w:fldCharType="end"/>
      </w:r>
      <w:r>
        <w:rPr>
          <w:rFonts w:ascii="Book Antiqua" w:hAnsi="Book Antiqua" w:eastAsia="Book Antiqua" w:cs="Book Antiqua"/>
          <w:color w:val="000000" w:themeColor="text1"/>
          <w:vertAlign w:val="superscript"/>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w:t>
      </w:r>
    </w:p>
    <w:p>
      <w:pPr>
        <w:spacing w:line="360" w:lineRule="auto"/>
        <w:ind w:firstLine="240" w:firstLineChars="100"/>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Herein, we reported a case of MPM in the abdominal cavity with massive short-term ascites as the first symptom. The patient was diagnosed by the pathological examination of ascites and exfoliated cells and genetic testing.</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CASE PRESENTATION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i/>
          <w:iCs/>
          <w:color w:val="000000" w:themeColor="text1"/>
          <w14:textFill>
            <w14:solidFill>
              <w14:schemeClr w14:val="tx1"/>
            </w14:solidFill>
          </w14:textFill>
        </w:rPr>
        <w:t xml:space="preserve">Chief complaints </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A 65-year-old female patient sought medical attention for abdominal distention and shortness of breath that persisted for 15 d. </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History of present illness</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aforementioned symptoms appeared half a month ago with no apparent cause, and the patient felt as if her symptoms were worsening.</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History of past illness</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She had a history of high blood pressure and type 2 diabetes but no history of asbestos exposure.</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Personal and family history</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patient denied any family history of malignant tumors.</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Physical examination</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On admission to the hospital, she had a distended abdomen, with an abdominal circumference of 111 cm, slight tension in the abdominal muscles, mild tenderness, and mobile dullness. She reported a weight gain of 5 kg in 1 mo.</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Laboratory examinations</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The findings of blood tests and routine examination of ascites are shown in </w:t>
      </w:r>
      <w:r>
        <w:rPr>
          <w:rFonts w:ascii="Book Antiqua" w:hAnsi="Book Antiqua" w:eastAsia="Book Antiqua" w:cs="Book Antiqua"/>
          <w:bCs/>
          <w:color w:val="000000" w:themeColor="text1"/>
          <w14:textFill>
            <w14:solidFill>
              <w14:schemeClr w14:val="tx1"/>
            </w14:solidFill>
          </w14:textFill>
        </w:rPr>
        <w:t>Table 1</w:t>
      </w:r>
      <w:r>
        <w:rPr>
          <w:rFonts w:ascii="Book Antiqua" w:hAnsi="Book Antiqua" w:eastAsia="Book Antiqua" w:cs="Book Antiqua"/>
          <w:color w:val="000000" w:themeColor="text1"/>
          <w14:textFill>
            <w14:solidFill>
              <w14:schemeClr w14:val="tx1"/>
            </w14:solidFill>
          </w14:textFill>
        </w:rPr>
        <w:t xml:space="preserve">. After collection, ascitic fluid was sent for pathological examination and immunohistochemistry. The final report of liquid-based cell preparation and cell-block </w:t>
      </w:r>
      <w:bookmarkStart w:id="37" w:name="OLE_LINK4859"/>
      <w:bookmarkStart w:id="38" w:name="OLE_LINK4843"/>
      <w:bookmarkStart w:id="39" w:name="OLE_LINK4844"/>
      <w:r>
        <w:rPr>
          <w:rFonts w:ascii="Book Antiqua" w:hAnsi="Book Antiqua" w:eastAsia="Book Antiqua" w:cs="Book Antiqua"/>
          <w:color w:val="000000" w:themeColor="text1"/>
          <w14:textFill>
            <w14:solidFill>
              <w14:schemeClr w14:val="tx1"/>
            </w14:solidFill>
          </w14:textFill>
        </w:rPr>
        <w:t>hematoxylin and eosin</w:t>
      </w:r>
      <w:bookmarkEnd w:id="37"/>
      <w:bookmarkEnd w:id="38"/>
      <w:bookmarkEnd w:id="39"/>
      <w:r>
        <w:rPr>
          <w:rFonts w:ascii="Book Antiqua" w:hAnsi="Book Antiqua" w:eastAsia="Book Antiqua" w:cs="Book Antiqua"/>
          <w:color w:val="000000" w:themeColor="text1"/>
          <w14:textFill>
            <w14:solidFill>
              <w14:schemeClr w14:val="tx1"/>
            </w14:solidFill>
          </w14:textFill>
        </w:rPr>
        <w:t xml:space="preserve"> (HE)-stained section indicated numerous atypical cells, some of which had papillary structures. The </w:t>
      </w:r>
      <w:bookmarkStart w:id="40" w:name="OLE_LINK4845"/>
      <w:bookmarkStart w:id="41" w:name="OLE_LINK4846"/>
      <w:r>
        <w:rPr>
          <w:rFonts w:ascii="Book Antiqua" w:hAnsi="Book Antiqua" w:eastAsia="Book Antiqua" w:cs="Book Antiqua"/>
          <w:color w:val="000000" w:themeColor="text1"/>
          <w14:textFill>
            <w14:solidFill>
              <w14:schemeClr w14:val="tx1"/>
            </w14:solidFill>
          </w14:textFill>
        </w:rPr>
        <w:t>immunohistochemical</w:t>
      </w:r>
      <w:bookmarkEnd w:id="40"/>
      <w:bookmarkEnd w:id="41"/>
      <w:r>
        <w:rPr>
          <w:rFonts w:ascii="Book Antiqua" w:hAnsi="Book Antiqua" w:eastAsia="Book Antiqua" w:cs="Book Antiqua"/>
          <w:color w:val="000000" w:themeColor="text1"/>
          <w14:textFill>
            <w14:solidFill>
              <w14:schemeClr w14:val="tx1"/>
            </w14:solidFill>
          </w14:textFill>
        </w:rPr>
        <w:t xml:space="preserve"> (IHC) markers were as follows: CK (+), CK20 (-), Villin (-), CDX2 (-), CR (+), WT-1 (-), SATB-2 (scattered +), Ki-67 (about 10% +), TTF-1 (-), CEA (-), Pax-8 (-), P16 (individual +), M-mell (-), and Glut-1 (+++), and desmin (-). </w:t>
      </w:r>
      <w:r>
        <w:rPr>
          <w:rFonts w:ascii="Book Antiqua" w:hAnsi="Book Antiqua" w:cs="Arial"/>
          <w:color w:val="000000" w:themeColor="text1"/>
          <w:shd w:val="clear" w:color="auto" w:fill="FFFFFF"/>
          <w14:textFill>
            <w14:solidFill>
              <w14:schemeClr w14:val="tx1"/>
            </w14:solidFill>
          </w14:textFill>
        </w:rPr>
        <w:t xml:space="preserve">fluorescence </w:t>
      </w:r>
      <w:r>
        <w:rPr>
          <w:rFonts w:ascii="Book Antiqua" w:hAnsi="Book Antiqua" w:cs="Arial"/>
          <w:i/>
          <w:iCs/>
          <w:color w:val="000000" w:themeColor="text1"/>
          <w:shd w:val="clear" w:color="auto" w:fill="FFFFFF"/>
          <w14:textFill>
            <w14:solidFill>
              <w14:schemeClr w14:val="tx1"/>
            </w14:solidFill>
          </w14:textFill>
        </w:rPr>
        <w:t>in situ</w:t>
      </w:r>
      <w:r>
        <w:rPr>
          <w:rFonts w:ascii="Book Antiqua" w:hAnsi="Book Antiqua" w:cs="Arial"/>
          <w:color w:val="000000" w:themeColor="text1"/>
          <w:shd w:val="clear" w:color="auto" w:fill="FFFFFF"/>
          <w14:textFill>
            <w14:solidFill>
              <w14:schemeClr w14:val="tx1"/>
            </w14:solidFill>
          </w14:textFill>
        </w:rPr>
        <w:t xml:space="preserve"> hybridization</w:t>
      </w:r>
      <w:r>
        <w:rPr>
          <w:rFonts w:ascii="Book Antiqua" w:hAnsi="Book Antiqua" w:eastAsia="Book Antiqua" w:cs="Book Antiqua"/>
          <w:color w:val="000000" w:themeColor="text1"/>
          <w14:textFill>
            <w14:solidFill>
              <w14:schemeClr w14:val="tx1"/>
            </w14:solidFill>
          </w14:textFill>
        </w:rPr>
        <w:t xml:space="preserve"> (FISH) detected CDKN2A (P16) gene deletion and PD-L1 (-) (Figure 1).</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Imaging examinations</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The contrast-enhanced </w:t>
      </w:r>
      <w:bookmarkStart w:id="42" w:name="OLE_LINK4863"/>
      <w:bookmarkStart w:id="43" w:name="OLE_LINK4862"/>
      <w:r>
        <w:rPr>
          <w:rFonts w:ascii="Book Antiqua" w:hAnsi="Book Antiqua" w:eastAsia="Book Antiqua" w:cs="Book Antiqua"/>
          <w:color w:val="000000" w:themeColor="text1"/>
          <w14:textFill>
            <w14:solidFill>
              <w14:schemeClr w14:val="tx1"/>
            </w14:solidFill>
          </w14:textFill>
        </w:rPr>
        <w:t>computed tomography</w:t>
      </w:r>
      <w:bookmarkEnd w:id="42"/>
      <w:bookmarkEnd w:id="43"/>
      <w:r>
        <w:rPr>
          <w:rFonts w:ascii="Book Antiqua" w:hAnsi="Book Antiqua" w:eastAsia="Book Antiqua" w:cs="Book Antiqua"/>
          <w:color w:val="000000" w:themeColor="text1"/>
          <w14:textFill>
            <w14:solidFill>
              <w14:schemeClr w14:val="tx1"/>
            </w14:solidFill>
          </w14:textFill>
        </w:rPr>
        <w:t xml:space="preserve"> (CT) showed a large volume of ascites in the abdominal cavity, but no abdominal wall thickening or intra-abdominal soft-tissue shadow was observed (Figure 2). However, subsequent pelvic enhancement </w:t>
      </w:r>
      <w:bookmarkStart w:id="44" w:name="OLE_LINK4865"/>
      <w:bookmarkStart w:id="45" w:name="OLE_LINK4864"/>
      <w:r>
        <w:rPr>
          <w:rFonts w:ascii="Book Antiqua" w:hAnsi="Book Antiqua" w:eastAsia="Book Antiqua" w:cs="Book Antiqua"/>
          <w:color w:val="000000" w:themeColor="text1"/>
          <w14:textFill>
            <w14:solidFill>
              <w14:schemeClr w14:val="tx1"/>
            </w14:solidFill>
          </w14:textFill>
        </w:rPr>
        <w:t>magnetic resonance imaging</w:t>
      </w:r>
      <w:bookmarkEnd w:id="44"/>
      <w:bookmarkEnd w:id="45"/>
      <w:r>
        <w:rPr>
          <w:rFonts w:ascii="Book Antiqua" w:hAnsi="Book Antiqua" w:eastAsia="Book Antiqua" w:cs="Book Antiqua"/>
          <w:color w:val="000000" w:themeColor="text1"/>
          <w14:textFill>
            <w14:solidFill>
              <w14:schemeClr w14:val="tx1"/>
            </w14:solidFill>
          </w14:textFill>
        </w:rPr>
        <w:t xml:space="preserve"> (MRI) revealed mild peritoneal thickening (Figure 3).</w:t>
      </w:r>
    </w:p>
    <w:p>
      <w:pPr>
        <w:spacing w:line="360" w:lineRule="auto"/>
        <w:jc w:val="both"/>
        <w:rPr>
          <w:rFonts w:ascii="Book Antiqua" w:hAnsi="Book Antiqua"/>
          <w:color w:val="000000" w:themeColor="text1"/>
          <w:lang w:eastAsia="zh-CN"/>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MULTIDISCIPLINARY EXPERT CONSULTATION</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Cases of MPM are rare, and their diagnosis is difficult. A pathological analysis indicted that ascetic fluid contains numerous proliferating cells with papillary structure formation and a few scattered atypical proliferating cells with SATB2 positivity. However, the results could not distinguish between epithelial-derived tumors and mesothelial-derived lesions. Thus, the recommendations were as follows: (1) Perform immunohistochemistry for BerEP4, CDX2, BAP1, EMA, SATB2, and P53 to assist in the diagnosis; </w:t>
      </w:r>
      <w:r>
        <w:rPr>
          <w:rFonts w:hint="eastAsia" w:ascii="Book Antiqua" w:hAnsi="Book Antiqua" w:eastAsia="Book Antiqua" w:cs="Book Antiqua"/>
          <w:color w:val="000000" w:themeColor="text1"/>
          <w:lang w:eastAsia="zh-CN"/>
          <w14:textFill>
            <w14:solidFill>
              <w14:schemeClr w14:val="tx1"/>
            </w14:solidFill>
          </w14:textFill>
        </w:rPr>
        <w:t>and</w:t>
      </w:r>
      <w:r>
        <w:rPr>
          <w:rFonts w:ascii="Book Antiqua" w:hAnsi="Book Antiqua" w:eastAsia="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(2) Provide a comprehensive assessment of the detailed clinical picture (any history of gastrointestinal disease, any thickening of the pleura and peritoneum, </w:t>
      </w:r>
      <w:r>
        <w:rPr>
          <w:rFonts w:ascii="Book Antiqua" w:hAnsi="Book Antiqua" w:eastAsia="Book Antiqua" w:cs="Book Antiqua"/>
          <w:i/>
          <w:iCs/>
          <w:color w:val="000000" w:themeColor="text1"/>
          <w14:textFill>
            <w14:solidFill>
              <w14:schemeClr w14:val="tx1"/>
            </w14:solidFill>
          </w14:textFill>
        </w:rPr>
        <w:t>etc.</w:t>
      </w:r>
      <w:r>
        <w:rPr>
          <w:rFonts w:ascii="Book Antiqua" w:hAnsi="Book Antiqua" w:eastAsia="Book Antiqua" w:cs="Book Antiqua"/>
          <w:color w:val="000000" w:themeColor="text1"/>
          <w14:textFill>
            <w14:solidFill>
              <w14:schemeClr w14:val="tx1"/>
            </w14:solidFill>
          </w14:textFill>
        </w:rPr>
        <w:t>). However, the patient and her family refused further immunohistochemistry and laparoscopy.</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FINAL DIAGNOSIS</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patient was diagnosed with MPM based on a combination of cytological, immune, and imaging tests.</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TREATMENT</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patient refused cytoreductive surgery (CRS) and only received two cycles of cisplatin plus pemetrexed bidirectional chemotherapy. She received an additional cycle of hyperthermic intraperitoneal chemotherapy (HIPEC) and immune checkpoint inhibitor therapy in the second cycle of chemotherapy because of massive recalcitrant ascites.</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OUTCOME AND FOLLOW-UP</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patient was scheduled to return for the third course of chemotherapy on January 13, 2022, but she passed away at home on January 12, 2022, due to disease progression.</w:t>
      </w:r>
    </w:p>
    <w:p>
      <w:pPr>
        <w:spacing w:line="360" w:lineRule="auto"/>
        <w:jc w:val="both"/>
        <w:rPr>
          <w:rFonts w:ascii="Book Antiqua" w:hAnsi="Book Antiqua" w:eastAsia="Book Antiqua" w:cs="Book Antiqua"/>
          <w:b/>
          <w:caps/>
          <w:color w:val="000000" w:themeColor="text1"/>
          <w:u w:val="single"/>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DISCUSSION</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MPM is a rare tumor that originates from mesothelioma cells on the surface of the peritoneum. The incidence of MPM in the population is about 1-2/100 million. Peritoneal mesothelioma is more common in women than pleural mesothelioma, and its association with asbestos exposure is weak. It often manifests as nonspecific symptoms such as abdominal pain, bloating, ascites, abdominal mass, gastrointestinal symptoms, and so forth. Therefore, MPM may be easily confused with peritonitis and peritoneal neoplastic lesions, such as tuberculous peritonitis, mesenteric lipid membrane inflammation, peritoneal pseudomyxoma, peritoneal metastasis, lymphoma, primary peritoneal serous carcinoma, mesenteric fibromatosis, </w:t>
      </w:r>
      <w:r>
        <w:rPr>
          <w:rFonts w:ascii="Book Antiqua" w:hAnsi="Book Antiqua" w:eastAsia="Book Antiqua" w:cs="Book Antiqua"/>
          <w:i/>
          <w:iCs/>
          <w:color w:val="000000" w:themeColor="text1"/>
          <w14:textFill>
            <w14:solidFill>
              <w14:schemeClr w14:val="tx1"/>
            </w14:solidFill>
          </w14:textFill>
        </w:rPr>
        <w:t>etc</w:t>
      </w:r>
      <w:r>
        <w:rPr>
          <w:rFonts w:ascii="Book Antiqua" w:hAnsi="Book Antiqua" w:eastAsia="Book Antiqua" w:cs="Book Antiqua"/>
          <w:color w:val="000000" w:themeColor="text1"/>
          <w14:textFill>
            <w14:solidFill>
              <w14:schemeClr w14:val="tx1"/>
            </w14:solidFill>
          </w14:textFill>
        </w:rPr>
        <w:t>.</w:t>
      </w:r>
      <w:r>
        <w:rPr>
          <w:rFonts w:ascii="Book Antiqua" w:hAnsi="Book Antiqua" w:eastAsia="Book Antiqua" w:cs="Book Antiqua"/>
          <w:color w:val="000000" w:themeColor="text1"/>
          <w:vertAlign w:val="superscript"/>
          <w14:textFill>
            <w14:solidFill>
              <w14:schemeClr w14:val="tx1"/>
            </w14:solidFill>
          </w14:textFill>
        </w:rPr>
        <w:t>[</w:t>
      </w:r>
      <w:r>
        <w:fldChar w:fldCharType="begin"/>
      </w:r>
      <w:r>
        <w:instrText xml:space="preserve"> HYPERLINK \l "_ENREF_5" \o "Greenbaum, 2020 #19" </w:instrText>
      </w:r>
      <w:r>
        <w:fldChar w:fldCharType="separate"/>
      </w:r>
      <w:r>
        <w:rPr>
          <w:rFonts w:ascii="Book Antiqua" w:hAnsi="Book Antiqua" w:eastAsia="Book Antiqua" w:cs="Book Antiqua"/>
          <w:color w:val="000000" w:themeColor="text1"/>
          <w:vertAlign w:val="superscript"/>
          <w14:textFill>
            <w14:solidFill>
              <w14:schemeClr w14:val="tx1"/>
            </w14:solidFill>
          </w14:textFill>
        </w:rPr>
        <w:t>5</w:t>
      </w:r>
      <w:r>
        <w:rPr>
          <w:rFonts w:ascii="Book Antiqua" w:hAnsi="Book Antiqua" w:eastAsia="Book Antiqua" w:cs="Book Antiqua"/>
          <w:color w:val="000000" w:themeColor="text1"/>
          <w:vertAlign w:val="superscript"/>
          <w14:textFill>
            <w14:solidFill>
              <w14:schemeClr w14:val="tx1"/>
            </w14:solidFill>
          </w14:textFill>
        </w:rPr>
        <w:fldChar w:fldCharType="end"/>
      </w:r>
      <w:r>
        <w:rPr>
          <w:rFonts w:ascii="Book Antiqua" w:hAnsi="Book Antiqua" w:eastAsia="Book Antiqua" w:cs="Book Antiqua"/>
          <w:color w:val="000000" w:themeColor="text1"/>
          <w:vertAlign w:val="superscript"/>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As observed in our patient, thrombocytosis was previously reported in some patients with malignant abdominal mesothelioma, but the specific pathogenesis is unclear</w:t>
      </w:r>
      <w:r>
        <w:rPr>
          <w:rFonts w:ascii="Book Antiqua" w:hAnsi="Book Antiqua" w:eastAsia="Book Antiqua" w:cs="Book Antiqua"/>
          <w:color w:val="000000" w:themeColor="text1"/>
          <w:vertAlign w:val="superscript"/>
          <w14:textFill>
            <w14:solidFill>
              <w14:schemeClr w14:val="tx1"/>
            </w14:solidFill>
          </w14:textFill>
        </w:rPr>
        <w:t>[</w:t>
      </w:r>
      <w:r>
        <w:fldChar w:fldCharType="begin"/>
      </w:r>
      <w:r>
        <w:instrText xml:space="preserve"> HYPERLINK \l "_ENREF_6" \o "Hong, 2016 #20" </w:instrText>
      </w:r>
      <w:r>
        <w:fldChar w:fldCharType="separate"/>
      </w:r>
      <w:r>
        <w:rPr>
          <w:rFonts w:ascii="Book Antiqua" w:hAnsi="Book Antiqua" w:eastAsia="Book Antiqua" w:cs="Book Antiqua"/>
          <w:color w:val="000000" w:themeColor="text1"/>
          <w:vertAlign w:val="superscript"/>
          <w14:textFill>
            <w14:solidFill>
              <w14:schemeClr w14:val="tx1"/>
            </w14:solidFill>
          </w14:textFill>
        </w:rPr>
        <w:t>6</w:t>
      </w:r>
      <w:r>
        <w:rPr>
          <w:rFonts w:ascii="Book Antiqua" w:hAnsi="Book Antiqua" w:eastAsia="Book Antiqua" w:cs="Book Antiqua"/>
          <w:color w:val="000000" w:themeColor="text1"/>
          <w:vertAlign w:val="superscript"/>
          <w14:textFill>
            <w14:solidFill>
              <w14:schemeClr w14:val="tx1"/>
            </w14:solidFill>
          </w14:textFill>
        </w:rPr>
        <w:fldChar w:fldCharType="end"/>
      </w:r>
      <w:r>
        <w:rPr>
          <w:rFonts w:ascii="Book Antiqua" w:hAnsi="Book Antiqua" w:eastAsia="Book Antiqua" w:cs="Book Antiqua"/>
          <w:color w:val="000000" w:themeColor="text1"/>
          <w:vertAlign w:val="superscript"/>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w:t>
      </w:r>
    </w:p>
    <w:p>
      <w:pPr>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No uniform criteria exist for diagnosing MPM. We propose a combination of clinical manifestations, imaging, and pathological features. The patient in this case presented with complaints of massive ascites and abdominal distention, which are common but nonspecific presentations of MPM. </w:t>
      </w:r>
    </w:p>
    <w:p>
      <w:pPr>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CT is currently recommended as the first-choice examination. In intravenous contrast-enhanced CT images, soft-tissue shadows with irregular margins and large omental nodules or peritoneal thickening are often seen</w:t>
      </w:r>
      <w:r>
        <w:rPr>
          <w:rFonts w:ascii="Book Antiqua" w:hAnsi="Book Antiqua" w:eastAsia="Book Antiqua" w:cs="Book Antiqua"/>
          <w:color w:val="000000" w:themeColor="text1"/>
          <w:vertAlign w:val="superscript"/>
          <w14:textFill>
            <w14:solidFill>
              <w14:schemeClr w14:val="tx1"/>
            </w14:solidFill>
          </w14:textFill>
        </w:rPr>
        <w:t>[5,7]</w:t>
      </w:r>
      <w:r>
        <w:rPr>
          <w:rFonts w:ascii="Book Antiqua" w:hAnsi="Book Antiqua" w:eastAsia="Book Antiqua" w:cs="Book Antiqua"/>
          <w:color w:val="000000" w:themeColor="text1"/>
          <w14:textFill>
            <w14:solidFill>
              <w14:schemeClr w14:val="tx1"/>
            </w14:solidFill>
          </w14:textFill>
        </w:rPr>
        <w:t>. No solid tumor signs were seen on the mesentery, omentum, and peritoneum in this patient. However, a large amount of ascites and fatty edema of the abdominal wall were observed. The pelvic enhancement MRI showed mild peritoneal thickening, and the left lower abdominal wall subcutaneous fascia was in the shape of a mass with segmentation shadows. The enhancement scan was not uniformly enhanced, and the adjacent abdominal muscle was swollen. Because of the aggressive nature of MPM, the possibility of peritoneal lesions combined with abdominal wall infiltration could not be excluded. Notably, a slightly thickened pleura was seen bilaterally on enhanced CT images, but no pleural effusion and mediastinal lymph node enlargement were found. The patient had no respiratory symptoms such as dyspnea, chest pain, cough, and expectoration and lacked the pathological examination results of the pleura. Therefore, we could not determine whether pleural metastasis occurred. In a series of 33 MPM cases based on CT scans, nearly a quarter of the patients with peritoneal mesothelioma had pleural abnormalities</w:t>
      </w:r>
      <w:r>
        <w:rPr>
          <w:rFonts w:ascii="Book Antiqua" w:hAnsi="Book Antiqua" w:eastAsia="Book Antiqua" w:cs="Book Antiqua"/>
          <w:color w:val="000000" w:themeColor="text1"/>
          <w:vertAlign w:val="superscript"/>
          <w14:textFill>
            <w14:solidFill>
              <w14:schemeClr w14:val="tx1"/>
            </w14:solidFill>
          </w14:textFill>
        </w:rPr>
        <w:t>[</w:t>
      </w:r>
      <w:r>
        <w:fldChar w:fldCharType="begin"/>
      </w:r>
      <w:r>
        <w:instrText xml:space="preserve"> HYPERLINK \l "_ENREF_8" \o "Yan, 2005 #3" </w:instrText>
      </w:r>
      <w:r>
        <w:fldChar w:fldCharType="separate"/>
      </w:r>
      <w:r>
        <w:rPr>
          <w:rFonts w:ascii="Book Antiqua" w:hAnsi="Book Antiqua" w:eastAsia="Book Antiqua" w:cs="Book Antiqua"/>
          <w:color w:val="000000" w:themeColor="text1"/>
          <w:vertAlign w:val="superscript"/>
          <w14:textFill>
            <w14:solidFill>
              <w14:schemeClr w14:val="tx1"/>
            </w14:solidFill>
          </w14:textFill>
        </w:rPr>
        <w:t>8</w:t>
      </w:r>
      <w:r>
        <w:rPr>
          <w:rFonts w:ascii="Book Antiqua" w:hAnsi="Book Antiqua" w:eastAsia="Book Antiqua" w:cs="Book Antiqua"/>
          <w:color w:val="000000" w:themeColor="text1"/>
          <w:vertAlign w:val="superscript"/>
          <w14:textFill>
            <w14:solidFill>
              <w14:schemeClr w14:val="tx1"/>
            </w14:solidFill>
          </w14:textFill>
        </w:rPr>
        <w:fldChar w:fldCharType="end"/>
      </w:r>
      <w:r>
        <w:rPr>
          <w:rFonts w:ascii="Book Antiqua" w:hAnsi="Book Antiqua" w:eastAsia="Book Antiqua" w:cs="Book Antiqua"/>
          <w:color w:val="000000" w:themeColor="text1"/>
          <w:vertAlign w:val="superscript"/>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w:t>
      </w:r>
    </w:p>
    <w:p>
      <w:pPr>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Confirming mesothelioma diagnosis requires histopathologic analysis, with the fine-needle aspiration of biopsies and laparoscopy being the common means of performing tests. The histological analysis can identify the histological subtype, grade, and degree of infiltration of mesothelioma. However, our patient refused tumor CRS.</w:t>
      </w:r>
    </w:p>
    <w:p>
      <w:pPr>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Diagnostic paracentesis is the primary means of obtaining ascites for evaluation, and some epithelioid carcinomas can release malignant cells into the ascites. Given the large volume of ascites, we performed the cytological examination of exfoliated cells by examining the ascitic fluid to distinguish benign from malignant mesothelial lesions. The cytological diagnosis included HE staining and IHC staining. A large number of proliferating heterogeneous cells were seen in HE-stained sections of ascites and exfoliated cell blocks, which were suspected to be malignant tumor cells. However, a morphological overlap existed between the atypical reactive mesothelial hyperplasia and malignant mesothelioma. Hence, further immunochemical staining was performed to clarify the diagnosis and origin of the tumor. The IHC technique improved the reliability of pure cytology diagnosis.</w:t>
      </w:r>
    </w:p>
    <w:p>
      <w:pPr>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Since most of the markers are not 100% specific for different types of tumors, the International Mesothelioma Interest Group recommends that the detection of tumor markers should include at least two mesothelioma markers in addition to pan-cytokeratin. Calretinin (CR), cytokeratin 5/6, WT-1, and podoplanin are the best positive mesothelioma markers in identifying tumor cell origin, whereas claudin 4, MOC31, BER-EP4, CEA, B72.3, BG8, TTF-1, and Napsin A are the best markers of epithelial origin. However, variations in antibody staining are seen between laboratories; therefore, the guidelines do not recommend a specific group of antibodies</w:t>
      </w:r>
      <w:r>
        <w:rPr>
          <w:rFonts w:ascii="Book Antiqua" w:hAnsi="Book Antiqua" w:eastAsia="Book Antiqua" w:cs="Book Antiqua"/>
          <w:color w:val="000000" w:themeColor="text1"/>
          <w:vertAlign w:val="superscript"/>
          <w14:textFill>
            <w14:solidFill>
              <w14:schemeClr w14:val="tx1"/>
            </w14:solidFill>
          </w14:textFill>
        </w:rPr>
        <w:t>[</w:t>
      </w:r>
      <w:r>
        <w:fldChar w:fldCharType="begin"/>
      </w:r>
      <w:r>
        <w:instrText xml:space="preserve"> HYPERLINK \l "_ENREF_9" \o "Husain, 2018 #2" </w:instrText>
      </w:r>
      <w:r>
        <w:fldChar w:fldCharType="separate"/>
      </w:r>
      <w:r>
        <w:rPr>
          <w:rFonts w:ascii="Book Antiqua" w:hAnsi="Book Antiqua" w:eastAsia="Book Antiqua" w:cs="Book Antiqua"/>
          <w:color w:val="000000" w:themeColor="text1"/>
          <w:vertAlign w:val="superscript"/>
          <w14:textFill>
            <w14:solidFill>
              <w14:schemeClr w14:val="tx1"/>
            </w14:solidFill>
          </w14:textFill>
        </w:rPr>
        <w:t>9</w:t>
      </w:r>
      <w:r>
        <w:rPr>
          <w:rFonts w:ascii="Book Antiqua" w:hAnsi="Book Antiqua" w:eastAsia="Book Antiqua" w:cs="Book Antiqua"/>
          <w:color w:val="000000" w:themeColor="text1"/>
          <w:vertAlign w:val="superscript"/>
          <w14:textFill>
            <w14:solidFill>
              <w14:schemeClr w14:val="tx1"/>
            </w14:solidFill>
          </w14:textFill>
        </w:rPr>
        <w:fldChar w:fldCharType="end"/>
      </w:r>
      <w:r>
        <w:rPr>
          <w:rFonts w:ascii="Book Antiqua" w:hAnsi="Book Antiqua" w:eastAsia="Book Antiqua" w:cs="Book Antiqua"/>
          <w:color w:val="000000" w:themeColor="text1"/>
          <w:vertAlign w:val="superscript"/>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w:t>
      </w:r>
    </w:p>
    <w:p>
      <w:pPr>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In contrast, the inconsistency in the response of the mesothelial spectrum markers calretinin and WT-1 on exfoliated cell blocks selected by our laboratory does not categorize the mesothelial origin, although the sensitivity of WT-1 for mesothelioma ranges from 70% to 100%. An analysis of a single-center study found that among 218 cases of peritoneal mesothelioma, all patients were immunoreactive positive for calretinin, 94% of whom exhibited WT1 expression. In the remaining 13 WT-1-negative cases, the laboratory used four negative malignant epithelial tumor markers, including B72.3 (</w:t>
      </w:r>
      <w:r>
        <w:rPr>
          <w:rFonts w:ascii="Book Antiqua" w:hAnsi="Book Antiqua" w:eastAsia="Book Antiqua" w:cs="Book Antiqua"/>
          <w:i/>
          <w:iCs/>
          <w:color w:val="000000" w:themeColor="text1"/>
          <w14:textFill>
            <w14:solidFill>
              <w14:schemeClr w14:val="tx1"/>
            </w14:solidFill>
          </w14:textFill>
        </w:rPr>
        <w:t>n</w:t>
      </w:r>
      <w:r>
        <w:rPr>
          <w:rFonts w:ascii="Book Antiqua" w:hAnsi="Book Antiqua" w:eastAsia="Book Antiqua" w:cs="Book Antiqua"/>
          <w:color w:val="000000" w:themeColor="text1"/>
          <w14:textFill>
            <w14:solidFill>
              <w14:schemeClr w14:val="tx1"/>
            </w14:solidFill>
          </w14:textFill>
        </w:rPr>
        <w:t xml:space="preserve"> = 13), CEA (</w:t>
      </w:r>
      <w:r>
        <w:rPr>
          <w:rFonts w:ascii="Book Antiqua" w:hAnsi="Book Antiqua" w:eastAsia="Book Antiqua" w:cs="Book Antiqua"/>
          <w:i/>
          <w:iCs/>
          <w:color w:val="000000" w:themeColor="text1"/>
          <w14:textFill>
            <w14:solidFill>
              <w14:schemeClr w14:val="tx1"/>
            </w14:solidFill>
          </w14:textFill>
        </w:rPr>
        <w:t>n</w:t>
      </w:r>
      <w:r>
        <w:rPr>
          <w:rFonts w:ascii="Book Antiqua" w:hAnsi="Book Antiqua" w:eastAsia="Book Antiqua" w:cs="Book Antiqua"/>
          <w:color w:val="000000" w:themeColor="text1"/>
          <w14:textFill>
            <w14:solidFill>
              <w14:schemeClr w14:val="tx1"/>
            </w14:solidFill>
          </w14:textFill>
        </w:rPr>
        <w:t xml:space="preserve"> = 11), Ber-EP4 (</w:t>
      </w:r>
      <w:r>
        <w:rPr>
          <w:rFonts w:ascii="Book Antiqua" w:hAnsi="Book Antiqua" w:eastAsia="Book Antiqua" w:cs="Book Antiqua"/>
          <w:i/>
          <w:iCs/>
          <w:color w:val="000000" w:themeColor="text1"/>
          <w14:textFill>
            <w14:solidFill>
              <w14:schemeClr w14:val="tx1"/>
            </w14:solidFill>
          </w14:textFill>
        </w:rPr>
        <w:t>n</w:t>
      </w:r>
      <w:r>
        <w:rPr>
          <w:rFonts w:ascii="Book Antiqua" w:hAnsi="Book Antiqua" w:eastAsia="Book Antiqua" w:cs="Book Antiqua"/>
          <w:color w:val="000000" w:themeColor="text1"/>
          <w14:textFill>
            <w14:solidFill>
              <w14:schemeClr w14:val="tx1"/>
            </w14:solidFill>
          </w14:textFill>
        </w:rPr>
        <w:t xml:space="preserve"> = 12), and CD15 (</w:t>
      </w:r>
      <w:r>
        <w:rPr>
          <w:rFonts w:ascii="Book Antiqua" w:hAnsi="Book Antiqua" w:eastAsia="Book Antiqua" w:cs="Book Antiqua"/>
          <w:i/>
          <w:iCs/>
          <w:color w:val="000000" w:themeColor="text1"/>
          <w14:textFill>
            <w14:solidFill>
              <w14:schemeClr w14:val="tx1"/>
            </w14:solidFill>
          </w14:textFill>
        </w:rPr>
        <w:t>n</w:t>
      </w:r>
      <w:r>
        <w:rPr>
          <w:rFonts w:ascii="Book Antiqua" w:hAnsi="Book Antiqua" w:eastAsia="Book Antiqua" w:cs="Book Antiqua"/>
          <w:color w:val="000000" w:themeColor="text1"/>
          <w14:textFill>
            <w14:solidFill>
              <w14:schemeClr w14:val="tx1"/>
            </w14:solidFill>
          </w14:textFill>
        </w:rPr>
        <w:t xml:space="preserve"> = 12), to support the diagnosis of mesothelioma</w:t>
      </w:r>
      <w:r>
        <w:rPr>
          <w:rFonts w:ascii="Book Antiqua" w:hAnsi="Book Antiqua" w:eastAsia="Book Antiqua" w:cs="Book Antiqua"/>
          <w:color w:val="000000" w:themeColor="text1"/>
          <w:vertAlign w:val="superscript"/>
          <w14:textFill>
            <w14:solidFill>
              <w14:schemeClr w14:val="tx1"/>
            </w14:solidFill>
          </w14:textFill>
        </w:rPr>
        <w:t>[</w:t>
      </w:r>
      <w:r>
        <w:fldChar w:fldCharType="begin"/>
      </w:r>
      <w:r>
        <w:instrText xml:space="preserve"> HYPERLINK \l "_ENREF_10" \o "Tandon, 2018 #9" </w:instrText>
      </w:r>
      <w:r>
        <w:fldChar w:fldCharType="separate"/>
      </w:r>
      <w:r>
        <w:rPr>
          <w:rFonts w:ascii="Book Antiqua" w:hAnsi="Book Antiqua" w:eastAsia="Book Antiqua" w:cs="Book Antiqua"/>
          <w:color w:val="000000" w:themeColor="text1"/>
          <w:vertAlign w:val="superscript"/>
          <w14:textFill>
            <w14:solidFill>
              <w14:schemeClr w14:val="tx1"/>
            </w14:solidFill>
          </w14:textFill>
        </w:rPr>
        <w:t>10</w:t>
      </w:r>
      <w:r>
        <w:rPr>
          <w:rFonts w:ascii="Book Antiqua" w:hAnsi="Book Antiqua" w:eastAsia="Book Antiqua" w:cs="Book Antiqua"/>
          <w:color w:val="000000" w:themeColor="text1"/>
          <w:vertAlign w:val="superscript"/>
          <w14:textFill>
            <w14:solidFill>
              <w14:schemeClr w14:val="tx1"/>
            </w14:solidFill>
          </w14:textFill>
        </w:rPr>
        <w:fldChar w:fldCharType="end"/>
      </w:r>
      <w:r>
        <w:rPr>
          <w:rFonts w:ascii="Book Antiqua" w:hAnsi="Book Antiqua" w:eastAsia="Book Antiqua" w:cs="Book Antiqua"/>
          <w:color w:val="000000" w:themeColor="text1"/>
          <w:vertAlign w:val="superscript"/>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Establishing mesothelial lineage is the first step in diagnosing malignant mesothelioma (MM), and it is particularly important to select markers with high sensitivity and specificity. Recent studies have shown that HEG1 shows higher sensitivity and specificity than calmodulin, D2-40, and WT-1, which may serve as an effective diagnostic tool for MM</w:t>
      </w:r>
      <w:r>
        <w:rPr>
          <w:rFonts w:ascii="Book Antiqua" w:hAnsi="Book Antiqua" w:eastAsia="Book Antiqua" w:cs="Book Antiqua"/>
          <w:color w:val="000000" w:themeColor="text1"/>
          <w:vertAlign w:val="superscript"/>
          <w14:textFill>
            <w14:solidFill>
              <w14:schemeClr w14:val="tx1"/>
            </w14:solidFill>
          </w14:textFill>
        </w:rPr>
        <w:t>[</w:t>
      </w:r>
      <w:r>
        <w:fldChar w:fldCharType="begin"/>
      </w:r>
      <w:r>
        <w:instrText xml:space="preserve"> HYPERLINK \l "_ENREF_11" \o "Naso, 2020 #24" </w:instrText>
      </w:r>
      <w:r>
        <w:fldChar w:fldCharType="separate"/>
      </w:r>
      <w:r>
        <w:rPr>
          <w:rFonts w:ascii="Book Antiqua" w:hAnsi="Book Antiqua" w:eastAsia="Book Antiqua" w:cs="Book Antiqua"/>
          <w:color w:val="000000" w:themeColor="text1"/>
          <w:vertAlign w:val="superscript"/>
          <w14:textFill>
            <w14:solidFill>
              <w14:schemeClr w14:val="tx1"/>
            </w14:solidFill>
          </w14:textFill>
        </w:rPr>
        <w:t>11</w:t>
      </w:r>
      <w:r>
        <w:rPr>
          <w:rFonts w:ascii="Book Antiqua" w:hAnsi="Book Antiqua" w:eastAsia="Book Antiqua" w:cs="Book Antiqua"/>
          <w:color w:val="000000" w:themeColor="text1"/>
          <w:vertAlign w:val="superscript"/>
          <w14:textFill>
            <w14:solidFill>
              <w14:schemeClr w14:val="tx1"/>
            </w14:solidFill>
          </w14:textFill>
        </w:rPr>
        <w:fldChar w:fldCharType="end"/>
      </w:r>
      <w:r>
        <w:rPr>
          <w:rFonts w:ascii="Book Antiqua" w:hAnsi="Book Antiqua" w:eastAsia="Book Antiqua" w:cs="Book Antiqua"/>
          <w:color w:val="000000" w:themeColor="text1"/>
          <w:vertAlign w:val="superscript"/>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w:t>
      </w:r>
    </w:p>
    <w:p>
      <w:pPr>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PAX-8 is a transcription factor involved in the development of the thyroid, kidney, and Müllerian duct systems and is also expressed in the thyroid, renal cell, ovarian, cervical, endometrial, thymic epithelial, and ocular epithelial cancers. Although its immunoreactivity in peritoneal mesothelioma ranges from 0% to 9%, PAX-8 remains a key IHC marker to discriminate between carcinoma and mesothelioma, especially in a group of negative antibodies</w:t>
      </w:r>
      <w:r>
        <w:rPr>
          <w:rFonts w:ascii="Book Antiqua" w:hAnsi="Book Antiqua" w:eastAsia="Book Antiqua" w:cs="Book Antiqua"/>
          <w:color w:val="000000" w:themeColor="text1"/>
          <w:vertAlign w:val="superscript"/>
          <w14:textFill>
            <w14:solidFill>
              <w14:schemeClr w14:val="tx1"/>
            </w14:solidFill>
          </w14:textFill>
        </w:rPr>
        <w:t>[</w:t>
      </w:r>
      <w:r>
        <w:fldChar w:fldCharType="begin"/>
      </w:r>
      <w:r>
        <w:instrText xml:space="preserve"> HYPERLINK \l "_ENREF_10" \o "Tandon, 2018 #9" </w:instrText>
      </w:r>
      <w:r>
        <w:fldChar w:fldCharType="separate"/>
      </w:r>
      <w:r>
        <w:rPr>
          <w:rFonts w:ascii="Book Antiqua" w:hAnsi="Book Antiqua" w:eastAsia="Book Antiqua" w:cs="Book Antiqua"/>
          <w:color w:val="000000" w:themeColor="text1"/>
          <w:vertAlign w:val="superscript"/>
          <w14:textFill>
            <w14:solidFill>
              <w14:schemeClr w14:val="tx1"/>
            </w14:solidFill>
          </w14:textFill>
        </w:rPr>
        <w:t>10</w:t>
      </w:r>
      <w:r>
        <w:rPr>
          <w:rFonts w:ascii="Book Antiqua" w:hAnsi="Book Antiqua" w:eastAsia="Book Antiqua" w:cs="Book Antiqua"/>
          <w:color w:val="000000" w:themeColor="text1"/>
          <w:vertAlign w:val="superscript"/>
          <w14:textFill>
            <w14:solidFill>
              <w14:schemeClr w14:val="tx1"/>
            </w14:solidFill>
          </w14:textFill>
        </w:rPr>
        <w:fldChar w:fldCharType="end"/>
      </w:r>
      <w:r>
        <w:rPr>
          <w:rFonts w:ascii="Book Antiqua" w:hAnsi="Book Antiqua" w:eastAsia="Book Antiqua" w:cs="Book Antiqua"/>
          <w:color w:val="000000" w:themeColor="text1"/>
          <w:vertAlign w:val="superscript"/>
          <w14:textFill>
            <w14:solidFill>
              <w14:schemeClr w14:val="tx1"/>
            </w14:solidFill>
          </w14:textFill>
        </w:rPr>
        <w:t>,</w:t>
      </w:r>
      <w:r>
        <w:fldChar w:fldCharType="begin"/>
      </w:r>
      <w:r>
        <w:instrText xml:space="preserve"> HYPERLINK \l "_ENREF_12" \o "Khizer, 2021 #8" </w:instrText>
      </w:r>
      <w:r>
        <w:fldChar w:fldCharType="separate"/>
      </w:r>
      <w:r>
        <w:rPr>
          <w:rFonts w:ascii="Book Antiqua" w:hAnsi="Book Antiqua" w:eastAsia="Book Antiqua" w:cs="Book Antiqua"/>
          <w:color w:val="000000" w:themeColor="text1"/>
          <w:vertAlign w:val="superscript"/>
          <w14:textFill>
            <w14:solidFill>
              <w14:schemeClr w14:val="tx1"/>
            </w14:solidFill>
          </w14:textFill>
        </w:rPr>
        <w:t>12</w:t>
      </w:r>
      <w:r>
        <w:rPr>
          <w:rFonts w:ascii="Book Antiqua" w:hAnsi="Book Antiqua" w:eastAsia="Book Antiqua" w:cs="Book Antiqua"/>
          <w:color w:val="000000" w:themeColor="text1"/>
          <w:vertAlign w:val="superscript"/>
          <w14:textFill>
            <w14:solidFill>
              <w14:schemeClr w14:val="tx1"/>
            </w14:solidFill>
          </w14:textFill>
        </w:rPr>
        <w:fldChar w:fldCharType="end"/>
      </w:r>
      <w:r>
        <w:rPr>
          <w:rFonts w:ascii="Book Antiqua" w:hAnsi="Book Antiqua" w:eastAsia="Book Antiqua" w:cs="Book Antiqua"/>
          <w:color w:val="000000" w:themeColor="text1"/>
          <w:vertAlign w:val="superscript"/>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CK20 is an important component of the intestinal epithelium and is expressed exclusively on the gastrointestinal epithelium, urinary epithelium, Merkel cells of the epidermis, and malignant tumors originating from these sites. Studies have shown a lack of CK20 reactivity in MM; only one case report of diffuse and strongly positive mesothelioma for CK20 is available</w:t>
      </w:r>
      <w:r>
        <w:rPr>
          <w:rFonts w:ascii="Book Antiqua" w:hAnsi="Book Antiqua" w:eastAsia="Book Antiqua" w:cs="Book Antiqua"/>
          <w:color w:val="000000" w:themeColor="text1"/>
          <w:vertAlign w:val="superscript"/>
          <w14:textFill>
            <w14:solidFill>
              <w14:schemeClr w14:val="tx1"/>
            </w14:solidFill>
          </w14:textFill>
        </w:rPr>
        <w:t>[13]</w:t>
      </w:r>
      <w:r>
        <w:rPr>
          <w:rFonts w:ascii="Book Antiqua" w:hAnsi="Book Antiqua" w:eastAsia="Book Antiqua" w:cs="Book Antiqua"/>
          <w:color w:val="000000" w:themeColor="text1"/>
          <w14:textFill>
            <w14:solidFill>
              <w14:schemeClr w14:val="tx1"/>
            </w14:solidFill>
          </w14:textFill>
        </w:rPr>
        <w:t>. Therefore, the IHC results in this case showing cancer markers of CK20 (-), Pax-8 (-), CEA (-), and TTF-1 (-) largely support the diagnosis of mesothelioma.</w:t>
      </w:r>
    </w:p>
    <w:p>
      <w:pPr>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In some cases, morphologically distinguishing benign from malignant mesothelial hyperplasia is difficult, especially when evaluating effusion cell specimens. The five mesothelioma markers desmin, GLUT-1, EMA, p53, and IMP-3 are no longer recommended for the routine differentiation of benign from malignant mesothelial lesions</w:t>
      </w:r>
      <w:r>
        <w:rPr>
          <w:rFonts w:ascii="Book Antiqua" w:hAnsi="Book Antiqua" w:eastAsia="Book Antiqua" w:cs="Book Antiqua"/>
          <w:color w:val="000000" w:themeColor="text1"/>
          <w:vertAlign w:val="superscript"/>
          <w14:textFill>
            <w14:solidFill>
              <w14:schemeClr w14:val="tx1"/>
            </w14:solidFill>
          </w14:textFill>
        </w:rPr>
        <w:t>[14]</w:t>
      </w:r>
      <w:r>
        <w:rPr>
          <w:rFonts w:ascii="Book Antiqua" w:hAnsi="Book Antiqua" w:eastAsia="Book Antiqua" w:cs="Book Antiqua"/>
          <w:color w:val="000000" w:themeColor="text1"/>
          <w14:textFill>
            <w14:solidFill>
              <w14:schemeClr w14:val="tx1"/>
            </w14:solidFill>
          </w14:textFill>
        </w:rPr>
        <w:t>. p16 pure hapten deletion was found to be 100% specific for MM by FISH. However, it has never been reported in benign mesothelial hyperplasia. Therefore, the detection of p16 (CDKN2A) deletion by FISH, in this case, supported the diagnosis of MM. Similarly, BaP1, MTAP, 5-hmC, and EZH2 have high specificity for MM. A new routine diagnostic marker will be developed in the future after combining these markers or changing their detection methods to improve sensitivity</w:t>
      </w:r>
      <w:r>
        <w:rPr>
          <w:rFonts w:ascii="Book Antiqua" w:hAnsi="Book Antiqua" w:eastAsia="Book Antiqua" w:cs="Book Antiqua"/>
          <w:color w:val="000000" w:themeColor="text1"/>
          <w:vertAlign w:val="superscript"/>
          <w14:textFill>
            <w14:solidFill>
              <w14:schemeClr w14:val="tx1"/>
            </w14:solidFill>
          </w14:textFill>
        </w:rPr>
        <w:t>[15]</w:t>
      </w:r>
      <w:r>
        <w:rPr>
          <w:rFonts w:ascii="Book Antiqua" w:hAnsi="Book Antiqua" w:eastAsia="Book Antiqua" w:cs="Book Antiqua"/>
          <w:color w:val="000000" w:themeColor="text1"/>
          <w14:textFill>
            <w14:solidFill>
              <w14:schemeClr w14:val="tx1"/>
            </w14:solidFill>
          </w14:textFill>
        </w:rPr>
        <w:t>. Some studies have also confirmed the value of circulating and tissue microRNAs in the early diagnosis of MM. However, large-scale and standardized studies are needed to verify and evaluate the clinical relevance of circulating and tissue microRNAs</w:t>
      </w:r>
      <w:r>
        <w:rPr>
          <w:rFonts w:ascii="Book Antiqua" w:hAnsi="Book Antiqua" w:eastAsia="Book Antiqua" w:cs="Book Antiqua"/>
          <w:color w:val="000000" w:themeColor="text1"/>
          <w:vertAlign w:val="superscript"/>
          <w14:textFill>
            <w14:solidFill>
              <w14:schemeClr w14:val="tx1"/>
            </w14:solidFill>
          </w14:textFill>
        </w:rPr>
        <w:t>[16]</w:t>
      </w:r>
      <w:r>
        <w:rPr>
          <w:rFonts w:ascii="Book Antiqua" w:hAnsi="Book Antiqua" w:eastAsia="Book Antiqua" w:cs="Book Antiqua"/>
          <w:color w:val="000000" w:themeColor="text1"/>
          <w14:textFill>
            <w14:solidFill>
              <w14:schemeClr w14:val="tx1"/>
            </w14:solidFill>
          </w14:textFill>
        </w:rPr>
        <w:t>.</w:t>
      </w:r>
    </w:p>
    <w:p>
      <w:pPr>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In terms of differential diagnosis, peritoneal carcinoma can have an ovarian, fallopian tube, gastric, pancreatic, colonic, renal, pulmonary, and, more rarely, breast origin. In this case report, the negative CK20, CDX2, TTF1, CEA, PAX8, and Des are important to exclude gastrointestinal, pulmonary, ovarian, and renal tumor metastases.</w:t>
      </w:r>
    </w:p>
    <w:p>
      <w:pPr>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MPM is considered to be a chemotherapy-resistant malignant tumor. CRS combined with HIPEC is a commonly used treatment regimen for MPM. Some studies have found that this regimen can improve the survival rate of patients with MPM. However, the CT results of the patient revealed no signs of tumor in the peritoneum, which might be due to the small tumor size. Therefore, bidirectional chemotherapy was used instead.</w:t>
      </w:r>
    </w:p>
    <w:p>
      <w:pPr>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Bidirectional chemotherapy is a promising, well-tolerated treatment that can simultaneously kill cancer cells from both sides (peritoneal cavity and peripheral blood vessels) </w:t>
      </w:r>
      <w:r>
        <w:rPr>
          <w:rFonts w:ascii="Book Antiqua" w:hAnsi="Book Antiqua" w:eastAsia="Book Antiqua" w:cs="Book Antiqua"/>
          <w:i/>
          <w:iCs/>
          <w:color w:val="000000" w:themeColor="text1"/>
          <w14:textFill>
            <w14:solidFill>
              <w14:schemeClr w14:val="tx1"/>
            </w14:solidFill>
          </w14:textFill>
        </w:rPr>
        <w:t>via</w:t>
      </w:r>
      <w:r>
        <w:rPr>
          <w:rFonts w:ascii="Book Antiqua" w:hAnsi="Book Antiqua" w:eastAsia="Book Antiqua" w:cs="Book Antiqua"/>
          <w:color w:val="000000" w:themeColor="text1"/>
          <w14:textFill>
            <w14:solidFill>
              <w14:schemeClr w14:val="tx1"/>
            </w14:solidFill>
          </w14:textFill>
        </w:rPr>
        <w:t xml:space="preserve"> simultaneous intraperitoneal perfusion and intravenous administration. It can also improve resection rates in patients with diffuse MPM, which was initially considered unresectable or borderline resectable</w:t>
      </w:r>
      <w:r>
        <w:rPr>
          <w:rFonts w:ascii="Book Antiqua" w:hAnsi="Book Antiqua" w:eastAsia="Book Antiqua" w:cs="Book Antiqua"/>
          <w:color w:val="000000" w:themeColor="text1"/>
          <w:vertAlign w:val="superscript"/>
          <w14:textFill>
            <w14:solidFill>
              <w14:schemeClr w14:val="tx1"/>
            </w14:solidFill>
          </w14:textFill>
        </w:rPr>
        <w:t>[17]</w:t>
      </w:r>
      <w:r>
        <w:rPr>
          <w:rFonts w:ascii="Book Antiqua" w:hAnsi="Book Antiqua" w:eastAsia="Book Antiqua" w:cs="Book Antiqua"/>
          <w:color w:val="000000" w:themeColor="text1"/>
          <w14:textFill>
            <w14:solidFill>
              <w14:schemeClr w14:val="tx1"/>
            </w14:solidFill>
          </w14:textFill>
        </w:rPr>
        <w:t>. The best treatment is cisplatin in combination with pemetrexed, while the combination of cisplatin and gemcitabine is the second choice</w:t>
      </w:r>
      <w:r>
        <w:rPr>
          <w:rFonts w:ascii="Book Antiqua" w:hAnsi="Book Antiqua" w:eastAsia="Book Antiqua" w:cs="Book Antiqua"/>
          <w:color w:val="000000" w:themeColor="text1"/>
          <w:vertAlign w:val="superscript"/>
          <w14:textFill>
            <w14:solidFill>
              <w14:schemeClr w14:val="tx1"/>
            </w14:solidFill>
          </w14:textFill>
        </w:rPr>
        <w:t>[18]</w:t>
      </w:r>
      <w:r>
        <w:rPr>
          <w:rFonts w:ascii="Book Antiqua" w:hAnsi="Book Antiqua" w:eastAsia="Book Antiqua" w:cs="Book Antiqua"/>
          <w:color w:val="000000" w:themeColor="text1"/>
          <w14:textFill>
            <w14:solidFill>
              <w14:schemeClr w14:val="tx1"/>
            </w14:solidFill>
          </w14:textFill>
        </w:rPr>
        <w:t xml:space="preserve">. HIPEC is a potential therapeutic strategy for patients with refractory malignant ascites who cannot undergo curative CRS. </w:t>
      </w:r>
      <w:bookmarkStart w:id="46" w:name="OLE_LINK4848"/>
      <w:bookmarkStart w:id="47" w:name="OLE_LINK4847"/>
      <w:r>
        <w:rPr>
          <w:rFonts w:ascii="Book Antiqua" w:hAnsi="Book Antiqua" w:eastAsia="Book Antiqua" w:cs="Book Antiqua"/>
          <w:color w:val="000000" w:themeColor="text1"/>
          <w14:textFill>
            <w14:solidFill>
              <w14:schemeClr w14:val="tx1"/>
            </w14:solidFill>
          </w14:textFill>
        </w:rPr>
        <w:t>Randle</w:t>
      </w:r>
      <w:bookmarkEnd w:id="46"/>
      <w:bookmarkEnd w:id="47"/>
      <w:r>
        <w:rPr>
          <w:rFonts w:ascii="Book Antiqua" w:hAnsi="Book Antiqua" w:eastAsia="Book Antiqua" w:cs="Book Antiqua"/>
          <w:color w:val="000000" w:themeColor="text1"/>
          <w14:textFill>
            <w14:solidFill>
              <w14:schemeClr w14:val="tx1"/>
            </w14:solidFill>
          </w14:textFill>
        </w:rPr>
        <w:t xml:space="preserve"> </w:t>
      </w:r>
      <w:r>
        <w:rPr>
          <w:rFonts w:ascii="Book Antiqua" w:hAnsi="Book Antiqua" w:eastAsia="Book Antiqua" w:cs="Book Antiqua"/>
          <w:i/>
          <w:iCs/>
          <w:color w:val="000000" w:themeColor="text1"/>
          <w14:textFill>
            <w14:solidFill>
              <w14:schemeClr w14:val="tx1"/>
            </w14:solidFill>
          </w14:textFill>
        </w:rPr>
        <w:t>et al</w:t>
      </w:r>
      <w:r>
        <w:rPr>
          <w:rFonts w:ascii="Book Antiqua" w:hAnsi="Book Antiqua" w:eastAsia="Book Antiqua" w:cs="Book Antiqua"/>
          <w:color w:val="000000" w:themeColor="text1"/>
          <w:vertAlign w:val="superscript"/>
          <w14:textFill>
            <w14:solidFill>
              <w14:schemeClr w14:val="tx1"/>
            </w14:solidFill>
          </w14:textFill>
        </w:rPr>
        <w:t>[19]</w:t>
      </w:r>
      <w:r>
        <w:rPr>
          <w:rFonts w:ascii="Book Antiqua" w:hAnsi="Book Antiqua" w:eastAsia="Book Antiqua" w:cs="Book Antiqua"/>
          <w:color w:val="000000" w:themeColor="text1"/>
          <w14:textFill>
            <w14:solidFill>
              <w14:schemeClr w14:val="tx1"/>
            </w14:solidFill>
          </w14:textFill>
        </w:rPr>
        <w:t xml:space="preserve"> found complete resolution of malignant ascites in 93% of patients after HIPEC. In the present case, the patient also had a significant resolution of ascites after receiving a course of HIPEC.</w:t>
      </w:r>
    </w:p>
    <w:p>
      <w:pPr>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At present, immune checkpoint inhibitor therapy is the focus of anti-tumor therapy. The future challenge will be to assess a four-drug combination with bevacizumab, anti-PD-1/PDL1 antibody, pemetrexed, and platinum, which has recently been proven efficient in patients with non-small cell lung cancer, given that a biological rationale supports the synergy between anti-VEGF therapy and immuno-therapeutics. Local regional adjuvant therapy (early postoperative intraperitoneal chemotherapy and/or normothermic intraperitoneal chemotherapy) associated with systemic chemotherapy may also be beneficial in adequate clinical conditions</w:t>
      </w:r>
      <w:r>
        <w:rPr>
          <w:rFonts w:ascii="Book Antiqua" w:hAnsi="Book Antiqua" w:eastAsia="Book Antiqua" w:cs="Book Antiqua"/>
          <w:color w:val="000000" w:themeColor="text1"/>
          <w:vertAlign w:val="superscript"/>
          <w14:textFill>
            <w14:solidFill>
              <w14:schemeClr w14:val="tx1"/>
            </w14:solidFill>
          </w14:textFill>
        </w:rPr>
        <w:t>[20]</w:t>
      </w:r>
      <w:r>
        <w:rPr>
          <w:rFonts w:ascii="Book Antiqua" w:hAnsi="Book Antiqua" w:eastAsia="Book Antiqua" w:cs="Book Antiqua"/>
          <w:color w:val="000000" w:themeColor="text1"/>
          <w14:textFill>
            <w14:solidFill>
              <w14:schemeClr w14:val="tx1"/>
            </w14:solidFill>
          </w14:textFill>
        </w:rPr>
        <w:t>. A multi-center, double-blind, randomized phase 3 trial of nivolumab (an antibody against PD-1) was conducted in patients with MM who had previously relapsed after first-line platinum chemotherapy. The results showed that the median progression-free survival and median overall survival was 3.0 and 10.2 mo, respectively, in the nivolumab group and 1.8 and 6.9 mo, respectively, in the placebo group</w:t>
      </w:r>
      <w:r>
        <w:rPr>
          <w:rFonts w:ascii="Book Antiqua" w:hAnsi="Book Antiqua" w:eastAsia="Book Antiqua" w:cs="Book Antiqua"/>
          <w:color w:val="000000" w:themeColor="text1"/>
          <w:vertAlign w:val="superscript"/>
          <w14:textFill>
            <w14:solidFill>
              <w14:schemeClr w14:val="tx1"/>
            </w14:solidFill>
          </w14:textFill>
        </w:rPr>
        <w:t>[21]</w:t>
      </w:r>
      <w:r>
        <w:rPr>
          <w:rFonts w:ascii="Book Antiqua" w:hAnsi="Book Antiqua" w:eastAsia="Book Antiqua" w:cs="Book Antiqua"/>
          <w:color w:val="000000" w:themeColor="text1"/>
          <w14:textFill>
            <w14:solidFill>
              <w14:schemeClr w14:val="tx1"/>
            </w14:solidFill>
          </w14:textFill>
        </w:rPr>
        <w:t xml:space="preserve">. In a double-blind, phase 3 randomized study of nivolumab </w:t>
      </w:r>
      <w:r>
        <w:rPr>
          <w:rFonts w:ascii="Book Antiqua" w:hAnsi="Book Antiqua" w:eastAsia="Book Antiqua" w:cs="Book Antiqua"/>
          <w:i/>
          <w:iCs/>
          <w:color w:val="000000" w:themeColor="text1"/>
          <w14:textFill>
            <w14:solidFill>
              <w14:schemeClr w14:val="tx1"/>
            </w14:solidFill>
          </w14:textFill>
        </w:rPr>
        <w:t>vs.</w:t>
      </w:r>
      <w:r>
        <w:rPr>
          <w:rFonts w:ascii="Book Antiqua" w:hAnsi="Book Antiqua" w:eastAsia="Book Antiqua" w:cs="Book Antiqua"/>
          <w:color w:val="000000" w:themeColor="text1"/>
          <w14:textFill>
            <w14:solidFill>
              <w14:schemeClr w14:val="tx1"/>
            </w14:solidFill>
          </w14:textFill>
        </w:rPr>
        <w:t xml:space="preserve"> placebo in patients with unresectable MM, the survival (median, 9.2 </w:t>
      </w:r>
      <w:r>
        <w:rPr>
          <w:rFonts w:ascii="Book Antiqua" w:hAnsi="Book Antiqua" w:eastAsia="Book Antiqua" w:cs="Book Antiqua"/>
          <w:i/>
          <w:iCs/>
          <w:color w:val="000000" w:themeColor="text1"/>
          <w14:textFill>
            <w14:solidFill>
              <w14:schemeClr w14:val="tx1"/>
            </w14:solidFill>
          </w14:textFill>
        </w:rPr>
        <w:t>vs</w:t>
      </w:r>
      <w:r>
        <w:rPr>
          <w:rFonts w:ascii="Book Antiqua" w:hAnsi="Book Antiqua" w:eastAsia="Book Antiqua" w:cs="Book Antiqua"/>
          <w:color w:val="000000" w:themeColor="text1"/>
          <w14:textFill>
            <w14:solidFill>
              <w14:schemeClr w14:val="tx1"/>
            </w14:solidFill>
          </w14:textFill>
        </w:rPr>
        <w:t xml:space="preserve"> 6.6 mo) and PFS (time to event) were longer (median, 3.0 </w:t>
      </w:r>
      <w:r>
        <w:rPr>
          <w:rFonts w:ascii="Book Antiqua" w:hAnsi="Book Antiqua" w:eastAsia="Book Antiqua" w:cs="Book Antiqua"/>
          <w:i/>
          <w:iCs/>
          <w:color w:val="000000" w:themeColor="text1"/>
          <w14:textFill>
            <w14:solidFill>
              <w14:schemeClr w14:val="tx1"/>
            </w14:solidFill>
          </w14:textFill>
        </w:rPr>
        <w:t>vs</w:t>
      </w:r>
      <w:r>
        <w:rPr>
          <w:rFonts w:ascii="Book Antiqua" w:hAnsi="Book Antiqua" w:eastAsia="Book Antiqua" w:cs="Book Antiqua"/>
          <w:color w:val="000000" w:themeColor="text1"/>
          <w14:textFill>
            <w14:solidFill>
              <w14:schemeClr w14:val="tx1"/>
            </w14:solidFill>
          </w14:textFill>
        </w:rPr>
        <w:t xml:space="preserve"> 1.8 mo) after nivolumab treatment</w:t>
      </w:r>
      <w:r>
        <w:rPr>
          <w:rFonts w:ascii="Book Antiqua" w:hAnsi="Book Antiqua" w:eastAsia="Book Antiqua" w:cs="Book Antiqua"/>
          <w:color w:val="000000" w:themeColor="text1"/>
          <w:vertAlign w:val="superscript"/>
          <w14:textFill>
            <w14:solidFill>
              <w14:schemeClr w14:val="tx1"/>
            </w14:solidFill>
          </w14:textFill>
        </w:rPr>
        <w:t>[22]</w:t>
      </w:r>
      <w:r>
        <w:rPr>
          <w:rFonts w:ascii="Book Antiqua" w:hAnsi="Book Antiqua" w:eastAsia="Book Antiqua" w:cs="Book Antiqua"/>
          <w:color w:val="000000" w:themeColor="text1"/>
          <w14:textFill>
            <w14:solidFill>
              <w14:schemeClr w14:val="tx1"/>
            </w14:solidFill>
          </w14:textFill>
        </w:rPr>
        <w:t>. In the two open-label, single-arm, phase 2 studies, among patients with measurable and unresectable MM and/or disease progression after the first-line platinum regimen, 3%-7% of patients achieved partial remission, and 31%-38% of patients were under control after receiving trametamab</w:t>
      </w:r>
      <w:r>
        <w:rPr>
          <w:rFonts w:ascii="Book Antiqua" w:hAnsi="Book Antiqua" w:eastAsia="Book Antiqua" w:cs="Book Antiqua"/>
          <w:color w:val="000000" w:themeColor="text1"/>
          <w:vertAlign w:val="superscript"/>
          <w14:textFill>
            <w14:solidFill>
              <w14:schemeClr w14:val="tx1"/>
            </w14:solidFill>
          </w14:textFill>
        </w:rPr>
        <w:t>[23]</w:t>
      </w:r>
      <w:r>
        <w:rPr>
          <w:rFonts w:ascii="Book Antiqua" w:hAnsi="Book Antiqua" w:eastAsia="Book Antiqua" w:cs="Book Antiqua"/>
          <w:color w:val="000000" w:themeColor="text1"/>
          <w14:textFill>
            <w14:solidFill>
              <w14:schemeClr w14:val="tx1"/>
            </w14:solidFill>
          </w14:textFill>
        </w:rPr>
        <w:t>. However, in the subsequent double-blind, placebo-controlled, phase 2B trials, the median overall survival of the intention-to-treat population did not differ between the treatment and comfort groups</w:t>
      </w:r>
      <w:r>
        <w:rPr>
          <w:rFonts w:ascii="Book Antiqua" w:hAnsi="Book Antiqua" w:eastAsia="Book Antiqua" w:cs="Book Antiqua"/>
          <w:color w:val="000000" w:themeColor="text1"/>
          <w:vertAlign w:val="superscript"/>
          <w14:textFill>
            <w14:solidFill>
              <w14:schemeClr w14:val="tx1"/>
            </w14:solidFill>
          </w14:textFill>
        </w:rPr>
        <w:t>[24]</w:t>
      </w:r>
      <w:r>
        <w:rPr>
          <w:rFonts w:ascii="Book Antiqua" w:hAnsi="Book Antiqua" w:eastAsia="Book Antiqua" w:cs="Book Antiqua"/>
          <w:color w:val="000000" w:themeColor="text1"/>
          <w14:textFill>
            <w14:solidFill>
              <w14:schemeClr w14:val="tx1"/>
            </w14:solidFill>
          </w14:textFill>
        </w:rPr>
        <w:t>. Although some data suggested that immunotherapy had a certain effect on MPM, this case report did not support the aforementioned treatment strategy, and hence more clinical studies are needed for confirmation in the future.</w:t>
      </w:r>
    </w:p>
    <w:p>
      <w:pPr>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shd w:val="clear" w:color="auto" w:fill="FFFFFF"/>
          <w14:textFill>
            <w14:solidFill>
              <w14:schemeClr w14:val="tx1"/>
            </w14:solidFill>
          </w14:textFill>
        </w:rPr>
        <w:t>Patients with MPM have a poor prognosis with a median survival of 3-6 mo if not treated, 11-17 mo with chemotherapy alone, and 55-61 mo with CRS combined with HIPEC, with a 5-year survival rate of 52%</w:t>
      </w:r>
      <w:r>
        <w:rPr>
          <w:rFonts w:ascii="Book Antiqua" w:hAnsi="Book Antiqua" w:eastAsia="Book Antiqua" w:cs="Book Antiqua"/>
          <w:color w:val="000000" w:themeColor="text1"/>
          <w:shd w:val="clear" w:color="auto" w:fill="FFFFFF"/>
          <w:vertAlign w:val="superscript"/>
          <w14:textFill>
            <w14:solidFill>
              <w14:schemeClr w14:val="tx1"/>
            </w14:solidFill>
          </w14:textFill>
        </w:rPr>
        <w:t>[25,26]</w:t>
      </w:r>
      <w:r>
        <w:rPr>
          <w:rFonts w:ascii="Book Antiqua" w:hAnsi="Book Antiqua" w:eastAsia="Book Antiqua" w:cs="Book Antiqua"/>
          <w:color w:val="000000" w:themeColor="text1"/>
          <w:shd w:val="clear" w:color="auto" w:fill="FFFFFF"/>
          <w14:textFill>
            <w14:solidFill>
              <w14:schemeClr w14:val="tx1"/>
            </w14:solidFill>
          </w14:textFill>
        </w:rPr>
        <w:t>. Our patient did not undergo surgery and died after two courses of bidirectional chemotherapy (with the addition of intraperitoneal thermoperfusion chemotherapy and immunotherapy in the second course), just 2 mo after the first visit</w:t>
      </w:r>
      <w:r>
        <w:rPr>
          <w:rFonts w:ascii="Book Antiqua" w:hAnsi="Book Antiqua" w:eastAsia="Book Antiqua" w:cs="Book Antiqua"/>
          <w:color w:val="000000" w:themeColor="text1"/>
          <w:shd w:val="clear" w:color="auto" w:fill="FFFFFF"/>
          <w:vertAlign w:val="superscript"/>
          <w14:textFill>
            <w14:solidFill>
              <w14:schemeClr w14:val="tx1"/>
            </w14:solidFill>
          </w14:textFill>
        </w:rPr>
        <w:t>[27]</w:t>
      </w:r>
      <w:r>
        <w:rPr>
          <w:rFonts w:ascii="Book Antiqua" w:hAnsi="Book Antiqua" w:eastAsia="Book Antiqua" w:cs="Book Antiqua"/>
          <w:color w:val="000000" w:themeColor="text1"/>
          <w:shd w:val="clear" w:color="auto" w:fill="FFFFFF"/>
          <w14:textFill>
            <w14:solidFill>
              <w14:schemeClr w14:val="tx1"/>
            </w14:solidFill>
          </w14:textFill>
        </w:rPr>
        <w:t>. The patient's sudden disease progression after receiving chemotherapy might be related to insensitivity to chemotherapy or the high disease progression after treatment with immune checkpoint inhibitors</w:t>
      </w:r>
      <w:r>
        <w:rPr>
          <w:rFonts w:ascii="Book Antiqua" w:hAnsi="Book Antiqua" w:eastAsia="Book Antiqua" w:cs="Book Antiqua"/>
          <w:color w:val="000000" w:themeColor="text1"/>
          <w:shd w:val="clear" w:color="auto" w:fill="FFFFFF"/>
          <w:vertAlign w:val="superscript"/>
          <w14:textFill>
            <w14:solidFill>
              <w14:schemeClr w14:val="tx1"/>
            </w14:solidFill>
          </w14:textFill>
        </w:rPr>
        <w:t>[28]</w:t>
      </w:r>
      <w:r>
        <w:rPr>
          <w:rFonts w:ascii="Book Antiqua" w:hAnsi="Book Antiqua" w:eastAsia="Book Antiqua" w:cs="Book Antiqua"/>
          <w:color w:val="000000" w:themeColor="text1"/>
          <w:shd w:val="clear" w:color="auto" w:fill="FFFFFF"/>
          <w14:textFill>
            <w14:solidFill>
              <w14:schemeClr w14:val="tx1"/>
            </w14:solidFill>
          </w14:textFill>
        </w:rPr>
        <w:t>, in addition to the p16/CDKN2A deletion and negative WT-1 expression that was related to a poorer prognosis</w:t>
      </w:r>
      <w:r>
        <w:rPr>
          <w:rFonts w:ascii="Book Antiqua" w:hAnsi="Book Antiqua" w:eastAsia="Book Antiqua" w:cs="Book Antiqua"/>
          <w:color w:val="000000" w:themeColor="text1"/>
          <w:shd w:val="clear" w:color="auto" w:fill="FFFFFF"/>
          <w:vertAlign w:val="superscript"/>
          <w14:textFill>
            <w14:solidFill>
              <w14:schemeClr w14:val="tx1"/>
            </w14:solidFill>
          </w14:textFill>
        </w:rPr>
        <w:t>[29]</w:t>
      </w:r>
      <w:r>
        <w:rPr>
          <w:rFonts w:ascii="Book Antiqua" w:hAnsi="Book Antiqua" w:eastAsia="Book Antiqua" w:cs="Book Antiqua"/>
          <w:color w:val="000000" w:themeColor="text1"/>
          <w:shd w:val="clear" w:color="auto" w:fill="FFFFFF"/>
          <w14:textFill>
            <w14:solidFill>
              <w14:schemeClr w14:val="tx1"/>
            </w14:solidFill>
          </w14:textFill>
        </w:rPr>
        <w:t>.</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CONCLUSION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In this study, we reported the case of a female patient with peritoneal mesothelioma, which is a rare and difficult-to-diagnose malignancy. The patient presented with massive ascites, no history of asbestos exposure, and no obvious signs of tumor on CT, and was finally diagnosed based on the histology and immunohistochemistry of cells shed from the ascites. Unfortunately, the patient died due to disease progression after two courses of anti-neoplastic therapy. Clinicians should consider the possibility of MPM in case of massive unexplained ascites. In addition, patients with MPM have a poor prognosis, and CRS combined with HIPEC for patients who can tolerate surgery or have resectable lesions may improve the prognosis.</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eastAsia="Book Antiqua" w:cs="Book Antiqua"/>
          <w:b/>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Broeckx G</w:t>
      </w:r>
      <w:r>
        <w:rPr>
          <w:rFonts w:ascii="Book Antiqua" w:hAnsi="Book Antiqua"/>
        </w:rPr>
        <w:t xml:space="preserve">, Pauwels P. Malignant peritoneal mesothelioma: a review. </w:t>
      </w:r>
      <w:r>
        <w:rPr>
          <w:rFonts w:ascii="Book Antiqua" w:hAnsi="Book Antiqua"/>
          <w:i/>
          <w:iCs/>
        </w:rPr>
        <w:t>Transl Lung Cancer Res</w:t>
      </w:r>
      <w:r>
        <w:rPr>
          <w:rFonts w:ascii="Book Antiqua" w:hAnsi="Book Antiqua"/>
        </w:rPr>
        <w:t xml:space="preserve"> 2018; </w:t>
      </w:r>
      <w:r>
        <w:rPr>
          <w:rFonts w:ascii="Book Antiqua" w:hAnsi="Book Antiqua"/>
          <w:b/>
          <w:bCs/>
        </w:rPr>
        <w:t>7</w:t>
      </w:r>
      <w:r>
        <w:rPr>
          <w:rFonts w:ascii="Book Antiqua" w:hAnsi="Book Antiqua"/>
        </w:rPr>
        <w:t>: 537-542 [PMID: 30450291 DOI: 10.21037/tlcr.2018.10.04]</w:t>
      </w:r>
    </w:p>
    <w:p>
      <w:pPr>
        <w:spacing w:line="360" w:lineRule="auto"/>
        <w:jc w:val="both"/>
        <w:rPr>
          <w:rFonts w:ascii="Book Antiqua" w:hAnsi="Book Antiqua"/>
        </w:rPr>
      </w:pPr>
      <w:r>
        <w:rPr>
          <w:rFonts w:ascii="Book Antiqua" w:hAnsi="Book Antiqua"/>
        </w:rPr>
        <w:t xml:space="preserve">2 </w:t>
      </w:r>
      <w:r>
        <w:rPr>
          <w:rFonts w:ascii="Book Antiqua" w:hAnsi="Book Antiqua"/>
          <w:b/>
          <w:bCs/>
        </w:rPr>
        <w:t>Llanos MD</w:t>
      </w:r>
      <w:r>
        <w:rPr>
          <w:rFonts w:ascii="Book Antiqua" w:hAnsi="Book Antiqua"/>
        </w:rPr>
        <w:t xml:space="preserve">, Sugarbaker PH. Symptoms, signs and radiologic findings in patients having reoperative surgery for malignant peritoneal mesothelioma. </w:t>
      </w:r>
      <w:r>
        <w:rPr>
          <w:rFonts w:ascii="Book Antiqua" w:hAnsi="Book Antiqua"/>
          <w:i/>
          <w:iCs/>
        </w:rPr>
        <w:t>Eur J Surg Oncol</w:t>
      </w:r>
      <w:r>
        <w:rPr>
          <w:rFonts w:ascii="Book Antiqua" w:hAnsi="Book Antiqua"/>
        </w:rPr>
        <w:t xml:space="preserve"> 2017; </w:t>
      </w:r>
      <w:r>
        <w:rPr>
          <w:rFonts w:ascii="Book Antiqua" w:hAnsi="Book Antiqua"/>
          <w:b/>
          <w:bCs/>
        </w:rPr>
        <w:t>43</w:t>
      </w:r>
      <w:r>
        <w:rPr>
          <w:rFonts w:ascii="Book Antiqua" w:hAnsi="Book Antiqua"/>
        </w:rPr>
        <w:t>: 138-143 [PMID: 27612411 DOI: 10.1016/j.ejso.2016.08.010]</w:t>
      </w:r>
    </w:p>
    <w:p>
      <w:pPr>
        <w:spacing w:line="360" w:lineRule="auto"/>
        <w:jc w:val="both"/>
        <w:rPr>
          <w:rFonts w:ascii="Book Antiqua" w:hAnsi="Book Antiqua"/>
        </w:rPr>
      </w:pPr>
      <w:r>
        <w:rPr>
          <w:rFonts w:ascii="Book Antiqua" w:hAnsi="Book Antiqua"/>
        </w:rPr>
        <w:t xml:space="preserve">3 </w:t>
      </w:r>
      <w:r>
        <w:rPr>
          <w:rFonts w:ascii="Book Antiqua" w:hAnsi="Book Antiqua"/>
          <w:b/>
          <w:bCs/>
        </w:rPr>
        <w:t>Uhlenhopp DJ</w:t>
      </w:r>
      <w:r>
        <w:rPr>
          <w:rFonts w:ascii="Book Antiqua" w:hAnsi="Book Antiqua"/>
        </w:rPr>
        <w:t xml:space="preserve">, Saliares A, Gaduputi V, Sunkara T. An Unpleasant Surprise: Abdominal Presentation of Malignant Mesothelioma. </w:t>
      </w:r>
      <w:r>
        <w:rPr>
          <w:rFonts w:ascii="Book Antiqua" w:hAnsi="Book Antiqua"/>
          <w:i/>
          <w:iCs/>
        </w:rPr>
        <w:t>J Investig Med High Impact Case Rep</w:t>
      </w:r>
      <w:r>
        <w:rPr>
          <w:rFonts w:ascii="Book Antiqua" w:hAnsi="Book Antiqua"/>
        </w:rPr>
        <w:t xml:space="preserve"> 2020; </w:t>
      </w:r>
      <w:r>
        <w:rPr>
          <w:rFonts w:ascii="Book Antiqua" w:hAnsi="Book Antiqua"/>
          <w:b/>
          <w:bCs/>
        </w:rPr>
        <w:t>8</w:t>
      </w:r>
      <w:r>
        <w:rPr>
          <w:rFonts w:ascii="Book Antiqua" w:hAnsi="Book Antiqua"/>
        </w:rPr>
        <w:t>: 2324709620950121 [PMID: 32787452 DOI: 10.1177/2324709620950121]</w:t>
      </w:r>
    </w:p>
    <w:p>
      <w:pPr>
        <w:spacing w:line="360" w:lineRule="auto"/>
        <w:jc w:val="both"/>
        <w:rPr>
          <w:rFonts w:ascii="Book Antiqua" w:hAnsi="Book Antiqua"/>
        </w:rPr>
      </w:pPr>
      <w:r>
        <w:rPr>
          <w:rFonts w:ascii="Book Antiqua" w:hAnsi="Book Antiqua"/>
        </w:rPr>
        <w:t xml:space="preserve">4 </w:t>
      </w:r>
      <w:r>
        <w:rPr>
          <w:rFonts w:ascii="Book Antiqua" w:hAnsi="Book Antiqua"/>
          <w:b/>
          <w:bCs/>
        </w:rPr>
        <w:t>Kalaycı O</w:t>
      </w:r>
      <w:r>
        <w:rPr>
          <w:rFonts w:ascii="Book Antiqua" w:hAnsi="Book Antiqua"/>
        </w:rPr>
        <w:t xml:space="preserve">, Cansu GB, Taşkıran B, Eren Ö. A Rare Complication of Diffuse Malignant Peritoneal Mesothelioma: Spontaneous Ileal Perforation. </w:t>
      </w:r>
      <w:r>
        <w:rPr>
          <w:rFonts w:ascii="Book Antiqua" w:hAnsi="Book Antiqua"/>
          <w:i/>
          <w:iCs/>
        </w:rPr>
        <w:t>Indian J Surg Oncol</w:t>
      </w:r>
      <w:r>
        <w:rPr>
          <w:rFonts w:ascii="Book Antiqua" w:hAnsi="Book Antiqua"/>
        </w:rPr>
        <w:t xml:space="preserve"> 2019; </w:t>
      </w:r>
      <w:r>
        <w:rPr>
          <w:rFonts w:ascii="Book Antiqua" w:hAnsi="Book Antiqua"/>
          <w:b/>
          <w:bCs/>
        </w:rPr>
        <w:t>10</w:t>
      </w:r>
      <w:r>
        <w:rPr>
          <w:rFonts w:ascii="Book Antiqua" w:hAnsi="Book Antiqua"/>
        </w:rPr>
        <w:t>: 465-469 [PMID: 31496592 DOI: 10.1007/s13193-019-00916-7]</w:t>
      </w:r>
    </w:p>
    <w:p>
      <w:pPr>
        <w:spacing w:line="360" w:lineRule="auto"/>
        <w:jc w:val="both"/>
        <w:rPr>
          <w:rFonts w:ascii="Book Antiqua" w:hAnsi="Book Antiqua"/>
        </w:rPr>
      </w:pPr>
      <w:r>
        <w:rPr>
          <w:rFonts w:ascii="Book Antiqua" w:hAnsi="Book Antiqua"/>
        </w:rPr>
        <w:t xml:space="preserve">5 </w:t>
      </w:r>
      <w:r>
        <w:rPr>
          <w:rFonts w:ascii="Book Antiqua" w:hAnsi="Book Antiqua"/>
          <w:b/>
          <w:bCs/>
        </w:rPr>
        <w:t>Greenbaum A</w:t>
      </w:r>
      <w:r>
        <w:rPr>
          <w:rFonts w:ascii="Book Antiqua" w:hAnsi="Book Antiqua"/>
        </w:rPr>
        <w:t xml:space="preserve">, Alexander HR. Peritoneal mesothelioma. </w:t>
      </w:r>
      <w:r>
        <w:rPr>
          <w:rFonts w:ascii="Book Antiqua" w:hAnsi="Book Antiqua"/>
          <w:i/>
          <w:iCs/>
        </w:rPr>
        <w:t>Transl Lung Cancer Res</w:t>
      </w:r>
      <w:r>
        <w:rPr>
          <w:rFonts w:ascii="Book Antiqua" w:hAnsi="Book Antiqua"/>
        </w:rPr>
        <w:t xml:space="preserve"> 2020; </w:t>
      </w:r>
      <w:r>
        <w:rPr>
          <w:rFonts w:ascii="Book Antiqua" w:hAnsi="Book Antiqua"/>
          <w:b/>
          <w:bCs/>
        </w:rPr>
        <w:t>9</w:t>
      </w:r>
      <w:r>
        <w:rPr>
          <w:rFonts w:ascii="Book Antiqua" w:hAnsi="Book Antiqua"/>
        </w:rPr>
        <w:t>: S120-S132 [PMID: 32206577 DOI: 10.21037/tlcr.2019.12.15]</w:t>
      </w:r>
    </w:p>
    <w:p>
      <w:pPr>
        <w:spacing w:line="360" w:lineRule="auto"/>
        <w:jc w:val="both"/>
        <w:rPr>
          <w:rFonts w:ascii="Book Antiqua" w:hAnsi="Book Antiqua"/>
        </w:rPr>
      </w:pPr>
      <w:r>
        <w:rPr>
          <w:rFonts w:ascii="Book Antiqua" w:hAnsi="Book Antiqua"/>
        </w:rPr>
        <w:t xml:space="preserve">6 </w:t>
      </w:r>
      <w:r>
        <w:rPr>
          <w:rFonts w:ascii="Book Antiqua" w:hAnsi="Book Antiqua"/>
          <w:b/>
          <w:bCs/>
        </w:rPr>
        <w:t>Hong S</w:t>
      </w:r>
      <w:r>
        <w:rPr>
          <w:rFonts w:ascii="Book Antiqua" w:hAnsi="Book Antiqua"/>
        </w:rPr>
        <w:t xml:space="preserve">, Bi MM, Zhao PW, Wang XU, Kong QY, Wang YT, Wang L. Malignant peritoneal mesothelioma in a patient with intestinal fistula, incisional hernia and abdominal infection: A case report. </w:t>
      </w:r>
      <w:r>
        <w:rPr>
          <w:rFonts w:ascii="Book Antiqua" w:hAnsi="Book Antiqua"/>
          <w:i/>
          <w:iCs/>
        </w:rPr>
        <w:t>Oncol Lett</w:t>
      </w:r>
      <w:r>
        <w:rPr>
          <w:rFonts w:ascii="Book Antiqua" w:hAnsi="Book Antiqua"/>
        </w:rPr>
        <w:t xml:space="preserve"> 2016; </w:t>
      </w:r>
      <w:r>
        <w:rPr>
          <w:rFonts w:ascii="Book Antiqua" w:hAnsi="Book Antiqua"/>
          <w:b/>
          <w:bCs/>
        </w:rPr>
        <w:t>11</w:t>
      </w:r>
      <w:r>
        <w:rPr>
          <w:rFonts w:ascii="Book Antiqua" w:hAnsi="Book Antiqua"/>
        </w:rPr>
        <w:t>: 2047-2050 [PMID: 26998119 DOI: 10.3892/ol.2016.4203]</w:t>
      </w:r>
    </w:p>
    <w:p>
      <w:pPr>
        <w:spacing w:line="360" w:lineRule="auto"/>
        <w:jc w:val="both"/>
        <w:rPr>
          <w:rFonts w:ascii="Book Antiqua" w:hAnsi="Book Antiqua"/>
        </w:rPr>
      </w:pPr>
      <w:r>
        <w:rPr>
          <w:rFonts w:ascii="Book Antiqua" w:hAnsi="Book Antiqua"/>
        </w:rPr>
        <w:t xml:space="preserve">7 </w:t>
      </w:r>
      <w:r>
        <w:rPr>
          <w:rFonts w:ascii="Book Antiqua" w:hAnsi="Book Antiqua"/>
          <w:b/>
          <w:bCs/>
        </w:rPr>
        <w:t>Pickhardt PJ</w:t>
      </w:r>
      <w:r>
        <w:rPr>
          <w:rFonts w:ascii="Book Antiqua" w:hAnsi="Book Antiqua"/>
        </w:rPr>
        <w:t xml:space="preserve">, Perez AA, Elmohr MM, Elsayes KM. CT imaging review of uncommon peritoneal-based neoplasms: beyond carcinomatosis. </w:t>
      </w:r>
      <w:r>
        <w:rPr>
          <w:rFonts w:ascii="Book Antiqua" w:hAnsi="Book Antiqua"/>
          <w:i/>
          <w:iCs/>
        </w:rPr>
        <w:t>Br J Radiol</w:t>
      </w:r>
      <w:r>
        <w:rPr>
          <w:rFonts w:ascii="Book Antiqua" w:hAnsi="Book Antiqua"/>
        </w:rPr>
        <w:t xml:space="preserve"> 2021; </w:t>
      </w:r>
      <w:r>
        <w:rPr>
          <w:rFonts w:ascii="Book Antiqua" w:hAnsi="Book Antiqua"/>
          <w:b/>
          <w:bCs/>
        </w:rPr>
        <w:t>94</w:t>
      </w:r>
      <w:r>
        <w:rPr>
          <w:rFonts w:ascii="Book Antiqua" w:hAnsi="Book Antiqua"/>
        </w:rPr>
        <w:t>: 20201288 [PMID: 33353398 DOI: 10.1259/bjr.20201288]</w:t>
      </w:r>
    </w:p>
    <w:p>
      <w:pPr>
        <w:spacing w:line="360" w:lineRule="auto"/>
        <w:jc w:val="both"/>
        <w:rPr>
          <w:rFonts w:ascii="Book Antiqua" w:hAnsi="Book Antiqua"/>
        </w:rPr>
      </w:pPr>
      <w:r>
        <w:rPr>
          <w:rFonts w:ascii="Book Antiqua" w:hAnsi="Book Antiqua"/>
        </w:rPr>
        <w:t xml:space="preserve">8 </w:t>
      </w:r>
      <w:r>
        <w:rPr>
          <w:rFonts w:ascii="Book Antiqua" w:hAnsi="Book Antiqua"/>
          <w:b/>
          <w:bCs/>
        </w:rPr>
        <w:t>Yan TD</w:t>
      </w:r>
      <w:r>
        <w:rPr>
          <w:rFonts w:ascii="Book Antiqua" w:hAnsi="Book Antiqua"/>
        </w:rPr>
        <w:t xml:space="preserve">, Haveric N, Carmignani CP, Bromley CM, Sugarbaker PH. Computed tomographic characterization of malignant peritoneal mesothelioma. </w:t>
      </w:r>
      <w:r>
        <w:rPr>
          <w:rFonts w:ascii="Book Antiqua" w:hAnsi="Book Antiqua"/>
          <w:i/>
          <w:iCs/>
        </w:rPr>
        <w:t>Tumori</w:t>
      </w:r>
      <w:r>
        <w:rPr>
          <w:rFonts w:ascii="Book Antiqua" w:hAnsi="Book Antiqua"/>
        </w:rPr>
        <w:t xml:space="preserve"> 2005; </w:t>
      </w:r>
      <w:r>
        <w:rPr>
          <w:rFonts w:ascii="Book Antiqua" w:hAnsi="Book Antiqua"/>
          <w:b/>
          <w:bCs/>
        </w:rPr>
        <w:t>91</w:t>
      </w:r>
      <w:r>
        <w:rPr>
          <w:rFonts w:ascii="Book Antiqua" w:hAnsi="Book Antiqua"/>
        </w:rPr>
        <w:t>: 394-400 [PMID: 16459635 DOI: 10.1177/030089160509100503]</w:t>
      </w:r>
    </w:p>
    <w:p>
      <w:pPr>
        <w:spacing w:line="360" w:lineRule="auto"/>
        <w:jc w:val="both"/>
        <w:rPr>
          <w:rFonts w:ascii="Book Antiqua" w:hAnsi="Book Antiqua"/>
        </w:rPr>
      </w:pPr>
      <w:r>
        <w:rPr>
          <w:rFonts w:ascii="Book Antiqua" w:hAnsi="Book Antiqua"/>
        </w:rPr>
        <w:t xml:space="preserve">9 </w:t>
      </w:r>
      <w:r>
        <w:rPr>
          <w:rFonts w:ascii="Book Antiqua" w:hAnsi="Book Antiqua"/>
          <w:b/>
          <w:bCs/>
        </w:rPr>
        <w:t>Husain AN</w:t>
      </w:r>
      <w:r>
        <w:rPr>
          <w:rFonts w:ascii="Book Antiqua" w:hAnsi="Book Antiqua"/>
        </w:rPr>
        <w:t xml:space="preserve">, Colby TV, Ordóñez NG, Allen TC, Attanoos RL, Beasley MB, Butnor KJ, Chirieac LR, Churg AM, Dacic S, Galateau-Sallé F, Gibbs A, Gown AM, Krausz T, Litzky LA, Marchevsky A, Nicholson AG, Roggli VL, Sharma AK, Travis WD, Walts AE, Wick MR. Guidelines for Pathologic Diagnosis of Malignant Mesothelioma 2017 Update of the Consensus Statement From the International Mesothelioma Interest Group. </w:t>
      </w:r>
      <w:r>
        <w:rPr>
          <w:rFonts w:ascii="Book Antiqua" w:hAnsi="Book Antiqua"/>
          <w:i/>
          <w:iCs/>
        </w:rPr>
        <w:t>Arch Pathol Lab Med</w:t>
      </w:r>
      <w:r>
        <w:rPr>
          <w:rFonts w:ascii="Book Antiqua" w:hAnsi="Book Antiqua"/>
        </w:rPr>
        <w:t xml:space="preserve"> 2018; </w:t>
      </w:r>
      <w:r>
        <w:rPr>
          <w:rFonts w:ascii="Book Antiqua" w:hAnsi="Book Antiqua"/>
          <w:b/>
          <w:bCs/>
        </w:rPr>
        <w:t>142</w:t>
      </w:r>
      <w:r>
        <w:rPr>
          <w:rFonts w:ascii="Book Antiqua" w:hAnsi="Book Antiqua"/>
        </w:rPr>
        <w:t>: 89-108 [PMID: 28686500 DOI: 10.5858/arpa.2017-0124-RA]</w:t>
      </w:r>
    </w:p>
    <w:p>
      <w:pPr>
        <w:spacing w:line="360" w:lineRule="auto"/>
        <w:jc w:val="both"/>
        <w:rPr>
          <w:rFonts w:ascii="Book Antiqua" w:hAnsi="Book Antiqua"/>
        </w:rPr>
      </w:pPr>
      <w:r>
        <w:rPr>
          <w:rFonts w:ascii="Book Antiqua" w:hAnsi="Book Antiqua"/>
        </w:rPr>
        <w:t xml:space="preserve">10 </w:t>
      </w:r>
      <w:r>
        <w:rPr>
          <w:rFonts w:ascii="Book Antiqua" w:hAnsi="Book Antiqua"/>
          <w:b/>
          <w:bCs/>
        </w:rPr>
        <w:t>Tandon RT</w:t>
      </w:r>
      <w:r>
        <w:rPr>
          <w:rFonts w:ascii="Book Antiqua" w:hAnsi="Book Antiqua"/>
        </w:rPr>
        <w:t xml:space="preserve">, Jimenez-Cortez Y, Taub R, Borczuk AC. Immunohistochemistry in Peritoneal Mesothelioma: A Single-Center Experience of 244 Cases. </w:t>
      </w:r>
      <w:r>
        <w:rPr>
          <w:rFonts w:ascii="Book Antiqua" w:hAnsi="Book Antiqua"/>
          <w:i/>
          <w:iCs/>
        </w:rPr>
        <w:t>Arch Pathol Lab Med</w:t>
      </w:r>
      <w:r>
        <w:rPr>
          <w:rFonts w:ascii="Book Antiqua" w:hAnsi="Book Antiqua"/>
        </w:rPr>
        <w:t xml:space="preserve"> 2018; </w:t>
      </w:r>
      <w:r>
        <w:rPr>
          <w:rFonts w:ascii="Book Antiqua" w:hAnsi="Book Antiqua"/>
          <w:b/>
          <w:bCs/>
        </w:rPr>
        <w:t>142</w:t>
      </w:r>
      <w:r>
        <w:rPr>
          <w:rFonts w:ascii="Book Antiqua" w:hAnsi="Book Antiqua"/>
        </w:rPr>
        <w:t>: 236-242 [PMID: 29048219 DOI: 10.5858/arpa.2017-0092-OA]</w:t>
      </w:r>
    </w:p>
    <w:p>
      <w:pPr>
        <w:spacing w:line="360" w:lineRule="auto"/>
        <w:jc w:val="both"/>
        <w:rPr>
          <w:rFonts w:ascii="Book Antiqua" w:hAnsi="Book Antiqua"/>
        </w:rPr>
      </w:pPr>
      <w:r>
        <w:rPr>
          <w:rFonts w:ascii="Book Antiqua" w:hAnsi="Book Antiqua"/>
        </w:rPr>
        <w:t xml:space="preserve">11 </w:t>
      </w:r>
      <w:r>
        <w:rPr>
          <w:rFonts w:ascii="Book Antiqua" w:hAnsi="Book Antiqua"/>
          <w:b/>
          <w:bCs/>
        </w:rPr>
        <w:t>Naso JR</w:t>
      </w:r>
      <w:r>
        <w:rPr>
          <w:rFonts w:ascii="Book Antiqua" w:hAnsi="Book Antiqua"/>
        </w:rPr>
        <w:t xml:space="preserve">, Tsuji S, Churg A. HEG1 Is a Highly Specific and Sensitive Marker of Epithelioid Malignant Mesothelioma. </w:t>
      </w:r>
      <w:r>
        <w:rPr>
          <w:rFonts w:ascii="Book Antiqua" w:hAnsi="Book Antiqua"/>
          <w:i/>
          <w:iCs/>
        </w:rPr>
        <w:t>Am J Surg Pathol</w:t>
      </w:r>
      <w:r>
        <w:rPr>
          <w:rFonts w:ascii="Book Antiqua" w:hAnsi="Book Antiqua"/>
        </w:rPr>
        <w:t xml:space="preserve"> 2020; </w:t>
      </w:r>
      <w:r>
        <w:rPr>
          <w:rFonts w:ascii="Book Antiqua" w:hAnsi="Book Antiqua"/>
          <w:b/>
          <w:bCs/>
        </w:rPr>
        <w:t>44</w:t>
      </w:r>
      <w:r>
        <w:rPr>
          <w:rFonts w:ascii="Book Antiqua" w:hAnsi="Book Antiqua"/>
        </w:rPr>
        <w:t>: 1143-1148 [PMID: 32205484 DOI: 10.1097/PAS.0000000000001469]</w:t>
      </w:r>
    </w:p>
    <w:p>
      <w:pPr>
        <w:spacing w:line="360" w:lineRule="auto"/>
        <w:jc w:val="both"/>
        <w:rPr>
          <w:rFonts w:ascii="Book Antiqua" w:hAnsi="Book Antiqua"/>
        </w:rPr>
      </w:pPr>
      <w:r>
        <w:rPr>
          <w:rFonts w:ascii="Book Antiqua" w:hAnsi="Book Antiqua"/>
        </w:rPr>
        <w:t xml:space="preserve">12 </w:t>
      </w:r>
      <w:r>
        <w:rPr>
          <w:rFonts w:ascii="Book Antiqua" w:hAnsi="Book Antiqua"/>
          <w:b/>
          <w:bCs/>
        </w:rPr>
        <w:t>Khizer K</w:t>
      </w:r>
      <w:r>
        <w:rPr>
          <w:rFonts w:ascii="Book Antiqua" w:hAnsi="Book Antiqua"/>
        </w:rPr>
        <w:t xml:space="preserve">, Padda J, Khedr A, Tasnim F, Al-Ewaidat OA, Patel V, Ismail D, Campos VYM, Jean-Charles G. Paired-Box Gene 8 (PAX8) and Its Association With Epithelial Carcinomas. </w:t>
      </w:r>
      <w:r>
        <w:rPr>
          <w:rFonts w:ascii="Book Antiqua" w:hAnsi="Book Antiqua"/>
          <w:i/>
          <w:iCs/>
        </w:rPr>
        <w:t>Cureus</w:t>
      </w:r>
      <w:r>
        <w:rPr>
          <w:rFonts w:ascii="Book Antiqua" w:hAnsi="Book Antiqua"/>
        </w:rPr>
        <w:t xml:space="preserve"> 2021; </w:t>
      </w:r>
      <w:r>
        <w:rPr>
          <w:rFonts w:ascii="Book Antiqua" w:hAnsi="Book Antiqua"/>
          <w:b/>
          <w:bCs/>
        </w:rPr>
        <w:t>13</w:t>
      </w:r>
      <w:r>
        <w:rPr>
          <w:rFonts w:ascii="Book Antiqua" w:hAnsi="Book Antiqua"/>
        </w:rPr>
        <w:t>: e17208 [PMID: 34540435 DOI: 10.7759/cureus.17208]</w:t>
      </w:r>
    </w:p>
    <w:p>
      <w:pPr>
        <w:spacing w:line="360" w:lineRule="auto"/>
        <w:jc w:val="both"/>
        <w:rPr>
          <w:rFonts w:ascii="Book Antiqua" w:hAnsi="Book Antiqua"/>
        </w:rPr>
      </w:pPr>
      <w:r>
        <w:rPr>
          <w:rFonts w:ascii="Book Antiqua" w:hAnsi="Book Antiqua"/>
        </w:rPr>
        <w:t xml:space="preserve">13 </w:t>
      </w:r>
      <w:r>
        <w:rPr>
          <w:rFonts w:ascii="Book Antiqua" w:hAnsi="Book Antiqua"/>
          <w:b/>
          <w:bCs/>
        </w:rPr>
        <w:t>Manur R</w:t>
      </w:r>
      <w:r>
        <w:rPr>
          <w:rFonts w:ascii="Book Antiqua" w:hAnsi="Book Antiqua"/>
        </w:rPr>
        <w:t xml:space="preserve">, Lamzabi I. Aberrant Cytokeratin 20 Reactivity in Epithelioid Malignant Mesothelioma: A Case Report. </w:t>
      </w:r>
      <w:r>
        <w:rPr>
          <w:rFonts w:ascii="Book Antiqua" w:hAnsi="Book Antiqua"/>
          <w:i/>
          <w:iCs/>
        </w:rPr>
        <w:t>Appl Immunohistochem Mol Morphol</w:t>
      </w:r>
      <w:r>
        <w:rPr>
          <w:rFonts w:ascii="Book Antiqua" w:hAnsi="Book Antiqua"/>
        </w:rPr>
        <w:t xml:space="preserve"> 2019; </w:t>
      </w:r>
      <w:r>
        <w:rPr>
          <w:rFonts w:ascii="Book Antiqua" w:hAnsi="Book Antiqua"/>
          <w:b/>
          <w:bCs/>
        </w:rPr>
        <w:t>27</w:t>
      </w:r>
      <w:r>
        <w:rPr>
          <w:rFonts w:ascii="Book Antiqua" w:hAnsi="Book Antiqua"/>
        </w:rPr>
        <w:t>: e93-e96 [PMID: 28248731 DOI: 10.1097/PAI.0000000000000504]</w:t>
      </w:r>
    </w:p>
    <w:p>
      <w:pPr>
        <w:spacing w:line="360" w:lineRule="auto"/>
        <w:jc w:val="both"/>
        <w:rPr>
          <w:rFonts w:ascii="Book Antiqua" w:hAnsi="Book Antiqua"/>
        </w:rPr>
      </w:pPr>
      <w:r>
        <w:rPr>
          <w:rFonts w:ascii="Book Antiqua" w:hAnsi="Book Antiqua"/>
        </w:rPr>
        <w:t xml:space="preserve">14 </w:t>
      </w:r>
      <w:r>
        <w:rPr>
          <w:rFonts w:ascii="Book Antiqua" w:hAnsi="Book Antiqua"/>
          <w:b/>
          <w:bCs/>
        </w:rPr>
        <w:t>Churg A</w:t>
      </w:r>
      <w:r>
        <w:rPr>
          <w:rFonts w:ascii="Book Antiqua" w:hAnsi="Book Antiqua"/>
        </w:rPr>
        <w:t xml:space="preserve">, Sheffield BS, Galateau-Salle F. New Markers for Separating Benign From Malignant Mesothelial Proliferations: Are We There Yet? </w:t>
      </w:r>
      <w:r>
        <w:rPr>
          <w:rFonts w:ascii="Book Antiqua" w:hAnsi="Book Antiqua"/>
          <w:i/>
          <w:iCs/>
        </w:rPr>
        <w:t>Arch Pathol Lab Med</w:t>
      </w:r>
      <w:r>
        <w:rPr>
          <w:rFonts w:ascii="Book Antiqua" w:hAnsi="Book Antiqua"/>
        </w:rPr>
        <w:t xml:space="preserve"> 2016; </w:t>
      </w:r>
      <w:r>
        <w:rPr>
          <w:rFonts w:ascii="Book Antiqua" w:hAnsi="Book Antiqua"/>
          <w:b/>
          <w:bCs/>
        </w:rPr>
        <w:t>140</w:t>
      </w:r>
      <w:r>
        <w:rPr>
          <w:rFonts w:ascii="Book Antiqua" w:hAnsi="Book Antiqua"/>
        </w:rPr>
        <w:t>: 318-321 [PMID: 26288396 DOI: 10.5858/arpa.2015-0240-SA]</w:t>
      </w:r>
    </w:p>
    <w:p>
      <w:pPr>
        <w:spacing w:line="360" w:lineRule="auto"/>
        <w:jc w:val="both"/>
        <w:rPr>
          <w:rFonts w:ascii="Book Antiqua" w:hAnsi="Book Antiqua"/>
        </w:rPr>
      </w:pPr>
      <w:r>
        <w:rPr>
          <w:rFonts w:ascii="Book Antiqua" w:hAnsi="Book Antiqua"/>
        </w:rPr>
        <w:t xml:space="preserve">15 </w:t>
      </w:r>
      <w:r>
        <w:rPr>
          <w:rFonts w:ascii="Book Antiqua" w:hAnsi="Book Antiqua"/>
          <w:b/>
          <w:bCs/>
        </w:rPr>
        <w:t>Chapel DB</w:t>
      </w:r>
      <w:r>
        <w:rPr>
          <w:rFonts w:ascii="Book Antiqua" w:hAnsi="Book Antiqua"/>
        </w:rPr>
        <w:t xml:space="preserve">, Schulte JJ, Husain AN, Krausz T. Application of immunohistochemistry in diagnosis and management of malignant mesothelioma. </w:t>
      </w:r>
      <w:r>
        <w:rPr>
          <w:rFonts w:ascii="Book Antiqua" w:hAnsi="Book Antiqua"/>
          <w:i/>
          <w:iCs/>
        </w:rPr>
        <w:t>Transl Lung Cancer Res</w:t>
      </w:r>
      <w:r>
        <w:rPr>
          <w:rFonts w:ascii="Book Antiqua" w:hAnsi="Book Antiqua"/>
        </w:rPr>
        <w:t xml:space="preserve"> 2020; </w:t>
      </w:r>
      <w:r>
        <w:rPr>
          <w:rFonts w:ascii="Book Antiqua" w:hAnsi="Book Antiqua"/>
          <w:b/>
          <w:bCs/>
        </w:rPr>
        <w:t>9</w:t>
      </w:r>
      <w:r>
        <w:rPr>
          <w:rFonts w:ascii="Book Antiqua" w:hAnsi="Book Antiqua"/>
        </w:rPr>
        <w:t>: S3-S27 [PMID: 32206567 DOI: 10.21037/tlcr.2019.11.29]</w:t>
      </w:r>
    </w:p>
    <w:p>
      <w:pPr>
        <w:spacing w:line="360" w:lineRule="auto"/>
        <w:jc w:val="both"/>
        <w:rPr>
          <w:rFonts w:ascii="Book Antiqua" w:hAnsi="Book Antiqua"/>
        </w:rPr>
      </w:pPr>
      <w:r>
        <w:rPr>
          <w:rFonts w:ascii="Book Antiqua" w:hAnsi="Book Antiqua"/>
        </w:rPr>
        <w:t xml:space="preserve">16 </w:t>
      </w:r>
      <w:r>
        <w:rPr>
          <w:rFonts w:ascii="Book Antiqua" w:hAnsi="Book Antiqua"/>
          <w:b/>
          <w:bCs/>
        </w:rPr>
        <w:t>Martinez VD</w:t>
      </w:r>
      <w:r>
        <w:rPr>
          <w:rFonts w:ascii="Book Antiqua" w:hAnsi="Book Antiqua"/>
        </w:rPr>
        <w:t xml:space="preserve">, Marshall EA, Anderson C, Ng KW, Minatel BC, Sage AP, Enfield KSS, Xu Z, Lam WL. Discovery of Previously Undetected MicroRNAs in Mesothelioma and Their Use as Tissue-of-Origin Markers. </w:t>
      </w:r>
      <w:r>
        <w:rPr>
          <w:rFonts w:ascii="Book Antiqua" w:hAnsi="Book Antiqua"/>
          <w:i/>
          <w:iCs/>
        </w:rPr>
        <w:t>Am J Respir Cell Mol Biol</w:t>
      </w:r>
      <w:r>
        <w:rPr>
          <w:rFonts w:ascii="Book Antiqua" w:hAnsi="Book Antiqua"/>
        </w:rPr>
        <w:t xml:space="preserve"> 2019; </w:t>
      </w:r>
      <w:r>
        <w:rPr>
          <w:rFonts w:ascii="Book Antiqua" w:hAnsi="Book Antiqua"/>
          <w:b/>
          <w:bCs/>
        </w:rPr>
        <w:t>61</w:t>
      </w:r>
      <w:r>
        <w:rPr>
          <w:rFonts w:ascii="Book Antiqua" w:hAnsi="Book Antiqua"/>
        </w:rPr>
        <w:t>: 266-268 [PMID: 31368811 DOI: 10.1165/rcmb.2018-0204LE]</w:t>
      </w:r>
    </w:p>
    <w:p>
      <w:pPr>
        <w:spacing w:line="360" w:lineRule="auto"/>
        <w:jc w:val="both"/>
        <w:rPr>
          <w:rFonts w:ascii="Book Antiqua" w:hAnsi="Book Antiqua"/>
        </w:rPr>
      </w:pPr>
      <w:r>
        <w:rPr>
          <w:rFonts w:ascii="Book Antiqua" w:hAnsi="Book Antiqua"/>
        </w:rPr>
        <w:t xml:space="preserve">17 </w:t>
      </w:r>
      <w:r>
        <w:rPr>
          <w:rFonts w:ascii="Book Antiqua" w:hAnsi="Book Antiqua"/>
          <w:b/>
          <w:bCs/>
        </w:rPr>
        <w:t>Le Roy F</w:t>
      </w:r>
      <w:r>
        <w:rPr>
          <w:rFonts w:ascii="Book Antiqua" w:hAnsi="Book Antiqua"/>
        </w:rPr>
        <w:t xml:space="preserve">, Gelli M, Hollebecque A, Honoré C, Boige V, Dartigues P, Benhaim L, Malka D, Ducreux M, Elias D, Goéré D. Conversion to Complete Cytoreductive Surgery and Hyperthermic Intraperitoneal Chemotherapy for Malignant Peritoneal Mesothelioma After Bidirectional Chemotherapy. </w:t>
      </w:r>
      <w:r>
        <w:rPr>
          <w:rFonts w:ascii="Book Antiqua" w:hAnsi="Book Antiqua"/>
          <w:i/>
          <w:iCs/>
        </w:rPr>
        <w:t>Ann Surg Oncol</w:t>
      </w:r>
      <w:r>
        <w:rPr>
          <w:rFonts w:ascii="Book Antiqua" w:hAnsi="Book Antiqua"/>
        </w:rPr>
        <w:t xml:space="preserve"> 2017; </w:t>
      </w:r>
      <w:r>
        <w:rPr>
          <w:rFonts w:ascii="Book Antiqua" w:hAnsi="Book Antiqua"/>
          <w:b/>
          <w:bCs/>
        </w:rPr>
        <w:t>24</w:t>
      </w:r>
      <w:r>
        <w:rPr>
          <w:rFonts w:ascii="Book Antiqua" w:hAnsi="Book Antiqua"/>
        </w:rPr>
        <w:t>: 3640-3646 [PMID: 28849389 DOI: 10.1245/s10434-017-6033-x]</w:t>
      </w:r>
    </w:p>
    <w:p>
      <w:pPr>
        <w:spacing w:line="360" w:lineRule="auto"/>
        <w:jc w:val="both"/>
        <w:rPr>
          <w:rFonts w:ascii="Book Antiqua" w:hAnsi="Book Antiqua"/>
        </w:rPr>
      </w:pPr>
      <w:r>
        <w:rPr>
          <w:rFonts w:ascii="Book Antiqua" w:hAnsi="Book Antiqua"/>
        </w:rPr>
        <w:t xml:space="preserve">18 </w:t>
      </w:r>
      <w:r>
        <w:rPr>
          <w:rFonts w:ascii="Book Antiqua" w:hAnsi="Book Antiqua"/>
          <w:b/>
          <w:bCs/>
        </w:rPr>
        <w:t>Kusamura S</w:t>
      </w:r>
      <w:r>
        <w:rPr>
          <w:rFonts w:ascii="Book Antiqua" w:hAnsi="Book Antiqua"/>
        </w:rPr>
        <w:t xml:space="preserve">, Kepenekian V, Villeneuve L, Lurvink RJ, Govaerts K, De Hingh IHJT, Moran BJ, Van der Speeten K, Deraco M, Glehen O; PSOGI. Peritoneal mesothelioma: PSOGI/EURACAN clinical practice guidelines for diagnosis, treatment and follow-up. </w:t>
      </w:r>
      <w:r>
        <w:rPr>
          <w:rFonts w:ascii="Book Antiqua" w:hAnsi="Book Antiqua"/>
          <w:i/>
          <w:iCs/>
        </w:rPr>
        <w:t>Eur J Surg Oncol</w:t>
      </w:r>
      <w:r>
        <w:rPr>
          <w:rFonts w:ascii="Book Antiqua" w:hAnsi="Book Antiqua"/>
        </w:rPr>
        <w:t xml:space="preserve"> 2021; </w:t>
      </w:r>
      <w:r>
        <w:rPr>
          <w:rFonts w:ascii="Book Antiqua" w:hAnsi="Book Antiqua"/>
          <w:b/>
          <w:bCs/>
        </w:rPr>
        <w:t>47</w:t>
      </w:r>
      <w:r>
        <w:rPr>
          <w:rFonts w:ascii="Book Antiqua" w:hAnsi="Book Antiqua"/>
        </w:rPr>
        <w:t>: 36-59 [PMID: 32209311 DOI: 10.1016/j.ejso.2020.02.011]</w:t>
      </w:r>
    </w:p>
    <w:p>
      <w:pPr>
        <w:spacing w:line="360" w:lineRule="auto"/>
        <w:jc w:val="both"/>
        <w:rPr>
          <w:rFonts w:ascii="Book Antiqua" w:hAnsi="Book Antiqua"/>
        </w:rPr>
      </w:pPr>
      <w:r>
        <w:rPr>
          <w:rFonts w:ascii="Book Antiqua" w:hAnsi="Book Antiqua"/>
        </w:rPr>
        <w:t xml:space="preserve">19 </w:t>
      </w:r>
      <w:r>
        <w:rPr>
          <w:rFonts w:ascii="Book Antiqua" w:hAnsi="Book Antiqua"/>
          <w:b/>
          <w:bCs/>
        </w:rPr>
        <w:t>Randle RW</w:t>
      </w:r>
      <w:r>
        <w:rPr>
          <w:rFonts w:ascii="Book Antiqua" w:hAnsi="Book Antiqua"/>
        </w:rPr>
        <w:t xml:space="preserve">, Swett KR, Swords DS, Shen P, Stewart JH, Levine EA, Votanopoulos KI. Efficacy of cytoreductive surgery with hyperthermic intraperitoneal chemotherapy in the management of malignant ascites. </w:t>
      </w:r>
      <w:r>
        <w:rPr>
          <w:rFonts w:ascii="Book Antiqua" w:hAnsi="Book Antiqua"/>
          <w:i/>
          <w:iCs/>
        </w:rPr>
        <w:t>Ann Surg Oncol</w:t>
      </w:r>
      <w:r>
        <w:rPr>
          <w:rFonts w:ascii="Book Antiqua" w:hAnsi="Book Antiqua"/>
        </w:rPr>
        <w:t xml:space="preserve"> 2014; </w:t>
      </w:r>
      <w:r>
        <w:rPr>
          <w:rFonts w:ascii="Book Antiqua" w:hAnsi="Book Antiqua"/>
          <w:b/>
          <w:bCs/>
        </w:rPr>
        <w:t>21</w:t>
      </w:r>
      <w:r>
        <w:rPr>
          <w:rFonts w:ascii="Book Antiqua" w:hAnsi="Book Antiqua"/>
        </w:rPr>
        <w:t>: 1474-1479 [PMID: 23982251 DOI: 10.1245/s10434-013-3224-y]</w:t>
      </w:r>
    </w:p>
    <w:p>
      <w:pPr>
        <w:spacing w:line="360" w:lineRule="auto"/>
        <w:jc w:val="both"/>
        <w:rPr>
          <w:rFonts w:ascii="Book Antiqua" w:hAnsi="Book Antiqua"/>
        </w:rPr>
      </w:pPr>
      <w:r>
        <w:rPr>
          <w:rFonts w:ascii="Book Antiqua" w:hAnsi="Book Antiqua"/>
        </w:rPr>
        <w:t xml:space="preserve">20 </w:t>
      </w:r>
      <w:r>
        <w:rPr>
          <w:rFonts w:ascii="Book Antiqua" w:hAnsi="Book Antiqua"/>
          <w:b/>
          <w:bCs/>
        </w:rPr>
        <w:t>Sugarbaker PH</w:t>
      </w:r>
      <w:r>
        <w:rPr>
          <w:rFonts w:ascii="Book Antiqua" w:hAnsi="Book Antiqua"/>
        </w:rPr>
        <w:t xml:space="preserve">. Update on the management of malignant peritoneal mesothelioma. </w:t>
      </w:r>
      <w:r>
        <w:rPr>
          <w:rFonts w:ascii="Book Antiqua" w:hAnsi="Book Antiqua"/>
          <w:i/>
          <w:iCs/>
        </w:rPr>
        <w:t>Transl Lung Cancer Res</w:t>
      </w:r>
      <w:r>
        <w:rPr>
          <w:rFonts w:ascii="Book Antiqua" w:hAnsi="Book Antiqua"/>
        </w:rPr>
        <w:t xml:space="preserve"> 2018; </w:t>
      </w:r>
      <w:r>
        <w:rPr>
          <w:rFonts w:ascii="Book Antiqua" w:hAnsi="Book Antiqua"/>
          <w:b/>
          <w:bCs/>
        </w:rPr>
        <w:t>7</w:t>
      </w:r>
      <w:r>
        <w:rPr>
          <w:rFonts w:ascii="Book Antiqua" w:hAnsi="Book Antiqua"/>
        </w:rPr>
        <w:t>: 599-608 [PMID: 30450299 DOI: 10.21037/tlcr.2018.08.03]</w:t>
      </w:r>
    </w:p>
    <w:p>
      <w:pPr>
        <w:spacing w:line="360" w:lineRule="auto"/>
        <w:jc w:val="both"/>
        <w:rPr>
          <w:rFonts w:ascii="Book Antiqua" w:hAnsi="Book Antiqua"/>
        </w:rPr>
      </w:pPr>
      <w:r>
        <w:rPr>
          <w:rFonts w:ascii="Book Antiqua" w:hAnsi="Book Antiqua"/>
        </w:rPr>
        <w:t xml:space="preserve">21 </w:t>
      </w:r>
      <w:r>
        <w:rPr>
          <w:rFonts w:ascii="Book Antiqua" w:hAnsi="Book Antiqua"/>
          <w:b/>
          <w:bCs/>
        </w:rPr>
        <w:t>Lapidot M</w:t>
      </w:r>
      <w:r>
        <w:rPr>
          <w:rFonts w:ascii="Book Antiqua" w:hAnsi="Book Antiqua"/>
        </w:rPr>
        <w:t xml:space="preserve">, Saladi SV, Salgia R, Sattler M. Novel Therapeutic Targets and Immune Dysfunction in Malignant Pleural Mesothelioma. </w:t>
      </w:r>
      <w:r>
        <w:rPr>
          <w:rFonts w:ascii="Book Antiqua" w:hAnsi="Book Antiqua"/>
          <w:i/>
          <w:iCs/>
        </w:rPr>
        <w:t>Front Pharmacol</w:t>
      </w:r>
      <w:r>
        <w:rPr>
          <w:rFonts w:ascii="Book Antiqua" w:hAnsi="Book Antiqua"/>
        </w:rPr>
        <w:t xml:space="preserve"> 2021; </w:t>
      </w:r>
      <w:r>
        <w:rPr>
          <w:rFonts w:ascii="Book Antiqua" w:hAnsi="Book Antiqua"/>
          <w:b/>
          <w:bCs/>
        </w:rPr>
        <w:t>12</w:t>
      </w:r>
      <w:r>
        <w:rPr>
          <w:rFonts w:ascii="Book Antiqua" w:hAnsi="Book Antiqua"/>
        </w:rPr>
        <w:t>: 806570 [PMID: 35069219 DOI: 10.3389/fphar.2021.806570]</w:t>
      </w:r>
    </w:p>
    <w:p>
      <w:pPr>
        <w:spacing w:line="360" w:lineRule="auto"/>
        <w:jc w:val="both"/>
        <w:rPr>
          <w:rFonts w:ascii="Book Antiqua" w:hAnsi="Book Antiqua"/>
        </w:rPr>
      </w:pPr>
      <w:r>
        <w:rPr>
          <w:rFonts w:ascii="Book Antiqua" w:hAnsi="Book Antiqua"/>
        </w:rPr>
        <w:t xml:space="preserve">22 </w:t>
      </w:r>
      <w:r>
        <w:rPr>
          <w:rFonts w:ascii="Book Antiqua" w:hAnsi="Book Antiqua"/>
          <w:b/>
          <w:bCs/>
        </w:rPr>
        <w:t>Fennell DA</w:t>
      </w:r>
      <w:r>
        <w:rPr>
          <w:rFonts w:ascii="Book Antiqua" w:hAnsi="Book Antiqua"/>
        </w:rPr>
        <w:t xml:space="preserve">, Ewings S, Ottensmeier C, Califano R, Hanna GG, Hill K, Danson S, Steele N, Nye M, Johnson L, Lord J, Middleton C, Szlosarek P, Chan S, Gaba A, Darlison L, Wells-Jordan P, Richards C, Poile C, Lester JF, Griffiths G; CONFIRM trial investigators. Nivolumab versus placebo in patients with relapsed malignant mesothelioma (CONFIRM): a multicentre, double-blind, randomised, phase 3 trial. </w:t>
      </w:r>
      <w:r>
        <w:rPr>
          <w:rFonts w:ascii="Book Antiqua" w:hAnsi="Book Antiqua"/>
          <w:i/>
          <w:iCs/>
        </w:rPr>
        <w:t>Lancet Oncol</w:t>
      </w:r>
      <w:r>
        <w:rPr>
          <w:rFonts w:ascii="Book Antiqua" w:hAnsi="Book Antiqua"/>
        </w:rPr>
        <w:t xml:space="preserve"> 2021; </w:t>
      </w:r>
      <w:r>
        <w:rPr>
          <w:rFonts w:ascii="Book Antiqua" w:hAnsi="Book Antiqua"/>
          <w:b/>
          <w:bCs/>
        </w:rPr>
        <w:t>22</w:t>
      </w:r>
      <w:r>
        <w:rPr>
          <w:rFonts w:ascii="Book Antiqua" w:hAnsi="Book Antiqua"/>
        </w:rPr>
        <w:t>: 1530-1540 [PMID: 34656227 DOI: 10.1016/S1470-2045(21)00471-X]</w:t>
      </w:r>
    </w:p>
    <w:p>
      <w:pPr>
        <w:spacing w:line="360" w:lineRule="auto"/>
        <w:jc w:val="both"/>
        <w:rPr>
          <w:rFonts w:ascii="Book Antiqua" w:hAnsi="Book Antiqua"/>
        </w:rPr>
      </w:pPr>
      <w:r>
        <w:rPr>
          <w:rFonts w:ascii="Book Antiqua" w:hAnsi="Book Antiqua"/>
        </w:rPr>
        <w:t xml:space="preserve">23 </w:t>
      </w:r>
      <w:r>
        <w:rPr>
          <w:rFonts w:ascii="Book Antiqua" w:hAnsi="Book Antiqua"/>
          <w:b/>
          <w:bCs/>
        </w:rPr>
        <w:t>Calabrò L</w:t>
      </w:r>
      <w:r>
        <w:rPr>
          <w:rFonts w:ascii="Book Antiqua" w:hAnsi="Book Antiqua"/>
        </w:rPr>
        <w:t xml:space="preserve">, Morra A, Fonsatti E, Cutaia O, Fazio C, Annesi D, Lenoci M, Amato G, Danielli R, Altomonte M, Giannarelli D, Di Giacomo AM, Maio M. Efficacy and safety of an intensified schedule of tremelimumab for chemotherapy-resistant malignant mesothelioma: an open-label, single-arm, phase 2 study. </w:t>
      </w:r>
      <w:r>
        <w:rPr>
          <w:rFonts w:ascii="Book Antiqua" w:hAnsi="Book Antiqua"/>
          <w:i/>
          <w:iCs/>
        </w:rPr>
        <w:t>Lancet Respir Med</w:t>
      </w:r>
      <w:r>
        <w:rPr>
          <w:rFonts w:ascii="Book Antiqua" w:hAnsi="Book Antiqua"/>
        </w:rPr>
        <w:t xml:space="preserve"> 2015; </w:t>
      </w:r>
      <w:r>
        <w:rPr>
          <w:rFonts w:ascii="Book Antiqua" w:hAnsi="Book Antiqua"/>
          <w:b/>
          <w:bCs/>
        </w:rPr>
        <w:t>3</w:t>
      </w:r>
      <w:r>
        <w:rPr>
          <w:rFonts w:ascii="Book Antiqua" w:hAnsi="Book Antiqua"/>
        </w:rPr>
        <w:t>: 301-309 [PMID: 25819643 DOI: 10.1016/S2213-2600(15)00092-2]</w:t>
      </w:r>
    </w:p>
    <w:p>
      <w:pPr>
        <w:spacing w:line="360" w:lineRule="auto"/>
        <w:jc w:val="both"/>
        <w:rPr>
          <w:rFonts w:ascii="Book Antiqua" w:hAnsi="Book Antiqua"/>
        </w:rPr>
      </w:pPr>
      <w:r>
        <w:rPr>
          <w:rFonts w:ascii="Book Antiqua" w:hAnsi="Book Antiqua"/>
        </w:rPr>
        <w:t xml:space="preserve">24 </w:t>
      </w:r>
      <w:r>
        <w:rPr>
          <w:rFonts w:ascii="Book Antiqua" w:hAnsi="Book Antiqua"/>
          <w:b/>
          <w:bCs/>
        </w:rPr>
        <w:t>Maio M</w:t>
      </w:r>
      <w:r>
        <w:rPr>
          <w:rFonts w:ascii="Book Antiqua" w:hAnsi="Book Antiqua"/>
        </w:rPr>
        <w:t xml:space="preserve">, Scherpereel A, Calabrò L, Aerts J, Perez SC, Bearz A, Nackaerts K, Fennell DA, Kowalski D, Tsao AS, Taylor P, Grosso F, Antonia SJ, Nowak AK, Taboada M, Puglisi M, Stockman PK, Kindler HL. Tremelimumab as second-line or third-line treatment in relapsed malignant mesothelioma (DETERMINE): a multicentre, international, randomised, double-blind, placebo-controlled phase 2b trial. </w:t>
      </w:r>
      <w:r>
        <w:rPr>
          <w:rFonts w:ascii="Book Antiqua" w:hAnsi="Book Antiqua"/>
          <w:i/>
          <w:iCs/>
        </w:rPr>
        <w:t>Lancet Oncol</w:t>
      </w:r>
      <w:r>
        <w:rPr>
          <w:rFonts w:ascii="Book Antiqua" w:hAnsi="Book Antiqua"/>
        </w:rPr>
        <w:t xml:space="preserve"> 2017; </w:t>
      </w:r>
      <w:r>
        <w:rPr>
          <w:rFonts w:ascii="Book Antiqua" w:hAnsi="Book Antiqua"/>
          <w:b/>
          <w:bCs/>
        </w:rPr>
        <w:t>18</w:t>
      </w:r>
      <w:r>
        <w:rPr>
          <w:rFonts w:ascii="Book Antiqua" w:hAnsi="Book Antiqua"/>
        </w:rPr>
        <w:t>: 1261-1273 [PMID: 28729154 DOI: 10.1016/S1470-2045(17)30446-1]</w:t>
      </w:r>
    </w:p>
    <w:p>
      <w:pPr>
        <w:spacing w:line="360" w:lineRule="auto"/>
        <w:jc w:val="both"/>
        <w:rPr>
          <w:rFonts w:ascii="Book Antiqua" w:hAnsi="Book Antiqua"/>
        </w:rPr>
      </w:pPr>
      <w:r>
        <w:rPr>
          <w:rFonts w:ascii="Book Antiqua" w:hAnsi="Book Antiqua"/>
        </w:rPr>
        <w:t xml:space="preserve">25 </w:t>
      </w:r>
      <w:r>
        <w:rPr>
          <w:rFonts w:ascii="Book Antiqua" w:hAnsi="Book Antiqua"/>
          <w:b/>
          <w:bCs/>
        </w:rPr>
        <w:t>Verma V</w:t>
      </w:r>
      <w:r>
        <w:rPr>
          <w:rFonts w:ascii="Book Antiqua" w:hAnsi="Book Antiqua"/>
        </w:rPr>
        <w:t xml:space="preserve">, Sleightholm RL, Rusthoven CG, Koshy M, Sher DJ, Grover S, Simone CB 2nd. Malignant Peritoneal Mesothelioma: National Practice Patterns, Outcomes, and Predictors of Survival. </w:t>
      </w:r>
      <w:r>
        <w:rPr>
          <w:rFonts w:ascii="Book Antiqua" w:hAnsi="Book Antiqua"/>
          <w:i/>
          <w:iCs/>
        </w:rPr>
        <w:t>Ann Surg Oncol</w:t>
      </w:r>
      <w:r>
        <w:rPr>
          <w:rFonts w:ascii="Book Antiqua" w:hAnsi="Book Antiqua"/>
        </w:rPr>
        <w:t xml:space="preserve"> 2018; </w:t>
      </w:r>
      <w:r>
        <w:rPr>
          <w:rFonts w:ascii="Book Antiqua" w:hAnsi="Book Antiqua"/>
          <w:b/>
          <w:bCs/>
        </w:rPr>
        <w:t>25</w:t>
      </w:r>
      <w:r>
        <w:rPr>
          <w:rFonts w:ascii="Book Antiqua" w:hAnsi="Book Antiqua"/>
        </w:rPr>
        <w:t>: 2018-2026 [PMID: 29721724 DOI: 10.1245/s10434-018-6499-1]</w:t>
      </w:r>
    </w:p>
    <w:p>
      <w:pPr>
        <w:spacing w:line="360" w:lineRule="auto"/>
        <w:jc w:val="both"/>
        <w:rPr>
          <w:rFonts w:ascii="Book Antiqua" w:hAnsi="Book Antiqua"/>
        </w:rPr>
      </w:pPr>
      <w:r>
        <w:rPr>
          <w:rFonts w:ascii="Book Antiqua" w:hAnsi="Book Antiqua"/>
        </w:rPr>
        <w:t xml:space="preserve">26 </w:t>
      </w:r>
      <w:r>
        <w:rPr>
          <w:rFonts w:ascii="Book Antiqua" w:hAnsi="Book Antiqua"/>
          <w:b/>
          <w:bCs/>
        </w:rPr>
        <w:t>Naffouje SA</w:t>
      </w:r>
      <w:r>
        <w:rPr>
          <w:rFonts w:ascii="Book Antiqua" w:hAnsi="Book Antiqua"/>
        </w:rPr>
        <w:t xml:space="preserve">, Tulla KA, Salti GI. The impact of chemotherapy and its timing on survival in malignant peritoneal mesothelioma treated with complete debulking. </w:t>
      </w:r>
      <w:r>
        <w:rPr>
          <w:rFonts w:ascii="Book Antiqua" w:hAnsi="Book Antiqua"/>
          <w:i/>
          <w:iCs/>
        </w:rPr>
        <w:t>Med Oncol</w:t>
      </w:r>
      <w:r>
        <w:rPr>
          <w:rFonts w:ascii="Book Antiqua" w:hAnsi="Book Antiqua"/>
        </w:rPr>
        <w:t xml:space="preserve"> 2018; </w:t>
      </w:r>
      <w:r>
        <w:rPr>
          <w:rFonts w:ascii="Book Antiqua" w:hAnsi="Book Antiqua"/>
          <w:b/>
          <w:bCs/>
        </w:rPr>
        <w:t>35</w:t>
      </w:r>
      <w:r>
        <w:rPr>
          <w:rFonts w:ascii="Book Antiqua" w:hAnsi="Book Antiqua"/>
        </w:rPr>
        <w:t>: 69 [PMID: 29651664 DOI: 10.1007/s12032-018-1125-4]</w:t>
      </w:r>
    </w:p>
    <w:p>
      <w:pPr>
        <w:spacing w:line="360" w:lineRule="auto"/>
        <w:jc w:val="both"/>
        <w:rPr>
          <w:rFonts w:ascii="Book Antiqua" w:hAnsi="Book Antiqua"/>
        </w:rPr>
      </w:pPr>
      <w:r>
        <w:rPr>
          <w:rFonts w:ascii="Book Antiqua" w:hAnsi="Book Antiqua"/>
        </w:rPr>
        <w:t xml:space="preserve">27 </w:t>
      </w:r>
      <w:r>
        <w:rPr>
          <w:rFonts w:ascii="Book Antiqua" w:hAnsi="Book Antiqua"/>
          <w:b/>
          <w:bCs/>
        </w:rPr>
        <w:t>Jänne PA</w:t>
      </w:r>
      <w:r>
        <w:rPr>
          <w:rFonts w:ascii="Book Antiqua" w:hAnsi="Book Antiqua"/>
        </w:rPr>
        <w:t xml:space="preserve">, Wozniak AJ, Belani CP, Keohan ML, Ross HJ, Polikoff JA, Mintzer DM, Taylor L, Ashland J, Ye Z, Monberg MJ, Obasaju CK. Open-label study of pemetrexed alone or in combination with cisplatin for the treatment of patients with peritoneal mesothelioma: outcomes of an expanded access program. </w:t>
      </w:r>
      <w:r>
        <w:rPr>
          <w:rFonts w:ascii="Book Antiqua" w:hAnsi="Book Antiqua"/>
          <w:i/>
          <w:iCs/>
        </w:rPr>
        <w:t>Clin Lung Cancer</w:t>
      </w:r>
      <w:r>
        <w:rPr>
          <w:rFonts w:ascii="Book Antiqua" w:hAnsi="Book Antiqua"/>
        </w:rPr>
        <w:t xml:space="preserve"> 2005; </w:t>
      </w:r>
      <w:r>
        <w:rPr>
          <w:rFonts w:ascii="Book Antiqua" w:hAnsi="Book Antiqua"/>
          <w:b/>
          <w:bCs/>
        </w:rPr>
        <w:t>7</w:t>
      </w:r>
      <w:r>
        <w:rPr>
          <w:rFonts w:ascii="Book Antiqua" w:hAnsi="Book Antiqua"/>
        </w:rPr>
        <w:t>: 40-46 [PMID: 16098243 DOI: 10.3816/CLC.2005.n.020]</w:t>
      </w:r>
    </w:p>
    <w:p>
      <w:pPr>
        <w:spacing w:line="360" w:lineRule="auto"/>
        <w:jc w:val="both"/>
        <w:rPr>
          <w:rFonts w:ascii="Book Antiqua" w:hAnsi="Book Antiqua"/>
        </w:rPr>
      </w:pPr>
      <w:r>
        <w:rPr>
          <w:rFonts w:ascii="Book Antiqua" w:hAnsi="Book Antiqua"/>
        </w:rPr>
        <w:t xml:space="preserve">28 </w:t>
      </w:r>
      <w:r>
        <w:rPr>
          <w:rFonts w:ascii="Book Antiqua" w:hAnsi="Book Antiqua"/>
          <w:b/>
          <w:bCs/>
        </w:rPr>
        <w:t>Ikushima H</w:t>
      </w:r>
      <w:r>
        <w:rPr>
          <w:rFonts w:ascii="Book Antiqua" w:hAnsi="Book Antiqua"/>
        </w:rPr>
        <w:t xml:space="preserve">, Sakatani T, Ohara S, Takeshima H, Horiuchi H, Morikawa T, Usui K. Cisplatin plus pemetrexed therapy and subsequent immune checkpoint inhibitor administration for malignant peritoneal mesothelioma without pleural lesions: Case report. </w:t>
      </w:r>
      <w:r>
        <w:rPr>
          <w:rFonts w:ascii="Book Antiqua" w:hAnsi="Book Antiqua"/>
          <w:i/>
          <w:iCs/>
        </w:rPr>
        <w:t>Medicine (Baltimore)</w:t>
      </w:r>
      <w:r>
        <w:rPr>
          <w:rFonts w:ascii="Book Antiqua" w:hAnsi="Book Antiqua"/>
        </w:rPr>
        <w:t xml:space="preserve"> 2020; </w:t>
      </w:r>
      <w:r>
        <w:rPr>
          <w:rFonts w:ascii="Book Antiqua" w:hAnsi="Book Antiqua"/>
          <w:b/>
          <w:bCs/>
        </w:rPr>
        <w:t>99</w:t>
      </w:r>
      <w:r>
        <w:rPr>
          <w:rFonts w:ascii="Book Antiqua" w:hAnsi="Book Antiqua"/>
        </w:rPr>
        <w:t>: e19956 [PMID: 32481365 DOI: 10.1097/MD.0000000000019956]</w:t>
      </w:r>
    </w:p>
    <w:p>
      <w:pPr>
        <w:spacing w:line="360" w:lineRule="auto"/>
        <w:jc w:val="both"/>
        <w:rPr>
          <w:rFonts w:ascii="Book Antiqua" w:hAnsi="Book Antiqua"/>
        </w:rPr>
      </w:pPr>
      <w:r>
        <w:rPr>
          <w:rFonts w:ascii="Book Antiqua" w:hAnsi="Book Antiqua"/>
        </w:rPr>
        <w:t xml:space="preserve">29 </w:t>
      </w:r>
      <w:r>
        <w:rPr>
          <w:rFonts w:ascii="Book Antiqua" w:hAnsi="Book Antiqua"/>
          <w:b/>
          <w:bCs/>
        </w:rPr>
        <w:t>Pezzuto F</w:t>
      </w:r>
      <w:r>
        <w:rPr>
          <w:rFonts w:ascii="Book Antiqua" w:hAnsi="Book Antiqua"/>
        </w:rPr>
        <w:t xml:space="preserve">, Vimercati L, Fortarezza F, Marzullo A, Pennella A, Cavone D, Punzi A, Caporusso C, d'Amati A, Lettini T, Serio G. Evaluation of prognostic histological parameters proposed for pleural mesothelioma in diffuse malignant peritoneal mesothelioma. A short report. </w:t>
      </w:r>
      <w:r>
        <w:rPr>
          <w:rFonts w:ascii="Book Antiqua" w:hAnsi="Book Antiqua"/>
          <w:i/>
          <w:iCs/>
        </w:rPr>
        <w:t>Diagn Pathol</w:t>
      </w:r>
      <w:r>
        <w:rPr>
          <w:rFonts w:ascii="Book Antiqua" w:hAnsi="Book Antiqua"/>
        </w:rPr>
        <w:t xml:space="preserve"> 2021; </w:t>
      </w:r>
      <w:r>
        <w:rPr>
          <w:rFonts w:ascii="Book Antiqua" w:hAnsi="Book Antiqua"/>
          <w:b/>
          <w:bCs/>
        </w:rPr>
        <w:t>16</w:t>
      </w:r>
      <w:r>
        <w:rPr>
          <w:rFonts w:ascii="Book Antiqua" w:hAnsi="Book Antiqua"/>
        </w:rPr>
        <w:t>: 64 [PMID: 34294087 DOI: 10.1186/s13000-021-01125-z]</w:t>
      </w:r>
    </w:p>
    <w:p>
      <w:pPr>
        <w:spacing w:line="360" w:lineRule="auto"/>
        <w:jc w:val="both"/>
        <w:rPr>
          <w:rFonts w:ascii="Book Antiqua" w:hAnsi="Book Antiqua"/>
          <w:color w:val="000000" w:themeColor="text1"/>
          <w14:textFill>
            <w14:solidFill>
              <w14:schemeClr w14:val="tx1"/>
            </w14:solidFill>
          </w14:textFill>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Footnotes</w:t>
      </w:r>
    </w:p>
    <w:p>
      <w:pPr>
        <w:spacing w:line="360" w:lineRule="auto"/>
        <w:jc w:val="both"/>
        <w:rPr>
          <w:rFonts w:ascii="Book Antiqua" w:hAnsi="Book Antiqua" w:eastAsia="Book Antiqua" w:cs="Book Antiqua"/>
          <w:color w:val="000000" w:themeColor="text1"/>
          <w:shd w:val="clear" w:color="auto" w:fill="FFFFFF"/>
          <w:lang w:eastAsia="zh-CN"/>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Informed consent statement: </w:t>
      </w:r>
      <w:bookmarkStart w:id="48" w:name="OLE_LINK4857"/>
      <w:bookmarkStart w:id="49" w:name="OLE_LINK4856"/>
      <w:r>
        <w:rPr>
          <w:rFonts w:ascii="Book Antiqua" w:hAnsi="Book Antiqua" w:eastAsia="Book Antiqua" w:cs="Book Antiqua"/>
          <w:color w:val="000000"/>
        </w:rPr>
        <w:t>Informed written consent was obtained from the patient for publication of this report and any accompanying images.</w:t>
      </w:r>
      <w:bookmarkEnd w:id="48"/>
      <w:bookmarkEnd w:id="49"/>
    </w:p>
    <w:p>
      <w:pPr>
        <w:spacing w:line="360" w:lineRule="auto"/>
        <w:jc w:val="both"/>
        <w:rPr>
          <w:rFonts w:ascii="Book Antiqua" w:hAnsi="Book Antiqua"/>
          <w:color w:val="000000" w:themeColor="text1"/>
          <w:lang w:eastAsia="zh-CN"/>
          <w14:textFill>
            <w14:solidFill>
              <w14:schemeClr w14:val="tx1"/>
            </w14:solidFill>
          </w14:textFill>
        </w:rPr>
      </w:pP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Conflict-of-interest statement: </w:t>
      </w:r>
      <w:r>
        <w:rPr>
          <w:rFonts w:ascii="Book Antiqua" w:hAnsi="Book Antiqua" w:eastAsia="Book Antiqua" w:cs="Book Antiqua"/>
          <w:color w:val="000000" w:themeColor="text1"/>
          <w14:textFill>
            <w14:solidFill>
              <w14:schemeClr w14:val="tx1"/>
            </w14:solidFill>
          </w14:textFill>
        </w:rPr>
        <w:t>The authors declare that the study was conducted without any business or financial relationships that could be interpreted as potential conflicts of interest.</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eastAsia="Book Antiqua" w:cs="Book Antiqua"/>
          <w:color w:val="000000" w:themeColor="text1"/>
          <w:shd w:val="clear" w:color="auto" w:fill="FFFFFF"/>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CARE Checklist (2016) statement: </w:t>
      </w:r>
      <w:r>
        <w:rPr>
          <w:rFonts w:ascii="Book Antiqua" w:hAnsi="Book Antiqua" w:eastAsia="Book Antiqua" w:cs="Book Antiqua"/>
          <w:color w:val="000000" w:themeColor="text1"/>
          <w:shd w:val="clear" w:color="auto" w:fill="FFFFFF"/>
          <w14:textFill>
            <w14:solidFill>
              <w14:schemeClr w14:val="tx1"/>
            </w14:solidFill>
          </w14:textFill>
        </w:rPr>
        <w:t>The authors have read the CARE Checklist (2016), and the manuscript was prepared and revised according to the CARE Checklist (2016).</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Open-Access: </w:t>
      </w:r>
      <w:r>
        <w:rPr>
          <w:rFonts w:ascii="Book Antiqua" w:hAnsi="Book Antiqua" w:eastAsia="Book Antiqua" w:cs="Book Antiqua"/>
          <w:color w:val="000000" w:themeColor="text1"/>
          <w14:textFill>
            <w14:solidFill>
              <w14:schemeClr w14:val="tx1"/>
            </w14:solidFill>
          </w14:textFill>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Provenance and peer review: </w:t>
      </w:r>
      <w:r>
        <w:rPr>
          <w:rFonts w:ascii="Book Antiqua" w:hAnsi="Book Antiqua" w:eastAsia="Book Antiqua" w:cs="Book Antiqua"/>
          <w:color w:val="000000" w:themeColor="text1"/>
          <w14:textFill>
            <w14:solidFill>
              <w14:schemeClr w14:val="tx1"/>
            </w14:solidFill>
          </w14:textFill>
        </w:rPr>
        <w:t>Unsolicited article; Externally peer reviewed.</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Peer-review model: </w:t>
      </w:r>
      <w:r>
        <w:rPr>
          <w:rFonts w:ascii="Book Antiqua" w:hAnsi="Book Antiqua" w:eastAsia="Book Antiqua" w:cs="Book Antiqua"/>
          <w:color w:val="000000" w:themeColor="text1"/>
          <w14:textFill>
            <w14:solidFill>
              <w14:schemeClr w14:val="tx1"/>
            </w14:solidFill>
          </w14:textFill>
        </w:rPr>
        <w:t>Single blind</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Peer-review started: </w:t>
      </w:r>
      <w:r>
        <w:rPr>
          <w:rFonts w:ascii="Book Antiqua" w:hAnsi="Book Antiqua" w:eastAsia="Book Antiqua" w:cs="Book Antiqua"/>
          <w:color w:val="000000" w:themeColor="text1"/>
          <w14:textFill>
            <w14:solidFill>
              <w14:schemeClr w14:val="tx1"/>
            </w14:solidFill>
          </w14:textFill>
        </w:rPr>
        <w:t>May 31, 2022</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First decision: </w:t>
      </w:r>
      <w:r>
        <w:rPr>
          <w:rFonts w:ascii="Book Antiqua" w:hAnsi="Book Antiqua" w:eastAsia="Book Antiqua" w:cs="Book Antiqua"/>
          <w:color w:val="000000" w:themeColor="text1"/>
          <w14:textFill>
            <w14:solidFill>
              <w14:schemeClr w14:val="tx1"/>
            </w14:solidFill>
          </w14:textFill>
        </w:rPr>
        <w:t>June 8, 2022</w:t>
      </w:r>
    </w:p>
    <w:p>
      <w:pPr>
        <w:spacing w:line="360" w:lineRule="auto"/>
        <w:jc w:val="both"/>
        <w:rPr>
          <w:rFonts w:ascii="Book Antiqua" w:hAnsi="Book Antiqua" w:eastAsia="Book Antiqua" w:cs="Book Antiqua"/>
          <w:b/>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Article in press:</w:t>
      </w:r>
      <w:r>
        <w:rPr>
          <w:rFonts w:ascii="Book Antiqua" w:hAnsi="Book Antiqua" w:eastAsia="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b w:val="0"/>
          <w:bCs w:val="0"/>
          <w:color w:val="000000" w:themeColor="text1"/>
          <w14:textFill>
            <w14:solidFill>
              <w14:schemeClr w14:val="tx1"/>
            </w14:solidFill>
          </w14:textFill>
        </w:rPr>
        <w:t>August 16, 2022</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Specialty type: </w:t>
      </w:r>
      <w:r>
        <w:rPr>
          <w:rFonts w:ascii="Book Antiqua" w:hAnsi="Book Antiqua" w:eastAsia="Book Antiqua" w:cs="Book Antiqua"/>
          <w:color w:val="000000" w:themeColor="text1"/>
          <w14:textFill>
            <w14:solidFill>
              <w14:schemeClr w14:val="tx1"/>
            </w14:solidFill>
          </w14:textFill>
        </w:rPr>
        <w:t xml:space="preserve">Oncology </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Country/Territory of origin: </w:t>
      </w:r>
      <w:r>
        <w:rPr>
          <w:rFonts w:ascii="Book Antiqua" w:hAnsi="Book Antiqua" w:eastAsia="Book Antiqua" w:cs="Book Antiqua"/>
          <w:color w:val="000000" w:themeColor="text1"/>
          <w14:textFill>
            <w14:solidFill>
              <w14:schemeClr w14:val="tx1"/>
            </w14:solidFill>
          </w14:textFill>
        </w:rPr>
        <w:t>China</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Peer-review report’s scientific quality classification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A (Excellent): 0</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B (Very good): B</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C (Good): C</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D (Fair): 0</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E (Poor): 0</w:t>
      </w:r>
    </w:p>
    <w:p>
      <w:pPr>
        <w:spacing w:line="360" w:lineRule="auto"/>
        <w:jc w:val="both"/>
        <w:rPr>
          <w:rFonts w:ascii="Book Antiqua" w:hAnsi="Book Antiqua"/>
          <w:color w:val="000000" w:themeColor="text1"/>
          <w:lang w:eastAsia="zh-CN"/>
          <w14:textFill>
            <w14:solidFill>
              <w14:schemeClr w14:val="tx1"/>
            </w14:solidFill>
          </w14:textFill>
        </w:rPr>
      </w:pPr>
    </w:p>
    <w:p>
      <w:pPr>
        <w:spacing w:line="360" w:lineRule="auto"/>
        <w:jc w:val="both"/>
        <w:rPr>
          <w:rFonts w:ascii="Book Antiqua" w:hAnsi="Book Antiqua" w:eastAsia="Book Antiqua" w:cs="Book Antiqua"/>
          <w:b/>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P-Reviewer: </w:t>
      </w:r>
      <w:r>
        <w:rPr>
          <w:rFonts w:ascii="Book Antiqua" w:hAnsi="Book Antiqua" w:eastAsia="Book Antiqua" w:cs="Book Antiqua"/>
          <w:color w:val="000000" w:themeColor="text1"/>
          <w14:textFill>
            <w14:solidFill>
              <w14:schemeClr w14:val="tx1"/>
            </w14:solidFill>
          </w14:textFill>
        </w:rPr>
        <w:t>Mahfuz AMUB, Bangladesh; Munasinghe B, Sri Lanka</w:t>
      </w:r>
      <w:r>
        <w:rPr>
          <w:rFonts w:ascii="Book Antiqua" w:hAnsi="Book Antiqua" w:eastAsia="Book Antiqua" w:cs="Book Antiqua"/>
          <w:b/>
          <w:color w:val="000000" w:themeColor="text1"/>
          <w14:textFill>
            <w14:solidFill>
              <w14:schemeClr w14:val="tx1"/>
            </w14:solidFill>
          </w14:textFill>
        </w:rPr>
        <w:t xml:space="preserve"> S-Editor: </w:t>
      </w:r>
      <w:r>
        <w:rPr>
          <w:rFonts w:ascii="Book Antiqua" w:hAnsi="Book Antiqua" w:eastAsia="Book Antiqua" w:cs="Book Antiqua"/>
          <w:bCs/>
          <w:color w:val="000000" w:themeColor="text1"/>
          <w14:textFill>
            <w14:solidFill>
              <w14:schemeClr w14:val="tx1"/>
            </w14:solidFill>
          </w14:textFill>
        </w:rPr>
        <w:t>Yan JP</w:t>
      </w:r>
      <w:r>
        <w:rPr>
          <w:rFonts w:ascii="Book Antiqua" w:hAnsi="Book Antiqua" w:eastAsia="Book Antiqua" w:cs="Book Antiqua"/>
          <w:b/>
          <w:color w:val="000000" w:themeColor="text1"/>
          <w14:textFill>
            <w14:solidFill>
              <w14:schemeClr w14:val="tx1"/>
            </w14:solidFill>
          </w14:textFill>
        </w:rPr>
        <w:t xml:space="preserve"> L-Editor:</w:t>
      </w:r>
      <w:r>
        <w:rPr>
          <w:rFonts w:ascii="Book Antiqua" w:hAnsi="Book Antiqua" w:eastAsia="Book Antiqua" w:cs="Book Antiqua"/>
          <w:bCs/>
          <w:color w:val="000000" w:themeColor="text1"/>
          <w14:textFill>
            <w14:solidFill>
              <w14:schemeClr w14:val="tx1"/>
            </w14:solidFill>
          </w14:textFill>
        </w:rPr>
        <w:t xml:space="preserve"> A </w:t>
      </w:r>
      <w:r>
        <w:rPr>
          <w:rFonts w:ascii="Book Antiqua" w:hAnsi="Book Antiqua" w:eastAsia="Book Antiqua" w:cs="Book Antiqua"/>
          <w:b/>
          <w:color w:val="000000" w:themeColor="text1"/>
          <w14:textFill>
            <w14:solidFill>
              <w14:schemeClr w14:val="tx1"/>
            </w14:solidFill>
          </w14:textFill>
        </w:rPr>
        <w:t xml:space="preserve">P-Editor: </w:t>
      </w:r>
      <w:r>
        <w:rPr>
          <w:rFonts w:ascii="Book Antiqua" w:hAnsi="Book Antiqua" w:eastAsia="Book Antiqua" w:cs="Book Antiqua"/>
          <w:bCs/>
          <w:color w:val="000000" w:themeColor="text1"/>
          <w14:textFill>
            <w14:solidFill>
              <w14:schemeClr w14:val="tx1"/>
            </w14:solidFill>
          </w14:textFill>
        </w:rPr>
        <w:t>Yan JP</w:t>
      </w:r>
    </w:p>
    <w:bookmarkEnd w:id="0"/>
    <w:bookmarkEnd w:id="1"/>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b/>
          <w:bCs/>
          <w:color w:val="000000" w:themeColor="text1"/>
          <w:lang w:eastAsia="zh-CN"/>
          <w14:textFill>
            <w14:solidFill>
              <w14:schemeClr w14:val="tx1"/>
            </w14:solidFill>
          </w14:textFill>
        </w:rPr>
      </w:pPr>
      <w:r>
        <w:rPr>
          <w:rFonts w:ascii="Book Antiqua" w:hAnsi="Book Antiqua"/>
          <w:b/>
          <w:bCs/>
          <w:color w:val="000000" w:themeColor="text1"/>
          <w:lang w:eastAsia="zh-CN"/>
          <w14:textFill>
            <w14:solidFill>
              <w14:schemeClr w14:val="tx1"/>
            </w14:solidFill>
          </w14:textFill>
        </w:rPr>
        <w:t>F</w:t>
      </w:r>
      <w:r>
        <w:rPr>
          <w:rFonts w:hint="eastAsia" w:ascii="Book Antiqua" w:hAnsi="Book Antiqua"/>
          <w:b/>
          <w:bCs/>
          <w:color w:val="000000" w:themeColor="text1"/>
          <w:lang w:eastAsia="zh-CN"/>
          <w14:textFill>
            <w14:solidFill>
              <w14:schemeClr w14:val="tx1"/>
            </w14:solidFill>
          </w14:textFill>
        </w:rPr>
        <w:t>igure</w:t>
      </w:r>
      <w:r>
        <w:rPr>
          <w:rFonts w:ascii="Book Antiqua" w:hAnsi="Book Antiqua"/>
          <w:b/>
          <w:bCs/>
          <w:color w:val="000000" w:themeColor="text1"/>
          <w:lang w:eastAsia="zh-CN"/>
          <w14:textFill>
            <w14:solidFill>
              <w14:schemeClr w14:val="tx1"/>
            </w14:solidFill>
          </w14:textFill>
        </w:rPr>
        <w:t xml:space="preserve"> Legends</w:t>
      </w: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drawing>
          <wp:inline distT="0" distB="0" distL="114300" distR="114300">
            <wp:extent cx="4839970" cy="3733800"/>
            <wp:effectExtent l="0" t="0" r="6350" b="0"/>
            <wp:docPr id="3" name="图片 3" descr="WJCC-10-10317-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10317-g001"/>
                    <pic:cNvPicPr>
                      <a:picLocks noChangeAspect="1"/>
                    </pic:cNvPicPr>
                  </pic:nvPicPr>
                  <pic:blipFill>
                    <a:blip r:embed="rId6"/>
                    <a:stretch>
                      <a:fillRect/>
                    </a:stretch>
                  </pic:blipFill>
                  <pic:spPr>
                    <a:xfrm>
                      <a:off x="0" y="0"/>
                      <a:ext cx="4839970" cy="3733800"/>
                    </a:xfrm>
                    <a:prstGeom prst="rect">
                      <a:avLst/>
                    </a:prstGeom>
                  </pic:spPr>
                </pic:pic>
              </a:graphicData>
            </a:graphic>
          </wp:inline>
        </w:drawing>
      </w: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b/>
          <w:bCs/>
          <w:color w:val="000000" w:themeColor="text1"/>
          <w:lang w:eastAsia="zh-CN"/>
          <w14:textFill>
            <w14:solidFill>
              <w14:schemeClr w14:val="tx1"/>
            </w14:solidFill>
          </w14:textFill>
        </w:rPr>
        <w:t xml:space="preserve">Figure 1 Histopathological and </w:t>
      </w:r>
      <w:bookmarkStart w:id="50" w:name="OLE_LINK4861"/>
      <w:bookmarkStart w:id="51" w:name="OLE_LINK4860"/>
      <w:r>
        <w:rPr>
          <w:rFonts w:ascii="Book Antiqua" w:hAnsi="Book Antiqua" w:cs="Arial"/>
          <w:b/>
          <w:bCs/>
          <w:color w:val="000000" w:themeColor="text1"/>
          <w:shd w:val="clear" w:color="auto" w:fill="FFFFFF"/>
          <w14:textFill>
            <w14:solidFill>
              <w14:schemeClr w14:val="tx1"/>
            </w14:solidFill>
          </w14:textFill>
        </w:rPr>
        <w:t xml:space="preserve">fluorescence </w:t>
      </w:r>
      <w:r>
        <w:rPr>
          <w:rFonts w:ascii="Book Antiqua" w:hAnsi="Book Antiqua" w:cs="Arial"/>
          <w:b/>
          <w:bCs/>
          <w:i/>
          <w:iCs/>
          <w:color w:val="000000" w:themeColor="text1"/>
          <w:shd w:val="clear" w:color="auto" w:fill="FFFFFF"/>
          <w14:textFill>
            <w14:solidFill>
              <w14:schemeClr w14:val="tx1"/>
            </w14:solidFill>
          </w14:textFill>
        </w:rPr>
        <w:t>in situ</w:t>
      </w:r>
      <w:r>
        <w:rPr>
          <w:rFonts w:ascii="Book Antiqua" w:hAnsi="Book Antiqua" w:cs="Arial"/>
          <w:b/>
          <w:bCs/>
          <w:color w:val="000000" w:themeColor="text1"/>
          <w:shd w:val="clear" w:color="auto" w:fill="FFFFFF"/>
          <w14:textFill>
            <w14:solidFill>
              <w14:schemeClr w14:val="tx1"/>
            </w14:solidFill>
          </w14:textFill>
        </w:rPr>
        <w:t xml:space="preserve"> hybridization</w:t>
      </w:r>
      <w:bookmarkEnd w:id="50"/>
      <w:bookmarkEnd w:id="51"/>
      <w:r>
        <w:rPr>
          <w:rFonts w:ascii="Book Antiqua" w:hAnsi="Book Antiqua"/>
          <w:b/>
          <w:bCs/>
          <w:color w:val="000000" w:themeColor="text1"/>
          <w:lang w:eastAsia="zh-CN"/>
          <w14:textFill>
            <w14:solidFill>
              <w14:schemeClr w14:val="tx1"/>
            </w14:solidFill>
          </w14:textFill>
        </w:rPr>
        <w:t xml:space="preserve"> features.</w:t>
      </w:r>
      <w:r>
        <w:rPr>
          <w:rFonts w:ascii="Book Antiqua" w:hAnsi="Book Antiqua"/>
          <w:color w:val="000000" w:themeColor="text1"/>
          <w:lang w:eastAsia="zh-CN"/>
          <w14:textFill>
            <w14:solidFill>
              <w14:schemeClr w14:val="tx1"/>
            </w14:solidFill>
          </w14:textFill>
        </w:rPr>
        <w:t xml:space="preserve"> A and B: A large number of heterozygous cells, some of which are papillary structures, increased nucleocytoplasmic ratio, hyperchromatic nuclei, and obvious atypia (</w:t>
      </w:r>
      <w:r>
        <w:rPr>
          <w:rFonts w:ascii="Book Antiqua" w:hAnsi="Book Antiqua" w:eastAsia="Book Antiqua" w:cs="Book Antiqua"/>
          <w:color w:val="000000" w:themeColor="text1"/>
          <w14:textFill>
            <w14:solidFill>
              <w14:schemeClr w14:val="tx1"/>
            </w14:solidFill>
          </w14:textFill>
        </w:rPr>
        <w:t>hematoxylin and eosin</w:t>
      </w:r>
      <w:r>
        <w:rPr>
          <w:rFonts w:ascii="Book Antiqua" w:hAnsi="Book Antiqua"/>
          <w:color w:val="000000" w:themeColor="text1"/>
          <w:lang w:eastAsia="zh-CN"/>
          <w14:textFill>
            <w14:solidFill>
              <w14:schemeClr w14:val="tx1"/>
            </w14:solidFill>
          </w14:textFill>
        </w:rPr>
        <w:t xml:space="preserve"> stain; scale bar: 100 μm); C and D: </w:t>
      </w:r>
      <w:r>
        <w:rPr>
          <w:rFonts w:ascii="Book Antiqua" w:hAnsi="Book Antiqua" w:cs="Arial"/>
          <w:color w:val="000000" w:themeColor="text1"/>
          <w:shd w:val="clear" w:color="auto" w:fill="FFFFFF"/>
          <w14:textFill>
            <w14:solidFill>
              <w14:schemeClr w14:val="tx1"/>
            </w14:solidFill>
          </w14:textFill>
        </w:rPr>
        <w:t xml:space="preserve">Fluorescence </w:t>
      </w:r>
      <w:r>
        <w:rPr>
          <w:rFonts w:ascii="Book Antiqua" w:hAnsi="Book Antiqua" w:cs="Arial"/>
          <w:i/>
          <w:iCs/>
          <w:color w:val="000000" w:themeColor="text1"/>
          <w:shd w:val="clear" w:color="auto" w:fill="FFFFFF"/>
          <w14:textFill>
            <w14:solidFill>
              <w14:schemeClr w14:val="tx1"/>
            </w14:solidFill>
          </w14:textFill>
        </w:rPr>
        <w:t>in situ</w:t>
      </w:r>
      <w:r>
        <w:rPr>
          <w:rFonts w:ascii="Book Antiqua" w:hAnsi="Book Antiqua" w:cs="Arial"/>
          <w:color w:val="000000" w:themeColor="text1"/>
          <w:shd w:val="clear" w:color="auto" w:fill="FFFFFF"/>
          <w14:textFill>
            <w14:solidFill>
              <w14:schemeClr w14:val="tx1"/>
            </w14:solidFill>
          </w14:textFill>
        </w:rPr>
        <w:t xml:space="preserve"> hybridization</w:t>
      </w:r>
      <w:r>
        <w:rPr>
          <w:rFonts w:ascii="Book Antiqua" w:hAnsi="Book Antiqua"/>
          <w:color w:val="000000" w:themeColor="text1"/>
          <w:lang w:eastAsia="zh-CN"/>
          <w14:textFill>
            <w14:solidFill>
              <w14:schemeClr w14:val="tx1"/>
            </w14:solidFill>
          </w14:textFill>
        </w:rPr>
        <w:t xml:space="preserve"> detection results: CDKN2A (P16) probe (+), number of missing cells/total counted cells = 41%.</w:t>
      </w:r>
    </w:p>
    <w:p>
      <w:pPr>
        <w:spacing w:line="360" w:lineRule="auto"/>
        <w:jc w:val="both"/>
        <w:rPr>
          <w:rFonts w:ascii="Book Antiqua" w:hAnsi="Book Antiqua"/>
          <w:color w:val="000000" w:themeColor="text1"/>
          <w:lang w:eastAsia="zh-CN"/>
          <w14:textFill>
            <w14:solidFill>
              <w14:schemeClr w14:val="tx1"/>
            </w14:solidFill>
          </w14:textFill>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drawing>
          <wp:inline distT="0" distB="0" distL="114300" distR="114300">
            <wp:extent cx="4839970" cy="2233930"/>
            <wp:effectExtent l="0" t="0" r="6350" b="6350"/>
            <wp:docPr id="4" name="图片 4" descr="WJCC-10-10317-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10317-g002"/>
                    <pic:cNvPicPr>
                      <a:picLocks noChangeAspect="1"/>
                    </pic:cNvPicPr>
                  </pic:nvPicPr>
                  <pic:blipFill>
                    <a:blip r:embed="rId7"/>
                    <a:stretch>
                      <a:fillRect/>
                    </a:stretch>
                  </pic:blipFill>
                  <pic:spPr>
                    <a:xfrm>
                      <a:off x="0" y="0"/>
                      <a:ext cx="4839970" cy="2233930"/>
                    </a:xfrm>
                    <a:prstGeom prst="rect">
                      <a:avLst/>
                    </a:prstGeom>
                  </pic:spPr>
                </pic:pic>
              </a:graphicData>
            </a:graphic>
          </wp:inline>
        </w:drawing>
      </w:r>
    </w:p>
    <w:p>
      <w:pPr>
        <w:spacing w:line="360" w:lineRule="auto"/>
        <w:jc w:val="both"/>
        <w:rPr>
          <w:rFonts w:ascii="Book Antiqua" w:hAnsi="Book Antiqua"/>
          <w:b/>
          <w:bCs/>
          <w:color w:val="000000" w:themeColor="text1"/>
          <w:lang w:eastAsia="zh-CN"/>
          <w14:textFill>
            <w14:solidFill>
              <w14:schemeClr w14:val="tx1"/>
            </w14:solidFill>
          </w14:textFill>
        </w:rPr>
      </w:pPr>
      <w:r>
        <w:rPr>
          <w:rFonts w:ascii="Book Antiqua" w:hAnsi="Book Antiqua"/>
          <w:b/>
          <w:bCs/>
          <w:color w:val="000000" w:themeColor="text1"/>
          <w:lang w:eastAsia="zh-CN"/>
          <w14:textFill>
            <w14:solidFill>
              <w14:schemeClr w14:val="tx1"/>
            </w14:solidFill>
          </w14:textFill>
        </w:rPr>
        <w:t xml:space="preserve">Figure 2 Abdominal </w:t>
      </w:r>
      <w:r>
        <w:rPr>
          <w:rFonts w:ascii="Book Antiqua" w:hAnsi="Book Antiqua" w:eastAsia="Book Antiqua" w:cs="Book Antiqua"/>
          <w:b/>
          <w:bCs/>
          <w:color w:val="000000" w:themeColor="text1"/>
          <w14:textFill>
            <w14:solidFill>
              <w14:schemeClr w14:val="tx1"/>
            </w14:solidFill>
          </w14:textFill>
        </w:rPr>
        <w:t>computed tomography</w:t>
      </w:r>
      <w:r>
        <w:rPr>
          <w:rFonts w:ascii="Book Antiqua" w:hAnsi="Book Antiqua"/>
          <w:b/>
          <w:bCs/>
          <w:color w:val="000000" w:themeColor="text1"/>
          <w:lang w:eastAsia="zh-CN"/>
          <w14:textFill>
            <w14:solidFill>
              <w14:schemeClr w14:val="tx1"/>
            </w14:solidFill>
          </w14:textFill>
        </w:rPr>
        <w:t xml:space="preserve"> showed massive ascites without parenchymal lesions.</w:t>
      </w:r>
    </w:p>
    <w:p>
      <w:pPr>
        <w:spacing w:line="360" w:lineRule="auto"/>
        <w:jc w:val="both"/>
        <w:rPr>
          <w:rFonts w:ascii="Book Antiqua" w:hAnsi="Book Antiqua"/>
          <w:color w:val="000000" w:themeColor="text1"/>
          <w:lang w:eastAsia="zh-CN"/>
          <w14:textFill>
            <w14:solidFill>
              <w14:schemeClr w14:val="tx1"/>
            </w14:solidFill>
          </w14:textFill>
        </w:rPr>
      </w:pPr>
    </w:p>
    <w:p>
      <w:pPr>
        <w:spacing w:line="360" w:lineRule="auto"/>
        <w:jc w:val="both"/>
        <w:rPr>
          <w:rFonts w:ascii="Book Antiqua" w:hAnsi="Book Antiqua"/>
          <w:color w:val="000000" w:themeColor="text1"/>
          <w:lang w:eastAsia="zh-CN"/>
          <w14:textFill>
            <w14:solidFill>
              <w14:schemeClr w14:val="tx1"/>
            </w14:solidFill>
          </w14:textFill>
        </w:rPr>
      </w:pPr>
      <w:bookmarkStart w:id="54" w:name="_GoBack"/>
      <w:r>
        <w:rPr>
          <w:rFonts w:ascii="Book Antiqua" w:hAnsi="Book Antiqua"/>
          <w:color w:val="000000" w:themeColor="text1"/>
          <w:lang w:eastAsia="zh-CN"/>
          <w14:textFill>
            <w14:solidFill>
              <w14:schemeClr w14:val="tx1"/>
            </w14:solidFill>
          </w14:textFill>
        </w:rPr>
        <w:drawing>
          <wp:inline distT="0" distB="0" distL="114300" distR="114300">
            <wp:extent cx="4834255" cy="2298065"/>
            <wp:effectExtent l="0" t="0" r="12065" b="3175"/>
            <wp:docPr id="5" name="图片 5" descr="WJCC-10-10317-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CC-10-10317-g003"/>
                    <pic:cNvPicPr>
                      <a:picLocks noChangeAspect="1"/>
                    </pic:cNvPicPr>
                  </pic:nvPicPr>
                  <pic:blipFill>
                    <a:blip r:embed="rId8"/>
                    <a:stretch>
                      <a:fillRect/>
                    </a:stretch>
                  </pic:blipFill>
                  <pic:spPr>
                    <a:xfrm>
                      <a:off x="0" y="0"/>
                      <a:ext cx="4834255" cy="2298065"/>
                    </a:xfrm>
                    <a:prstGeom prst="rect">
                      <a:avLst/>
                    </a:prstGeom>
                  </pic:spPr>
                </pic:pic>
              </a:graphicData>
            </a:graphic>
          </wp:inline>
        </w:drawing>
      </w:r>
      <w:bookmarkEnd w:id="54"/>
    </w:p>
    <w:p>
      <w:pPr>
        <w:spacing w:line="360" w:lineRule="auto"/>
        <w:jc w:val="both"/>
        <w:rPr>
          <w:rFonts w:ascii="Book Antiqua" w:hAnsi="Book Antiqua"/>
          <w:b/>
          <w:bCs/>
          <w:color w:val="000000" w:themeColor="text1"/>
          <w:lang w:eastAsia="zh-CN"/>
          <w14:textFill>
            <w14:solidFill>
              <w14:schemeClr w14:val="tx1"/>
            </w14:solidFill>
          </w14:textFill>
        </w:rPr>
      </w:pPr>
      <w:r>
        <w:rPr>
          <w:rFonts w:ascii="Book Antiqua" w:hAnsi="Book Antiqua"/>
          <w:b/>
          <w:bCs/>
          <w:color w:val="000000" w:themeColor="text1"/>
          <w:lang w:eastAsia="zh-CN"/>
          <w14:textFill>
            <w14:solidFill>
              <w14:schemeClr w14:val="tx1"/>
            </w14:solidFill>
          </w14:textFill>
        </w:rPr>
        <w:t xml:space="preserve">Figure 3 Enhanced </w:t>
      </w:r>
      <w:r>
        <w:rPr>
          <w:rFonts w:ascii="Book Antiqua" w:hAnsi="Book Antiqua" w:eastAsia="Book Antiqua" w:cs="Book Antiqua"/>
          <w:b/>
          <w:bCs/>
          <w:color w:val="000000" w:themeColor="text1"/>
          <w14:textFill>
            <w14:solidFill>
              <w14:schemeClr w14:val="tx1"/>
            </w14:solidFill>
          </w14:textFill>
        </w:rPr>
        <w:t>magnetic resonance imaging</w:t>
      </w:r>
      <w:r>
        <w:rPr>
          <w:rFonts w:ascii="Book Antiqua" w:hAnsi="Book Antiqua"/>
          <w:b/>
          <w:bCs/>
          <w:color w:val="000000" w:themeColor="text1"/>
          <w:lang w:eastAsia="zh-CN"/>
          <w14:textFill>
            <w14:solidFill>
              <w14:schemeClr w14:val="tx1"/>
            </w14:solidFill>
          </w14:textFill>
        </w:rPr>
        <w:t xml:space="preserve"> showed massive peritoneal fluid accumulation and mild peritoneal thickening.</w:t>
      </w:r>
    </w:p>
    <w:p>
      <w:pPr>
        <w:spacing w:line="360" w:lineRule="auto"/>
        <w:jc w:val="both"/>
        <w:rPr>
          <w:rFonts w:ascii="Book Antiqua" w:hAnsi="Book Antiqua"/>
          <w:b/>
          <w:bCs/>
          <w:color w:val="000000" w:themeColor="text1"/>
          <w:lang w:eastAsia="zh-CN"/>
          <w14:textFill>
            <w14:solidFill>
              <w14:schemeClr w14:val="tx1"/>
            </w14:solidFill>
          </w14:textFill>
        </w:rPr>
      </w:pPr>
    </w:p>
    <w:p>
      <w:pPr>
        <w:spacing w:line="360" w:lineRule="auto"/>
        <w:jc w:val="both"/>
        <w:rPr>
          <w:rFonts w:ascii="Book Antiqua" w:hAnsi="Book Antiqua"/>
          <w:b/>
          <w:bCs/>
          <w:color w:val="000000" w:themeColor="text1"/>
          <w:lang w:eastAsia="zh-CN"/>
          <w14:textFill>
            <w14:solidFill>
              <w14:schemeClr w14:val="tx1"/>
            </w14:solidFill>
          </w14:textFill>
        </w:rPr>
        <w:sectPr>
          <w:pgSz w:w="11900" w:h="16840"/>
          <w:pgMar w:top="1440" w:right="1440" w:bottom="1440" w:left="1440" w:header="720" w:footer="720" w:gutter="0"/>
          <w:cols w:space="720" w:num="1"/>
          <w:docGrid w:linePitch="360" w:charSpace="0"/>
        </w:sectPr>
      </w:pPr>
    </w:p>
    <w:p>
      <w:pPr>
        <w:spacing w:line="360" w:lineRule="auto"/>
        <w:jc w:val="both"/>
        <w:rPr>
          <w:rFonts w:ascii="Book Antiqua" w:hAnsi="Book Antiqua" w:cs="Book Antiqua"/>
          <w:b/>
          <w:bCs/>
          <w:lang w:eastAsia="zh-CN"/>
        </w:rPr>
      </w:pPr>
      <w:bookmarkStart w:id="52" w:name="OLE_LINK4869"/>
      <w:bookmarkStart w:id="53" w:name="OLE_LINK4868"/>
      <w:r>
        <w:rPr>
          <w:rFonts w:ascii="Book Antiqua" w:hAnsi="Book Antiqua" w:cs="Book Antiqua"/>
          <w:b/>
          <w:bCs/>
        </w:rPr>
        <w:t>Table 1 Blood test and routine examination of ascites</w:t>
      </w:r>
    </w:p>
    <w:bookmarkEnd w:id="52"/>
    <w:bookmarkEnd w:id="53"/>
    <w:tbl>
      <w:tblPr>
        <w:tblStyle w:val="8"/>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85"/>
        <w:gridCol w:w="2059"/>
        <w:gridCol w:w="2126"/>
        <w:gridCol w:w="1985"/>
        <w:gridCol w:w="2126"/>
        <w:gridCol w:w="1990"/>
        <w:gridCol w:w="2062"/>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5" w:hRule="atLeast"/>
        </w:trPr>
        <w:tc>
          <w:tcPr>
            <w:tcW w:w="1485" w:type="dxa"/>
            <w:tcBorders>
              <w:bottom w:val="single" w:color="auto" w:sz="4" w:space="0"/>
            </w:tcBorders>
          </w:tcPr>
          <w:p>
            <w:pPr>
              <w:spacing w:line="360" w:lineRule="auto"/>
              <w:jc w:val="both"/>
              <w:rPr>
                <w:rFonts w:ascii="Book Antiqua" w:hAnsi="Book Antiqua" w:eastAsia="宋体"/>
                <w:b/>
                <w:bCs/>
                <w:lang w:eastAsia="zh-CN"/>
              </w:rPr>
            </w:pPr>
            <w:r>
              <w:rPr>
                <w:rFonts w:ascii="Book Antiqua" w:hAnsi="Book Antiqua" w:eastAsia="宋体" w:cs="Book Antiqua"/>
                <w:b/>
                <w:bCs/>
              </w:rPr>
              <w:t>Specimen</w:t>
            </w:r>
          </w:p>
        </w:tc>
        <w:tc>
          <w:tcPr>
            <w:tcW w:w="2059" w:type="dxa"/>
            <w:tcBorders>
              <w:bottom w:val="single" w:color="auto" w:sz="4" w:space="0"/>
            </w:tcBorders>
          </w:tcPr>
          <w:p>
            <w:pPr>
              <w:spacing w:line="360" w:lineRule="auto"/>
              <w:ind w:firstLine="361" w:firstLineChars="150"/>
              <w:jc w:val="both"/>
              <w:rPr>
                <w:rFonts w:ascii="Book Antiqua" w:hAnsi="Book Antiqua" w:eastAsia="宋体"/>
                <w:b/>
                <w:bCs/>
                <w:lang w:eastAsia="zh-CN"/>
              </w:rPr>
            </w:pPr>
            <w:r>
              <w:rPr>
                <w:rFonts w:ascii="Book Antiqua" w:hAnsi="Book Antiqua" w:eastAsia="宋体"/>
                <w:b/>
                <w:bCs/>
                <w:lang w:eastAsia="zh-CN"/>
              </w:rPr>
              <w:t>Item</w:t>
            </w:r>
          </w:p>
        </w:tc>
        <w:tc>
          <w:tcPr>
            <w:tcW w:w="2126" w:type="dxa"/>
            <w:tcBorders>
              <w:bottom w:val="single" w:color="auto" w:sz="4" w:space="0"/>
            </w:tcBorders>
          </w:tcPr>
          <w:p>
            <w:pPr>
              <w:spacing w:line="360" w:lineRule="auto"/>
              <w:jc w:val="both"/>
              <w:rPr>
                <w:rFonts w:ascii="Book Antiqua" w:hAnsi="Book Antiqua" w:eastAsia="宋体"/>
                <w:b/>
                <w:bCs/>
              </w:rPr>
            </w:pPr>
            <w:r>
              <w:rPr>
                <w:rFonts w:ascii="Book Antiqua" w:hAnsi="Book Antiqua" w:eastAsia="宋体" w:cs="Book Antiqua"/>
                <w:b/>
                <w:bCs/>
              </w:rPr>
              <w:t>First diagnosis (N</w:t>
            </w:r>
            <w:r>
              <w:rPr>
                <w:rFonts w:hint="eastAsia" w:ascii="Book Antiqua" w:hAnsi="Book Antiqua" w:eastAsia="宋体" w:cs="Book Antiqua"/>
                <w:b/>
                <w:bCs/>
                <w:lang w:eastAsia="zh-CN"/>
              </w:rPr>
              <w:t>o</w:t>
            </w:r>
            <w:r>
              <w:rPr>
                <w:rFonts w:ascii="Book Antiqua" w:hAnsi="Book Antiqua" w:eastAsia="宋体" w:cs="Book Antiqua"/>
                <w:b/>
                <w:bCs/>
                <w:lang w:eastAsia="zh-CN"/>
              </w:rPr>
              <w:t>vember 8</w:t>
            </w:r>
            <w:r>
              <w:rPr>
                <w:rFonts w:ascii="Book Antiqua" w:hAnsi="Book Antiqua" w:eastAsia="宋体" w:cs="Book Antiqua"/>
                <w:b/>
                <w:bCs/>
              </w:rPr>
              <w:t>)</w:t>
            </w:r>
          </w:p>
        </w:tc>
        <w:tc>
          <w:tcPr>
            <w:tcW w:w="1985" w:type="dxa"/>
            <w:tcBorders>
              <w:bottom w:val="single" w:color="auto" w:sz="4" w:space="0"/>
            </w:tcBorders>
          </w:tcPr>
          <w:p>
            <w:pPr>
              <w:spacing w:line="360" w:lineRule="auto"/>
              <w:jc w:val="both"/>
              <w:rPr>
                <w:rFonts w:ascii="Book Antiqua" w:hAnsi="Book Antiqua" w:eastAsia="宋体" w:cs="Book Antiqua"/>
                <w:b/>
                <w:bCs/>
              </w:rPr>
            </w:pPr>
            <w:r>
              <w:rPr>
                <w:rFonts w:ascii="Book Antiqua" w:hAnsi="Book Antiqua" w:eastAsia="宋体" w:cs="Book Antiqua"/>
                <w:b/>
                <w:bCs/>
              </w:rPr>
              <w:t>Before the first chemotherapy</w:t>
            </w:r>
            <w:r>
              <w:rPr>
                <w:rFonts w:hint="eastAsia" w:ascii="Book Antiqua" w:hAnsi="Book Antiqua" w:eastAsia="宋体" w:cs="Book Antiqua"/>
                <w:b/>
                <w:bCs/>
              </w:rPr>
              <w:t xml:space="preserve"> </w:t>
            </w:r>
            <w:r>
              <w:rPr>
                <w:rFonts w:ascii="Book Antiqua" w:hAnsi="Book Antiqua" w:eastAsia="宋体" w:cs="Book Antiqua"/>
                <w:b/>
                <w:bCs/>
              </w:rPr>
              <w:t>(N</w:t>
            </w:r>
            <w:r>
              <w:rPr>
                <w:rFonts w:hint="eastAsia" w:ascii="Book Antiqua" w:hAnsi="Book Antiqua" w:eastAsia="宋体" w:cs="Book Antiqua"/>
                <w:b/>
                <w:bCs/>
                <w:lang w:eastAsia="zh-CN"/>
              </w:rPr>
              <w:t>o</w:t>
            </w:r>
            <w:r>
              <w:rPr>
                <w:rFonts w:ascii="Book Antiqua" w:hAnsi="Book Antiqua" w:eastAsia="宋体" w:cs="Book Antiqua"/>
                <w:b/>
                <w:bCs/>
                <w:lang w:eastAsia="zh-CN"/>
              </w:rPr>
              <w:t xml:space="preserve">vember </w:t>
            </w:r>
            <w:r>
              <w:rPr>
                <w:rFonts w:ascii="Book Antiqua" w:hAnsi="Book Antiqua" w:eastAsia="宋体" w:cs="Book Antiqua"/>
                <w:b/>
                <w:bCs/>
              </w:rPr>
              <w:t>27)</w:t>
            </w:r>
          </w:p>
        </w:tc>
        <w:tc>
          <w:tcPr>
            <w:tcW w:w="2126" w:type="dxa"/>
            <w:tcBorders>
              <w:bottom w:val="single" w:color="auto" w:sz="4" w:space="0"/>
            </w:tcBorders>
          </w:tcPr>
          <w:p>
            <w:pPr>
              <w:spacing w:line="360" w:lineRule="auto"/>
              <w:jc w:val="both"/>
              <w:rPr>
                <w:rFonts w:ascii="Book Antiqua" w:hAnsi="Book Antiqua" w:eastAsia="宋体" w:cs="Book Antiqua"/>
                <w:b/>
                <w:bCs/>
              </w:rPr>
            </w:pPr>
            <w:r>
              <w:rPr>
                <w:rFonts w:ascii="Book Antiqua" w:hAnsi="Book Antiqua" w:eastAsia="宋体" w:cs="Book Antiqua"/>
                <w:b/>
                <w:bCs/>
              </w:rPr>
              <w:t>After the first chemotherapy</w:t>
            </w:r>
            <w:r>
              <w:rPr>
                <w:rFonts w:hint="eastAsia" w:ascii="Book Antiqua" w:hAnsi="Book Antiqua" w:eastAsia="宋体" w:cs="Book Antiqua"/>
                <w:b/>
                <w:bCs/>
              </w:rPr>
              <w:t xml:space="preserve"> </w:t>
            </w:r>
            <w:r>
              <w:rPr>
                <w:rFonts w:ascii="Book Antiqua" w:hAnsi="Book Antiqua" w:eastAsia="宋体" w:cs="Book Antiqua"/>
                <w:b/>
                <w:bCs/>
              </w:rPr>
              <w:t>(December 9)</w:t>
            </w:r>
          </w:p>
        </w:tc>
        <w:tc>
          <w:tcPr>
            <w:tcW w:w="1990" w:type="dxa"/>
            <w:tcBorders>
              <w:bottom w:val="single" w:color="auto" w:sz="4" w:space="0"/>
            </w:tcBorders>
          </w:tcPr>
          <w:p>
            <w:pPr>
              <w:spacing w:line="360" w:lineRule="auto"/>
              <w:jc w:val="both"/>
              <w:rPr>
                <w:rFonts w:ascii="Book Antiqua" w:hAnsi="Book Antiqua" w:eastAsia="宋体"/>
                <w:b/>
                <w:bCs/>
              </w:rPr>
            </w:pPr>
            <w:r>
              <w:rPr>
                <w:rFonts w:ascii="Book Antiqua" w:hAnsi="Book Antiqua" w:eastAsia="宋体" w:cs="Book Antiqua"/>
                <w:b/>
                <w:bCs/>
              </w:rPr>
              <w:t>Before the first immunotherapy (December 13)</w:t>
            </w:r>
          </w:p>
        </w:tc>
        <w:tc>
          <w:tcPr>
            <w:tcW w:w="2062" w:type="dxa"/>
            <w:tcBorders>
              <w:bottom w:val="single" w:color="auto" w:sz="4" w:space="0"/>
            </w:tcBorders>
          </w:tcPr>
          <w:p>
            <w:pPr>
              <w:spacing w:line="360" w:lineRule="auto"/>
              <w:jc w:val="both"/>
              <w:rPr>
                <w:rFonts w:ascii="Book Antiqua" w:hAnsi="Book Antiqua" w:eastAsia="宋体"/>
                <w:b/>
                <w:bCs/>
              </w:rPr>
            </w:pPr>
            <w:r>
              <w:rPr>
                <w:rFonts w:ascii="Book Antiqua" w:hAnsi="Book Antiqua" w:eastAsia="宋体" w:cs="Book Antiqua"/>
                <w:b/>
                <w:bCs/>
              </w:rPr>
              <w:t>After the first immunotherapy (December 26)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6" w:hRule="atLeast"/>
        </w:trPr>
        <w:tc>
          <w:tcPr>
            <w:tcW w:w="1485" w:type="dxa"/>
            <w:vMerge w:val="restart"/>
            <w:tcBorders>
              <w:top w:val="single" w:color="auto" w:sz="4" w:space="0"/>
            </w:tcBorders>
          </w:tcPr>
          <w:p>
            <w:pPr>
              <w:spacing w:line="360" w:lineRule="auto"/>
              <w:jc w:val="both"/>
              <w:rPr>
                <w:rFonts w:ascii="Book Antiqua" w:hAnsi="Book Antiqua" w:eastAsia="宋体"/>
              </w:rPr>
            </w:pPr>
            <w:r>
              <w:rPr>
                <w:rFonts w:ascii="Book Antiqua" w:hAnsi="Book Antiqua" w:eastAsia="宋体" w:cs="Book Antiqua"/>
              </w:rPr>
              <w:t>Blood</w:t>
            </w:r>
          </w:p>
        </w:tc>
        <w:tc>
          <w:tcPr>
            <w:tcW w:w="2059" w:type="dxa"/>
            <w:tcBorders>
              <w:top w:val="single" w:color="auto" w:sz="4" w:space="0"/>
            </w:tcBorders>
          </w:tcPr>
          <w:p>
            <w:pPr>
              <w:spacing w:line="360" w:lineRule="auto"/>
              <w:jc w:val="both"/>
              <w:rPr>
                <w:rFonts w:ascii="Book Antiqua" w:hAnsi="Book Antiqua" w:eastAsia="宋体"/>
              </w:rPr>
            </w:pPr>
            <w:r>
              <w:rPr>
                <w:rFonts w:ascii="Book Antiqua" w:hAnsi="Book Antiqua" w:eastAsia="宋体" w:cs="Book Antiqua"/>
              </w:rPr>
              <w:t>CEA (ng/mL)</w:t>
            </w:r>
          </w:p>
        </w:tc>
        <w:tc>
          <w:tcPr>
            <w:tcW w:w="2126" w:type="dxa"/>
            <w:tcBorders>
              <w:top w:val="single" w:color="auto" w:sz="4" w:space="0"/>
            </w:tcBorders>
          </w:tcPr>
          <w:p>
            <w:pPr>
              <w:spacing w:line="360" w:lineRule="auto"/>
              <w:jc w:val="both"/>
              <w:rPr>
                <w:rFonts w:ascii="Book Antiqua" w:hAnsi="Book Antiqua" w:eastAsia="宋体"/>
              </w:rPr>
            </w:pPr>
            <w:r>
              <w:rPr>
                <w:rFonts w:ascii="Book Antiqua" w:hAnsi="Book Antiqua" w:eastAsia="宋体" w:cs="Book Antiqua"/>
              </w:rPr>
              <w:t>1.18</w:t>
            </w:r>
          </w:p>
        </w:tc>
        <w:tc>
          <w:tcPr>
            <w:tcW w:w="1985" w:type="dxa"/>
            <w:tcBorders>
              <w:top w:val="single" w:color="auto" w:sz="4" w:space="0"/>
            </w:tcBorders>
          </w:tcPr>
          <w:p>
            <w:pPr>
              <w:spacing w:line="360" w:lineRule="auto"/>
              <w:jc w:val="both"/>
              <w:rPr>
                <w:rFonts w:ascii="Book Antiqua" w:hAnsi="Book Antiqua" w:eastAsia="宋体"/>
              </w:rPr>
            </w:pPr>
          </w:p>
        </w:tc>
        <w:tc>
          <w:tcPr>
            <w:tcW w:w="2126" w:type="dxa"/>
            <w:tcBorders>
              <w:top w:val="single" w:color="auto" w:sz="4" w:space="0"/>
            </w:tcBorders>
          </w:tcPr>
          <w:p>
            <w:pPr>
              <w:spacing w:line="360" w:lineRule="auto"/>
              <w:jc w:val="both"/>
              <w:rPr>
                <w:rFonts w:ascii="Book Antiqua" w:hAnsi="Book Antiqua" w:eastAsia="宋体"/>
              </w:rPr>
            </w:pPr>
            <w:r>
              <w:rPr>
                <w:rFonts w:ascii="Book Antiqua" w:hAnsi="Book Antiqua" w:eastAsia="宋体" w:cs="Book Antiqua"/>
              </w:rPr>
              <w:t>1.38</w:t>
            </w:r>
          </w:p>
        </w:tc>
        <w:tc>
          <w:tcPr>
            <w:tcW w:w="1990" w:type="dxa"/>
            <w:tcBorders>
              <w:top w:val="single" w:color="auto" w:sz="4" w:space="0"/>
            </w:tcBorders>
          </w:tcPr>
          <w:p>
            <w:pPr>
              <w:spacing w:line="360" w:lineRule="auto"/>
              <w:jc w:val="both"/>
              <w:rPr>
                <w:rFonts w:ascii="Book Antiqua" w:hAnsi="Book Antiqua" w:eastAsia="宋体"/>
              </w:rPr>
            </w:pPr>
          </w:p>
        </w:tc>
        <w:tc>
          <w:tcPr>
            <w:tcW w:w="2062" w:type="dxa"/>
            <w:tcBorders>
              <w:top w:val="single" w:color="auto" w:sz="4" w:space="0"/>
            </w:tcBorders>
          </w:tcPr>
          <w:p>
            <w:pPr>
              <w:spacing w:line="360" w:lineRule="auto"/>
              <w:jc w:val="both"/>
              <w:rPr>
                <w:rFonts w:ascii="Book Antiqua" w:hAnsi="Book Antiqua" w:eastAsia="宋体"/>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6" w:hRule="atLeast"/>
        </w:trPr>
        <w:tc>
          <w:tcPr>
            <w:tcW w:w="1485" w:type="dxa"/>
            <w:vMerge w:val="continue"/>
          </w:tcPr>
          <w:p>
            <w:pPr>
              <w:spacing w:line="360" w:lineRule="auto"/>
              <w:jc w:val="both"/>
              <w:rPr>
                <w:rFonts w:ascii="Book Antiqua" w:hAnsi="Book Antiqua" w:eastAsia="宋体"/>
              </w:rPr>
            </w:pPr>
          </w:p>
        </w:tc>
        <w:tc>
          <w:tcPr>
            <w:tcW w:w="2059" w:type="dxa"/>
          </w:tcPr>
          <w:p>
            <w:pPr>
              <w:spacing w:line="360" w:lineRule="auto"/>
              <w:jc w:val="both"/>
              <w:rPr>
                <w:rFonts w:ascii="Book Antiqua" w:hAnsi="Book Antiqua" w:eastAsia="宋体"/>
              </w:rPr>
            </w:pPr>
            <w:r>
              <w:rPr>
                <w:rFonts w:ascii="Book Antiqua" w:hAnsi="Book Antiqua" w:eastAsia="宋体" w:cs="Book Antiqua"/>
              </w:rPr>
              <w:t>PLT (E+9/L)</w:t>
            </w:r>
          </w:p>
        </w:tc>
        <w:tc>
          <w:tcPr>
            <w:tcW w:w="2126" w:type="dxa"/>
          </w:tcPr>
          <w:p>
            <w:pPr>
              <w:spacing w:line="360" w:lineRule="auto"/>
              <w:jc w:val="both"/>
              <w:rPr>
                <w:rFonts w:ascii="Book Antiqua" w:hAnsi="Book Antiqua" w:eastAsia="宋体"/>
              </w:rPr>
            </w:pPr>
            <w:r>
              <w:rPr>
                <w:rFonts w:ascii="Book Antiqua" w:hAnsi="Book Antiqua" w:eastAsia="宋体" w:cs="Book Antiqua"/>
              </w:rPr>
              <w:t>598</w:t>
            </w:r>
          </w:p>
        </w:tc>
        <w:tc>
          <w:tcPr>
            <w:tcW w:w="1985" w:type="dxa"/>
          </w:tcPr>
          <w:p>
            <w:pPr>
              <w:spacing w:line="360" w:lineRule="auto"/>
              <w:jc w:val="both"/>
              <w:rPr>
                <w:rFonts w:ascii="Book Antiqua" w:hAnsi="Book Antiqua" w:eastAsia="宋体"/>
              </w:rPr>
            </w:pPr>
            <w:r>
              <w:rPr>
                <w:rFonts w:ascii="Book Antiqua" w:hAnsi="Book Antiqua" w:eastAsia="宋体" w:cs="Book Antiqua"/>
              </w:rPr>
              <w:t>527</w:t>
            </w:r>
          </w:p>
        </w:tc>
        <w:tc>
          <w:tcPr>
            <w:tcW w:w="2126" w:type="dxa"/>
          </w:tcPr>
          <w:p>
            <w:pPr>
              <w:spacing w:line="360" w:lineRule="auto"/>
              <w:jc w:val="both"/>
              <w:rPr>
                <w:rFonts w:ascii="Book Antiqua" w:hAnsi="Book Antiqua" w:eastAsia="宋体"/>
              </w:rPr>
            </w:pPr>
            <w:r>
              <w:rPr>
                <w:rFonts w:ascii="Book Antiqua" w:hAnsi="Book Antiqua" w:eastAsia="宋体" w:cs="Book Antiqua"/>
              </w:rPr>
              <w:t>235</w:t>
            </w:r>
          </w:p>
        </w:tc>
        <w:tc>
          <w:tcPr>
            <w:tcW w:w="1990" w:type="dxa"/>
          </w:tcPr>
          <w:p>
            <w:pPr>
              <w:spacing w:line="360" w:lineRule="auto"/>
              <w:jc w:val="both"/>
              <w:rPr>
                <w:rFonts w:ascii="Book Antiqua" w:hAnsi="Book Antiqua" w:eastAsia="宋体" w:cs="Book Antiqua"/>
              </w:rPr>
            </w:pPr>
            <w:r>
              <w:rPr>
                <w:rFonts w:ascii="Book Antiqua" w:hAnsi="Book Antiqua" w:eastAsia="宋体" w:cs="Book Antiqua"/>
              </w:rPr>
              <w:t>312</w:t>
            </w:r>
          </w:p>
        </w:tc>
        <w:tc>
          <w:tcPr>
            <w:tcW w:w="2062" w:type="dxa"/>
          </w:tcPr>
          <w:p>
            <w:pPr>
              <w:spacing w:line="360" w:lineRule="auto"/>
              <w:jc w:val="both"/>
              <w:rPr>
                <w:rFonts w:ascii="Book Antiqua" w:hAnsi="Book Antiqua" w:eastAsia="宋体" w:cs="Book Antiqua"/>
              </w:rPr>
            </w:pPr>
            <w:r>
              <w:rPr>
                <w:rFonts w:ascii="Book Antiqua" w:hAnsi="Book Antiqua" w:eastAsia="宋体" w:cs="Book Antiqua"/>
              </w:rPr>
              <w:t>290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6" w:hRule="atLeast"/>
        </w:trPr>
        <w:tc>
          <w:tcPr>
            <w:tcW w:w="1485" w:type="dxa"/>
            <w:vMerge w:val="continue"/>
          </w:tcPr>
          <w:p>
            <w:pPr>
              <w:spacing w:line="360" w:lineRule="auto"/>
              <w:jc w:val="both"/>
              <w:rPr>
                <w:rFonts w:ascii="Book Antiqua" w:hAnsi="Book Antiqua" w:eastAsia="宋体"/>
              </w:rPr>
            </w:pPr>
          </w:p>
        </w:tc>
        <w:tc>
          <w:tcPr>
            <w:tcW w:w="2059" w:type="dxa"/>
          </w:tcPr>
          <w:p>
            <w:pPr>
              <w:spacing w:line="360" w:lineRule="auto"/>
              <w:jc w:val="both"/>
              <w:rPr>
                <w:rFonts w:ascii="Book Antiqua" w:hAnsi="Book Antiqua" w:eastAsia="宋体"/>
              </w:rPr>
            </w:pPr>
            <w:r>
              <w:rPr>
                <w:rFonts w:ascii="Book Antiqua" w:hAnsi="Book Antiqua" w:eastAsia="宋体" w:cs="Book Antiqua"/>
              </w:rPr>
              <w:t>CA125 (U/mL)</w:t>
            </w:r>
          </w:p>
        </w:tc>
        <w:tc>
          <w:tcPr>
            <w:tcW w:w="2126" w:type="dxa"/>
          </w:tcPr>
          <w:p>
            <w:pPr>
              <w:spacing w:line="360" w:lineRule="auto"/>
              <w:jc w:val="both"/>
              <w:rPr>
                <w:rFonts w:ascii="Book Antiqua" w:hAnsi="Book Antiqua" w:eastAsia="宋体" w:cs="Book Antiqua"/>
              </w:rPr>
            </w:pPr>
            <w:r>
              <w:rPr>
                <w:rFonts w:ascii="Book Antiqua" w:hAnsi="Book Antiqua" w:eastAsia="宋体" w:cs="Book Antiqua"/>
              </w:rPr>
              <w:t>1075</w:t>
            </w:r>
          </w:p>
        </w:tc>
        <w:tc>
          <w:tcPr>
            <w:tcW w:w="1985" w:type="dxa"/>
          </w:tcPr>
          <w:p>
            <w:pPr>
              <w:spacing w:line="360" w:lineRule="auto"/>
              <w:jc w:val="both"/>
              <w:rPr>
                <w:rFonts w:ascii="Book Antiqua" w:hAnsi="Book Antiqua" w:eastAsia="宋体" w:cs="Book Antiqua"/>
              </w:rPr>
            </w:pPr>
            <w:r>
              <w:rPr>
                <w:rFonts w:ascii="Book Antiqua" w:hAnsi="Book Antiqua" w:eastAsia="宋体" w:cs="Book Antiqua"/>
              </w:rPr>
              <w:t>395.2</w:t>
            </w:r>
          </w:p>
        </w:tc>
        <w:tc>
          <w:tcPr>
            <w:tcW w:w="2126" w:type="dxa"/>
          </w:tcPr>
          <w:p>
            <w:pPr>
              <w:spacing w:line="360" w:lineRule="auto"/>
              <w:jc w:val="both"/>
              <w:rPr>
                <w:rFonts w:ascii="Book Antiqua" w:hAnsi="Book Antiqua" w:eastAsia="宋体" w:cs="Book Antiqua"/>
              </w:rPr>
            </w:pPr>
            <w:r>
              <w:rPr>
                <w:rFonts w:ascii="Book Antiqua" w:hAnsi="Book Antiqua" w:eastAsia="宋体" w:cs="Book Antiqua"/>
              </w:rPr>
              <w:t>314.7</w:t>
            </w:r>
          </w:p>
        </w:tc>
        <w:tc>
          <w:tcPr>
            <w:tcW w:w="1990" w:type="dxa"/>
          </w:tcPr>
          <w:p>
            <w:pPr>
              <w:spacing w:line="360" w:lineRule="auto"/>
              <w:jc w:val="both"/>
              <w:rPr>
                <w:rFonts w:ascii="Book Antiqua" w:hAnsi="Book Antiqua" w:eastAsia="宋体" w:cs="Book Antiqua"/>
              </w:rPr>
            </w:pPr>
            <w:r>
              <w:rPr>
                <w:rFonts w:ascii="Book Antiqua" w:hAnsi="Book Antiqua" w:eastAsia="宋体" w:cs="Book Antiqua"/>
              </w:rPr>
              <w:t>354.6</w:t>
            </w:r>
          </w:p>
        </w:tc>
        <w:tc>
          <w:tcPr>
            <w:tcW w:w="2062" w:type="dxa"/>
          </w:tcPr>
          <w:p>
            <w:pPr>
              <w:spacing w:line="360" w:lineRule="auto"/>
              <w:jc w:val="both"/>
              <w:rPr>
                <w:rFonts w:ascii="Book Antiqua" w:hAnsi="Book Antiqua" w:eastAsia="宋体"/>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6" w:hRule="atLeast"/>
        </w:trPr>
        <w:tc>
          <w:tcPr>
            <w:tcW w:w="1485" w:type="dxa"/>
            <w:vMerge w:val="continue"/>
          </w:tcPr>
          <w:p>
            <w:pPr>
              <w:spacing w:line="360" w:lineRule="auto"/>
              <w:jc w:val="both"/>
              <w:rPr>
                <w:rFonts w:ascii="Book Antiqua" w:hAnsi="Book Antiqua" w:eastAsia="宋体"/>
              </w:rPr>
            </w:pPr>
          </w:p>
        </w:tc>
        <w:tc>
          <w:tcPr>
            <w:tcW w:w="2059" w:type="dxa"/>
          </w:tcPr>
          <w:p>
            <w:pPr>
              <w:spacing w:line="360" w:lineRule="auto"/>
              <w:jc w:val="both"/>
              <w:rPr>
                <w:rFonts w:ascii="Book Antiqua" w:hAnsi="Book Antiqua" w:eastAsia="宋体" w:cs="Book Antiqua"/>
              </w:rPr>
            </w:pPr>
            <w:r>
              <w:rPr>
                <w:rFonts w:ascii="Book Antiqua" w:hAnsi="Book Antiqua" w:eastAsia="宋体" w:cs="Book Antiqua"/>
              </w:rPr>
              <w:t>CA199 (U/mL)</w:t>
            </w:r>
          </w:p>
        </w:tc>
        <w:tc>
          <w:tcPr>
            <w:tcW w:w="2126" w:type="dxa"/>
          </w:tcPr>
          <w:p>
            <w:pPr>
              <w:spacing w:line="360" w:lineRule="auto"/>
              <w:jc w:val="both"/>
              <w:rPr>
                <w:rFonts w:ascii="Book Antiqua" w:hAnsi="Book Antiqua" w:eastAsia="宋体" w:cs="Book Antiqua"/>
              </w:rPr>
            </w:pPr>
            <w:r>
              <w:rPr>
                <w:rFonts w:ascii="Book Antiqua" w:hAnsi="Book Antiqua" w:eastAsia="宋体" w:cs="Book Antiqua"/>
              </w:rPr>
              <w:t>23.77</w:t>
            </w:r>
          </w:p>
        </w:tc>
        <w:tc>
          <w:tcPr>
            <w:tcW w:w="1985" w:type="dxa"/>
          </w:tcPr>
          <w:p>
            <w:pPr>
              <w:spacing w:line="360" w:lineRule="auto"/>
              <w:jc w:val="both"/>
              <w:rPr>
                <w:rFonts w:ascii="Book Antiqua" w:hAnsi="Book Antiqua" w:eastAsia="宋体" w:cs="Book Antiqua"/>
              </w:rPr>
            </w:pPr>
            <w:r>
              <w:rPr>
                <w:rFonts w:ascii="Book Antiqua" w:hAnsi="Book Antiqua" w:eastAsia="宋体" w:cs="Book Antiqua"/>
              </w:rPr>
              <w:t>-</w:t>
            </w:r>
          </w:p>
        </w:tc>
        <w:tc>
          <w:tcPr>
            <w:tcW w:w="2126" w:type="dxa"/>
          </w:tcPr>
          <w:p>
            <w:pPr>
              <w:spacing w:line="360" w:lineRule="auto"/>
              <w:jc w:val="both"/>
              <w:rPr>
                <w:rFonts w:ascii="Book Antiqua" w:hAnsi="Book Antiqua" w:eastAsia="宋体" w:cs="Book Antiqua"/>
              </w:rPr>
            </w:pPr>
            <w:r>
              <w:rPr>
                <w:rFonts w:ascii="Book Antiqua" w:hAnsi="Book Antiqua" w:eastAsia="宋体" w:cs="Book Antiqua"/>
              </w:rPr>
              <w:t>45.47</w:t>
            </w:r>
          </w:p>
        </w:tc>
        <w:tc>
          <w:tcPr>
            <w:tcW w:w="1990" w:type="dxa"/>
          </w:tcPr>
          <w:p>
            <w:pPr>
              <w:spacing w:line="360" w:lineRule="auto"/>
              <w:jc w:val="both"/>
              <w:rPr>
                <w:rFonts w:ascii="Book Antiqua" w:hAnsi="Book Antiqua" w:eastAsia="宋体" w:cs="Book Antiqua"/>
              </w:rPr>
            </w:pPr>
            <w:r>
              <w:rPr>
                <w:rFonts w:ascii="Book Antiqua" w:hAnsi="Book Antiqua" w:eastAsia="宋体" w:cs="Book Antiqua"/>
              </w:rPr>
              <w:t>38.57</w:t>
            </w:r>
          </w:p>
        </w:tc>
        <w:tc>
          <w:tcPr>
            <w:tcW w:w="2062" w:type="dxa"/>
          </w:tcPr>
          <w:p>
            <w:pPr>
              <w:spacing w:line="360" w:lineRule="auto"/>
              <w:jc w:val="both"/>
              <w:rPr>
                <w:rFonts w:ascii="Book Antiqua" w:hAnsi="Book Antiqua" w:eastAsia="宋体"/>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3" w:hRule="atLeast"/>
        </w:trPr>
        <w:tc>
          <w:tcPr>
            <w:tcW w:w="1485" w:type="dxa"/>
            <w:vMerge w:val="continue"/>
          </w:tcPr>
          <w:p>
            <w:pPr>
              <w:spacing w:line="360" w:lineRule="auto"/>
              <w:jc w:val="both"/>
              <w:rPr>
                <w:rFonts w:ascii="Book Antiqua" w:hAnsi="Book Antiqua" w:eastAsia="宋体"/>
              </w:rPr>
            </w:pPr>
          </w:p>
        </w:tc>
        <w:tc>
          <w:tcPr>
            <w:tcW w:w="2059" w:type="dxa"/>
          </w:tcPr>
          <w:p>
            <w:pPr>
              <w:spacing w:line="360" w:lineRule="auto"/>
              <w:jc w:val="both"/>
              <w:rPr>
                <w:rFonts w:ascii="Book Antiqua" w:hAnsi="Book Antiqua" w:eastAsia="宋体" w:cs="Book Antiqua"/>
              </w:rPr>
            </w:pPr>
            <w:r>
              <w:rPr>
                <w:rFonts w:ascii="Book Antiqua" w:hAnsi="Book Antiqua" w:eastAsia="宋体" w:cs="Book Antiqua"/>
              </w:rPr>
              <w:t xml:space="preserve">HE4 </w:t>
            </w:r>
            <w:r>
              <w:rPr>
                <w:rFonts w:hint="eastAsia" w:ascii="Book Antiqua" w:hAnsi="Book Antiqua" w:eastAsia="宋体" w:cs="Book Antiqua"/>
              </w:rPr>
              <w:t>(</w:t>
            </w:r>
            <w:r>
              <w:rPr>
                <w:rFonts w:ascii="Book Antiqua" w:hAnsi="Book Antiqua" w:eastAsia="宋体" w:cs="Book Antiqua"/>
              </w:rPr>
              <w:t>pmol/L</w:t>
            </w:r>
            <w:r>
              <w:rPr>
                <w:rFonts w:hint="eastAsia" w:ascii="Book Antiqua" w:hAnsi="Book Antiqua" w:eastAsia="宋体" w:cs="Book Antiqua"/>
              </w:rPr>
              <w:t>)</w:t>
            </w:r>
          </w:p>
        </w:tc>
        <w:tc>
          <w:tcPr>
            <w:tcW w:w="2126" w:type="dxa"/>
          </w:tcPr>
          <w:p>
            <w:pPr>
              <w:spacing w:line="360" w:lineRule="auto"/>
              <w:jc w:val="both"/>
              <w:rPr>
                <w:rFonts w:ascii="Book Antiqua" w:hAnsi="Book Antiqua" w:eastAsia="宋体" w:cs="Book Antiqua"/>
              </w:rPr>
            </w:pPr>
            <w:r>
              <w:rPr>
                <w:rFonts w:ascii="Book Antiqua" w:hAnsi="Book Antiqua" w:eastAsia="宋体" w:cs="Book Antiqua"/>
              </w:rPr>
              <w:t>235.5</w:t>
            </w:r>
          </w:p>
        </w:tc>
        <w:tc>
          <w:tcPr>
            <w:tcW w:w="1985" w:type="dxa"/>
          </w:tcPr>
          <w:p>
            <w:pPr>
              <w:spacing w:line="360" w:lineRule="auto"/>
              <w:jc w:val="both"/>
              <w:rPr>
                <w:rFonts w:ascii="Book Antiqua" w:hAnsi="Book Antiqua" w:eastAsia="宋体" w:cs="Book Antiqua"/>
              </w:rPr>
            </w:pPr>
            <w:r>
              <w:rPr>
                <w:rFonts w:ascii="Book Antiqua" w:hAnsi="Book Antiqua" w:eastAsia="宋体" w:cs="Book Antiqua"/>
              </w:rPr>
              <w:t>-</w:t>
            </w:r>
          </w:p>
        </w:tc>
        <w:tc>
          <w:tcPr>
            <w:tcW w:w="2126" w:type="dxa"/>
          </w:tcPr>
          <w:p>
            <w:pPr>
              <w:spacing w:line="360" w:lineRule="auto"/>
              <w:jc w:val="both"/>
              <w:rPr>
                <w:rFonts w:ascii="Book Antiqua" w:hAnsi="Book Antiqua" w:eastAsia="宋体" w:cs="Book Antiqua"/>
              </w:rPr>
            </w:pPr>
            <w:r>
              <w:rPr>
                <w:rFonts w:ascii="Book Antiqua" w:hAnsi="Book Antiqua" w:eastAsia="宋体" w:cs="Book Antiqua"/>
              </w:rPr>
              <w:t>-</w:t>
            </w:r>
          </w:p>
        </w:tc>
        <w:tc>
          <w:tcPr>
            <w:tcW w:w="1990" w:type="dxa"/>
          </w:tcPr>
          <w:p>
            <w:pPr>
              <w:spacing w:line="360" w:lineRule="auto"/>
              <w:jc w:val="both"/>
              <w:rPr>
                <w:rFonts w:ascii="Book Antiqua" w:hAnsi="Book Antiqua" w:eastAsia="宋体" w:cs="Book Antiqua"/>
              </w:rPr>
            </w:pPr>
            <w:r>
              <w:rPr>
                <w:rFonts w:ascii="Book Antiqua" w:hAnsi="Book Antiqua" w:eastAsia="宋体" w:cs="Book Antiqua"/>
              </w:rPr>
              <w:t>207.6</w:t>
            </w:r>
          </w:p>
        </w:tc>
        <w:tc>
          <w:tcPr>
            <w:tcW w:w="2062" w:type="dxa"/>
          </w:tcPr>
          <w:p>
            <w:pPr>
              <w:spacing w:line="360" w:lineRule="auto"/>
              <w:jc w:val="both"/>
              <w:rPr>
                <w:rFonts w:ascii="Book Antiqua" w:hAnsi="Book Antiqua" w:eastAsia="宋体"/>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6" w:hRule="atLeast"/>
        </w:trPr>
        <w:tc>
          <w:tcPr>
            <w:tcW w:w="1485" w:type="dxa"/>
            <w:vMerge w:val="continue"/>
          </w:tcPr>
          <w:p>
            <w:pPr>
              <w:spacing w:line="360" w:lineRule="auto"/>
              <w:jc w:val="both"/>
              <w:rPr>
                <w:rFonts w:ascii="Book Antiqua" w:hAnsi="Book Antiqua" w:eastAsia="宋体"/>
              </w:rPr>
            </w:pPr>
          </w:p>
        </w:tc>
        <w:tc>
          <w:tcPr>
            <w:tcW w:w="2059" w:type="dxa"/>
          </w:tcPr>
          <w:p>
            <w:pPr>
              <w:spacing w:line="360" w:lineRule="auto"/>
              <w:jc w:val="both"/>
              <w:rPr>
                <w:rFonts w:ascii="Book Antiqua" w:hAnsi="Book Antiqua" w:eastAsia="宋体" w:cs="Book Antiqua"/>
              </w:rPr>
            </w:pPr>
            <w:r>
              <w:rPr>
                <w:rFonts w:ascii="Book Antiqua" w:hAnsi="Book Antiqua" w:eastAsia="宋体" w:cs="Book Antiqua"/>
              </w:rPr>
              <w:t>ALB (g/L)</w:t>
            </w:r>
          </w:p>
        </w:tc>
        <w:tc>
          <w:tcPr>
            <w:tcW w:w="2126" w:type="dxa"/>
          </w:tcPr>
          <w:p>
            <w:pPr>
              <w:spacing w:line="360" w:lineRule="auto"/>
              <w:jc w:val="both"/>
              <w:rPr>
                <w:rFonts w:ascii="Book Antiqua" w:hAnsi="Book Antiqua" w:eastAsia="宋体" w:cs="Book Antiqua"/>
              </w:rPr>
            </w:pPr>
            <w:r>
              <w:rPr>
                <w:rFonts w:ascii="Book Antiqua" w:hAnsi="Book Antiqua" w:eastAsia="宋体" w:cs="Book Antiqua"/>
              </w:rPr>
              <w:t>34.3</w:t>
            </w:r>
          </w:p>
        </w:tc>
        <w:tc>
          <w:tcPr>
            <w:tcW w:w="1985" w:type="dxa"/>
          </w:tcPr>
          <w:p>
            <w:pPr>
              <w:spacing w:line="360" w:lineRule="auto"/>
              <w:jc w:val="both"/>
              <w:rPr>
                <w:rFonts w:ascii="Book Antiqua" w:hAnsi="Book Antiqua" w:eastAsia="宋体" w:cs="Book Antiqua"/>
              </w:rPr>
            </w:pPr>
            <w:r>
              <w:rPr>
                <w:rFonts w:ascii="Book Antiqua" w:hAnsi="Book Antiqua" w:eastAsia="宋体" w:cs="Book Antiqua"/>
              </w:rPr>
              <w:t>36.1</w:t>
            </w:r>
          </w:p>
        </w:tc>
        <w:tc>
          <w:tcPr>
            <w:tcW w:w="2126" w:type="dxa"/>
          </w:tcPr>
          <w:p>
            <w:pPr>
              <w:spacing w:line="360" w:lineRule="auto"/>
              <w:jc w:val="both"/>
              <w:rPr>
                <w:rFonts w:ascii="Book Antiqua" w:hAnsi="Book Antiqua" w:eastAsia="宋体" w:cs="Book Antiqua"/>
              </w:rPr>
            </w:pPr>
            <w:r>
              <w:rPr>
                <w:rFonts w:ascii="Book Antiqua" w:hAnsi="Book Antiqua" w:eastAsia="宋体" w:cs="Book Antiqua"/>
              </w:rPr>
              <w:t>33.7</w:t>
            </w:r>
          </w:p>
        </w:tc>
        <w:tc>
          <w:tcPr>
            <w:tcW w:w="1990" w:type="dxa"/>
          </w:tcPr>
          <w:p>
            <w:pPr>
              <w:spacing w:line="360" w:lineRule="auto"/>
              <w:jc w:val="both"/>
              <w:rPr>
                <w:rFonts w:ascii="Book Antiqua" w:hAnsi="Book Antiqua" w:eastAsia="宋体" w:cs="Book Antiqua"/>
              </w:rPr>
            </w:pPr>
            <w:r>
              <w:rPr>
                <w:rFonts w:ascii="Book Antiqua" w:hAnsi="Book Antiqua" w:eastAsia="宋体" w:cs="Book Antiqua"/>
              </w:rPr>
              <w:t>27.2</w:t>
            </w:r>
          </w:p>
        </w:tc>
        <w:tc>
          <w:tcPr>
            <w:tcW w:w="2062" w:type="dxa"/>
          </w:tcPr>
          <w:p>
            <w:pPr>
              <w:spacing w:line="360" w:lineRule="auto"/>
              <w:jc w:val="both"/>
              <w:rPr>
                <w:rFonts w:ascii="Book Antiqua" w:hAnsi="Book Antiqua" w:eastAsia="宋体" w:cs="Book Antiqua"/>
              </w:rPr>
            </w:pPr>
            <w:r>
              <w:rPr>
                <w:rFonts w:ascii="Book Antiqua" w:hAnsi="Book Antiqua" w:eastAsia="宋体" w:cs="Book Antiqua"/>
              </w:rPr>
              <w:t>30.7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6" w:hRule="atLeast"/>
        </w:trPr>
        <w:tc>
          <w:tcPr>
            <w:tcW w:w="1485" w:type="dxa"/>
            <w:vMerge w:val="continue"/>
          </w:tcPr>
          <w:p>
            <w:pPr>
              <w:spacing w:line="360" w:lineRule="auto"/>
              <w:jc w:val="both"/>
              <w:rPr>
                <w:rFonts w:ascii="Book Antiqua" w:hAnsi="Book Antiqua" w:eastAsia="宋体"/>
              </w:rPr>
            </w:pPr>
          </w:p>
        </w:tc>
        <w:tc>
          <w:tcPr>
            <w:tcW w:w="2059" w:type="dxa"/>
          </w:tcPr>
          <w:p>
            <w:pPr>
              <w:spacing w:line="360" w:lineRule="auto"/>
              <w:jc w:val="both"/>
              <w:rPr>
                <w:rFonts w:ascii="Book Antiqua" w:hAnsi="Book Antiqua" w:eastAsia="宋体" w:cs="Book Antiqua"/>
              </w:rPr>
            </w:pPr>
            <w:r>
              <w:rPr>
                <w:rFonts w:ascii="Book Antiqua" w:hAnsi="Book Antiqua" w:eastAsia="宋体" w:cs="Book Antiqua"/>
              </w:rPr>
              <w:t>T-SPOT</w:t>
            </w:r>
          </w:p>
        </w:tc>
        <w:tc>
          <w:tcPr>
            <w:tcW w:w="2126" w:type="dxa"/>
          </w:tcPr>
          <w:p>
            <w:pPr>
              <w:spacing w:line="360" w:lineRule="auto"/>
              <w:jc w:val="both"/>
              <w:rPr>
                <w:rFonts w:ascii="Book Antiqua" w:hAnsi="Book Antiqua" w:eastAsia="宋体" w:cs="Book Antiqua"/>
              </w:rPr>
            </w:pPr>
            <w:r>
              <w:rPr>
                <w:rFonts w:ascii="Book Antiqua" w:hAnsi="Book Antiqua" w:eastAsia="宋体" w:cs="Book Antiqua"/>
              </w:rPr>
              <w:t>Negative</w:t>
            </w:r>
          </w:p>
        </w:tc>
        <w:tc>
          <w:tcPr>
            <w:tcW w:w="1985" w:type="dxa"/>
          </w:tcPr>
          <w:p>
            <w:pPr>
              <w:spacing w:line="360" w:lineRule="auto"/>
              <w:jc w:val="both"/>
              <w:rPr>
                <w:rFonts w:ascii="Book Antiqua" w:hAnsi="Book Antiqua" w:eastAsia="宋体"/>
              </w:rPr>
            </w:pPr>
          </w:p>
        </w:tc>
        <w:tc>
          <w:tcPr>
            <w:tcW w:w="2126" w:type="dxa"/>
          </w:tcPr>
          <w:p>
            <w:pPr>
              <w:spacing w:line="360" w:lineRule="auto"/>
              <w:jc w:val="both"/>
              <w:rPr>
                <w:rFonts w:ascii="Book Antiqua" w:hAnsi="Book Antiqua" w:eastAsia="宋体"/>
              </w:rPr>
            </w:pPr>
          </w:p>
        </w:tc>
        <w:tc>
          <w:tcPr>
            <w:tcW w:w="1990" w:type="dxa"/>
          </w:tcPr>
          <w:p>
            <w:pPr>
              <w:spacing w:line="360" w:lineRule="auto"/>
              <w:jc w:val="both"/>
              <w:rPr>
                <w:rFonts w:ascii="Book Antiqua" w:hAnsi="Book Antiqua" w:eastAsia="宋体"/>
              </w:rPr>
            </w:pPr>
          </w:p>
        </w:tc>
        <w:tc>
          <w:tcPr>
            <w:tcW w:w="2062" w:type="dxa"/>
          </w:tcPr>
          <w:p>
            <w:pPr>
              <w:spacing w:line="360" w:lineRule="auto"/>
              <w:jc w:val="both"/>
              <w:rPr>
                <w:rFonts w:ascii="Book Antiqua" w:hAnsi="Book Antiqua" w:eastAsia="宋体"/>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6" w:hRule="atLeast"/>
        </w:trPr>
        <w:tc>
          <w:tcPr>
            <w:tcW w:w="1485" w:type="dxa"/>
            <w:vMerge w:val="restart"/>
          </w:tcPr>
          <w:p>
            <w:pPr>
              <w:spacing w:line="360" w:lineRule="auto"/>
              <w:jc w:val="both"/>
              <w:rPr>
                <w:rFonts w:ascii="Book Antiqua" w:hAnsi="Book Antiqua" w:eastAsia="宋体"/>
              </w:rPr>
            </w:pPr>
            <w:r>
              <w:rPr>
                <w:rFonts w:ascii="Book Antiqua" w:hAnsi="Book Antiqua" w:eastAsia="宋体" w:cs="Book Antiqua"/>
              </w:rPr>
              <w:t>Ascites</w:t>
            </w:r>
          </w:p>
        </w:tc>
        <w:tc>
          <w:tcPr>
            <w:tcW w:w="2059" w:type="dxa"/>
          </w:tcPr>
          <w:p>
            <w:pPr>
              <w:spacing w:line="360" w:lineRule="auto"/>
              <w:jc w:val="both"/>
              <w:rPr>
                <w:rFonts w:ascii="Book Antiqua" w:hAnsi="Book Antiqua" w:eastAsia="宋体" w:cs="Book Antiqua"/>
              </w:rPr>
            </w:pPr>
            <w:r>
              <w:rPr>
                <w:rFonts w:ascii="Book Antiqua" w:hAnsi="Book Antiqua" w:eastAsia="宋体" w:cs="Book Antiqua"/>
              </w:rPr>
              <w:t>TP (g/L)</w:t>
            </w:r>
          </w:p>
        </w:tc>
        <w:tc>
          <w:tcPr>
            <w:tcW w:w="2126" w:type="dxa"/>
          </w:tcPr>
          <w:p>
            <w:pPr>
              <w:spacing w:line="360" w:lineRule="auto"/>
              <w:jc w:val="both"/>
              <w:rPr>
                <w:rFonts w:ascii="Book Antiqua" w:hAnsi="Book Antiqua" w:eastAsia="宋体" w:cs="Book Antiqua"/>
              </w:rPr>
            </w:pPr>
            <w:r>
              <w:rPr>
                <w:rFonts w:ascii="Book Antiqua" w:hAnsi="Book Antiqua" w:eastAsia="宋体" w:cs="Book Antiqua"/>
              </w:rPr>
              <w:t>50.4</w:t>
            </w:r>
          </w:p>
        </w:tc>
        <w:tc>
          <w:tcPr>
            <w:tcW w:w="1985" w:type="dxa"/>
          </w:tcPr>
          <w:p>
            <w:pPr>
              <w:spacing w:line="360" w:lineRule="auto"/>
              <w:jc w:val="both"/>
              <w:rPr>
                <w:rFonts w:ascii="Book Antiqua" w:hAnsi="Book Antiqua" w:eastAsia="宋体" w:cs="Book Antiqua"/>
              </w:rPr>
            </w:pPr>
            <w:r>
              <w:rPr>
                <w:rFonts w:ascii="Book Antiqua" w:hAnsi="Book Antiqua" w:eastAsia="宋体" w:cs="Book Antiqua"/>
              </w:rPr>
              <w:t>-</w:t>
            </w:r>
          </w:p>
        </w:tc>
        <w:tc>
          <w:tcPr>
            <w:tcW w:w="2126" w:type="dxa"/>
          </w:tcPr>
          <w:p>
            <w:pPr>
              <w:spacing w:line="360" w:lineRule="auto"/>
              <w:jc w:val="both"/>
              <w:rPr>
                <w:rFonts w:ascii="Book Antiqua" w:hAnsi="Book Antiqua" w:eastAsia="宋体" w:cs="Book Antiqua"/>
              </w:rPr>
            </w:pPr>
            <w:r>
              <w:rPr>
                <w:rFonts w:ascii="Book Antiqua" w:hAnsi="Book Antiqua" w:eastAsia="宋体" w:cs="Book Antiqua"/>
              </w:rPr>
              <w:t>26.7</w:t>
            </w:r>
          </w:p>
        </w:tc>
        <w:tc>
          <w:tcPr>
            <w:tcW w:w="1990" w:type="dxa"/>
          </w:tcPr>
          <w:p>
            <w:pPr>
              <w:spacing w:line="360" w:lineRule="auto"/>
              <w:jc w:val="both"/>
              <w:rPr>
                <w:rFonts w:ascii="Book Antiqua" w:hAnsi="Book Antiqua" w:eastAsia="宋体"/>
              </w:rPr>
            </w:pPr>
          </w:p>
        </w:tc>
        <w:tc>
          <w:tcPr>
            <w:tcW w:w="2062" w:type="dxa"/>
          </w:tcPr>
          <w:p>
            <w:pPr>
              <w:spacing w:line="360" w:lineRule="auto"/>
              <w:jc w:val="both"/>
              <w:rPr>
                <w:rFonts w:ascii="Book Antiqua" w:hAnsi="Book Antiqua" w:eastAsia="宋体"/>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6" w:hRule="atLeast"/>
        </w:trPr>
        <w:tc>
          <w:tcPr>
            <w:tcW w:w="1485" w:type="dxa"/>
            <w:vMerge w:val="continue"/>
          </w:tcPr>
          <w:p>
            <w:pPr>
              <w:spacing w:line="360" w:lineRule="auto"/>
              <w:jc w:val="both"/>
              <w:rPr>
                <w:rFonts w:ascii="Book Antiqua" w:hAnsi="Book Antiqua" w:eastAsia="宋体"/>
              </w:rPr>
            </w:pPr>
          </w:p>
        </w:tc>
        <w:tc>
          <w:tcPr>
            <w:tcW w:w="2059" w:type="dxa"/>
          </w:tcPr>
          <w:p>
            <w:pPr>
              <w:spacing w:line="360" w:lineRule="auto"/>
              <w:jc w:val="both"/>
              <w:rPr>
                <w:rFonts w:ascii="Book Antiqua" w:hAnsi="Book Antiqua" w:eastAsia="宋体" w:cs="Book Antiqua"/>
              </w:rPr>
            </w:pPr>
            <w:r>
              <w:rPr>
                <w:rFonts w:ascii="Book Antiqua" w:hAnsi="Book Antiqua" w:eastAsia="宋体" w:cs="Book Antiqua"/>
              </w:rPr>
              <w:t>ADA (U/L)</w:t>
            </w:r>
          </w:p>
        </w:tc>
        <w:tc>
          <w:tcPr>
            <w:tcW w:w="2126" w:type="dxa"/>
          </w:tcPr>
          <w:p>
            <w:pPr>
              <w:spacing w:line="360" w:lineRule="auto"/>
              <w:jc w:val="both"/>
              <w:rPr>
                <w:rFonts w:ascii="Book Antiqua" w:hAnsi="Book Antiqua" w:eastAsia="宋体" w:cs="Book Antiqua"/>
              </w:rPr>
            </w:pPr>
            <w:r>
              <w:rPr>
                <w:rFonts w:ascii="Book Antiqua" w:hAnsi="Book Antiqua" w:eastAsia="宋体" w:cs="Book Antiqua"/>
              </w:rPr>
              <w:t>11</w:t>
            </w:r>
          </w:p>
        </w:tc>
        <w:tc>
          <w:tcPr>
            <w:tcW w:w="1985" w:type="dxa"/>
          </w:tcPr>
          <w:p>
            <w:pPr>
              <w:spacing w:line="360" w:lineRule="auto"/>
              <w:jc w:val="both"/>
              <w:rPr>
                <w:rFonts w:ascii="Book Antiqua" w:hAnsi="Book Antiqua" w:eastAsia="宋体" w:cs="Book Antiqua"/>
              </w:rPr>
            </w:pPr>
            <w:r>
              <w:rPr>
                <w:rFonts w:ascii="Book Antiqua" w:hAnsi="Book Antiqua" w:eastAsia="宋体" w:cs="Book Antiqua"/>
              </w:rPr>
              <w:t>-</w:t>
            </w:r>
          </w:p>
        </w:tc>
        <w:tc>
          <w:tcPr>
            <w:tcW w:w="2126" w:type="dxa"/>
          </w:tcPr>
          <w:p>
            <w:pPr>
              <w:spacing w:line="360" w:lineRule="auto"/>
              <w:jc w:val="both"/>
              <w:rPr>
                <w:rFonts w:ascii="Book Antiqua" w:hAnsi="Book Antiqua" w:eastAsia="宋体" w:cs="Book Antiqua"/>
              </w:rPr>
            </w:pPr>
            <w:r>
              <w:rPr>
                <w:rFonts w:ascii="Book Antiqua" w:hAnsi="Book Antiqua" w:eastAsia="宋体" w:cs="Book Antiqua"/>
              </w:rPr>
              <w:t>7</w:t>
            </w:r>
          </w:p>
        </w:tc>
        <w:tc>
          <w:tcPr>
            <w:tcW w:w="1990" w:type="dxa"/>
          </w:tcPr>
          <w:p>
            <w:pPr>
              <w:spacing w:line="360" w:lineRule="auto"/>
              <w:jc w:val="both"/>
              <w:rPr>
                <w:rFonts w:ascii="Book Antiqua" w:hAnsi="Book Antiqua" w:eastAsia="宋体"/>
              </w:rPr>
            </w:pPr>
          </w:p>
        </w:tc>
        <w:tc>
          <w:tcPr>
            <w:tcW w:w="2062" w:type="dxa"/>
          </w:tcPr>
          <w:p>
            <w:pPr>
              <w:spacing w:line="360" w:lineRule="auto"/>
              <w:jc w:val="both"/>
              <w:rPr>
                <w:rFonts w:ascii="Book Antiqua" w:hAnsi="Book Antiqua" w:eastAsia="宋体"/>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6" w:hRule="atLeast"/>
        </w:trPr>
        <w:tc>
          <w:tcPr>
            <w:tcW w:w="1485" w:type="dxa"/>
            <w:vMerge w:val="continue"/>
          </w:tcPr>
          <w:p>
            <w:pPr>
              <w:spacing w:line="360" w:lineRule="auto"/>
              <w:jc w:val="both"/>
              <w:rPr>
                <w:rFonts w:ascii="Book Antiqua" w:hAnsi="Book Antiqua" w:eastAsia="宋体"/>
              </w:rPr>
            </w:pPr>
          </w:p>
        </w:tc>
        <w:tc>
          <w:tcPr>
            <w:tcW w:w="2059" w:type="dxa"/>
          </w:tcPr>
          <w:p>
            <w:pPr>
              <w:spacing w:line="360" w:lineRule="auto"/>
              <w:jc w:val="both"/>
              <w:rPr>
                <w:rFonts w:ascii="Book Antiqua" w:hAnsi="Book Antiqua" w:eastAsia="宋体" w:cs="Book Antiqua"/>
              </w:rPr>
            </w:pPr>
            <w:r>
              <w:rPr>
                <w:rFonts w:ascii="Book Antiqua" w:hAnsi="Book Antiqua" w:eastAsia="宋体" w:cs="Book Antiqua"/>
              </w:rPr>
              <w:t>Color</w:t>
            </w:r>
          </w:p>
        </w:tc>
        <w:tc>
          <w:tcPr>
            <w:tcW w:w="2126" w:type="dxa"/>
          </w:tcPr>
          <w:p>
            <w:pPr>
              <w:spacing w:line="360" w:lineRule="auto"/>
              <w:jc w:val="both"/>
              <w:rPr>
                <w:rFonts w:ascii="Book Antiqua" w:hAnsi="Book Antiqua" w:eastAsia="宋体" w:cs="Book Antiqua"/>
              </w:rPr>
            </w:pPr>
            <w:r>
              <w:rPr>
                <w:rFonts w:ascii="Book Antiqua" w:hAnsi="Book Antiqua" w:eastAsia="宋体" w:cs="Book Antiqua"/>
              </w:rPr>
              <w:t>Yellow</w:t>
            </w:r>
          </w:p>
        </w:tc>
        <w:tc>
          <w:tcPr>
            <w:tcW w:w="1985" w:type="dxa"/>
          </w:tcPr>
          <w:p>
            <w:pPr>
              <w:spacing w:line="360" w:lineRule="auto"/>
              <w:jc w:val="both"/>
              <w:rPr>
                <w:rFonts w:ascii="Book Antiqua" w:hAnsi="Book Antiqua" w:eastAsia="宋体" w:cs="Book Antiqua"/>
              </w:rPr>
            </w:pPr>
            <w:r>
              <w:rPr>
                <w:rFonts w:ascii="Book Antiqua" w:hAnsi="Book Antiqua" w:eastAsia="宋体" w:cs="Book Antiqua"/>
              </w:rPr>
              <w:t>-</w:t>
            </w:r>
          </w:p>
        </w:tc>
        <w:tc>
          <w:tcPr>
            <w:tcW w:w="2126" w:type="dxa"/>
          </w:tcPr>
          <w:p>
            <w:pPr>
              <w:spacing w:line="360" w:lineRule="auto"/>
              <w:jc w:val="both"/>
              <w:rPr>
                <w:rFonts w:ascii="Book Antiqua" w:hAnsi="Book Antiqua" w:eastAsia="宋体" w:cs="Book Antiqua"/>
              </w:rPr>
            </w:pPr>
            <w:r>
              <w:rPr>
                <w:rFonts w:ascii="Book Antiqua" w:hAnsi="Book Antiqua" w:eastAsia="宋体" w:cs="Book Antiqua"/>
              </w:rPr>
              <w:t>Yellow</w:t>
            </w:r>
          </w:p>
        </w:tc>
        <w:tc>
          <w:tcPr>
            <w:tcW w:w="1990" w:type="dxa"/>
          </w:tcPr>
          <w:p>
            <w:pPr>
              <w:spacing w:line="360" w:lineRule="auto"/>
              <w:jc w:val="both"/>
              <w:rPr>
                <w:rFonts w:ascii="Book Antiqua" w:hAnsi="Book Antiqua" w:eastAsia="宋体"/>
              </w:rPr>
            </w:pPr>
          </w:p>
        </w:tc>
        <w:tc>
          <w:tcPr>
            <w:tcW w:w="2062" w:type="dxa"/>
          </w:tcPr>
          <w:p>
            <w:pPr>
              <w:spacing w:line="360" w:lineRule="auto"/>
              <w:jc w:val="both"/>
              <w:rPr>
                <w:rFonts w:ascii="Book Antiqua" w:hAnsi="Book Antiqua" w:eastAsia="宋体"/>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6" w:hRule="atLeast"/>
        </w:trPr>
        <w:tc>
          <w:tcPr>
            <w:tcW w:w="1485" w:type="dxa"/>
            <w:vMerge w:val="continue"/>
          </w:tcPr>
          <w:p>
            <w:pPr>
              <w:spacing w:line="360" w:lineRule="auto"/>
              <w:jc w:val="both"/>
              <w:rPr>
                <w:rFonts w:ascii="Book Antiqua" w:hAnsi="Book Antiqua" w:eastAsia="宋体"/>
              </w:rPr>
            </w:pPr>
          </w:p>
        </w:tc>
        <w:tc>
          <w:tcPr>
            <w:tcW w:w="2059" w:type="dxa"/>
          </w:tcPr>
          <w:p>
            <w:pPr>
              <w:spacing w:line="360" w:lineRule="auto"/>
              <w:jc w:val="both"/>
              <w:rPr>
                <w:rFonts w:ascii="Book Antiqua" w:hAnsi="Book Antiqua" w:eastAsia="宋体" w:cs="Book Antiqua"/>
              </w:rPr>
            </w:pPr>
            <w:r>
              <w:rPr>
                <w:rFonts w:ascii="Book Antiqua" w:hAnsi="Book Antiqua" w:eastAsia="宋体" w:cs="Book Antiqua"/>
              </w:rPr>
              <w:t>RBC (E+6/L)</w:t>
            </w:r>
          </w:p>
        </w:tc>
        <w:tc>
          <w:tcPr>
            <w:tcW w:w="2126" w:type="dxa"/>
          </w:tcPr>
          <w:p>
            <w:pPr>
              <w:spacing w:line="360" w:lineRule="auto"/>
              <w:jc w:val="both"/>
              <w:rPr>
                <w:rFonts w:ascii="Book Antiqua" w:hAnsi="Book Antiqua" w:eastAsia="宋体" w:cs="Book Antiqua"/>
              </w:rPr>
            </w:pPr>
            <w:r>
              <w:rPr>
                <w:rFonts w:ascii="Book Antiqua" w:hAnsi="Book Antiqua" w:eastAsia="宋体" w:cs="Book Antiqua"/>
              </w:rPr>
              <w:t>5000</w:t>
            </w:r>
          </w:p>
        </w:tc>
        <w:tc>
          <w:tcPr>
            <w:tcW w:w="1985" w:type="dxa"/>
          </w:tcPr>
          <w:p>
            <w:pPr>
              <w:spacing w:line="360" w:lineRule="auto"/>
              <w:jc w:val="both"/>
              <w:rPr>
                <w:rFonts w:ascii="Book Antiqua" w:hAnsi="Book Antiqua" w:eastAsia="宋体" w:cs="Book Antiqua"/>
              </w:rPr>
            </w:pPr>
            <w:r>
              <w:rPr>
                <w:rFonts w:ascii="Book Antiqua" w:hAnsi="Book Antiqua" w:eastAsia="宋体" w:cs="Book Antiqua"/>
              </w:rPr>
              <w:t>-</w:t>
            </w:r>
          </w:p>
        </w:tc>
        <w:tc>
          <w:tcPr>
            <w:tcW w:w="2126" w:type="dxa"/>
          </w:tcPr>
          <w:p>
            <w:pPr>
              <w:spacing w:line="360" w:lineRule="auto"/>
              <w:jc w:val="both"/>
              <w:rPr>
                <w:rFonts w:ascii="Book Antiqua" w:hAnsi="Book Antiqua" w:eastAsia="宋体" w:cs="Book Antiqua"/>
              </w:rPr>
            </w:pPr>
            <w:r>
              <w:rPr>
                <w:rFonts w:ascii="Book Antiqua" w:hAnsi="Book Antiqua" w:eastAsia="宋体" w:cs="Book Antiqua"/>
              </w:rPr>
              <w:t>1000</w:t>
            </w:r>
          </w:p>
        </w:tc>
        <w:tc>
          <w:tcPr>
            <w:tcW w:w="1990" w:type="dxa"/>
          </w:tcPr>
          <w:p>
            <w:pPr>
              <w:spacing w:line="360" w:lineRule="auto"/>
              <w:jc w:val="both"/>
              <w:rPr>
                <w:rFonts w:ascii="Book Antiqua" w:hAnsi="Book Antiqua" w:eastAsia="宋体"/>
              </w:rPr>
            </w:pPr>
          </w:p>
        </w:tc>
        <w:tc>
          <w:tcPr>
            <w:tcW w:w="2062" w:type="dxa"/>
          </w:tcPr>
          <w:p>
            <w:pPr>
              <w:spacing w:line="360" w:lineRule="auto"/>
              <w:jc w:val="both"/>
              <w:rPr>
                <w:rFonts w:ascii="Book Antiqua" w:hAnsi="Book Antiqua" w:eastAsia="宋体"/>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6" w:hRule="atLeast"/>
        </w:trPr>
        <w:tc>
          <w:tcPr>
            <w:tcW w:w="1485" w:type="dxa"/>
            <w:vMerge w:val="continue"/>
          </w:tcPr>
          <w:p>
            <w:pPr>
              <w:spacing w:line="360" w:lineRule="auto"/>
              <w:jc w:val="both"/>
              <w:rPr>
                <w:rFonts w:ascii="Book Antiqua" w:hAnsi="Book Antiqua" w:eastAsia="宋体"/>
              </w:rPr>
            </w:pPr>
          </w:p>
        </w:tc>
        <w:tc>
          <w:tcPr>
            <w:tcW w:w="2059" w:type="dxa"/>
          </w:tcPr>
          <w:p>
            <w:pPr>
              <w:spacing w:line="360" w:lineRule="auto"/>
              <w:jc w:val="both"/>
              <w:rPr>
                <w:rFonts w:ascii="Book Antiqua" w:hAnsi="Book Antiqua" w:eastAsia="宋体" w:cs="Book Antiqua"/>
              </w:rPr>
            </w:pPr>
            <w:r>
              <w:rPr>
                <w:rFonts w:ascii="Book Antiqua" w:hAnsi="Book Antiqua" w:eastAsia="宋体" w:cs="Book Antiqua"/>
              </w:rPr>
              <w:t>WBC (E+6/L)</w:t>
            </w:r>
          </w:p>
        </w:tc>
        <w:tc>
          <w:tcPr>
            <w:tcW w:w="2126" w:type="dxa"/>
          </w:tcPr>
          <w:p>
            <w:pPr>
              <w:spacing w:line="360" w:lineRule="auto"/>
              <w:jc w:val="both"/>
              <w:rPr>
                <w:rFonts w:ascii="Book Antiqua" w:hAnsi="Book Antiqua" w:eastAsia="宋体" w:cs="Book Antiqua"/>
              </w:rPr>
            </w:pPr>
            <w:r>
              <w:rPr>
                <w:rFonts w:ascii="Book Antiqua" w:hAnsi="Book Antiqua" w:eastAsia="宋体" w:cs="Book Antiqua"/>
              </w:rPr>
              <w:t>2149</w:t>
            </w:r>
          </w:p>
        </w:tc>
        <w:tc>
          <w:tcPr>
            <w:tcW w:w="1985" w:type="dxa"/>
          </w:tcPr>
          <w:p>
            <w:pPr>
              <w:spacing w:line="360" w:lineRule="auto"/>
              <w:jc w:val="both"/>
              <w:rPr>
                <w:rFonts w:ascii="Book Antiqua" w:hAnsi="Book Antiqua" w:eastAsia="宋体" w:cs="Book Antiqua"/>
              </w:rPr>
            </w:pPr>
            <w:r>
              <w:rPr>
                <w:rFonts w:ascii="Book Antiqua" w:hAnsi="Book Antiqua" w:eastAsia="宋体" w:cs="Book Antiqua"/>
              </w:rPr>
              <w:t>-</w:t>
            </w:r>
          </w:p>
        </w:tc>
        <w:tc>
          <w:tcPr>
            <w:tcW w:w="2126" w:type="dxa"/>
          </w:tcPr>
          <w:p>
            <w:pPr>
              <w:spacing w:line="360" w:lineRule="auto"/>
              <w:jc w:val="both"/>
              <w:rPr>
                <w:rFonts w:ascii="Book Antiqua" w:hAnsi="Book Antiqua" w:eastAsia="宋体" w:cs="Book Antiqua"/>
              </w:rPr>
            </w:pPr>
            <w:r>
              <w:rPr>
                <w:rFonts w:ascii="Book Antiqua" w:hAnsi="Book Antiqua" w:eastAsia="宋体" w:cs="Book Antiqua"/>
              </w:rPr>
              <w:t>209</w:t>
            </w:r>
          </w:p>
        </w:tc>
        <w:tc>
          <w:tcPr>
            <w:tcW w:w="1990" w:type="dxa"/>
          </w:tcPr>
          <w:p>
            <w:pPr>
              <w:spacing w:line="360" w:lineRule="auto"/>
              <w:jc w:val="both"/>
              <w:rPr>
                <w:rFonts w:ascii="Book Antiqua" w:hAnsi="Book Antiqua" w:eastAsia="宋体"/>
              </w:rPr>
            </w:pPr>
          </w:p>
        </w:tc>
        <w:tc>
          <w:tcPr>
            <w:tcW w:w="2062" w:type="dxa"/>
          </w:tcPr>
          <w:p>
            <w:pPr>
              <w:spacing w:line="360" w:lineRule="auto"/>
              <w:jc w:val="both"/>
              <w:rPr>
                <w:rFonts w:ascii="Book Antiqua" w:hAnsi="Book Antiqua" w:eastAsia="宋体"/>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6" w:hRule="atLeast"/>
        </w:trPr>
        <w:tc>
          <w:tcPr>
            <w:tcW w:w="1485" w:type="dxa"/>
            <w:vMerge w:val="continue"/>
          </w:tcPr>
          <w:p>
            <w:pPr>
              <w:spacing w:line="360" w:lineRule="auto"/>
              <w:jc w:val="both"/>
              <w:rPr>
                <w:rFonts w:ascii="Book Antiqua" w:hAnsi="Book Antiqua" w:eastAsia="宋体"/>
              </w:rPr>
            </w:pPr>
          </w:p>
        </w:tc>
        <w:tc>
          <w:tcPr>
            <w:tcW w:w="2059" w:type="dxa"/>
          </w:tcPr>
          <w:p>
            <w:pPr>
              <w:spacing w:line="360" w:lineRule="auto"/>
              <w:jc w:val="both"/>
              <w:rPr>
                <w:rFonts w:ascii="Book Antiqua" w:hAnsi="Book Antiqua" w:eastAsia="宋体" w:cs="Book Antiqua"/>
              </w:rPr>
            </w:pPr>
            <w:r>
              <w:rPr>
                <w:rFonts w:ascii="Book Antiqua" w:hAnsi="Book Antiqua" w:eastAsia="宋体" w:cs="Book Antiqua"/>
              </w:rPr>
              <w:t>CEA (ng/mL)</w:t>
            </w:r>
          </w:p>
        </w:tc>
        <w:tc>
          <w:tcPr>
            <w:tcW w:w="2126" w:type="dxa"/>
          </w:tcPr>
          <w:p>
            <w:pPr>
              <w:spacing w:line="360" w:lineRule="auto"/>
              <w:jc w:val="both"/>
              <w:rPr>
                <w:rFonts w:ascii="Book Antiqua" w:hAnsi="Book Antiqua" w:eastAsia="宋体" w:cs="Book Antiqua"/>
              </w:rPr>
            </w:pPr>
            <w:r>
              <w:rPr>
                <w:rFonts w:ascii="Book Antiqua" w:hAnsi="Book Antiqua" w:eastAsia="宋体" w:cs="Book Antiqua"/>
              </w:rPr>
              <w:t>0.73</w:t>
            </w:r>
          </w:p>
        </w:tc>
        <w:tc>
          <w:tcPr>
            <w:tcW w:w="1985" w:type="dxa"/>
          </w:tcPr>
          <w:p>
            <w:pPr>
              <w:spacing w:line="360" w:lineRule="auto"/>
              <w:jc w:val="both"/>
              <w:rPr>
                <w:rFonts w:ascii="Book Antiqua" w:hAnsi="Book Antiqua" w:eastAsia="宋体"/>
              </w:rPr>
            </w:pPr>
          </w:p>
        </w:tc>
        <w:tc>
          <w:tcPr>
            <w:tcW w:w="2126" w:type="dxa"/>
          </w:tcPr>
          <w:p>
            <w:pPr>
              <w:spacing w:line="360" w:lineRule="auto"/>
              <w:jc w:val="both"/>
              <w:rPr>
                <w:rFonts w:ascii="Book Antiqua" w:hAnsi="Book Antiqua" w:eastAsia="宋体"/>
              </w:rPr>
            </w:pPr>
          </w:p>
        </w:tc>
        <w:tc>
          <w:tcPr>
            <w:tcW w:w="1990" w:type="dxa"/>
          </w:tcPr>
          <w:p>
            <w:pPr>
              <w:spacing w:line="360" w:lineRule="auto"/>
              <w:jc w:val="both"/>
              <w:rPr>
                <w:rFonts w:ascii="Book Antiqua" w:hAnsi="Book Antiqua" w:eastAsia="宋体"/>
              </w:rPr>
            </w:pPr>
          </w:p>
        </w:tc>
        <w:tc>
          <w:tcPr>
            <w:tcW w:w="2062" w:type="dxa"/>
          </w:tcPr>
          <w:p>
            <w:pPr>
              <w:spacing w:line="360" w:lineRule="auto"/>
              <w:jc w:val="both"/>
              <w:rPr>
                <w:rFonts w:ascii="Book Antiqua" w:hAnsi="Book Antiqua" w:eastAsia="宋体"/>
              </w:rPr>
            </w:pPr>
          </w:p>
        </w:tc>
      </w:tr>
    </w:tbl>
    <w:p>
      <w:pPr>
        <w:spacing w:line="360" w:lineRule="auto"/>
        <w:jc w:val="both"/>
        <w:rPr>
          <w:rFonts w:ascii="Book Antiqua" w:hAnsi="Book Antiqua" w:cs="Book Antiqua"/>
        </w:rPr>
        <w:sectPr>
          <w:headerReference r:id="rId4" w:type="default"/>
          <w:pgSz w:w="16838" w:h="11906" w:orient="landscape"/>
          <w:pgMar w:top="1800" w:right="1440" w:bottom="1800" w:left="1440" w:header="851" w:footer="992" w:gutter="0"/>
          <w:cols w:space="425" w:num="1"/>
          <w:docGrid w:type="lines" w:linePitch="326" w:charSpace="0"/>
        </w:sectPr>
      </w:pPr>
      <w:r>
        <w:rPr>
          <w:rFonts w:ascii="Book Antiqua" w:hAnsi="Book Antiqua" w:cs="Book Antiqua"/>
          <w:lang w:eastAsia="zh-CN"/>
        </w:rPr>
        <w:t>CEA</w:t>
      </w:r>
      <w:r>
        <w:rPr>
          <w:rFonts w:hint="eastAsia" w:ascii="Book Antiqua" w:hAnsi="Book Antiqua" w:cs="Book Antiqua"/>
          <w:lang w:eastAsia="zh-CN"/>
        </w:rPr>
        <w:t>:</w:t>
      </w:r>
      <w:r>
        <w:rPr>
          <w:rFonts w:ascii="Book Antiqua" w:hAnsi="Book Antiqua" w:cs="Book Antiqua"/>
          <w:lang w:eastAsia="zh-CN"/>
        </w:rPr>
        <w:t xml:space="preserve"> </w:t>
      </w:r>
      <w:r>
        <w:rPr>
          <w:rFonts w:ascii="Book Antiqua" w:hAnsi="Book Antiqua" w:cs="Book Antiqua"/>
        </w:rPr>
        <w:t>Carcinoembryonic antigen</w:t>
      </w:r>
      <w:r>
        <w:rPr>
          <w:rFonts w:hint="eastAsia" w:ascii="Book Antiqua" w:hAnsi="Book Antiqua" w:cs="Book Antiqua"/>
          <w:lang w:eastAsia="zh-CN"/>
        </w:rPr>
        <w:t>;</w:t>
      </w:r>
      <w:r>
        <w:rPr>
          <w:rFonts w:ascii="Book Antiqua" w:hAnsi="Book Antiqua" w:cs="Book Antiqua"/>
          <w:lang w:eastAsia="zh-CN"/>
        </w:rPr>
        <w:t xml:space="preserve"> </w:t>
      </w:r>
      <w:r>
        <w:rPr>
          <w:rFonts w:ascii="Book Antiqua" w:hAnsi="Book Antiqua" w:cs="Book Antiqua"/>
        </w:rPr>
        <w:t>PLT</w:t>
      </w:r>
      <w:r>
        <w:rPr>
          <w:rFonts w:hint="eastAsia" w:ascii="Book Antiqua" w:hAnsi="Book Antiqua" w:cs="Book Antiqua"/>
          <w:lang w:eastAsia="zh-CN"/>
        </w:rPr>
        <w:t>:</w:t>
      </w:r>
      <w:r>
        <w:rPr>
          <w:rFonts w:ascii="Book Antiqua" w:hAnsi="Book Antiqua" w:cs="Book Antiqua"/>
          <w:lang w:eastAsia="zh-CN"/>
        </w:rPr>
        <w:t xml:space="preserve"> </w:t>
      </w:r>
      <w:r>
        <w:rPr>
          <w:rFonts w:ascii="Book Antiqua" w:hAnsi="Book Antiqua" w:cs="Book Antiqua"/>
        </w:rPr>
        <w:t>Platelet count</w:t>
      </w:r>
      <w:r>
        <w:rPr>
          <w:rFonts w:hint="eastAsia" w:ascii="Book Antiqua" w:hAnsi="Book Antiqua" w:cs="Book Antiqua"/>
          <w:lang w:eastAsia="zh-CN"/>
        </w:rPr>
        <w:t>;</w:t>
      </w:r>
      <w:r>
        <w:rPr>
          <w:rFonts w:ascii="Book Antiqua" w:hAnsi="Book Antiqua" w:cs="Book Antiqua"/>
          <w:lang w:eastAsia="zh-CN"/>
        </w:rPr>
        <w:t xml:space="preserve"> </w:t>
      </w:r>
      <w:r>
        <w:rPr>
          <w:rFonts w:ascii="Book Antiqua" w:hAnsi="Book Antiqua" w:cs="Book Antiqua"/>
        </w:rPr>
        <w:t>CA125</w:t>
      </w:r>
      <w:r>
        <w:rPr>
          <w:rFonts w:hint="eastAsia" w:ascii="Book Antiqua" w:hAnsi="Book Antiqua" w:cs="Book Antiqua"/>
          <w:lang w:eastAsia="zh-CN"/>
        </w:rPr>
        <w:t>:</w:t>
      </w:r>
      <w:r>
        <w:rPr>
          <w:rFonts w:ascii="Book Antiqua" w:hAnsi="Book Antiqua" w:cs="Book Antiqua"/>
          <w:lang w:eastAsia="zh-CN"/>
        </w:rPr>
        <w:t xml:space="preserve"> </w:t>
      </w:r>
      <w:r>
        <w:rPr>
          <w:rFonts w:ascii="Book Antiqua" w:hAnsi="Book Antiqua" w:cs="Book Antiqua"/>
        </w:rPr>
        <w:t>Carbohydrate antigen 125</w:t>
      </w:r>
      <w:r>
        <w:rPr>
          <w:rFonts w:hint="eastAsia" w:ascii="Book Antiqua" w:hAnsi="Book Antiqua" w:cs="Book Antiqua"/>
          <w:lang w:eastAsia="zh-CN"/>
        </w:rPr>
        <w:t>;</w:t>
      </w:r>
      <w:r>
        <w:rPr>
          <w:rFonts w:ascii="Book Antiqua" w:hAnsi="Book Antiqua" w:cs="Book Antiqua"/>
          <w:lang w:eastAsia="zh-CN"/>
        </w:rPr>
        <w:t xml:space="preserve"> </w:t>
      </w:r>
      <w:r>
        <w:rPr>
          <w:rFonts w:ascii="Book Antiqua" w:hAnsi="Book Antiqua" w:cs="Book Antiqua"/>
        </w:rPr>
        <w:t>CA199</w:t>
      </w:r>
      <w:r>
        <w:rPr>
          <w:rFonts w:hint="eastAsia" w:ascii="Book Antiqua" w:hAnsi="Book Antiqua" w:cs="Book Antiqua"/>
          <w:lang w:eastAsia="zh-CN"/>
        </w:rPr>
        <w:t>:</w:t>
      </w:r>
      <w:r>
        <w:rPr>
          <w:rFonts w:ascii="Book Antiqua" w:hAnsi="Book Antiqua" w:cs="Book Antiqua"/>
          <w:lang w:eastAsia="zh-CN"/>
        </w:rPr>
        <w:t xml:space="preserve"> </w:t>
      </w:r>
      <w:r>
        <w:rPr>
          <w:rFonts w:ascii="Book Antiqua" w:hAnsi="Book Antiqua" w:cs="Book Antiqua"/>
        </w:rPr>
        <w:t>Carbohydrate antigen</w:t>
      </w:r>
      <w:r>
        <w:rPr>
          <w:rFonts w:ascii="Book Antiqua" w:hAnsi="Book Antiqua" w:cs="Book Antiqua"/>
          <w:lang w:eastAsia="zh-CN"/>
        </w:rPr>
        <w:t xml:space="preserve"> 199</w:t>
      </w:r>
      <w:r>
        <w:rPr>
          <w:rFonts w:hint="eastAsia" w:ascii="Book Antiqua" w:hAnsi="Book Antiqua" w:cs="Book Antiqua"/>
          <w:lang w:eastAsia="zh-CN"/>
        </w:rPr>
        <w:t>;</w:t>
      </w:r>
      <w:r>
        <w:rPr>
          <w:rFonts w:ascii="Book Antiqua" w:hAnsi="Book Antiqua" w:cs="Book Antiqua"/>
          <w:lang w:eastAsia="zh-CN"/>
        </w:rPr>
        <w:t xml:space="preserve"> </w:t>
      </w:r>
      <w:r>
        <w:rPr>
          <w:rFonts w:ascii="Book Antiqua" w:hAnsi="Book Antiqua" w:cs="Book Antiqua"/>
        </w:rPr>
        <w:t>HE4</w:t>
      </w:r>
      <w:r>
        <w:rPr>
          <w:rFonts w:hint="eastAsia" w:ascii="Book Antiqua" w:hAnsi="Book Antiqua" w:cs="Book Antiqua"/>
          <w:lang w:eastAsia="zh-CN"/>
        </w:rPr>
        <w:t>:</w:t>
      </w:r>
      <w:r>
        <w:rPr>
          <w:rFonts w:ascii="Book Antiqua" w:hAnsi="Book Antiqua" w:cs="Book Antiqua"/>
          <w:lang w:eastAsia="zh-CN"/>
        </w:rPr>
        <w:t xml:space="preserve"> </w:t>
      </w:r>
      <w:r>
        <w:rPr>
          <w:rFonts w:ascii="Book Antiqua" w:hAnsi="Book Antiqua" w:cs="Book Antiqua"/>
        </w:rPr>
        <w:t>Human epididymis protein 4</w:t>
      </w:r>
      <w:r>
        <w:rPr>
          <w:rFonts w:hint="eastAsia" w:ascii="Book Antiqua" w:hAnsi="Book Antiqua" w:cs="Book Antiqua"/>
          <w:lang w:eastAsia="zh-CN"/>
        </w:rPr>
        <w:t>;</w:t>
      </w:r>
      <w:r>
        <w:rPr>
          <w:rFonts w:ascii="Book Antiqua" w:hAnsi="Book Antiqua" w:cs="Book Antiqua"/>
          <w:lang w:eastAsia="zh-CN"/>
        </w:rPr>
        <w:t xml:space="preserve"> </w:t>
      </w:r>
      <w:r>
        <w:rPr>
          <w:rFonts w:ascii="Book Antiqua" w:hAnsi="Book Antiqua" w:cs="Book Antiqua"/>
        </w:rPr>
        <w:t>ALB</w:t>
      </w:r>
      <w:r>
        <w:rPr>
          <w:rFonts w:hint="eastAsia" w:ascii="Book Antiqua" w:hAnsi="Book Antiqua" w:cs="Book Antiqua"/>
          <w:lang w:eastAsia="zh-CN"/>
        </w:rPr>
        <w:t>:</w:t>
      </w:r>
      <w:r>
        <w:rPr>
          <w:rFonts w:ascii="Book Antiqua" w:hAnsi="Book Antiqua" w:cs="Book Antiqua"/>
          <w:lang w:eastAsia="zh-CN"/>
        </w:rPr>
        <w:t xml:space="preserve"> </w:t>
      </w:r>
      <w:r>
        <w:rPr>
          <w:rFonts w:ascii="Book Antiqua" w:hAnsi="Book Antiqua" w:cs="Book Antiqua"/>
        </w:rPr>
        <w:t>Albumin</w:t>
      </w:r>
      <w:r>
        <w:rPr>
          <w:rFonts w:hint="eastAsia" w:ascii="Book Antiqua" w:hAnsi="Book Antiqua" w:cs="Book Antiqua"/>
          <w:lang w:eastAsia="zh-CN"/>
        </w:rPr>
        <w:t>;</w:t>
      </w:r>
      <w:r>
        <w:rPr>
          <w:rFonts w:ascii="Book Antiqua" w:hAnsi="Book Antiqua" w:cs="Book Antiqua"/>
          <w:lang w:eastAsia="zh-CN"/>
        </w:rPr>
        <w:t xml:space="preserve"> TP</w:t>
      </w:r>
      <w:r>
        <w:rPr>
          <w:rFonts w:hint="eastAsia" w:ascii="Book Antiqua" w:hAnsi="Book Antiqua" w:cs="Book Antiqua"/>
          <w:lang w:eastAsia="zh-CN"/>
        </w:rPr>
        <w:t>:</w:t>
      </w:r>
      <w:r>
        <w:rPr>
          <w:rFonts w:ascii="Book Antiqua" w:hAnsi="Book Antiqua" w:cs="Book Antiqua"/>
          <w:lang w:eastAsia="zh-CN"/>
        </w:rPr>
        <w:t xml:space="preserve"> </w:t>
      </w:r>
      <w:r>
        <w:rPr>
          <w:rFonts w:ascii="Book Antiqua" w:hAnsi="Book Antiqua" w:cs="Book Antiqua"/>
        </w:rPr>
        <w:t>Total protein</w:t>
      </w:r>
      <w:r>
        <w:rPr>
          <w:rFonts w:hint="eastAsia" w:ascii="Book Antiqua" w:hAnsi="Book Antiqua" w:cs="Book Antiqua"/>
          <w:lang w:eastAsia="zh-CN"/>
        </w:rPr>
        <w:t>;</w:t>
      </w:r>
      <w:r>
        <w:rPr>
          <w:rFonts w:ascii="Book Antiqua" w:hAnsi="Book Antiqua" w:cs="Book Antiqua"/>
          <w:lang w:eastAsia="zh-CN"/>
        </w:rPr>
        <w:t xml:space="preserve"> ADA</w:t>
      </w:r>
      <w:r>
        <w:rPr>
          <w:rFonts w:hint="eastAsia" w:ascii="Book Antiqua" w:hAnsi="Book Antiqua" w:cs="Book Antiqua"/>
          <w:lang w:eastAsia="zh-CN"/>
        </w:rPr>
        <w:t>:</w:t>
      </w:r>
      <w:r>
        <w:rPr>
          <w:rFonts w:ascii="Book Antiqua" w:hAnsi="Book Antiqua" w:cs="Book Antiqua"/>
          <w:lang w:eastAsia="zh-CN"/>
        </w:rPr>
        <w:t xml:space="preserve"> </w:t>
      </w:r>
      <w:r>
        <w:rPr>
          <w:rFonts w:ascii="Book Antiqua" w:hAnsi="Book Antiqua" w:cs="Book Antiqua"/>
        </w:rPr>
        <w:t>Adenosine deaminase</w:t>
      </w:r>
      <w:r>
        <w:rPr>
          <w:rFonts w:hint="eastAsia" w:ascii="Book Antiqua" w:hAnsi="Book Antiqua" w:cs="Book Antiqua"/>
          <w:lang w:eastAsia="zh-CN"/>
        </w:rPr>
        <w:t>;</w:t>
      </w:r>
      <w:r>
        <w:rPr>
          <w:rFonts w:ascii="Book Antiqua" w:hAnsi="Book Antiqua" w:cs="Book Antiqua"/>
          <w:lang w:eastAsia="zh-CN"/>
        </w:rPr>
        <w:t xml:space="preserve"> </w:t>
      </w:r>
      <w:r>
        <w:rPr>
          <w:rFonts w:ascii="Book Antiqua" w:hAnsi="Book Antiqua" w:cs="Book Antiqua"/>
        </w:rPr>
        <w:t>RBC</w:t>
      </w:r>
      <w:r>
        <w:rPr>
          <w:rFonts w:hint="eastAsia" w:ascii="Book Antiqua" w:hAnsi="Book Antiqua" w:cs="Book Antiqua"/>
          <w:lang w:eastAsia="zh-CN"/>
        </w:rPr>
        <w:t>:</w:t>
      </w:r>
      <w:r>
        <w:rPr>
          <w:rFonts w:ascii="Book Antiqua" w:hAnsi="Book Antiqua" w:cs="Book Antiqua"/>
          <w:lang w:eastAsia="zh-CN"/>
        </w:rPr>
        <w:t xml:space="preserve"> </w:t>
      </w:r>
      <w:r>
        <w:rPr>
          <w:rFonts w:ascii="Book Antiqua" w:hAnsi="Book Antiqua" w:cs="Book Antiqua"/>
        </w:rPr>
        <w:t>Red blood cell</w:t>
      </w:r>
      <w:r>
        <w:rPr>
          <w:rFonts w:hint="eastAsia" w:ascii="Book Antiqua" w:hAnsi="Book Antiqua" w:cs="Book Antiqua"/>
          <w:lang w:eastAsia="zh-CN"/>
        </w:rPr>
        <w:t>;</w:t>
      </w:r>
      <w:r>
        <w:rPr>
          <w:rFonts w:ascii="Book Antiqua" w:hAnsi="Book Antiqua" w:cs="Book Antiqua"/>
          <w:lang w:eastAsia="zh-CN"/>
        </w:rPr>
        <w:t xml:space="preserve"> </w:t>
      </w:r>
      <w:r>
        <w:rPr>
          <w:rFonts w:ascii="Book Antiqua" w:hAnsi="Book Antiqua" w:cs="Book Antiqua"/>
        </w:rPr>
        <w:t>WBC</w:t>
      </w:r>
      <w:r>
        <w:rPr>
          <w:rFonts w:hint="eastAsia" w:ascii="Book Antiqua" w:hAnsi="Book Antiqua" w:cs="Book Antiqua"/>
          <w:lang w:eastAsia="zh-CN"/>
        </w:rPr>
        <w:t>:</w:t>
      </w:r>
      <w:r>
        <w:rPr>
          <w:rFonts w:ascii="Book Antiqua" w:hAnsi="Book Antiqua" w:cs="Book Antiqua"/>
          <w:lang w:eastAsia="zh-CN"/>
        </w:rPr>
        <w:t xml:space="preserve"> </w:t>
      </w:r>
      <w:r>
        <w:rPr>
          <w:rFonts w:ascii="Book Antiqua" w:hAnsi="Book Antiqua" w:cs="Book Antiqua"/>
        </w:rPr>
        <w:t>White blood cell.</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cs="Book Antiqu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Book Antiqua" w:hAnsi="Book Antiqua"/>
        <w:color w:val="000000" w:themeColor="text1"/>
        <w:sz w:val="24"/>
        <w:szCs w:val="24"/>
        <w14:textFill>
          <w14:solidFill>
            <w14:schemeClr w14:val="tx1"/>
          </w14:solidFill>
        </w14:textFill>
      </w:rPr>
    </w:pPr>
    <w:r>
      <w:rPr>
        <w:rFonts w:ascii="Book Antiqua" w:hAnsi="Book Antiqua"/>
        <w:color w:val="000000" w:themeColor="text1"/>
        <w:sz w:val="24"/>
        <w:szCs w:val="24"/>
        <w:lang w:val="zh-CN"/>
        <w14:textFill>
          <w14:solidFill>
            <w14:schemeClr w14:val="tx1"/>
          </w14:solidFill>
        </w14:textFill>
      </w:rPr>
      <w:t xml:space="preserve">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PAGE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14:textFill>
          <w14:solidFill>
            <w14:schemeClr w14:val="tx1"/>
          </w14:solidFill>
        </w14:textFill>
      </w:rPr>
      <w:t>2</w:t>
    </w:r>
    <w:r>
      <w:rPr>
        <w:rFonts w:ascii="Book Antiqua" w:hAnsi="Book Antiqua"/>
        <w:color w:val="000000" w:themeColor="text1"/>
        <w:sz w:val="24"/>
        <w:szCs w:val="24"/>
        <w14:textFill>
          <w14:solidFill>
            <w14:schemeClr w14:val="tx1"/>
          </w14:solidFill>
        </w14:textFill>
      </w:rPr>
      <w:fldChar w:fldCharType="end"/>
    </w:r>
    <w:r>
      <w:rPr>
        <w:rFonts w:ascii="Book Antiqua" w:hAnsi="Book Antiqua"/>
        <w:color w:val="000000" w:themeColor="text1"/>
        <w:sz w:val="24"/>
        <w:szCs w:val="24"/>
        <w:lang w:val="zh-CN"/>
        <w14:textFill>
          <w14:solidFill>
            <w14:schemeClr w14:val="tx1"/>
          </w14:solidFill>
        </w14:textFill>
      </w:rPr>
      <w:t xml:space="preserve"> /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NUMPAGES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14:textFill>
          <w14:solidFill>
            <w14:schemeClr w14:val="tx1"/>
          </w14:solidFill>
        </w14:textFill>
      </w:rPr>
      <w:t>2</w:t>
    </w:r>
    <w:r>
      <w:rPr>
        <w:rFonts w:ascii="Book Antiqua" w:hAnsi="Book Antiqua"/>
        <w:color w:val="000000" w:themeColor="text1"/>
        <w:sz w:val="24"/>
        <w:szCs w:val="24"/>
        <w14:textFill>
          <w14:solidFill>
            <w14:schemeClr w14:val="tx1"/>
          </w14:solidFill>
        </w14:textFill>
      </w:rPr>
      <w:fldChar w:fldCharType="end"/>
    </w:r>
  </w:p>
  <w:p>
    <w:pPr>
      <w:pStyle w:val="4"/>
      <w:jc w:val="right"/>
    </w:pP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20"/>
  <w:drawingGridVerticalSpacing w:val="163"/>
  <w:displayHorizontalDrawingGridEvery w:val="2"/>
  <w:displayVerticalDrawingGridEvery w:val="2"/>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DI2MDQ1MzIwsTQxNzVQ0lEKTi0uzszPAykwqgUA11E42ywAAAA="/>
    <w:docVar w:name="commondata" w:val="eyJoZGlkIjoiNzQxMjQ0YTQ0ZmU3OTI5ZWNhNzI4MzQxYjA4YWJlOTIifQ=="/>
    <w:docVar w:name="EN.InstantFormat" w:val="&lt;ENInstantFormat&gt;&lt;Enabled&gt;1&lt;/Enabled&gt;&lt;ScanUnformatted&gt;1&lt;/ScanUnformatted&gt;&lt;ScanChanges&gt;1&lt;/ScanChanges&gt;&lt;Suspended&gt;0&lt;/Suspended&gt;&lt;/ENInstantFormat&gt;"/>
    <w:docVar w:name="EN.Layout" w:val="&lt;ENLayout&gt;&lt;Style&gt;WJCC&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vr2da5w1d2r0meprtqxzfvv0s922zwfxx9v&quot;&gt;MPM2&lt;record-ids&gt;&lt;item&gt;29&lt;/item&gt;&lt;item&gt;30&lt;/item&gt;&lt;item&gt;31&lt;/item&gt;&lt;/record-ids&gt;&lt;/item&gt;&lt;/Libraries&gt;"/>
  </w:docVars>
  <w:rsids>
    <w:rsidRoot w:val="00A77B3E"/>
    <w:rsid w:val="00034278"/>
    <w:rsid w:val="00081611"/>
    <w:rsid w:val="000B5138"/>
    <w:rsid w:val="000C41B2"/>
    <w:rsid w:val="000D3C37"/>
    <w:rsid w:val="000D74E9"/>
    <w:rsid w:val="000F321C"/>
    <w:rsid w:val="0013116A"/>
    <w:rsid w:val="0018023D"/>
    <w:rsid w:val="00184489"/>
    <w:rsid w:val="001B5798"/>
    <w:rsid w:val="001C5093"/>
    <w:rsid w:val="001D47E9"/>
    <w:rsid w:val="00272FA7"/>
    <w:rsid w:val="002B126E"/>
    <w:rsid w:val="002B3AD8"/>
    <w:rsid w:val="002D024F"/>
    <w:rsid w:val="003915C6"/>
    <w:rsid w:val="003B5F49"/>
    <w:rsid w:val="00443BC5"/>
    <w:rsid w:val="004A6146"/>
    <w:rsid w:val="004F2EF8"/>
    <w:rsid w:val="004F395F"/>
    <w:rsid w:val="00533CDF"/>
    <w:rsid w:val="00555CF6"/>
    <w:rsid w:val="00562633"/>
    <w:rsid w:val="00593E52"/>
    <w:rsid w:val="00597A87"/>
    <w:rsid w:val="00621335"/>
    <w:rsid w:val="006F6BCD"/>
    <w:rsid w:val="0070682D"/>
    <w:rsid w:val="0072383F"/>
    <w:rsid w:val="00792245"/>
    <w:rsid w:val="00825EBD"/>
    <w:rsid w:val="008E053F"/>
    <w:rsid w:val="008F056F"/>
    <w:rsid w:val="008F1EAE"/>
    <w:rsid w:val="0091165D"/>
    <w:rsid w:val="00917F4C"/>
    <w:rsid w:val="00922188"/>
    <w:rsid w:val="0092236C"/>
    <w:rsid w:val="00931B11"/>
    <w:rsid w:val="009345A9"/>
    <w:rsid w:val="009C7A6B"/>
    <w:rsid w:val="00A06039"/>
    <w:rsid w:val="00A5467F"/>
    <w:rsid w:val="00A7600D"/>
    <w:rsid w:val="00A77B3E"/>
    <w:rsid w:val="00A96D75"/>
    <w:rsid w:val="00AF35C2"/>
    <w:rsid w:val="00B12B3F"/>
    <w:rsid w:val="00BC660A"/>
    <w:rsid w:val="00BE0CD7"/>
    <w:rsid w:val="00C10115"/>
    <w:rsid w:val="00C14735"/>
    <w:rsid w:val="00C41C56"/>
    <w:rsid w:val="00C734B6"/>
    <w:rsid w:val="00CA2A55"/>
    <w:rsid w:val="00CB0A99"/>
    <w:rsid w:val="00CB5540"/>
    <w:rsid w:val="00CC17B6"/>
    <w:rsid w:val="00CF68A5"/>
    <w:rsid w:val="00D11974"/>
    <w:rsid w:val="00D47BEC"/>
    <w:rsid w:val="00DB659E"/>
    <w:rsid w:val="00DC033B"/>
    <w:rsid w:val="00E35A61"/>
    <w:rsid w:val="00E51960"/>
    <w:rsid w:val="00ED4246"/>
    <w:rsid w:val="00EF51F6"/>
    <w:rsid w:val="00F059F8"/>
    <w:rsid w:val="00F10332"/>
    <w:rsid w:val="00F36591"/>
    <w:rsid w:val="00FB152E"/>
    <w:rsid w:val="00FC5A28"/>
    <w:rsid w:val="00FE0A2F"/>
    <w:rsid w:val="00FE2A31"/>
    <w:rsid w:val="00FE401B"/>
    <w:rsid w:val="00FF6121"/>
    <w:rsid w:val="2A9E1E58"/>
    <w:rsid w:val="3A72034A"/>
    <w:rsid w:val="3B332179"/>
    <w:rsid w:val="4D0A4170"/>
    <w:rsid w:val="60FB7C78"/>
    <w:rsid w:val="64852769"/>
    <w:rsid w:val="6F09513B"/>
    <w:rsid w:val="7D90497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qFormat="1"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20"/>
    <w:semiHidden/>
    <w:unhideWhenUsed/>
    <w:uiPriority w:val="0"/>
    <w:rPr>
      <w:sz w:val="20"/>
      <w:szCs w:val="20"/>
    </w:rPr>
  </w:style>
  <w:style w:type="paragraph" w:styleId="3">
    <w:name w:val="Balloon Text"/>
    <w:basedOn w:val="1"/>
    <w:link w:val="19"/>
    <w:uiPriority w:val="0"/>
    <w:rPr>
      <w:rFonts w:ascii="Segoe UI" w:hAnsi="Segoe UI" w:cs="Segoe UI"/>
      <w:sz w:val="18"/>
      <w:szCs w:val="18"/>
    </w:rPr>
  </w:style>
  <w:style w:type="paragraph" w:styleId="4">
    <w:name w:val="footer"/>
    <w:basedOn w:val="1"/>
    <w:link w:val="18"/>
    <w:unhideWhenUsed/>
    <w:uiPriority w:val="99"/>
    <w:pPr>
      <w:tabs>
        <w:tab w:val="center" w:pos="4153"/>
        <w:tab w:val="right" w:pos="8306"/>
      </w:tabs>
      <w:snapToGrid w:val="0"/>
    </w:pPr>
    <w:rPr>
      <w:sz w:val="18"/>
      <w:szCs w:val="18"/>
    </w:rPr>
  </w:style>
  <w:style w:type="paragraph" w:styleId="5">
    <w:name w:val="header"/>
    <w:basedOn w:val="1"/>
    <w:link w:val="17"/>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21"/>
    <w:semiHidden/>
    <w:unhideWhenUsed/>
    <w:qFormat/>
    <w:uiPriority w:val="0"/>
    <w:rPr>
      <w:b/>
      <w:bCs/>
    </w:rPr>
  </w:style>
  <w:style w:type="table" w:styleId="8">
    <w:name w:val="Table Grid"/>
    <w:basedOn w:val="7"/>
    <w:qFormat/>
    <w:uiPriority w:val="59"/>
    <w:rPr>
      <w:rFonts w:eastAsia="宋体"/>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0">
    <w:name w:val="line number"/>
    <w:basedOn w:val="9"/>
    <w:semiHidden/>
    <w:unhideWhenUsed/>
    <w:qFormat/>
    <w:uiPriority w:val="0"/>
  </w:style>
  <w:style w:type="character" w:styleId="11">
    <w:name w:val="Hyperlink"/>
    <w:basedOn w:val="9"/>
    <w:unhideWhenUsed/>
    <w:qFormat/>
    <w:uiPriority w:val="0"/>
    <w:rPr>
      <w:color w:val="0000FF" w:themeColor="hyperlink"/>
      <w:u w:val="single"/>
      <w14:textFill>
        <w14:solidFill>
          <w14:schemeClr w14:val="hlink"/>
        </w14:solidFill>
      </w14:textFill>
    </w:rPr>
  </w:style>
  <w:style w:type="character" w:styleId="12">
    <w:name w:val="annotation reference"/>
    <w:basedOn w:val="9"/>
    <w:unhideWhenUsed/>
    <w:qFormat/>
    <w:uiPriority w:val="99"/>
    <w:rPr>
      <w:sz w:val="16"/>
      <w:szCs w:val="16"/>
    </w:rPr>
  </w:style>
  <w:style w:type="paragraph" w:customStyle="1" w:styleId="13">
    <w:name w:val="EndNote Bibliography Title"/>
    <w:basedOn w:val="1"/>
    <w:link w:val="14"/>
    <w:qFormat/>
    <w:uiPriority w:val="0"/>
    <w:pPr>
      <w:jc w:val="center"/>
    </w:pPr>
  </w:style>
  <w:style w:type="character" w:customStyle="1" w:styleId="14">
    <w:name w:val="EndNote Bibliography Title 字符"/>
    <w:basedOn w:val="9"/>
    <w:link w:val="13"/>
    <w:qFormat/>
    <w:uiPriority w:val="0"/>
    <w:rPr>
      <w:sz w:val="24"/>
      <w:szCs w:val="24"/>
      <w:lang w:eastAsia="en-US"/>
    </w:rPr>
  </w:style>
  <w:style w:type="paragraph" w:customStyle="1" w:styleId="15">
    <w:name w:val="EndNote Bibliography"/>
    <w:basedOn w:val="1"/>
    <w:link w:val="16"/>
    <w:qFormat/>
    <w:uiPriority w:val="0"/>
    <w:pPr>
      <w:jc w:val="both"/>
    </w:pPr>
  </w:style>
  <w:style w:type="character" w:customStyle="1" w:styleId="16">
    <w:name w:val="EndNote Bibliography 字符"/>
    <w:basedOn w:val="9"/>
    <w:link w:val="15"/>
    <w:qFormat/>
    <w:uiPriority w:val="0"/>
    <w:rPr>
      <w:sz w:val="24"/>
      <w:szCs w:val="24"/>
      <w:lang w:eastAsia="en-US"/>
    </w:rPr>
  </w:style>
  <w:style w:type="character" w:customStyle="1" w:styleId="17">
    <w:name w:val="页眉 字符"/>
    <w:basedOn w:val="9"/>
    <w:link w:val="5"/>
    <w:qFormat/>
    <w:uiPriority w:val="0"/>
    <w:rPr>
      <w:sz w:val="18"/>
      <w:szCs w:val="18"/>
      <w:lang w:eastAsia="en-US"/>
    </w:rPr>
  </w:style>
  <w:style w:type="character" w:customStyle="1" w:styleId="18">
    <w:name w:val="页脚 字符"/>
    <w:basedOn w:val="9"/>
    <w:link w:val="4"/>
    <w:qFormat/>
    <w:uiPriority w:val="99"/>
    <w:rPr>
      <w:sz w:val="18"/>
      <w:szCs w:val="18"/>
      <w:lang w:eastAsia="en-US"/>
    </w:rPr>
  </w:style>
  <w:style w:type="character" w:customStyle="1" w:styleId="19">
    <w:name w:val="批注框文本 字符"/>
    <w:basedOn w:val="9"/>
    <w:link w:val="3"/>
    <w:qFormat/>
    <w:uiPriority w:val="0"/>
    <w:rPr>
      <w:rFonts w:ascii="Segoe UI" w:hAnsi="Segoe UI" w:cs="Segoe UI"/>
      <w:sz w:val="18"/>
      <w:szCs w:val="18"/>
      <w:lang w:eastAsia="en-US"/>
    </w:rPr>
  </w:style>
  <w:style w:type="character" w:customStyle="1" w:styleId="20">
    <w:name w:val="批注文字 字符"/>
    <w:basedOn w:val="9"/>
    <w:link w:val="2"/>
    <w:semiHidden/>
    <w:qFormat/>
    <w:uiPriority w:val="0"/>
    <w:rPr>
      <w:lang w:eastAsia="en-US"/>
    </w:rPr>
  </w:style>
  <w:style w:type="character" w:customStyle="1" w:styleId="21">
    <w:name w:val="批注主题 字符"/>
    <w:basedOn w:val="20"/>
    <w:link w:val="6"/>
    <w:semiHidden/>
    <w:qFormat/>
    <w:uiPriority w:val="0"/>
    <w:rPr>
      <w:b/>
      <w:bCs/>
      <w:lang w:eastAsia="en-US"/>
    </w:rPr>
  </w:style>
  <w:style w:type="paragraph" w:customStyle="1" w:styleId="22">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23">
    <w:name w:val="Unresolved Mention"/>
    <w:basedOn w:val="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23</Pages>
  <Words>4643</Words>
  <Characters>28055</Characters>
  <Lines>232</Lines>
  <Paragraphs>65</Paragraphs>
  <TotalTime>0</TotalTime>
  <ScaleCrop>false</ScaleCrop>
  <LinksUpToDate>false</LinksUpToDate>
  <CharactersWithSpaces>32504</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2022-08-16T01:36:00Z</dcterms:created>
  <dc:creator>Lenovo</dc:creator>
  <cp:lastModifiedBy>晓晨</cp:lastModifiedBy>
  <dcterms:modified xsi:type="dcterms:W3CDTF">2022-09-27T08:59:26Z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FEB3913CE4D94E529D15051D259F989F</vt:lpwstr>
  </property>
</Properties>
</file>