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B0CA4"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t xml:space="preserve">Name of Journal: </w:t>
      </w:r>
      <w:r w:rsidRPr="00EA3F5E">
        <w:rPr>
          <w:rFonts w:ascii="Book Antiqua" w:eastAsia="Book Antiqua" w:hAnsi="Book Antiqua" w:cs="Book Antiqua"/>
          <w:i/>
          <w:color w:val="000000"/>
        </w:rPr>
        <w:t>World Journal of Clinical Cases</w:t>
      </w:r>
    </w:p>
    <w:p w14:paraId="49A0DDDF"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t xml:space="preserve">Manuscript NO: </w:t>
      </w:r>
      <w:r w:rsidRPr="00EA3F5E">
        <w:rPr>
          <w:rFonts w:ascii="Book Antiqua" w:eastAsia="Book Antiqua" w:hAnsi="Book Antiqua" w:cs="Book Antiqua"/>
          <w:color w:val="000000"/>
        </w:rPr>
        <w:t>78099</w:t>
      </w:r>
    </w:p>
    <w:p w14:paraId="3B6C9C3D"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t xml:space="preserve">Manuscript Type: </w:t>
      </w:r>
      <w:r w:rsidRPr="00EA3F5E">
        <w:rPr>
          <w:rFonts w:ascii="Book Antiqua" w:eastAsia="Book Antiqua" w:hAnsi="Book Antiqua" w:cs="Book Antiqua"/>
          <w:color w:val="000000"/>
        </w:rPr>
        <w:t>CASE REPORT</w:t>
      </w:r>
    </w:p>
    <w:p w14:paraId="50B29D09" w14:textId="77777777" w:rsidR="00AB5C59" w:rsidRPr="00EA3F5E" w:rsidRDefault="00AB5C59">
      <w:pPr>
        <w:spacing w:line="360" w:lineRule="auto"/>
        <w:jc w:val="both"/>
        <w:rPr>
          <w:rFonts w:ascii="Book Antiqua" w:eastAsia="Book Antiqua" w:hAnsi="Book Antiqua" w:cs="Book Antiqua"/>
          <w:b/>
          <w:bCs/>
          <w:color w:val="000000"/>
        </w:rPr>
      </w:pPr>
    </w:p>
    <w:p w14:paraId="6F3F4A0B" w14:textId="77777777" w:rsidR="00AB5C59" w:rsidRPr="00EA3F5E" w:rsidRDefault="00FD4637">
      <w:pPr>
        <w:spacing w:line="360" w:lineRule="auto"/>
        <w:jc w:val="both"/>
        <w:rPr>
          <w:rFonts w:ascii="Book Antiqua" w:eastAsia="宋体" w:hAnsi="Book Antiqua" w:cs="Book Antiqua"/>
          <w:b/>
          <w:bCs/>
          <w:color w:val="000000"/>
          <w:lang w:eastAsia="zh-CN"/>
        </w:rPr>
      </w:pPr>
      <w:r w:rsidRPr="00EA3F5E">
        <w:rPr>
          <w:rFonts w:ascii="Book Antiqua" w:eastAsia="Book Antiqua" w:hAnsi="Book Antiqua" w:cs="Book Antiqua"/>
          <w:b/>
          <w:bCs/>
          <w:color w:val="000000"/>
        </w:rPr>
        <w:t xml:space="preserve">Long survival after immunotherapy </w:t>
      </w:r>
      <w:r w:rsidRPr="00EA3F5E">
        <w:rPr>
          <w:rFonts w:ascii="Book Antiqua" w:eastAsia="Book Antiqua" w:hAnsi="Book Antiqua" w:cs="Book Antiqua"/>
          <w:b/>
          <w:bCs/>
          <w:color w:val="000000"/>
          <w:lang w:eastAsia="zh-CN"/>
        </w:rPr>
        <w:t>plus paclitaxel</w:t>
      </w:r>
      <w:r w:rsidRPr="00EA3F5E">
        <w:rPr>
          <w:rFonts w:ascii="Book Antiqua" w:eastAsia="Book Antiqua" w:hAnsi="Book Antiqua" w:cs="Book Antiqua"/>
          <w:b/>
          <w:bCs/>
          <w:color w:val="000000"/>
        </w:rPr>
        <w:t xml:space="preserve"> in advanced intrahepatic cholangiocarcinoma: A </w:t>
      </w:r>
      <w:r w:rsidRPr="00EA3F5E">
        <w:rPr>
          <w:rFonts w:ascii="Book Antiqua" w:hAnsi="Book Antiqua" w:cs="Book Antiqua"/>
          <w:b/>
          <w:bCs/>
          <w:color w:val="000000"/>
          <w:lang w:eastAsia="zh-CN"/>
        </w:rPr>
        <w:t>c</w:t>
      </w:r>
      <w:r w:rsidRPr="00EA3F5E">
        <w:rPr>
          <w:rFonts w:ascii="Book Antiqua" w:eastAsia="Book Antiqua" w:hAnsi="Book Antiqua" w:cs="Book Antiqua"/>
          <w:b/>
          <w:bCs/>
          <w:color w:val="000000"/>
        </w:rPr>
        <w:t>ase report and review of literature</w:t>
      </w:r>
    </w:p>
    <w:p w14:paraId="6A0877C9" w14:textId="77777777" w:rsidR="00AB5C59" w:rsidRPr="00EA3F5E" w:rsidRDefault="00AB5C59">
      <w:pPr>
        <w:spacing w:line="360" w:lineRule="auto"/>
        <w:jc w:val="both"/>
        <w:rPr>
          <w:rFonts w:ascii="Book Antiqua" w:hAnsi="Book Antiqua" w:cs="Book Antiqua"/>
        </w:rPr>
      </w:pPr>
    </w:p>
    <w:p w14:paraId="61E85A85" w14:textId="77777777" w:rsidR="00AB5C59" w:rsidRPr="00EA3F5E" w:rsidRDefault="00FD4637">
      <w:pPr>
        <w:spacing w:line="360" w:lineRule="auto"/>
        <w:jc w:val="both"/>
        <w:rPr>
          <w:rFonts w:ascii="Book Antiqua" w:hAnsi="Book Antiqua" w:cs="Book Antiqua"/>
        </w:rPr>
      </w:pPr>
      <w:bookmarkStart w:id="0" w:name="OLE_LINK1"/>
      <w:r w:rsidRPr="00EA3F5E">
        <w:rPr>
          <w:rFonts w:ascii="Book Antiqua" w:eastAsia="宋体" w:hAnsi="Book Antiqua" w:cs="Book Antiqua"/>
          <w:color w:val="000000"/>
          <w:lang w:eastAsia="zh-CN"/>
        </w:rPr>
        <w:t xml:space="preserve">He </w:t>
      </w:r>
      <w:r w:rsidRPr="00EA3F5E">
        <w:rPr>
          <w:rFonts w:ascii="Book Antiqua" w:eastAsia="宋体" w:hAnsi="Book Antiqua" w:cs="Book Antiqua"/>
          <w:color w:val="000000" w:themeColor="text1"/>
          <w:lang w:eastAsia="zh-CN"/>
        </w:rPr>
        <w:t>MY</w:t>
      </w:r>
      <w:bookmarkEnd w:id="0"/>
      <w:r w:rsidRPr="00EA3F5E">
        <w:rPr>
          <w:rFonts w:ascii="Book Antiqua" w:eastAsia="宋体" w:hAnsi="Book Antiqua" w:cs="Book Antiqua"/>
          <w:color w:val="000000" w:themeColor="text1"/>
          <w:lang w:eastAsia="zh-CN"/>
        </w:rPr>
        <w:t xml:space="preserve"> </w:t>
      </w:r>
      <w:r w:rsidRPr="00EA3F5E">
        <w:rPr>
          <w:rFonts w:ascii="Book Antiqua" w:eastAsia="Book Antiqua" w:hAnsi="Book Antiqua" w:cs="Book Antiqua"/>
          <w:i/>
          <w:iCs/>
          <w:color w:val="000000" w:themeColor="text1"/>
        </w:rPr>
        <w:t>et al</w:t>
      </w:r>
      <w:r w:rsidRPr="00EA3F5E">
        <w:rPr>
          <w:rFonts w:ascii="Book Antiqua" w:eastAsia="Book Antiqua" w:hAnsi="Book Antiqua" w:cs="Book Antiqua"/>
          <w:color w:val="000000" w:themeColor="text1"/>
        </w:rPr>
        <w:t xml:space="preserve">. </w:t>
      </w:r>
      <w:r w:rsidRPr="00EA3F5E">
        <w:rPr>
          <w:rFonts w:ascii="Book Antiqua" w:eastAsia="Book Antiqua" w:hAnsi="Book Antiqua" w:cs="Book Antiqua"/>
          <w:color w:val="000000"/>
        </w:rPr>
        <w:t>Long survival after chemo-immunotherapy in iCCA</w:t>
      </w:r>
    </w:p>
    <w:p w14:paraId="29E58DDD" w14:textId="77777777" w:rsidR="00AB5C59" w:rsidRPr="00EA3F5E" w:rsidRDefault="00AB5C59">
      <w:pPr>
        <w:spacing w:line="360" w:lineRule="auto"/>
        <w:jc w:val="both"/>
        <w:rPr>
          <w:rFonts w:ascii="Book Antiqua" w:hAnsi="Book Antiqua" w:cs="Book Antiqua"/>
        </w:rPr>
      </w:pPr>
    </w:p>
    <w:p w14:paraId="66802030"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Meng</w:t>
      </w:r>
      <w:r w:rsidRPr="00EA3F5E">
        <w:rPr>
          <w:rFonts w:ascii="Book Antiqua" w:eastAsia="Book Antiqua" w:hAnsi="Book Antiqua" w:cs="Book Antiqua"/>
          <w:color w:val="000000" w:themeColor="text1"/>
        </w:rPr>
        <w:t>-</w:t>
      </w:r>
      <w:r w:rsidRPr="00EA3F5E">
        <w:rPr>
          <w:rFonts w:ascii="Book Antiqua" w:eastAsia="宋体" w:hAnsi="Book Antiqua" w:cs="Book Antiqua"/>
          <w:color w:val="000000" w:themeColor="text1"/>
          <w:lang w:eastAsia="zh-CN"/>
        </w:rPr>
        <w:t>Y</w:t>
      </w:r>
      <w:r w:rsidRPr="00EA3F5E">
        <w:rPr>
          <w:rFonts w:ascii="Book Antiqua" w:eastAsia="Book Antiqua" w:hAnsi="Book Antiqua" w:cs="Book Antiqua"/>
          <w:color w:val="000000"/>
        </w:rPr>
        <w:t>e He, Fei</w:t>
      </w:r>
      <w:r w:rsidRPr="00EA3F5E">
        <w:rPr>
          <w:rFonts w:ascii="Book Antiqua" w:eastAsia="Book Antiqua" w:hAnsi="Book Antiqua" w:cs="Book Antiqua"/>
          <w:color w:val="000000" w:themeColor="text1"/>
        </w:rPr>
        <w:t>-</w:t>
      </w:r>
      <w:r w:rsidRPr="00EA3F5E">
        <w:rPr>
          <w:rFonts w:ascii="Book Antiqua" w:eastAsia="Book Antiqua" w:hAnsi="Book Antiqua" w:cs="Book Antiqua"/>
          <w:color w:val="000000"/>
        </w:rPr>
        <w:t>Fei Yan, Kai</w:t>
      </w:r>
      <w:r w:rsidRPr="00EA3F5E">
        <w:rPr>
          <w:rFonts w:ascii="Book Antiqua" w:eastAsia="Book Antiqua" w:hAnsi="Book Antiqua" w:cs="Book Antiqua"/>
          <w:color w:val="000000" w:themeColor="text1"/>
        </w:rPr>
        <w:t>-</w:t>
      </w:r>
      <w:r w:rsidRPr="00EA3F5E">
        <w:rPr>
          <w:rFonts w:ascii="Book Antiqua" w:eastAsia="宋体" w:hAnsi="Book Antiqua" w:cs="Book Antiqua"/>
          <w:color w:val="000000" w:themeColor="text1"/>
          <w:lang w:eastAsia="zh-CN"/>
        </w:rPr>
        <w:t>L</w:t>
      </w:r>
      <w:r w:rsidRPr="00EA3F5E">
        <w:rPr>
          <w:rFonts w:ascii="Book Antiqua" w:eastAsia="Book Antiqua" w:hAnsi="Book Antiqua" w:cs="Book Antiqua"/>
          <w:color w:val="000000"/>
        </w:rPr>
        <w:t>i Cen, Peng Shen</w:t>
      </w:r>
    </w:p>
    <w:p w14:paraId="5C5FC786" w14:textId="77777777" w:rsidR="00AB5C59" w:rsidRPr="00EA3F5E" w:rsidRDefault="00AB5C59">
      <w:pPr>
        <w:spacing w:line="360" w:lineRule="auto"/>
        <w:jc w:val="both"/>
        <w:rPr>
          <w:rFonts w:ascii="Book Antiqua" w:hAnsi="Book Antiqua" w:cs="Book Antiqua"/>
        </w:rPr>
      </w:pPr>
    </w:p>
    <w:p w14:paraId="617643B5"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Meng</w:t>
      </w:r>
      <w:r w:rsidRPr="00EA3F5E">
        <w:rPr>
          <w:rFonts w:ascii="Book Antiqua" w:eastAsia="Book Antiqua" w:hAnsi="Book Antiqua" w:cs="Book Antiqua"/>
          <w:color w:val="000000" w:themeColor="text1"/>
        </w:rPr>
        <w:t>-</w:t>
      </w:r>
      <w:r w:rsidRPr="00EA3F5E">
        <w:rPr>
          <w:rFonts w:ascii="Book Antiqua" w:eastAsia="宋体" w:hAnsi="Book Antiqua" w:cs="Book Antiqua"/>
          <w:color w:val="000000" w:themeColor="text1"/>
          <w:lang w:eastAsia="zh-CN"/>
        </w:rPr>
        <w:t>Y</w:t>
      </w:r>
      <w:r w:rsidRPr="00EA3F5E">
        <w:rPr>
          <w:rFonts w:ascii="Book Antiqua" w:eastAsia="Book Antiqua" w:hAnsi="Book Antiqua" w:cs="Book Antiqua"/>
          <w:b/>
          <w:bCs/>
          <w:color w:val="000000"/>
        </w:rPr>
        <w:t>e He,</w:t>
      </w:r>
      <w:r w:rsidRPr="00EA3F5E">
        <w:rPr>
          <w:rFonts w:ascii="Book Antiqua" w:eastAsia="宋体" w:hAnsi="Book Antiqua" w:cs="Book Antiqua"/>
          <w:b/>
          <w:bCs/>
          <w:color w:val="000000"/>
          <w:lang w:eastAsia="zh-CN"/>
        </w:rPr>
        <w:t xml:space="preserve"> </w:t>
      </w:r>
      <w:r w:rsidRPr="00EA3F5E">
        <w:rPr>
          <w:rFonts w:ascii="Book Antiqua" w:eastAsia="Book Antiqua" w:hAnsi="Book Antiqua" w:cs="Book Antiqua"/>
          <w:b/>
          <w:bCs/>
          <w:color w:val="000000"/>
        </w:rPr>
        <w:t>Fei</w:t>
      </w:r>
      <w:r w:rsidRPr="00EA3F5E">
        <w:rPr>
          <w:rFonts w:ascii="Book Antiqua" w:eastAsia="Book Antiqua" w:hAnsi="Book Antiqua" w:cs="Book Antiqua"/>
          <w:color w:val="000000" w:themeColor="text1"/>
        </w:rPr>
        <w:t>-</w:t>
      </w:r>
      <w:r w:rsidRPr="00EA3F5E">
        <w:rPr>
          <w:rFonts w:ascii="Book Antiqua" w:eastAsia="Book Antiqua" w:hAnsi="Book Antiqua" w:cs="Book Antiqua"/>
          <w:b/>
          <w:bCs/>
          <w:color w:val="000000"/>
        </w:rPr>
        <w:t>Fei Yan,</w:t>
      </w:r>
      <w:r w:rsidRPr="00EA3F5E">
        <w:rPr>
          <w:rFonts w:ascii="Book Antiqua" w:eastAsia="宋体" w:hAnsi="Book Antiqua" w:cs="Book Antiqua"/>
          <w:b/>
          <w:bCs/>
          <w:color w:val="000000"/>
          <w:lang w:eastAsia="zh-CN"/>
        </w:rPr>
        <w:t xml:space="preserve"> </w:t>
      </w:r>
      <w:r w:rsidRPr="00EA3F5E">
        <w:rPr>
          <w:rFonts w:ascii="Book Antiqua" w:eastAsia="Book Antiqua" w:hAnsi="Book Antiqua" w:cs="Book Antiqua"/>
          <w:b/>
          <w:bCs/>
          <w:color w:val="000000"/>
        </w:rPr>
        <w:t>Kai</w:t>
      </w:r>
      <w:r w:rsidRPr="00EA3F5E">
        <w:rPr>
          <w:rFonts w:ascii="Book Antiqua" w:eastAsia="Book Antiqua" w:hAnsi="Book Antiqua" w:cs="Book Antiqua"/>
          <w:color w:val="000000" w:themeColor="text1"/>
        </w:rPr>
        <w:t>-</w:t>
      </w:r>
      <w:r w:rsidRPr="00EA3F5E">
        <w:rPr>
          <w:rFonts w:ascii="Book Antiqua" w:eastAsia="宋体" w:hAnsi="Book Antiqua" w:cs="Book Antiqua"/>
          <w:b/>
          <w:bCs/>
          <w:color w:val="000000"/>
          <w:lang w:eastAsia="zh-CN"/>
        </w:rPr>
        <w:t>L</w:t>
      </w:r>
      <w:r w:rsidRPr="00EA3F5E">
        <w:rPr>
          <w:rFonts w:ascii="Book Antiqua" w:eastAsia="Book Antiqua" w:hAnsi="Book Antiqua" w:cs="Book Antiqua"/>
          <w:b/>
          <w:bCs/>
          <w:color w:val="000000"/>
        </w:rPr>
        <w:t xml:space="preserve">i Cen, Peng Shen, </w:t>
      </w:r>
      <w:r w:rsidRPr="00EA3F5E">
        <w:rPr>
          <w:rFonts w:ascii="Book Antiqua" w:eastAsia="Book Antiqua" w:hAnsi="Book Antiqua" w:cs="Book Antiqua"/>
          <w:color w:val="000000" w:themeColor="text1"/>
        </w:rPr>
        <w:t xml:space="preserve">Department of </w:t>
      </w:r>
      <w:r w:rsidRPr="00EA3F5E">
        <w:rPr>
          <w:rFonts w:ascii="Book Antiqua" w:eastAsia="Book Antiqua" w:hAnsi="Book Antiqua" w:cs="Book Antiqua"/>
          <w:color w:val="000000"/>
        </w:rPr>
        <w:t xml:space="preserve">Medical </w:t>
      </w:r>
      <w:r w:rsidRPr="00EA3F5E">
        <w:rPr>
          <w:rFonts w:ascii="Book Antiqua" w:hAnsi="Book Antiqua" w:cs="Book Antiqua"/>
          <w:color w:val="000000"/>
          <w:lang w:eastAsia="zh-CN"/>
        </w:rPr>
        <w:t>O</w:t>
      </w:r>
      <w:r w:rsidRPr="00EA3F5E">
        <w:rPr>
          <w:rFonts w:ascii="Book Antiqua" w:eastAsia="Book Antiqua" w:hAnsi="Book Antiqua" w:cs="Book Antiqua"/>
          <w:color w:val="000000"/>
        </w:rPr>
        <w:t xml:space="preserve">ncology, First </w:t>
      </w:r>
      <w:r w:rsidRPr="00EA3F5E">
        <w:rPr>
          <w:rFonts w:ascii="Book Antiqua" w:hAnsi="Book Antiqua" w:cs="Book Antiqua"/>
          <w:color w:val="000000"/>
          <w:lang w:eastAsia="zh-CN"/>
        </w:rPr>
        <w:t>A</w:t>
      </w:r>
      <w:r w:rsidRPr="00EA3F5E">
        <w:rPr>
          <w:rFonts w:ascii="Book Antiqua" w:eastAsia="Book Antiqua" w:hAnsi="Book Antiqua" w:cs="Book Antiqua"/>
          <w:color w:val="000000"/>
        </w:rPr>
        <w:t xml:space="preserve">ffiliated </w:t>
      </w:r>
      <w:r w:rsidRPr="00EA3F5E">
        <w:rPr>
          <w:rFonts w:ascii="Book Antiqua" w:hAnsi="Book Antiqua" w:cs="Book Antiqua"/>
          <w:color w:val="000000"/>
          <w:lang w:eastAsia="zh-CN"/>
        </w:rPr>
        <w:t>H</w:t>
      </w:r>
      <w:r w:rsidRPr="00EA3F5E">
        <w:rPr>
          <w:rFonts w:ascii="Book Antiqua" w:eastAsia="Book Antiqua" w:hAnsi="Book Antiqua" w:cs="Book Antiqua"/>
          <w:color w:val="000000"/>
        </w:rPr>
        <w:t>ospital,</w:t>
      </w:r>
      <w:r w:rsidRPr="00EA3F5E">
        <w:rPr>
          <w:rFonts w:ascii="Book Antiqua" w:eastAsia="宋体" w:hAnsi="Book Antiqua" w:cs="Book Antiqua"/>
          <w:color w:val="000000"/>
          <w:lang w:eastAsia="zh-CN"/>
        </w:rPr>
        <w:t xml:space="preserve"> </w:t>
      </w:r>
      <w:r w:rsidRPr="00EA3F5E">
        <w:rPr>
          <w:rFonts w:ascii="Book Antiqua" w:eastAsia="Book Antiqua" w:hAnsi="Book Antiqua" w:cs="Book Antiqua"/>
          <w:color w:val="000000"/>
        </w:rPr>
        <w:t xml:space="preserve">Zhejiang University </w:t>
      </w:r>
      <w:r w:rsidRPr="00EA3F5E">
        <w:rPr>
          <w:rFonts w:ascii="Book Antiqua" w:hAnsi="Book Antiqua" w:cs="Book Antiqua"/>
          <w:color w:val="000000"/>
          <w:lang w:eastAsia="zh-CN"/>
        </w:rPr>
        <w:t>S</w:t>
      </w:r>
      <w:r w:rsidRPr="00EA3F5E">
        <w:rPr>
          <w:rFonts w:ascii="Book Antiqua" w:eastAsia="Book Antiqua" w:hAnsi="Book Antiqua" w:cs="Book Antiqua"/>
          <w:color w:val="000000"/>
        </w:rPr>
        <w:t xml:space="preserve">chool of </w:t>
      </w:r>
      <w:r w:rsidRPr="00EA3F5E">
        <w:rPr>
          <w:rFonts w:ascii="Book Antiqua" w:hAnsi="Book Antiqua" w:cs="Book Antiqua"/>
          <w:color w:val="000000"/>
          <w:lang w:eastAsia="zh-CN"/>
        </w:rPr>
        <w:t>M</w:t>
      </w:r>
      <w:r w:rsidRPr="00EA3F5E">
        <w:rPr>
          <w:rFonts w:ascii="Book Antiqua" w:eastAsia="Book Antiqua" w:hAnsi="Book Antiqua" w:cs="Book Antiqua"/>
          <w:color w:val="000000"/>
        </w:rPr>
        <w:t>edicine, Hangzhou 310000,</w:t>
      </w:r>
      <w:r w:rsidRPr="00EA3F5E">
        <w:rPr>
          <w:rFonts w:ascii="Book Antiqua" w:eastAsia="宋体" w:hAnsi="Book Antiqua" w:cs="Book Antiqua"/>
          <w:color w:val="000000"/>
          <w:lang w:eastAsia="zh-CN"/>
        </w:rPr>
        <w:t xml:space="preserve"> Zhejiang </w:t>
      </w:r>
      <w:r w:rsidRPr="00EA3F5E">
        <w:rPr>
          <w:rFonts w:ascii="Book Antiqua" w:hAnsi="Book Antiqua" w:cs="Book Antiqua"/>
          <w:color w:val="000000" w:themeColor="text1"/>
          <w:lang w:eastAsia="zh-CN"/>
        </w:rPr>
        <w:t>Province,</w:t>
      </w:r>
      <w:r w:rsidRPr="00EA3F5E">
        <w:rPr>
          <w:rFonts w:ascii="Book Antiqua" w:eastAsia="Book Antiqua" w:hAnsi="Book Antiqua" w:cs="Book Antiqua"/>
          <w:color w:val="000000"/>
        </w:rPr>
        <w:t xml:space="preserve"> China</w:t>
      </w:r>
    </w:p>
    <w:p w14:paraId="11106367" w14:textId="77777777" w:rsidR="00AB5C59" w:rsidRPr="00EA3F5E" w:rsidRDefault="00AB5C59">
      <w:pPr>
        <w:spacing w:line="360" w:lineRule="auto"/>
        <w:jc w:val="both"/>
        <w:rPr>
          <w:rFonts w:ascii="Book Antiqua" w:hAnsi="Book Antiqua" w:cs="Book Antiqua"/>
        </w:rPr>
      </w:pPr>
    </w:p>
    <w:p w14:paraId="3CC2286E"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 xml:space="preserve">Author contributions: </w:t>
      </w:r>
      <w:r w:rsidRPr="00EA3F5E">
        <w:rPr>
          <w:rFonts w:ascii="Book Antiqua" w:eastAsia="Book Antiqua" w:hAnsi="Book Antiqua" w:cs="Book Antiqua"/>
          <w:color w:val="000000"/>
        </w:rPr>
        <w:t>He MY, Shen P designed the research study;</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He MY, Yan FF and Cen KL analyzed the data and wrote the manuscript; All authors have read and approve the final manuscript.</w:t>
      </w:r>
    </w:p>
    <w:p w14:paraId="7F95DEC5" w14:textId="77777777" w:rsidR="00AB5C59" w:rsidRPr="00EA3F5E" w:rsidRDefault="00AB5C59">
      <w:pPr>
        <w:spacing w:line="360" w:lineRule="auto"/>
        <w:jc w:val="both"/>
        <w:rPr>
          <w:rFonts w:ascii="Book Antiqua" w:hAnsi="Book Antiqua" w:cs="Book Antiqua"/>
        </w:rPr>
      </w:pPr>
    </w:p>
    <w:p w14:paraId="33903177"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Corresponding author: Meng</w:t>
      </w:r>
      <w:r w:rsidRPr="00EA3F5E">
        <w:rPr>
          <w:rFonts w:ascii="Book Antiqua" w:eastAsia="宋体" w:hAnsi="Book Antiqua" w:cs="Book Antiqua"/>
          <w:b/>
          <w:bCs/>
          <w:color w:val="000000"/>
          <w:lang w:eastAsia="zh-CN"/>
        </w:rPr>
        <w:t>-Y</w:t>
      </w:r>
      <w:r w:rsidRPr="00EA3F5E">
        <w:rPr>
          <w:rFonts w:ascii="Book Antiqua" w:eastAsia="Book Antiqua" w:hAnsi="Book Antiqua" w:cs="Book Antiqua"/>
          <w:b/>
          <w:bCs/>
          <w:color w:val="000000"/>
        </w:rPr>
        <w:t xml:space="preserve">e He, MD, Doctor, </w:t>
      </w:r>
      <w:r w:rsidRPr="00EA3F5E">
        <w:rPr>
          <w:rFonts w:ascii="Book Antiqua" w:eastAsia="Book Antiqua" w:hAnsi="Book Antiqua" w:cs="Book Antiqua"/>
          <w:color w:val="000000" w:themeColor="text1"/>
        </w:rPr>
        <w:t>Department of</w:t>
      </w:r>
      <w:r w:rsidRPr="00EA3F5E">
        <w:rPr>
          <w:rFonts w:ascii="Book Antiqua" w:eastAsia="宋体" w:hAnsi="Book Antiqua" w:cs="Book Antiqua"/>
          <w:color w:val="000000" w:themeColor="text1"/>
          <w:lang w:eastAsia="zh-CN"/>
        </w:rPr>
        <w:t xml:space="preserve"> </w:t>
      </w:r>
      <w:r w:rsidRPr="00EA3F5E">
        <w:rPr>
          <w:rFonts w:ascii="Book Antiqua" w:eastAsia="Book Antiqua" w:hAnsi="Book Antiqua" w:cs="Book Antiqua"/>
          <w:color w:val="000000"/>
        </w:rPr>
        <w:t xml:space="preserve">Medical </w:t>
      </w:r>
      <w:r w:rsidRPr="00EA3F5E">
        <w:rPr>
          <w:rFonts w:ascii="Book Antiqua" w:hAnsi="Book Antiqua" w:cs="Book Antiqua"/>
          <w:color w:val="000000"/>
          <w:lang w:eastAsia="zh-CN"/>
        </w:rPr>
        <w:t>o</w:t>
      </w:r>
      <w:r w:rsidRPr="00EA3F5E">
        <w:rPr>
          <w:rFonts w:ascii="Book Antiqua" w:eastAsia="Book Antiqua" w:hAnsi="Book Antiqua" w:cs="Book Antiqua"/>
          <w:color w:val="000000"/>
        </w:rPr>
        <w:t xml:space="preserve">ncology, First </w:t>
      </w:r>
      <w:r w:rsidRPr="00EA3F5E">
        <w:rPr>
          <w:rFonts w:ascii="Book Antiqua" w:hAnsi="Book Antiqua" w:cs="Book Antiqua"/>
          <w:color w:val="000000"/>
          <w:lang w:eastAsia="zh-CN"/>
        </w:rPr>
        <w:t>A</w:t>
      </w:r>
      <w:r w:rsidRPr="00EA3F5E">
        <w:rPr>
          <w:rFonts w:ascii="Book Antiqua" w:eastAsia="Book Antiqua" w:hAnsi="Book Antiqua" w:cs="Book Antiqua"/>
          <w:color w:val="000000"/>
        </w:rPr>
        <w:t xml:space="preserve">ffiliated </w:t>
      </w:r>
      <w:r w:rsidRPr="00EA3F5E">
        <w:rPr>
          <w:rFonts w:ascii="Book Antiqua" w:hAnsi="Book Antiqua" w:cs="Book Antiqua"/>
          <w:color w:val="000000"/>
          <w:lang w:eastAsia="zh-CN"/>
        </w:rPr>
        <w:t>H</w:t>
      </w:r>
      <w:r w:rsidRPr="00EA3F5E">
        <w:rPr>
          <w:rFonts w:ascii="Book Antiqua" w:eastAsia="Book Antiqua" w:hAnsi="Book Antiqua" w:cs="Book Antiqua"/>
          <w:color w:val="000000"/>
        </w:rPr>
        <w:t>ospital,</w:t>
      </w:r>
      <w:r w:rsidRPr="00EA3F5E">
        <w:rPr>
          <w:rFonts w:ascii="Book Antiqua" w:eastAsia="宋体" w:hAnsi="Book Antiqua" w:cs="Book Antiqua"/>
          <w:color w:val="000000"/>
          <w:lang w:eastAsia="zh-CN"/>
        </w:rPr>
        <w:t xml:space="preserve"> </w:t>
      </w:r>
      <w:r w:rsidRPr="00EA3F5E">
        <w:rPr>
          <w:rFonts w:ascii="Book Antiqua" w:eastAsia="Book Antiqua" w:hAnsi="Book Antiqua" w:cs="Book Antiqua"/>
          <w:color w:val="000000"/>
        </w:rPr>
        <w:t xml:space="preserve">Zhejiang University </w:t>
      </w:r>
      <w:r w:rsidRPr="00EA3F5E">
        <w:rPr>
          <w:rFonts w:ascii="Book Antiqua" w:hAnsi="Book Antiqua" w:cs="Book Antiqua"/>
          <w:color w:val="000000"/>
          <w:lang w:eastAsia="zh-CN"/>
        </w:rPr>
        <w:t>S</w:t>
      </w:r>
      <w:r w:rsidRPr="00EA3F5E">
        <w:rPr>
          <w:rFonts w:ascii="Book Antiqua" w:eastAsia="Book Antiqua" w:hAnsi="Book Antiqua" w:cs="Book Antiqua"/>
          <w:color w:val="000000"/>
        </w:rPr>
        <w:t xml:space="preserve">chool of </w:t>
      </w:r>
      <w:r w:rsidRPr="00EA3F5E">
        <w:rPr>
          <w:rFonts w:ascii="Book Antiqua" w:hAnsi="Book Antiqua" w:cs="Book Antiqua"/>
          <w:color w:val="000000"/>
          <w:lang w:eastAsia="zh-CN"/>
        </w:rPr>
        <w:t>M</w:t>
      </w:r>
      <w:r w:rsidRPr="00EA3F5E">
        <w:rPr>
          <w:rFonts w:ascii="Book Antiqua" w:eastAsia="Book Antiqua" w:hAnsi="Book Antiqua" w:cs="Book Antiqua"/>
          <w:color w:val="000000"/>
        </w:rPr>
        <w:t>edicine, No.</w:t>
      </w:r>
      <w:r w:rsidRPr="00EA3F5E">
        <w:rPr>
          <w:rFonts w:ascii="Book Antiqua" w:eastAsia="宋体" w:hAnsi="Book Antiqua" w:cs="Book Antiqua"/>
          <w:color w:val="000000"/>
          <w:lang w:eastAsia="zh-CN"/>
        </w:rPr>
        <w:t xml:space="preserve"> </w:t>
      </w:r>
      <w:r w:rsidRPr="00EA3F5E">
        <w:rPr>
          <w:rFonts w:ascii="Book Antiqua" w:eastAsia="Book Antiqua" w:hAnsi="Book Antiqua" w:cs="Book Antiqua"/>
          <w:color w:val="000000"/>
        </w:rPr>
        <w:t xml:space="preserve">79 Qingchun Road, Hangzhou 310000, </w:t>
      </w:r>
      <w:r w:rsidRPr="00EA3F5E">
        <w:rPr>
          <w:rFonts w:ascii="Book Antiqua" w:eastAsia="宋体" w:hAnsi="Book Antiqua" w:cs="Book Antiqua"/>
          <w:color w:val="000000"/>
          <w:lang w:eastAsia="zh-CN"/>
        </w:rPr>
        <w:t xml:space="preserve">Zhejiang </w:t>
      </w:r>
      <w:r w:rsidRPr="00EA3F5E">
        <w:rPr>
          <w:rFonts w:ascii="Book Antiqua" w:hAnsi="Book Antiqua" w:cs="Book Antiqua"/>
          <w:color w:val="000000" w:themeColor="text1"/>
          <w:lang w:eastAsia="zh-CN"/>
        </w:rPr>
        <w:t xml:space="preserve">Province, </w:t>
      </w:r>
      <w:r w:rsidRPr="00EA3F5E">
        <w:rPr>
          <w:rFonts w:ascii="Book Antiqua" w:eastAsia="Book Antiqua" w:hAnsi="Book Antiqua" w:cs="Book Antiqua"/>
          <w:color w:val="000000"/>
        </w:rPr>
        <w:t>China. 1511051@zju.edu.cn</w:t>
      </w:r>
    </w:p>
    <w:p w14:paraId="3DC66C7C" w14:textId="77777777" w:rsidR="00AB5C59" w:rsidRPr="00EA3F5E" w:rsidRDefault="00AB5C59">
      <w:pPr>
        <w:spacing w:line="360" w:lineRule="auto"/>
        <w:jc w:val="both"/>
        <w:rPr>
          <w:rFonts w:ascii="Book Antiqua" w:hAnsi="Book Antiqua" w:cs="Book Antiqua"/>
        </w:rPr>
      </w:pPr>
    </w:p>
    <w:p w14:paraId="003CAB1D"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 xml:space="preserve">Received: </w:t>
      </w:r>
      <w:r w:rsidRPr="00EA3F5E">
        <w:rPr>
          <w:rFonts w:ascii="Book Antiqua" w:eastAsia="Book Antiqua" w:hAnsi="Book Antiqua" w:cs="Book Antiqua"/>
          <w:color w:val="000000"/>
        </w:rPr>
        <w:t>June 23, 2022</w:t>
      </w:r>
    </w:p>
    <w:p w14:paraId="327D37C0"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 xml:space="preserve">Revised: </w:t>
      </w:r>
      <w:r w:rsidRPr="00EA3F5E">
        <w:rPr>
          <w:rFonts w:ascii="Book Antiqua" w:eastAsia="Book Antiqua" w:hAnsi="Book Antiqua" w:cs="Book Antiqua"/>
          <w:color w:val="000000"/>
        </w:rPr>
        <w:t>September 1, 2022</w:t>
      </w:r>
    </w:p>
    <w:p w14:paraId="08D08DC8" w14:textId="621FA6EC"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 xml:space="preserve">Accepted: </w:t>
      </w:r>
      <w:r w:rsidR="00946923" w:rsidRPr="00EA3F5E">
        <w:rPr>
          <w:rFonts w:ascii="Book Antiqua" w:eastAsia="Book Antiqua" w:hAnsi="Book Antiqua" w:cs="Book Antiqua"/>
          <w:color w:val="000000"/>
        </w:rPr>
        <w:t>October 17, 2022</w:t>
      </w:r>
    </w:p>
    <w:p w14:paraId="0DDA8D2D" w14:textId="70B1BFB9" w:rsidR="009543D6" w:rsidRPr="00EA3F5E" w:rsidRDefault="00FD4637" w:rsidP="009543D6">
      <w:pPr>
        <w:spacing w:line="360" w:lineRule="auto"/>
        <w:jc w:val="both"/>
        <w:rPr>
          <w:rFonts w:ascii="Book Antiqua" w:hAnsi="Book Antiqua" w:cs="Book Antiqua"/>
        </w:rPr>
      </w:pPr>
      <w:r w:rsidRPr="00EA3F5E">
        <w:rPr>
          <w:rFonts w:ascii="Book Antiqua" w:eastAsia="Book Antiqua" w:hAnsi="Book Antiqua" w:cs="Book Antiqua"/>
          <w:b/>
          <w:bCs/>
          <w:color w:val="000000"/>
        </w:rPr>
        <w:t xml:space="preserve">Published online: </w:t>
      </w:r>
      <w:r w:rsidR="009543D6" w:rsidRPr="00EA3F5E">
        <w:rPr>
          <w:rFonts w:ascii="Book Antiqua" w:eastAsia="宋体" w:hAnsi="Book Antiqua" w:cs="宋体"/>
          <w:color w:val="000000"/>
          <w:shd w:val="clear" w:color="auto" w:fill="FFFFFF"/>
          <w:lang w:eastAsia="zh-CN"/>
        </w:rPr>
        <w:t>November 16, 2022</w:t>
      </w:r>
    </w:p>
    <w:p w14:paraId="6687944C" w14:textId="77777777" w:rsidR="00AB5C59" w:rsidRPr="00EA3F5E" w:rsidRDefault="00AB5C59">
      <w:pPr>
        <w:spacing w:line="360" w:lineRule="auto"/>
        <w:jc w:val="both"/>
        <w:rPr>
          <w:rFonts w:ascii="Book Antiqua" w:hAnsi="Book Antiqua" w:cs="Book Antiqua"/>
        </w:rPr>
        <w:sectPr w:rsidR="00AB5C59" w:rsidRPr="00EA3F5E">
          <w:footerReference w:type="default" r:id="rId7"/>
          <w:pgSz w:w="12240" w:h="15840"/>
          <w:pgMar w:top="1440" w:right="1440" w:bottom="1440" w:left="1440" w:header="720" w:footer="720" w:gutter="0"/>
          <w:cols w:space="720"/>
          <w:docGrid w:linePitch="360"/>
        </w:sectPr>
      </w:pPr>
    </w:p>
    <w:p w14:paraId="7A5110E1"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lastRenderedPageBreak/>
        <w:t>Abstract</w:t>
      </w:r>
    </w:p>
    <w:p w14:paraId="13018FD0"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BACKGROUND</w:t>
      </w:r>
    </w:p>
    <w:p w14:paraId="3DF6CCA5"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 xml:space="preserve">Intrahepatic cholangiocarcinoma (iCCA) is the second most common primary hepatic malignancy worldwide. However, currently available systemic therapies are of limited effectiveness, and the median overall survival of patients treated with first-line standard chemotherapy is less than one year. Immune checkpoint inhibitors have been used to treat solid tumors. Clinical studies recently explored the combination of chemotherapy and immunotherapy for CCA. However, the clinical significance of predictive biomarkers for chemo-immunotherapy in CCA remains unclear. It is also worth exploring whether a combination of chemotherapeutic agents can increase the sensitivity of CCA immunotherapy. </w:t>
      </w:r>
    </w:p>
    <w:p w14:paraId="4015A49E" w14:textId="77777777" w:rsidR="00AB5C59" w:rsidRPr="00EA3F5E" w:rsidRDefault="00AB5C59">
      <w:pPr>
        <w:spacing w:line="360" w:lineRule="auto"/>
        <w:jc w:val="both"/>
        <w:rPr>
          <w:rFonts w:ascii="Book Antiqua" w:hAnsi="Book Antiqua" w:cs="Book Antiqua"/>
        </w:rPr>
      </w:pPr>
    </w:p>
    <w:p w14:paraId="1959109A"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CASE SUMMARY</w:t>
      </w:r>
    </w:p>
    <w:p w14:paraId="08DE9733"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 xml:space="preserve">This study reports a case of advanced iCCA in which clinical complete remission had been achieved using a programmed death 1 (PD-1) inhibitor and paclitaxel without known predictive biomarkers, but with </w:t>
      </w:r>
      <w:r w:rsidRPr="00EA3F5E">
        <w:rPr>
          <w:rFonts w:ascii="Book Antiqua" w:eastAsia="Book Antiqua" w:hAnsi="Book Antiqua" w:cs="Book Antiqua"/>
          <w:i/>
          <w:iCs/>
          <w:color w:val="000000"/>
        </w:rPr>
        <w:t>BRCA1</w:t>
      </w:r>
      <w:r w:rsidRPr="00EA3F5E">
        <w:rPr>
          <w:rFonts w:ascii="Book Antiqua" w:eastAsia="Book Antiqua" w:hAnsi="Book Antiqua" w:cs="Book Antiqua"/>
          <w:color w:val="000000"/>
        </w:rPr>
        <w:t xml:space="preserve">, </w:t>
      </w:r>
      <w:bookmarkStart w:id="1" w:name="OLE_LINK4"/>
      <w:r w:rsidRPr="00EA3F5E">
        <w:rPr>
          <w:rFonts w:ascii="Book Antiqua" w:eastAsia="Book Antiqua" w:hAnsi="Book Antiqua" w:cs="Book Antiqua"/>
          <w:i/>
          <w:iCs/>
          <w:color w:val="000000"/>
        </w:rPr>
        <w:t>KRAS</w:t>
      </w:r>
      <w:bookmarkEnd w:id="1"/>
      <w:r w:rsidRPr="00EA3F5E">
        <w:rPr>
          <w:rFonts w:ascii="Book Antiqua" w:eastAsia="Book Antiqua" w:hAnsi="Book Antiqua" w:cs="Book Antiqua"/>
          <w:color w:val="000000"/>
        </w:rPr>
        <w:t xml:space="preserve">, and </w:t>
      </w:r>
      <w:r w:rsidRPr="00EA3F5E">
        <w:rPr>
          <w:rFonts w:ascii="Book Antiqua" w:eastAsia="Book Antiqua" w:hAnsi="Book Antiqua" w:cs="Book Antiqua"/>
          <w:i/>
          <w:iCs/>
          <w:color w:val="000000"/>
        </w:rPr>
        <w:t>NTRK3</w:t>
      </w:r>
      <w:r w:rsidRPr="00EA3F5E">
        <w:rPr>
          <w:rFonts w:ascii="Book Antiqua" w:eastAsia="Book Antiqua" w:hAnsi="Book Antiqua" w:cs="Book Antiqua"/>
          <w:color w:val="000000"/>
        </w:rPr>
        <w:t xml:space="preserve"> mutations after rapid progression to first-line chemotherapy, and has remained in clinical complete remission for more than two years. This case suggests that chemo-immunotherapy is a potential therapeutic option for patients with iCCA and few known predictive biomarkers for immunotherapies as well as synergistic effect of the combination of paclitaxel and PD-1 monoclonal antibody. </w:t>
      </w:r>
    </w:p>
    <w:p w14:paraId="5E5B3C4B" w14:textId="77777777" w:rsidR="00AB5C59" w:rsidRPr="00EA3F5E" w:rsidRDefault="00AB5C59">
      <w:pPr>
        <w:spacing w:line="360" w:lineRule="auto"/>
        <w:jc w:val="both"/>
        <w:rPr>
          <w:rFonts w:ascii="Book Antiqua" w:hAnsi="Book Antiqua" w:cs="Book Antiqua"/>
        </w:rPr>
      </w:pPr>
    </w:p>
    <w:p w14:paraId="6D24EEFF"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CONCLUSION</w:t>
      </w:r>
    </w:p>
    <w:p w14:paraId="3CF1A01A"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The combination of paclitaxel and PD-1 monoclonal antibodyr can be explored in patients with advanced iCCA.</w:t>
      </w:r>
    </w:p>
    <w:p w14:paraId="1C97DBD7" w14:textId="77777777" w:rsidR="00AB5C59" w:rsidRPr="00EA3F5E" w:rsidRDefault="00AB5C59">
      <w:pPr>
        <w:spacing w:line="360" w:lineRule="auto"/>
        <w:jc w:val="both"/>
        <w:rPr>
          <w:rFonts w:ascii="Book Antiqua" w:hAnsi="Book Antiqua" w:cs="Book Antiqua"/>
        </w:rPr>
      </w:pPr>
    </w:p>
    <w:p w14:paraId="08D98B25" w14:textId="77777777" w:rsidR="00AB5C59" w:rsidRPr="00EA3F5E" w:rsidRDefault="00FD4637">
      <w:pPr>
        <w:spacing w:line="360" w:lineRule="auto"/>
        <w:jc w:val="both"/>
        <w:rPr>
          <w:rFonts w:ascii="Book Antiqua" w:eastAsia="宋体" w:hAnsi="Book Antiqua" w:cs="Book Antiqua"/>
          <w:lang w:eastAsia="zh-CN"/>
        </w:rPr>
      </w:pPr>
      <w:r w:rsidRPr="00EA3F5E">
        <w:rPr>
          <w:rFonts w:ascii="Book Antiqua" w:eastAsia="Book Antiqua" w:hAnsi="Book Antiqua" w:cs="Book Antiqua"/>
          <w:b/>
          <w:bCs/>
          <w:color w:val="000000"/>
        </w:rPr>
        <w:t xml:space="preserve">Key Words: </w:t>
      </w:r>
      <w:r w:rsidRPr="00EA3F5E">
        <w:rPr>
          <w:rFonts w:ascii="Book Antiqua" w:eastAsia="宋体" w:hAnsi="Book Antiqua" w:cs="Book Antiqua"/>
          <w:color w:val="000000"/>
          <w:lang w:eastAsia="zh-CN"/>
        </w:rPr>
        <w:t>I</w:t>
      </w:r>
      <w:r w:rsidRPr="00EA3F5E">
        <w:rPr>
          <w:rFonts w:ascii="Book Antiqua" w:eastAsia="Book Antiqua" w:hAnsi="Book Antiqua" w:cs="Book Antiqua"/>
          <w:color w:val="000000"/>
        </w:rPr>
        <w:t xml:space="preserve">ntrahepatic cholangiocarcinoma; </w:t>
      </w:r>
      <w:r w:rsidRPr="00EA3F5E">
        <w:rPr>
          <w:rFonts w:ascii="Book Antiqua" w:eastAsia="宋体" w:hAnsi="Book Antiqua" w:cs="Book Antiqua"/>
          <w:color w:val="000000"/>
          <w:lang w:eastAsia="zh-CN"/>
        </w:rPr>
        <w:t>P</w:t>
      </w:r>
      <w:r w:rsidRPr="00EA3F5E">
        <w:rPr>
          <w:rFonts w:ascii="Book Antiqua" w:eastAsia="Book Antiqua" w:hAnsi="Book Antiqua" w:cs="Book Antiqua"/>
          <w:color w:val="000000"/>
        </w:rPr>
        <w:t xml:space="preserve">rogrammed cell death protein-1 inhibitor; </w:t>
      </w:r>
      <w:r w:rsidRPr="00EA3F5E">
        <w:rPr>
          <w:rFonts w:ascii="Book Antiqua" w:eastAsia="宋体" w:hAnsi="Book Antiqua" w:cs="Book Antiqua"/>
          <w:color w:val="000000"/>
          <w:lang w:eastAsia="zh-CN"/>
        </w:rPr>
        <w:t>P</w:t>
      </w:r>
      <w:r w:rsidRPr="00EA3F5E">
        <w:rPr>
          <w:rFonts w:ascii="Book Antiqua" w:eastAsia="Book Antiqua" w:hAnsi="Book Antiqua" w:cs="Book Antiqua"/>
          <w:color w:val="000000"/>
        </w:rPr>
        <w:t xml:space="preserve">aclitaxel; </w:t>
      </w:r>
      <w:r w:rsidRPr="00EA3F5E">
        <w:rPr>
          <w:rFonts w:ascii="Book Antiqua" w:eastAsia="宋体" w:hAnsi="Book Antiqua" w:cs="Book Antiqua"/>
          <w:color w:val="000000"/>
          <w:lang w:eastAsia="zh-CN"/>
        </w:rPr>
        <w:t>C</w:t>
      </w:r>
      <w:r w:rsidRPr="00EA3F5E">
        <w:rPr>
          <w:rFonts w:ascii="Book Antiqua" w:eastAsia="Book Antiqua" w:hAnsi="Book Antiqua" w:cs="Book Antiqua"/>
          <w:color w:val="000000"/>
        </w:rPr>
        <w:t xml:space="preserve">hemo-immunotherapy; </w:t>
      </w:r>
      <w:r w:rsidRPr="00EA3F5E">
        <w:rPr>
          <w:rFonts w:ascii="Book Antiqua" w:eastAsia="宋体" w:hAnsi="Book Antiqua" w:cs="Book Antiqua"/>
          <w:color w:val="000000"/>
          <w:lang w:eastAsia="zh-CN"/>
        </w:rPr>
        <w:t>P</w:t>
      </w:r>
      <w:r w:rsidRPr="00EA3F5E">
        <w:rPr>
          <w:rFonts w:ascii="Book Antiqua" w:eastAsia="Book Antiqua" w:hAnsi="Book Antiqua" w:cs="Book Antiqua"/>
          <w:color w:val="000000"/>
        </w:rPr>
        <w:t>redictive biomarker</w:t>
      </w:r>
      <w:r w:rsidRPr="00EA3F5E">
        <w:rPr>
          <w:rFonts w:ascii="Book Antiqua" w:eastAsia="宋体" w:hAnsi="Book Antiqua" w:cs="Book Antiqua"/>
          <w:color w:val="000000"/>
          <w:lang w:eastAsia="zh-CN"/>
        </w:rPr>
        <w:t xml:space="preserve">; </w:t>
      </w:r>
      <w:r w:rsidRPr="00EA3F5E">
        <w:rPr>
          <w:rFonts w:ascii="Book Antiqua" w:eastAsia="Book Antiqua" w:hAnsi="Book Antiqua" w:cs="Book Antiqua"/>
          <w:color w:val="000000" w:themeColor="text1"/>
        </w:rPr>
        <w:t>Case report</w:t>
      </w:r>
    </w:p>
    <w:p w14:paraId="1CBBBB39" w14:textId="77777777" w:rsidR="00AB5C59" w:rsidRPr="00EA3F5E" w:rsidRDefault="00AB5C59">
      <w:pPr>
        <w:spacing w:line="360" w:lineRule="auto"/>
        <w:jc w:val="both"/>
        <w:rPr>
          <w:rFonts w:ascii="Book Antiqua" w:hAnsi="Book Antiqua" w:cs="Book Antiqua"/>
        </w:rPr>
      </w:pPr>
    </w:p>
    <w:p w14:paraId="584BD86A" w14:textId="77777777" w:rsidR="00EA3F5E" w:rsidRPr="00EA3F5E" w:rsidRDefault="00EA3F5E" w:rsidP="00EA3F5E">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EA3F5E">
        <w:rPr>
          <w:rFonts w:ascii="Book Antiqua" w:eastAsia="Book Antiqua" w:hAnsi="Book Antiqua" w:cs="Book Antiqua" w:hint="eastAsia"/>
          <w:b/>
          <w:color w:val="000000"/>
        </w:rPr>
        <w:lastRenderedPageBreak/>
        <w:t>©</w:t>
      </w:r>
      <w:r w:rsidRPr="00EA3F5E">
        <w:rPr>
          <w:rFonts w:ascii="Book Antiqua" w:eastAsia="Book Antiqua" w:hAnsi="Book Antiqua" w:cs="Book Antiqua"/>
          <w:b/>
          <w:color w:val="000000"/>
        </w:rPr>
        <w:t>The</w:t>
      </w:r>
      <w:r w:rsidRPr="00EA3F5E">
        <w:rPr>
          <w:rFonts w:ascii="Book Antiqua" w:eastAsia="Book Antiqua" w:hAnsi="Book Antiqua" w:cs="Book Antiqua"/>
          <w:color w:val="000000"/>
        </w:rPr>
        <w:t xml:space="preserve"> </w:t>
      </w:r>
      <w:r w:rsidRPr="00EA3F5E">
        <w:rPr>
          <w:rFonts w:ascii="Book Antiqua" w:eastAsia="Book Antiqua" w:hAnsi="Book Antiqua" w:cs="Book Antiqua"/>
          <w:b/>
          <w:color w:val="000000"/>
        </w:rPr>
        <w:t xml:space="preserve">Author(s) 2022. </w:t>
      </w:r>
      <w:r w:rsidRPr="00EA3F5E">
        <w:rPr>
          <w:rFonts w:ascii="Book Antiqua" w:eastAsia="Book Antiqua" w:hAnsi="Book Antiqua" w:cs="Book Antiqua"/>
          <w:color w:val="000000"/>
        </w:rPr>
        <w:t>Published by Baishideng Publishing Group Inc. All rights reserved.</w:t>
      </w:r>
      <w:bookmarkEnd w:id="2"/>
      <w:r w:rsidRPr="00EA3F5E">
        <w:rPr>
          <w:rFonts w:ascii="Book Antiqua" w:eastAsia="Book Antiqua" w:hAnsi="Book Antiqua" w:cs="Book Antiqua"/>
          <w:color w:val="000000"/>
        </w:rPr>
        <w:t xml:space="preserve"> </w:t>
      </w:r>
    </w:p>
    <w:bookmarkEnd w:id="3"/>
    <w:p w14:paraId="70BA437B" w14:textId="77777777" w:rsidR="00EA3F5E" w:rsidRPr="00EA3F5E" w:rsidRDefault="00EA3F5E" w:rsidP="00EA3F5E">
      <w:pPr>
        <w:spacing w:line="360" w:lineRule="auto"/>
        <w:jc w:val="both"/>
        <w:rPr>
          <w:lang w:eastAsia="zh-CN"/>
        </w:rPr>
      </w:pPr>
    </w:p>
    <w:p w14:paraId="4FAF8243" w14:textId="77777777" w:rsidR="00EA3F5E" w:rsidRPr="00EA3F5E" w:rsidRDefault="00EA3F5E" w:rsidP="00EA3F5E">
      <w:pPr>
        <w:spacing w:line="360" w:lineRule="auto"/>
        <w:jc w:val="both"/>
        <w:rPr>
          <w:rFonts w:ascii="Book Antiqua" w:eastAsia="Book Antiqua" w:hAnsi="Book Antiqua" w:cs="Book Antiqua"/>
          <w:color w:val="000000"/>
        </w:rPr>
      </w:pPr>
      <w:bookmarkStart w:id="6" w:name="_Hlk88512899"/>
      <w:bookmarkStart w:id="7" w:name="_Hlk88512352"/>
      <w:bookmarkEnd w:id="4"/>
      <w:r w:rsidRPr="00EA3F5E">
        <w:rPr>
          <w:rFonts w:ascii="Book Antiqua" w:hAnsi="Book Antiqua" w:cs="Book Antiqua" w:hint="eastAsia"/>
          <w:b/>
          <w:color w:val="000000"/>
          <w:lang w:eastAsia="zh-CN"/>
        </w:rPr>
        <w:t>Citation:</w:t>
      </w:r>
      <w:bookmarkEnd w:id="5"/>
      <w:bookmarkEnd w:id="6"/>
      <w:r w:rsidRPr="00EA3F5E">
        <w:rPr>
          <w:rFonts w:ascii="Book Antiqua" w:hAnsi="Book Antiqua" w:cs="Book Antiqua" w:hint="eastAsia"/>
          <w:color w:val="000000"/>
          <w:lang w:eastAsia="zh-CN"/>
        </w:rPr>
        <w:t xml:space="preserve"> </w:t>
      </w:r>
      <w:bookmarkEnd w:id="7"/>
      <w:r w:rsidR="00FD4637" w:rsidRPr="00EA3F5E">
        <w:rPr>
          <w:rFonts w:ascii="Book Antiqua" w:eastAsia="宋体" w:hAnsi="Book Antiqua" w:cs="Book Antiqua"/>
          <w:color w:val="000000"/>
          <w:lang w:eastAsia="zh-CN"/>
        </w:rPr>
        <w:t xml:space="preserve">He </w:t>
      </w:r>
      <w:r w:rsidR="00FD4637" w:rsidRPr="00EA3F5E">
        <w:rPr>
          <w:rFonts w:ascii="Book Antiqua" w:eastAsia="宋体" w:hAnsi="Book Antiqua" w:cs="Book Antiqua"/>
          <w:color w:val="000000" w:themeColor="text1"/>
          <w:lang w:eastAsia="zh-CN"/>
        </w:rPr>
        <w:t>MY</w:t>
      </w:r>
      <w:r w:rsidR="00FD4637" w:rsidRPr="00EA3F5E">
        <w:rPr>
          <w:rFonts w:ascii="Book Antiqua" w:eastAsia="Book Antiqua" w:hAnsi="Book Antiqua" w:cs="Book Antiqua"/>
          <w:color w:val="000000"/>
        </w:rPr>
        <w:t>, Yan F</w:t>
      </w:r>
      <w:r w:rsidR="00FD4637" w:rsidRPr="00EA3F5E">
        <w:rPr>
          <w:rFonts w:ascii="Book Antiqua" w:eastAsia="宋体" w:hAnsi="Book Antiqua" w:cs="Book Antiqua"/>
          <w:color w:val="000000"/>
          <w:lang w:eastAsia="zh-CN"/>
        </w:rPr>
        <w:t>F</w:t>
      </w:r>
      <w:r w:rsidR="00FD4637" w:rsidRPr="00EA3F5E">
        <w:rPr>
          <w:rFonts w:ascii="Book Antiqua" w:eastAsia="Book Antiqua" w:hAnsi="Book Antiqua" w:cs="Book Antiqua"/>
          <w:color w:val="000000"/>
        </w:rPr>
        <w:t>, Cen K</w:t>
      </w:r>
      <w:r w:rsidR="00FD4637" w:rsidRPr="00EA3F5E">
        <w:rPr>
          <w:rFonts w:ascii="Book Antiqua" w:eastAsia="宋体" w:hAnsi="Book Antiqua" w:cs="Book Antiqua"/>
          <w:color w:val="000000"/>
          <w:lang w:eastAsia="zh-CN"/>
        </w:rPr>
        <w:t>L</w:t>
      </w:r>
      <w:r w:rsidR="00FD4637" w:rsidRPr="00EA3F5E">
        <w:rPr>
          <w:rFonts w:ascii="Book Antiqua" w:eastAsia="Book Antiqua" w:hAnsi="Book Antiqua" w:cs="Book Antiqua"/>
          <w:color w:val="000000"/>
        </w:rPr>
        <w:t xml:space="preserve">, Shen P. Long survival after immunotherapy </w:t>
      </w:r>
      <w:r w:rsidR="00FD4637" w:rsidRPr="00EA3F5E">
        <w:rPr>
          <w:rFonts w:ascii="Book Antiqua" w:eastAsia="Book Antiqua" w:hAnsi="Book Antiqua" w:cs="Book Antiqua"/>
          <w:color w:val="000000"/>
          <w:lang w:eastAsia="zh-CN"/>
        </w:rPr>
        <w:t>plus paclitaxel</w:t>
      </w:r>
      <w:r w:rsidR="00FD4637" w:rsidRPr="00EA3F5E">
        <w:rPr>
          <w:rFonts w:ascii="Book Antiqua" w:eastAsia="Book Antiqua" w:hAnsi="Book Antiqua" w:cs="Book Antiqua"/>
          <w:color w:val="000000"/>
        </w:rPr>
        <w:t xml:space="preserve"> in advanced intrahepatic cholangiocarcinoma: A </w:t>
      </w:r>
      <w:r w:rsidR="00FD4637" w:rsidRPr="00EA3F5E">
        <w:rPr>
          <w:rFonts w:ascii="Book Antiqua" w:hAnsi="Book Antiqua" w:cs="Book Antiqua"/>
          <w:color w:val="000000"/>
          <w:lang w:eastAsia="zh-CN"/>
        </w:rPr>
        <w:t>c</w:t>
      </w:r>
      <w:r w:rsidR="00FD4637" w:rsidRPr="00EA3F5E">
        <w:rPr>
          <w:rFonts w:ascii="Book Antiqua" w:eastAsia="Book Antiqua" w:hAnsi="Book Antiqua" w:cs="Book Antiqua"/>
          <w:color w:val="000000"/>
        </w:rPr>
        <w:t xml:space="preserve">ase report and review of literature. </w:t>
      </w:r>
      <w:r w:rsidR="00FD4637" w:rsidRPr="00EA3F5E">
        <w:rPr>
          <w:rFonts w:ascii="Book Antiqua" w:eastAsia="Book Antiqua" w:hAnsi="Book Antiqua" w:cs="Book Antiqua"/>
          <w:i/>
          <w:iCs/>
          <w:color w:val="000000"/>
        </w:rPr>
        <w:t>World J Clin Cases</w:t>
      </w:r>
      <w:r w:rsidR="00FD4637" w:rsidRPr="00EA3F5E">
        <w:rPr>
          <w:rFonts w:ascii="Book Antiqua" w:eastAsia="Book Antiqua" w:hAnsi="Book Antiqua" w:cs="Book Antiqua"/>
          <w:color w:val="000000"/>
        </w:rPr>
        <w:t xml:space="preserve"> 2022; </w:t>
      </w:r>
      <w:r w:rsidR="009543D6" w:rsidRPr="00EA3F5E">
        <w:rPr>
          <w:rFonts w:ascii="Book Antiqua" w:eastAsia="Book Antiqua" w:hAnsi="Book Antiqua" w:cs="Book Antiqua"/>
          <w:color w:val="000000"/>
        </w:rPr>
        <w:t xml:space="preserve">10(32): </w:t>
      </w:r>
      <w:r w:rsidRPr="00EA3F5E">
        <w:rPr>
          <w:rFonts w:ascii="Book Antiqua" w:eastAsia="Book Antiqua" w:hAnsi="Book Antiqua" w:cs="Book Antiqua"/>
          <w:color w:val="000000"/>
        </w:rPr>
        <w:t>11889</w:t>
      </w:r>
      <w:r w:rsidR="009543D6" w:rsidRPr="00EA3F5E">
        <w:rPr>
          <w:rFonts w:ascii="Book Antiqua" w:eastAsia="Book Antiqua" w:hAnsi="Book Antiqua" w:cs="Book Antiqua"/>
          <w:color w:val="000000"/>
        </w:rPr>
        <w:t>-</w:t>
      </w:r>
      <w:r w:rsidRPr="00EA3F5E">
        <w:rPr>
          <w:rFonts w:ascii="Book Antiqua" w:eastAsia="Book Antiqua" w:hAnsi="Book Antiqua" w:cs="Book Antiqua"/>
          <w:color w:val="000000"/>
        </w:rPr>
        <w:t>11897</w:t>
      </w:r>
    </w:p>
    <w:p w14:paraId="71641BDC" w14:textId="267664A0" w:rsidR="00EA3F5E" w:rsidRPr="00EA3F5E" w:rsidRDefault="009543D6" w:rsidP="00EA3F5E">
      <w:pPr>
        <w:spacing w:line="360" w:lineRule="auto"/>
        <w:jc w:val="both"/>
        <w:rPr>
          <w:rFonts w:ascii="Book Antiqua" w:eastAsia="Book Antiqua" w:hAnsi="Book Antiqua" w:cs="Book Antiqua"/>
          <w:color w:val="000000"/>
        </w:rPr>
      </w:pPr>
      <w:r w:rsidRPr="00EA3F5E">
        <w:rPr>
          <w:rFonts w:ascii="Book Antiqua" w:eastAsia="Book Antiqua" w:hAnsi="Book Antiqua" w:cs="Book Antiqua"/>
          <w:b/>
          <w:bCs/>
          <w:color w:val="000000"/>
        </w:rPr>
        <w:t>URL:</w:t>
      </w:r>
      <w:r w:rsidRPr="00EA3F5E">
        <w:rPr>
          <w:rFonts w:ascii="Book Antiqua" w:eastAsia="Book Antiqua" w:hAnsi="Book Antiqua" w:cs="Book Antiqua"/>
          <w:color w:val="000000"/>
        </w:rPr>
        <w:t xml:space="preserve"> </w:t>
      </w:r>
      <w:hyperlink r:id="rId8" w:history="1">
        <w:r w:rsidR="00EA3F5E" w:rsidRPr="00EA3F5E">
          <w:rPr>
            <w:rStyle w:val="ad"/>
            <w:rFonts w:ascii="Book Antiqua" w:eastAsia="Book Antiqua" w:hAnsi="Book Antiqua" w:cs="Book Antiqua"/>
          </w:rPr>
          <w:t>https://www.wjgnet.com/2307-8960/full/v10/i32/11889.htm</w:t>
        </w:r>
      </w:hyperlink>
    </w:p>
    <w:p w14:paraId="690A36B2" w14:textId="78B92241" w:rsidR="00AB5C59" w:rsidRPr="00EA3F5E" w:rsidRDefault="009543D6" w:rsidP="00EA3F5E">
      <w:pPr>
        <w:spacing w:line="360" w:lineRule="auto"/>
        <w:jc w:val="both"/>
        <w:rPr>
          <w:rFonts w:ascii="Book Antiqua" w:hAnsi="Book Antiqua" w:cs="Book Antiqua"/>
        </w:rPr>
      </w:pPr>
      <w:r w:rsidRPr="00EA3F5E">
        <w:rPr>
          <w:rFonts w:ascii="Book Antiqua" w:eastAsia="Book Antiqua" w:hAnsi="Book Antiqua" w:cs="Book Antiqua"/>
          <w:b/>
          <w:bCs/>
          <w:color w:val="000000"/>
        </w:rPr>
        <w:t>DOI:</w:t>
      </w:r>
      <w:r w:rsidRPr="00EA3F5E">
        <w:rPr>
          <w:rFonts w:ascii="Book Antiqua" w:eastAsia="Book Antiqua" w:hAnsi="Book Antiqua" w:cs="Book Antiqua"/>
          <w:color w:val="000000"/>
        </w:rPr>
        <w:t xml:space="preserve"> https://dx.doi.org/10.12998/wjcc.v10.i32.</w:t>
      </w:r>
      <w:r w:rsidR="00EA3F5E" w:rsidRPr="00EA3F5E">
        <w:rPr>
          <w:rFonts w:ascii="Book Antiqua" w:eastAsia="Book Antiqua" w:hAnsi="Book Antiqua" w:cs="Book Antiqua"/>
          <w:color w:val="000000"/>
        </w:rPr>
        <w:t>11889</w:t>
      </w:r>
    </w:p>
    <w:p w14:paraId="47E14552" w14:textId="77777777" w:rsidR="00AB5C59" w:rsidRPr="00EA3F5E" w:rsidRDefault="00AB5C59">
      <w:pPr>
        <w:spacing w:line="360" w:lineRule="auto"/>
        <w:jc w:val="both"/>
        <w:rPr>
          <w:rFonts w:ascii="Book Antiqua" w:hAnsi="Book Antiqua" w:cs="Book Antiqua"/>
        </w:rPr>
      </w:pPr>
    </w:p>
    <w:p w14:paraId="282D41E4"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 xml:space="preserve">Core Tip: </w:t>
      </w:r>
      <w:r w:rsidRPr="00EA3F5E">
        <w:rPr>
          <w:rFonts w:ascii="Book Antiqua" w:eastAsia="Book Antiqua" w:hAnsi="Book Antiqua" w:cs="Book Antiqua"/>
          <w:color w:val="000000"/>
        </w:rPr>
        <w:t xml:space="preserve">The first-line standard treatment for advanced intrahepatic cholangiocarcinoma has been programmed cell death ligand 1 antibody combined with gemcitabine + cisplatin therapy, but the median overall survival time still could not break 1 year. However, this patient achieved clinical complete remission after second-line treatment with paclitaxel combined with </w:t>
      </w:r>
      <w:r w:rsidRPr="00EA3F5E">
        <w:rPr>
          <w:rFonts w:ascii="Book Antiqua" w:eastAsia="Book Antiqua" w:hAnsi="Book Antiqua" w:cs="Book Antiqua"/>
          <w:bCs/>
          <w:color w:val="000000"/>
        </w:rPr>
        <w:t>programmed death 1</w:t>
      </w:r>
      <w:r w:rsidRPr="00EA3F5E">
        <w:rPr>
          <w:rFonts w:ascii="Book Antiqua" w:eastAsia="Book Antiqua" w:hAnsi="Book Antiqua" w:cs="Book Antiqua"/>
          <w:color w:val="000000"/>
        </w:rPr>
        <w:t xml:space="preserve"> antibody and has survived for more than 32 mo. And we performed genetic testing of tissue specimens and found that this patient was without known predictive biomarkers related to immunotherapy efficacy but with </w:t>
      </w:r>
      <w:r w:rsidRPr="00EA3F5E">
        <w:rPr>
          <w:rFonts w:ascii="Book Antiqua" w:eastAsia="Book Antiqua" w:hAnsi="Book Antiqua" w:cs="Book Antiqua"/>
          <w:i/>
          <w:iCs/>
          <w:color w:val="000000"/>
        </w:rPr>
        <w:t>BRCA1</w:t>
      </w:r>
      <w:r w:rsidRPr="00EA3F5E">
        <w:rPr>
          <w:rFonts w:ascii="Book Antiqua" w:eastAsia="Book Antiqua" w:hAnsi="Book Antiqua" w:cs="Book Antiqua"/>
          <w:color w:val="000000"/>
        </w:rPr>
        <w:t xml:space="preserve">, </w:t>
      </w:r>
      <w:r w:rsidRPr="00EA3F5E">
        <w:rPr>
          <w:rFonts w:ascii="Book Antiqua" w:eastAsia="Book Antiqua" w:hAnsi="Book Antiqua" w:cs="Book Antiqua"/>
          <w:i/>
          <w:iCs/>
          <w:color w:val="000000"/>
        </w:rPr>
        <w:t>KRAS</w:t>
      </w:r>
      <w:r w:rsidRPr="00EA3F5E">
        <w:rPr>
          <w:rFonts w:ascii="Book Antiqua" w:eastAsia="Book Antiqua" w:hAnsi="Book Antiqua" w:cs="Book Antiqua"/>
          <w:color w:val="000000"/>
        </w:rPr>
        <w:t xml:space="preserve"> and </w:t>
      </w:r>
      <w:r w:rsidRPr="00EA3F5E">
        <w:rPr>
          <w:rFonts w:ascii="Book Antiqua" w:eastAsia="Book Antiqua" w:hAnsi="Book Antiqua" w:cs="Book Antiqua"/>
          <w:i/>
          <w:iCs/>
          <w:color w:val="000000"/>
        </w:rPr>
        <w:t>NTRK3</w:t>
      </w:r>
      <w:r w:rsidRPr="00EA3F5E">
        <w:rPr>
          <w:rFonts w:ascii="Book Antiqua" w:eastAsia="Book Antiqua" w:hAnsi="Book Antiqua" w:cs="Book Antiqua"/>
          <w:color w:val="000000"/>
        </w:rPr>
        <w:t xml:space="preserve"> mutation, and whether there is a therapeutic efficacy correlation deserves further exploration.</w:t>
      </w:r>
    </w:p>
    <w:p w14:paraId="6B459F44" w14:textId="77777777" w:rsidR="00AB5C59" w:rsidRPr="00EA3F5E" w:rsidRDefault="00AB5C59">
      <w:pPr>
        <w:spacing w:line="360" w:lineRule="auto"/>
        <w:jc w:val="both"/>
        <w:rPr>
          <w:rFonts w:ascii="Book Antiqua" w:hAnsi="Book Antiqua" w:cs="Book Antiqua"/>
        </w:rPr>
      </w:pPr>
    </w:p>
    <w:p w14:paraId="68FBF2EE"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aps/>
          <w:color w:val="000000"/>
          <w:u w:val="single"/>
        </w:rPr>
        <w:t>INTRODUCTION</w:t>
      </w:r>
    </w:p>
    <w:p w14:paraId="24A37EC9"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As of 2020, primary liver cancer is the sixth most commonly diagnosed cancer and the third leading cause of cancer-related death worldwide</w:t>
      </w:r>
      <w:r w:rsidRPr="00EA3F5E">
        <w:rPr>
          <w:rFonts w:ascii="Book Antiqua" w:eastAsia="Book Antiqua" w:hAnsi="Book Antiqua" w:cs="Book Antiqua"/>
          <w:color w:val="000000"/>
          <w:vertAlign w:val="superscript"/>
        </w:rPr>
        <w:t>[1]</w:t>
      </w:r>
      <w:r w:rsidRPr="00EA3F5E">
        <w:rPr>
          <w:rFonts w:ascii="Book Antiqua" w:eastAsia="Book Antiqua" w:hAnsi="Book Antiqua" w:cs="Book Antiqua"/>
          <w:color w:val="000000"/>
        </w:rPr>
        <w:t>. Cholangiocarcinoma (CCA) is the second most common primary liver malignant tumor after hepatocellular carcinoma, accounting for 10</w:t>
      </w:r>
      <w:r w:rsidRPr="00EA3F5E">
        <w:rPr>
          <w:rFonts w:ascii="Book Antiqua" w:eastAsia="宋体" w:hAnsi="Book Antiqua" w:cs="Book Antiqua"/>
          <w:color w:val="000000"/>
          <w:lang w:eastAsia="zh-CN"/>
        </w:rPr>
        <w:t>%</w:t>
      </w:r>
      <w:r w:rsidRPr="00EA3F5E">
        <w:rPr>
          <w:rFonts w:ascii="Book Antiqua" w:eastAsia="Book Antiqua" w:hAnsi="Book Antiqua" w:cs="Book Antiqua"/>
          <w:color w:val="000000"/>
        </w:rPr>
        <w:t>–20% of all primary liver cancers. According to anatomical location, it can be divided into intrahepatic CCA (iCCA), hilar CCA, and distal CCA. The incidence of iCCA has been increasing over the past few decades</w:t>
      </w:r>
      <w:r w:rsidRPr="00EA3F5E">
        <w:rPr>
          <w:rFonts w:ascii="Book Antiqua" w:eastAsia="Book Antiqua" w:hAnsi="Book Antiqua" w:cs="Book Antiqua"/>
          <w:color w:val="000000"/>
          <w:vertAlign w:val="superscript"/>
        </w:rPr>
        <w:t>[2]</w:t>
      </w:r>
      <w:r w:rsidRPr="00EA3F5E">
        <w:rPr>
          <w:rFonts w:ascii="Book Antiqua" w:eastAsia="Book Antiqua" w:hAnsi="Book Antiqua" w:cs="Book Antiqua"/>
          <w:color w:val="000000"/>
        </w:rPr>
        <w:t>. Owing to the characteristics of hidden onset and lack of typical clinical symptoms, iCCA is often diagnosed at an advanced stage. Only 30</w:t>
      </w:r>
      <w:r w:rsidRPr="00EA3F5E">
        <w:rPr>
          <w:rFonts w:ascii="Book Antiqua" w:eastAsia="宋体" w:hAnsi="Book Antiqua" w:cs="Book Antiqua"/>
          <w:color w:val="000000"/>
          <w:lang w:eastAsia="zh-CN"/>
        </w:rPr>
        <w:t>%</w:t>
      </w:r>
      <w:r w:rsidRPr="00EA3F5E">
        <w:rPr>
          <w:rFonts w:ascii="Book Antiqua" w:eastAsia="宋体" w:hAnsi="Book Antiqua" w:cs="Book Antiqua"/>
          <w:bCs/>
          <w:lang w:eastAsia="zh-CN"/>
        </w:rPr>
        <w:t>–</w:t>
      </w:r>
      <w:r w:rsidRPr="00EA3F5E">
        <w:rPr>
          <w:rFonts w:ascii="Book Antiqua" w:eastAsia="Book Antiqua" w:hAnsi="Book Antiqua" w:cs="Book Antiqua"/>
          <w:color w:val="000000"/>
        </w:rPr>
        <w:t>40% of patients receive surgical treatment after diagnosis, and the postoperative recurrence rate is high</w:t>
      </w:r>
      <w:r w:rsidRPr="00EA3F5E">
        <w:rPr>
          <w:rFonts w:ascii="Book Antiqua" w:eastAsia="Book Antiqua" w:hAnsi="Book Antiqua" w:cs="Book Antiqua"/>
          <w:color w:val="000000"/>
          <w:vertAlign w:val="superscript"/>
        </w:rPr>
        <w:t>[3]</w:t>
      </w:r>
      <w:r w:rsidRPr="00EA3F5E">
        <w:rPr>
          <w:rFonts w:ascii="Book Antiqua" w:eastAsia="Book Antiqua" w:hAnsi="Book Antiqua" w:cs="Book Antiqua"/>
          <w:color w:val="000000"/>
        </w:rPr>
        <w:t xml:space="preserve">. There is an urgent need </w:t>
      </w:r>
      <w:r w:rsidRPr="00EA3F5E">
        <w:rPr>
          <w:rFonts w:ascii="Book Antiqua" w:eastAsia="Book Antiqua" w:hAnsi="Book Antiqua" w:cs="Book Antiqua"/>
          <w:color w:val="000000"/>
        </w:rPr>
        <w:lastRenderedPageBreak/>
        <w:t xml:space="preserve">to develop new strategies for the predictive diagnosis of </w:t>
      </w:r>
      <w:bookmarkStart w:id="8" w:name="OLE_LINK5"/>
      <w:r w:rsidRPr="00EA3F5E">
        <w:rPr>
          <w:rFonts w:ascii="Book Antiqua" w:eastAsia="Book Antiqua" w:hAnsi="Book Antiqua" w:cs="Book Antiqua"/>
          <w:color w:val="000000"/>
        </w:rPr>
        <w:t>biliary tract cancer</w:t>
      </w:r>
      <w:r w:rsidRPr="00EA3F5E">
        <w:rPr>
          <w:rFonts w:ascii="Book Antiqua" w:eastAsia="宋体" w:hAnsi="Book Antiqua" w:cs="Book Antiqua"/>
          <w:color w:val="000000"/>
          <w:lang w:eastAsia="zh-CN"/>
        </w:rPr>
        <w:t xml:space="preserve"> </w:t>
      </w:r>
      <w:r w:rsidRPr="00EA3F5E">
        <w:rPr>
          <w:rFonts w:ascii="Book Antiqua" w:eastAsia="宋体" w:hAnsi="Book Antiqua" w:cs="Book Antiqua"/>
          <w:color w:val="000000" w:themeColor="text1"/>
          <w:lang w:eastAsia="zh-CN"/>
        </w:rPr>
        <w:t>(</w:t>
      </w:r>
      <w:r w:rsidRPr="00EA3F5E">
        <w:rPr>
          <w:rFonts w:ascii="Book Antiqua" w:eastAsia="Book Antiqua" w:hAnsi="Book Antiqua" w:cs="Book Antiqua"/>
          <w:color w:val="000000" w:themeColor="text1"/>
        </w:rPr>
        <w:t>BTC</w:t>
      </w:r>
      <w:bookmarkEnd w:id="8"/>
      <w:r w:rsidRPr="00EA3F5E">
        <w:rPr>
          <w:rFonts w:ascii="Book Antiqua" w:eastAsia="宋体" w:hAnsi="Book Antiqua" w:cs="Book Antiqua"/>
          <w:color w:val="000000" w:themeColor="text1"/>
          <w:lang w:eastAsia="zh-CN"/>
        </w:rPr>
        <w:t>)</w:t>
      </w:r>
      <w:r w:rsidRPr="00EA3F5E">
        <w:rPr>
          <w:rFonts w:ascii="Book Antiqua" w:eastAsia="Book Antiqua" w:hAnsi="Book Antiqua" w:cs="Book Antiqua"/>
          <w:color w:val="000000"/>
        </w:rPr>
        <w:t xml:space="preserve"> at an early, resectable stage. Liquid biopsy has received increasing attention over the years, given its promising application in cancer patients. In </w:t>
      </w:r>
      <w:r w:rsidRPr="00EA3F5E">
        <w:rPr>
          <w:rFonts w:ascii="Book Antiqua" w:eastAsia="宋体" w:hAnsi="Book Antiqua" w:cs="Book Antiqua"/>
          <w:color w:val="000000"/>
          <w:lang w:eastAsia="zh-CN"/>
        </w:rPr>
        <w:t>CCA</w:t>
      </w:r>
      <w:r w:rsidRPr="00EA3F5E">
        <w:rPr>
          <w:rFonts w:ascii="Book Antiqua" w:eastAsia="Book Antiqua" w:hAnsi="Book Antiqua" w:cs="Book Antiqua"/>
          <w:color w:val="000000"/>
        </w:rPr>
        <w:t xml:space="preserve"> the detection of circulating tumor cell, circulating free</w:t>
      </w:r>
      <w:r w:rsidRPr="00EA3F5E">
        <w:rPr>
          <w:rFonts w:ascii="Book Antiqua" w:eastAsia="宋体" w:hAnsi="Book Antiqua" w:cs="Book Antiqua"/>
          <w:color w:val="000000"/>
          <w:lang w:eastAsia="zh-CN"/>
        </w:rPr>
        <w:t xml:space="preserve"> </w:t>
      </w:r>
      <w:r w:rsidRPr="00EA3F5E">
        <w:rPr>
          <w:rFonts w:ascii="Book Antiqua" w:eastAsia="Book Antiqua" w:hAnsi="Book Antiqua" w:cs="Book Antiqua"/>
          <w:color w:val="000000"/>
        </w:rPr>
        <w:t xml:space="preserve">DNA and extracellular vesicles has tremendous potential applications in the early diagnosis of </w:t>
      </w:r>
      <w:r w:rsidRPr="00EA3F5E">
        <w:rPr>
          <w:rFonts w:ascii="Book Antiqua" w:eastAsia="宋体" w:hAnsi="Book Antiqua" w:cs="Book Antiqua"/>
          <w:color w:val="000000"/>
          <w:lang w:eastAsia="zh-CN"/>
        </w:rPr>
        <w:t>CCA</w:t>
      </w:r>
      <w:r w:rsidRPr="00EA3F5E">
        <w:rPr>
          <w:rFonts w:ascii="Book Antiqua" w:eastAsia="Book Antiqua" w:hAnsi="Book Antiqua" w:cs="Book Antiqua"/>
          <w:color w:val="000000"/>
        </w:rPr>
        <w:t xml:space="preserve"> and monitoring of treatment response</w:t>
      </w:r>
      <w:r w:rsidRPr="00EA3F5E">
        <w:rPr>
          <w:rFonts w:ascii="Book Antiqua" w:eastAsia="Book Antiqua" w:hAnsi="Book Antiqua" w:cs="Book Antiqua"/>
          <w:color w:val="000000"/>
          <w:vertAlign w:val="superscript"/>
        </w:rPr>
        <w:t>[4,5]</w:t>
      </w:r>
      <w:r w:rsidRPr="00EA3F5E">
        <w:rPr>
          <w:rFonts w:ascii="Book Antiqua" w:eastAsia="Book Antiqua" w:hAnsi="Book Antiqua" w:cs="Book Antiqua"/>
          <w:color w:val="000000"/>
        </w:rPr>
        <w:t>. But now due to the limitations of diagnostic tools, even after radical surgery, the 5-year overall survival rate is less than 40%, and the median overall survival (mOS) time is approximately 28 mo</w:t>
      </w:r>
      <w:r w:rsidRPr="00EA3F5E">
        <w:rPr>
          <w:rFonts w:ascii="Book Antiqua" w:eastAsia="Book Antiqua" w:hAnsi="Book Antiqua" w:cs="Book Antiqua"/>
          <w:color w:val="000000"/>
          <w:vertAlign w:val="superscript"/>
        </w:rPr>
        <w:t>[6]</w:t>
      </w:r>
      <w:r w:rsidRPr="00EA3F5E">
        <w:rPr>
          <w:rFonts w:ascii="Book Antiqua" w:eastAsia="Book Antiqua" w:hAnsi="Book Antiqua" w:cs="Book Antiqua"/>
          <w:color w:val="000000"/>
        </w:rPr>
        <w:t>. Also, local treatments include transarterial radioembolization, hepatic artery infusion, transarterial chemoembolization and radiofrequency ablation, which have been shown to improve the survival of ICC</w:t>
      </w:r>
      <w:r w:rsidRPr="00EA3F5E">
        <w:rPr>
          <w:rFonts w:ascii="Book Antiqua" w:eastAsia="Book Antiqua" w:hAnsi="Book Antiqua" w:cs="Book Antiqua"/>
          <w:color w:val="000000"/>
          <w:vertAlign w:val="superscript"/>
        </w:rPr>
        <w:t>[7,8]</w:t>
      </w:r>
      <w:r w:rsidRPr="00EA3F5E">
        <w:rPr>
          <w:rFonts w:ascii="Book Antiqua" w:eastAsia="Book Antiqua" w:hAnsi="Book Antiqua" w:cs="Book Antiqua"/>
          <w:color w:val="000000"/>
        </w:rPr>
        <w:t>. </w:t>
      </w:r>
    </w:p>
    <w:p w14:paraId="2F43B532" w14:textId="77777777" w:rsidR="00AB5C59" w:rsidRPr="00EA3F5E" w:rsidRDefault="00FD4637">
      <w:pPr>
        <w:spacing w:line="360" w:lineRule="auto"/>
        <w:ind w:firstLineChars="200" w:firstLine="480"/>
        <w:jc w:val="both"/>
        <w:rPr>
          <w:rFonts w:ascii="Book Antiqua" w:hAnsi="Book Antiqua" w:cs="Book Antiqua"/>
        </w:rPr>
      </w:pPr>
      <w:r w:rsidRPr="00EA3F5E">
        <w:rPr>
          <w:rFonts w:ascii="Book Antiqua" w:eastAsia="Book Antiqua" w:hAnsi="Book Antiqua" w:cs="Book Antiqua"/>
          <w:color w:val="000000" w:themeColor="text1"/>
        </w:rPr>
        <w:t xml:space="preserve">So far, chemotherapy is the primary treatment for patients with locally advanced or metastatic iCCA. A phase III clinical trial (ABC-02) reported that the mOS time and median progression-free survival time of patients with advanced CCA treated </w:t>
      </w:r>
      <w:r w:rsidRPr="00EA3F5E">
        <w:rPr>
          <w:rFonts w:ascii="Book Antiqua" w:eastAsia="Book Antiqua" w:hAnsi="Book Antiqua" w:cs="Book Antiqua"/>
          <w:color w:val="000000"/>
        </w:rPr>
        <w:t xml:space="preserve">with the </w:t>
      </w:r>
      <w:bookmarkStart w:id="9" w:name="OLE_LINK2"/>
      <w:r w:rsidRPr="00EA3F5E">
        <w:rPr>
          <w:rFonts w:ascii="Book Antiqua" w:eastAsia="Book Antiqua" w:hAnsi="Book Antiqua" w:cs="Book Antiqua"/>
          <w:color w:val="000000"/>
        </w:rPr>
        <w:t>gemcitabine + cisplatin</w:t>
      </w:r>
      <w:bookmarkEnd w:id="9"/>
      <w:r w:rsidRPr="00EA3F5E">
        <w:rPr>
          <w:rFonts w:ascii="Book Antiqua" w:eastAsia="Book Antiqua" w:hAnsi="Book Antiqua" w:cs="Book Antiqua"/>
          <w:color w:val="000000"/>
        </w:rPr>
        <w:t xml:space="preserve"> (GemCis) regimen were significantly longer than those treated with gemcitabine monotherapy (mOS time: 11.7 mo </w:t>
      </w:r>
      <w:r w:rsidRPr="00EA3F5E">
        <w:rPr>
          <w:rFonts w:ascii="Book Antiqua" w:eastAsia="Book Antiqua" w:hAnsi="Book Antiqua" w:cs="Book Antiqua"/>
          <w:i/>
          <w:iCs/>
          <w:color w:val="000000"/>
        </w:rPr>
        <w:t>vs</w:t>
      </w:r>
      <w:r w:rsidRPr="00EA3F5E">
        <w:rPr>
          <w:rFonts w:ascii="Book Antiqua" w:eastAsia="Book Antiqua" w:hAnsi="Book Antiqua" w:cs="Book Antiqua"/>
          <w:color w:val="000000"/>
        </w:rPr>
        <w:t xml:space="preserve"> 8.1 mo; hazard ratio, 0.64; 95% confidence interval, 0.52–0.80; </w:t>
      </w:r>
      <w:r w:rsidRPr="00EA3F5E">
        <w:rPr>
          <w:rFonts w:ascii="Book Antiqua" w:eastAsia="Book Antiqua" w:hAnsi="Book Antiqua" w:cs="Book Antiqua"/>
          <w:i/>
          <w:iCs/>
          <w:color w:val="000000"/>
        </w:rPr>
        <w:t>P</w:t>
      </w:r>
      <w:r w:rsidRPr="00EA3F5E">
        <w:rPr>
          <w:rFonts w:ascii="Book Antiqua" w:eastAsia="宋体" w:hAnsi="Book Antiqua" w:cs="Book Antiqua"/>
          <w:i/>
          <w:iCs/>
          <w:color w:val="000000"/>
          <w:lang w:eastAsia="zh-CN"/>
        </w:rPr>
        <w:t xml:space="preserve"> </w:t>
      </w:r>
      <w:r w:rsidRPr="00EA3F5E">
        <w:rPr>
          <w:rFonts w:ascii="Book Antiqua" w:eastAsia="Book Antiqua" w:hAnsi="Book Antiqua" w:cs="Book Antiqua"/>
          <w:color w:val="000000"/>
        </w:rPr>
        <w:t>&lt;</w:t>
      </w:r>
      <w:r w:rsidRPr="00EA3F5E">
        <w:rPr>
          <w:rFonts w:ascii="Book Antiqua" w:eastAsia="宋体" w:hAnsi="Book Antiqua" w:cs="Book Antiqua"/>
          <w:color w:val="000000"/>
          <w:lang w:eastAsia="zh-CN"/>
        </w:rPr>
        <w:t xml:space="preserve"> </w:t>
      </w:r>
      <w:r w:rsidRPr="00EA3F5E">
        <w:rPr>
          <w:rFonts w:ascii="Book Antiqua" w:eastAsia="Book Antiqua" w:hAnsi="Book Antiqua" w:cs="Book Antiqua"/>
          <w:color w:val="000000"/>
        </w:rPr>
        <w:t>0.001)</w:t>
      </w:r>
      <w:r w:rsidRPr="00EA3F5E">
        <w:rPr>
          <w:rFonts w:ascii="Book Antiqua" w:eastAsia="Book Antiqua" w:hAnsi="Book Antiqua" w:cs="Book Antiqua"/>
          <w:color w:val="000000"/>
          <w:vertAlign w:val="superscript"/>
        </w:rPr>
        <w:t>[9]</w:t>
      </w:r>
      <w:r w:rsidRPr="00EA3F5E">
        <w:rPr>
          <w:rFonts w:ascii="Book Antiqua" w:eastAsia="Book Antiqua" w:hAnsi="Book Antiqua" w:cs="Book Antiqua"/>
          <w:color w:val="000000"/>
        </w:rPr>
        <w:t>. Because of the ABC-02 results, the GemCis regimen was promoted as the standard first-line chemotherapy for advanced CCA. In addition, clinical trials reported the efficacy of albumin paclitaxel combined with gemcitabine as the first-line treatment</w:t>
      </w:r>
      <w:r w:rsidRPr="00EA3F5E">
        <w:rPr>
          <w:rFonts w:ascii="Book Antiqua" w:eastAsia="Book Antiqua" w:hAnsi="Book Antiqua" w:cs="Book Antiqua"/>
          <w:color w:val="000000"/>
          <w:vertAlign w:val="superscript"/>
        </w:rPr>
        <w:t>[10,11]</w:t>
      </w:r>
      <w:r w:rsidRPr="00EA3F5E">
        <w:rPr>
          <w:rFonts w:ascii="Book Antiqua" w:eastAsia="Book Antiqua" w:hAnsi="Book Antiqua" w:cs="Book Antiqua"/>
          <w:color w:val="000000"/>
        </w:rPr>
        <w:t>. I</w:t>
      </w:r>
      <w:r w:rsidRPr="00EA3F5E">
        <w:rPr>
          <w:rFonts w:ascii="Book Antiqua" w:eastAsia="Book Antiqua" w:hAnsi="Book Antiqua" w:cs="Book Antiqua"/>
          <w:color w:val="000000" w:themeColor="text1"/>
        </w:rPr>
        <w:t>mmunotherapy targeting programmed death 1 (PD-1), programmed cell death ligand 1</w:t>
      </w:r>
      <w:r w:rsidRPr="00EA3F5E">
        <w:rPr>
          <w:rFonts w:ascii="Book Antiqua" w:hAnsi="Book Antiqua" w:cs="Book Antiqua"/>
          <w:color w:val="000000" w:themeColor="text1"/>
          <w:lang w:eastAsia="zh-CN"/>
        </w:rPr>
        <w:t xml:space="preserve"> (</w:t>
      </w:r>
      <w:r w:rsidRPr="00EA3F5E">
        <w:rPr>
          <w:rFonts w:ascii="Book Antiqua" w:eastAsia="Book Antiqua" w:hAnsi="Book Antiqua" w:cs="Book Antiqua"/>
          <w:color w:val="000000" w:themeColor="text1"/>
        </w:rPr>
        <w:t>PD-L1</w:t>
      </w:r>
      <w:r w:rsidRPr="00EA3F5E">
        <w:rPr>
          <w:rFonts w:ascii="Book Antiqua" w:hAnsi="Book Antiqua" w:cs="Book Antiqua"/>
          <w:color w:val="000000" w:themeColor="text1"/>
          <w:lang w:eastAsia="zh-CN"/>
        </w:rPr>
        <w:t>)</w:t>
      </w:r>
      <w:r w:rsidRPr="00EA3F5E">
        <w:rPr>
          <w:rFonts w:ascii="Book Antiqua" w:eastAsia="Book Antiqua" w:hAnsi="Book Antiqua" w:cs="Book Antiqua"/>
          <w:color w:val="000000" w:themeColor="text1"/>
        </w:rPr>
        <w:t>, and cytotoxic T-lymphocyte antigen-4 was recently approved for the treatment of different types of cancers, especially those with high PD-L1 expression, high tumor mutation load (TMB), or microsatellite instability (MSI)</w:t>
      </w:r>
      <w:r w:rsidRPr="00EA3F5E">
        <w:rPr>
          <w:rFonts w:ascii="Book Antiqua" w:eastAsia="Book Antiqua" w:hAnsi="Book Antiqua" w:cs="Book Antiqua"/>
          <w:color w:val="000000" w:themeColor="text1"/>
          <w:vertAlign w:val="superscript"/>
        </w:rPr>
        <w:t>[12-14]</w:t>
      </w:r>
      <w:r w:rsidRPr="00EA3F5E">
        <w:rPr>
          <w:rFonts w:ascii="Book Antiqua" w:eastAsia="Book Antiqua" w:hAnsi="Book Antiqua" w:cs="Book Antiqua"/>
          <w:color w:val="000000" w:themeColor="text1"/>
        </w:rPr>
        <w:t>. TOPAZ-1 is the first phase III clinical study using immunotherapy in combination with chemotherapy as the fi</w:t>
      </w:r>
      <w:r w:rsidRPr="00EA3F5E">
        <w:rPr>
          <w:rFonts w:ascii="Book Antiqua" w:eastAsia="Book Antiqua" w:hAnsi="Book Antiqua" w:cs="Book Antiqua"/>
          <w:color w:val="000000"/>
        </w:rPr>
        <w:t>rst-line treatment of CCA, with a significant improvement in mOS resulting in a breakthrough in 1-year survival in the chemo-immunotherapy group</w:t>
      </w:r>
      <w:r w:rsidRPr="00EA3F5E">
        <w:rPr>
          <w:rFonts w:ascii="Book Antiqua" w:eastAsia="Book Antiqua" w:hAnsi="Book Antiqua" w:cs="Book Antiqua"/>
          <w:color w:val="000000"/>
          <w:vertAlign w:val="superscript"/>
        </w:rPr>
        <w:t>[15]</w:t>
      </w:r>
      <w:r w:rsidRPr="00EA3F5E">
        <w:rPr>
          <w:rFonts w:ascii="Book Antiqua" w:eastAsia="Book Antiqua" w:hAnsi="Book Antiqua" w:cs="Book Antiqua"/>
          <w:color w:val="000000"/>
        </w:rPr>
        <w:t xml:space="preserve">. Considering the response of </w:t>
      </w:r>
      <w:r w:rsidRPr="00EA3F5E">
        <w:rPr>
          <w:rFonts w:ascii="Book Antiqua" w:eastAsia="Book Antiqua" w:hAnsi="Book Antiqua" w:cs="Book Antiqua"/>
          <w:color w:val="000000" w:themeColor="text1"/>
        </w:rPr>
        <w:t>BTC</w:t>
      </w:r>
      <w:r w:rsidRPr="00EA3F5E">
        <w:rPr>
          <w:rFonts w:ascii="Book Antiqua" w:eastAsia="Book Antiqua" w:hAnsi="Book Antiqua" w:cs="Book Antiqua"/>
          <w:color w:val="000000"/>
        </w:rPr>
        <w:t xml:space="preserve"> to immunotherapy, reliable biomarkers of response to PD-1/PD-L1 inhibitor in </w:t>
      </w:r>
      <w:r w:rsidRPr="00EA3F5E">
        <w:rPr>
          <w:rFonts w:ascii="Book Antiqua" w:eastAsia="Book Antiqua" w:hAnsi="Book Antiqua" w:cs="Book Antiqua"/>
          <w:color w:val="000000" w:themeColor="text1"/>
        </w:rPr>
        <w:t xml:space="preserve">BTC </w:t>
      </w:r>
      <w:r w:rsidRPr="00EA3F5E">
        <w:rPr>
          <w:rFonts w:ascii="Book Antiqua" w:eastAsia="Book Antiqua" w:hAnsi="Book Antiqua" w:cs="Book Antiqua"/>
          <w:color w:val="000000"/>
        </w:rPr>
        <w:t xml:space="preserve">are still not identified and developed, clarifying the role of PD-L1 expression, MSI, </w:t>
      </w:r>
      <w:bookmarkStart w:id="10" w:name="OLE_LINK7"/>
      <w:r w:rsidRPr="00EA3F5E">
        <w:rPr>
          <w:rFonts w:ascii="Book Antiqua" w:eastAsia="Book Antiqua" w:hAnsi="Book Antiqua" w:cs="Book Antiqua"/>
          <w:color w:val="000000"/>
        </w:rPr>
        <w:t>mismatch repair</w:t>
      </w:r>
      <w:bookmarkEnd w:id="10"/>
      <w:r w:rsidRPr="00EA3F5E">
        <w:rPr>
          <w:rFonts w:ascii="Book Antiqua" w:eastAsia="Book Antiqua" w:hAnsi="Book Antiqua" w:cs="Book Antiqua"/>
          <w:color w:val="000000"/>
        </w:rPr>
        <w:t>, TMB and other emerging predictors</w:t>
      </w:r>
      <w:r w:rsidRPr="00EA3F5E">
        <w:rPr>
          <w:rFonts w:ascii="Book Antiqua" w:eastAsia="Book Antiqua" w:hAnsi="Book Antiqua" w:cs="Book Antiqua"/>
          <w:color w:val="000000"/>
          <w:vertAlign w:val="superscript"/>
        </w:rPr>
        <w:t>[16]</w:t>
      </w:r>
      <w:r w:rsidRPr="00EA3F5E">
        <w:rPr>
          <w:rFonts w:ascii="Book Antiqua" w:eastAsia="Book Antiqua" w:hAnsi="Book Antiqua" w:cs="Book Antiqua"/>
          <w:color w:val="000000"/>
        </w:rPr>
        <w:t xml:space="preserve">. However, after progression on </w:t>
      </w:r>
      <w:r w:rsidRPr="00EA3F5E">
        <w:rPr>
          <w:rFonts w:ascii="Book Antiqua" w:eastAsia="Book Antiqua" w:hAnsi="Book Antiqua" w:cs="Book Antiqua"/>
          <w:color w:val="000000"/>
        </w:rPr>
        <w:lastRenderedPageBreak/>
        <w:t>first-line therapy quality evidence of second-line tr</w:t>
      </w:r>
      <w:r w:rsidRPr="00EA3F5E">
        <w:rPr>
          <w:rFonts w:ascii="Book Antiqua" w:eastAsia="Book Antiqua" w:hAnsi="Book Antiqua" w:cs="Book Antiqua"/>
          <w:color w:val="000000" w:themeColor="text1"/>
        </w:rPr>
        <w:t xml:space="preserve">eatment is lacking, preventing standardized follow-up treatment after disease progression. The phase III clinical trial ABC-06 study showed that, as second-line treatment, the FOLFOX or Nal-IRI + 5-FU/LV regimen prolonged the survival of patients after the GemCis compared to </w:t>
      </w:r>
      <w:r w:rsidRPr="00EA3F5E">
        <w:rPr>
          <w:rFonts w:ascii="Book Antiqua" w:eastAsia="Book Antiqua" w:hAnsi="Book Antiqua" w:cs="Book Antiqua"/>
          <w:color w:val="000000"/>
        </w:rPr>
        <w:t>palliative treatment (mOS time, 6.2–8.6 m</w:t>
      </w:r>
      <w:r w:rsidRPr="00EA3F5E">
        <w:rPr>
          <w:rFonts w:ascii="Book Antiqua" w:eastAsia="宋体" w:hAnsi="Book Antiqua" w:cs="Book Antiqua"/>
          <w:color w:val="000000"/>
          <w:lang w:eastAsia="zh-CN"/>
        </w:rPr>
        <w:t>o</w:t>
      </w:r>
      <w:r w:rsidRPr="00EA3F5E">
        <w:rPr>
          <w:rFonts w:ascii="Book Antiqua" w:eastAsia="Book Antiqua" w:hAnsi="Book Antiqua" w:cs="Book Antiqua"/>
          <w:color w:val="000000"/>
        </w:rPr>
        <w:t>)</w:t>
      </w:r>
      <w:r w:rsidRPr="00EA3F5E">
        <w:rPr>
          <w:rFonts w:ascii="Book Antiqua" w:eastAsia="Book Antiqua" w:hAnsi="Book Antiqua" w:cs="Book Antiqua"/>
          <w:color w:val="000000"/>
          <w:vertAlign w:val="superscript"/>
        </w:rPr>
        <w:t>[17,18]</w:t>
      </w:r>
      <w:r w:rsidRPr="00EA3F5E">
        <w:rPr>
          <w:rFonts w:ascii="Book Antiqua" w:eastAsia="Book Antiqua" w:hAnsi="Book Antiqua" w:cs="Book Antiqua"/>
          <w:color w:val="000000"/>
        </w:rPr>
        <w:t>, but the survival benefit was very limited.</w:t>
      </w:r>
    </w:p>
    <w:p w14:paraId="538B0047" w14:textId="77777777" w:rsidR="00AB5C59" w:rsidRPr="00EA3F5E" w:rsidRDefault="00FD4637">
      <w:pPr>
        <w:spacing w:line="360" w:lineRule="auto"/>
        <w:ind w:firstLineChars="200" w:firstLine="480"/>
        <w:jc w:val="both"/>
        <w:rPr>
          <w:rFonts w:ascii="Book Antiqua" w:hAnsi="Book Antiqua" w:cs="Book Antiqua"/>
        </w:rPr>
      </w:pPr>
      <w:r w:rsidRPr="00EA3F5E">
        <w:rPr>
          <w:rFonts w:ascii="Book Antiqua" w:eastAsia="Book Antiqua" w:hAnsi="Book Antiqua" w:cs="Book Antiqua"/>
          <w:color w:val="000000"/>
        </w:rPr>
        <w:t>Potentially actionable molecular alterations are identified in about 50% of iCCA cases</w:t>
      </w:r>
      <w:r w:rsidRPr="00EA3F5E">
        <w:rPr>
          <w:rFonts w:ascii="Book Antiqua" w:eastAsia="Book Antiqua" w:hAnsi="Book Antiqua" w:cs="Book Antiqua"/>
          <w:color w:val="000000"/>
          <w:vertAlign w:val="superscript"/>
        </w:rPr>
        <w:t>[19,20]</w:t>
      </w:r>
      <w:r w:rsidRPr="00EA3F5E">
        <w:rPr>
          <w:rFonts w:ascii="Book Antiqua" w:eastAsia="Book Antiqua" w:hAnsi="Book Antiqua" w:cs="Book Antiqua"/>
          <w:color w:val="000000"/>
        </w:rPr>
        <w:t xml:space="preserve">. Molecular profiling should be considered for all biliary tract cancer patients who may benefit from the discovery of a potentially actionable mutation, especially </w:t>
      </w:r>
      <w:r w:rsidRPr="00EA3F5E">
        <w:rPr>
          <w:rFonts w:ascii="Book Antiqua" w:eastAsia="Book Antiqua" w:hAnsi="Book Antiqua" w:cs="Book Antiqua"/>
          <w:i/>
          <w:iCs/>
          <w:color w:val="000000"/>
        </w:rPr>
        <w:t>FGFR2</w:t>
      </w:r>
      <w:r w:rsidRPr="00EA3F5E">
        <w:rPr>
          <w:rFonts w:ascii="Book Antiqua" w:eastAsia="Book Antiqua" w:hAnsi="Book Antiqua" w:cs="Book Antiqua"/>
          <w:color w:val="000000"/>
        </w:rPr>
        <w:t xml:space="preserve"> fusions or rearrangements and </w:t>
      </w:r>
      <w:r w:rsidRPr="00EA3F5E">
        <w:rPr>
          <w:rFonts w:ascii="Book Antiqua" w:eastAsia="Book Antiqua" w:hAnsi="Book Antiqua" w:cs="Book Antiqua"/>
          <w:i/>
          <w:iCs/>
          <w:color w:val="000000"/>
        </w:rPr>
        <w:t>IDH1</w:t>
      </w:r>
      <w:r w:rsidRPr="00EA3F5E">
        <w:rPr>
          <w:rFonts w:ascii="Book Antiqua" w:eastAsia="Book Antiqua" w:hAnsi="Book Antiqua" w:cs="Book Antiqua"/>
          <w:color w:val="000000"/>
        </w:rPr>
        <w:t> mutations</w:t>
      </w:r>
      <w:r w:rsidRPr="00EA3F5E">
        <w:rPr>
          <w:rFonts w:ascii="Book Antiqua" w:eastAsia="Book Antiqua" w:hAnsi="Book Antiqua" w:cs="Book Antiqua"/>
          <w:color w:val="000000"/>
          <w:vertAlign w:val="superscript"/>
        </w:rPr>
        <w:t>[20,21]</w:t>
      </w:r>
      <w:r w:rsidRPr="00EA3F5E">
        <w:rPr>
          <w:rFonts w:ascii="Book Antiqua" w:eastAsia="Book Antiqua" w:hAnsi="Book Antiqua" w:cs="Book Antiqua"/>
          <w:color w:val="000000"/>
        </w:rPr>
        <w:t>. However, the benefit of using immunotherapy combined with chemotherapy as second-line therapy for these biomarker-negative iCCA patients is unclear, and the choice of chemotherapy regimen has a variable impact on the efficacy of immunotherapy. Here we report a case of metastatic iCCA treated with anti-PD1 monoclonal antibody combined with paclitaxel after first-line GemCis chemotherapy failure. After six treatment cycles, the best effect achieved was clinical complete remission with mild adverse reactions.</w:t>
      </w:r>
    </w:p>
    <w:p w14:paraId="169677B7" w14:textId="77777777" w:rsidR="00AB5C59" w:rsidRPr="00EA3F5E" w:rsidRDefault="00AB5C59">
      <w:pPr>
        <w:spacing w:line="360" w:lineRule="auto"/>
        <w:jc w:val="both"/>
        <w:rPr>
          <w:rFonts w:ascii="Book Antiqua" w:hAnsi="Book Antiqua" w:cs="Book Antiqua"/>
        </w:rPr>
      </w:pPr>
    </w:p>
    <w:p w14:paraId="257B6BBE"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aps/>
          <w:color w:val="000000"/>
          <w:u w:val="single"/>
        </w:rPr>
        <w:t>CASE PRESENTATION</w:t>
      </w:r>
    </w:p>
    <w:p w14:paraId="0AE11DB6"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i/>
          <w:color w:val="000000"/>
        </w:rPr>
        <w:t>Chief complaints</w:t>
      </w:r>
    </w:p>
    <w:p w14:paraId="793D7FBE"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 xml:space="preserve">An elevated </w:t>
      </w:r>
      <w:bookmarkStart w:id="11" w:name="OLE_LINK8"/>
      <w:r w:rsidRPr="00EA3F5E">
        <w:rPr>
          <w:rFonts w:ascii="Book Antiqua" w:eastAsia="宋体" w:hAnsi="Book Antiqua" w:cs="Book Antiqua"/>
          <w:color w:val="000000"/>
          <w:lang w:eastAsia="zh-CN"/>
        </w:rPr>
        <w:t>c</w:t>
      </w:r>
      <w:r w:rsidRPr="00EA3F5E">
        <w:rPr>
          <w:rFonts w:ascii="Book Antiqua" w:eastAsia="Book Antiqua" w:hAnsi="Book Antiqua" w:cs="Book Antiqua"/>
          <w:color w:val="000000"/>
        </w:rPr>
        <w:t>arbohydrate antigen 199</w:t>
      </w:r>
      <w:bookmarkEnd w:id="11"/>
      <w:r w:rsidRPr="00EA3F5E">
        <w:rPr>
          <w:rFonts w:ascii="Book Antiqua" w:eastAsia="宋体" w:hAnsi="Book Antiqua" w:cs="Book Antiqua"/>
          <w:color w:val="000000"/>
          <w:lang w:eastAsia="zh-CN"/>
        </w:rPr>
        <w:t xml:space="preserve"> (CA199)</w:t>
      </w:r>
      <w:r w:rsidRPr="00EA3F5E">
        <w:rPr>
          <w:rFonts w:ascii="Book Antiqua" w:eastAsia="Book Antiqua" w:hAnsi="Book Antiqua" w:cs="Book Antiqua"/>
          <w:color w:val="000000"/>
        </w:rPr>
        <w:t xml:space="preserve"> </w:t>
      </w:r>
      <w:r w:rsidRPr="00EA3F5E">
        <w:rPr>
          <w:rFonts w:ascii="Book Antiqua" w:eastAsia="宋体" w:hAnsi="Book Antiqua" w:cs="Book Antiqua"/>
          <w:color w:val="000000"/>
          <w:lang w:eastAsia="zh-CN"/>
        </w:rPr>
        <w:t>l</w:t>
      </w:r>
      <w:r w:rsidRPr="00EA3F5E">
        <w:rPr>
          <w:rFonts w:ascii="Book Antiqua" w:eastAsia="Book Antiqua" w:hAnsi="Book Antiqua" w:cs="Book Antiqua"/>
          <w:color w:val="000000"/>
        </w:rPr>
        <w:t>evel (579.9 U/mL; reference range, 0–37 U/mL) but no discomfort.</w:t>
      </w:r>
    </w:p>
    <w:p w14:paraId="475A97CE" w14:textId="77777777" w:rsidR="00AB5C59" w:rsidRPr="00EA3F5E" w:rsidRDefault="00AB5C59">
      <w:pPr>
        <w:spacing w:line="360" w:lineRule="auto"/>
        <w:jc w:val="both"/>
        <w:rPr>
          <w:rFonts w:ascii="Book Antiqua" w:hAnsi="Book Antiqua" w:cs="Book Antiqua"/>
        </w:rPr>
      </w:pPr>
    </w:p>
    <w:p w14:paraId="797E965F"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i/>
          <w:color w:val="000000"/>
        </w:rPr>
        <w:t>History of present illness</w:t>
      </w:r>
    </w:p>
    <w:p w14:paraId="085BA0DE" w14:textId="77777777" w:rsidR="00AB5C59" w:rsidRPr="00EA3F5E" w:rsidRDefault="00FD4637">
      <w:pPr>
        <w:spacing w:line="360" w:lineRule="auto"/>
        <w:jc w:val="both"/>
        <w:rPr>
          <w:rFonts w:ascii="Book Antiqua" w:hAnsi="Book Antiqua" w:cs="Book Antiqua"/>
          <w:color w:val="000000" w:themeColor="text1"/>
        </w:rPr>
      </w:pPr>
      <w:r w:rsidRPr="00EA3F5E">
        <w:rPr>
          <w:rFonts w:ascii="Book Antiqua" w:eastAsia="Book Antiqua" w:hAnsi="Book Antiqua" w:cs="Book Antiqua"/>
          <w:color w:val="000000"/>
        </w:rPr>
        <w:t xml:space="preserve">A 67-year-old man was admitted to the hospital with an elevated </w:t>
      </w:r>
      <w:r w:rsidRPr="00EA3F5E">
        <w:rPr>
          <w:rFonts w:ascii="Book Antiqua" w:eastAsia="宋体" w:hAnsi="Book Antiqua" w:cs="Book Antiqua"/>
          <w:color w:val="000000"/>
          <w:lang w:eastAsia="zh-CN"/>
        </w:rPr>
        <w:t>CA199</w:t>
      </w:r>
      <w:r w:rsidRPr="00EA3F5E">
        <w:rPr>
          <w:rFonts w:ascii="Book Antiqua" w:eastAsia="Book Antiqua" w:hAnsi="Book Antiqua" w:cs="Book Antiqua"/>
          <w:color w:val="000000"/>
        </w:rPr>
        <w:t xml:space="preserve"> </w:t>
      </w:r>
      <w:bookmarkStart w:id="12" w:name="OLE_LINK3"/>
      <w:r w:rsidRPr="00EA3F5E">
        <w:rPr>
          <w:rFonts w:ascii="Book Antiqua" w:eastAsia="宋体" w:hAnsi="Book Antiqua" w:cs="Book Antiqua"/>
          <w:color w:val="000000"/>
          <w:lang w:eastAsia="zh-CN"/>
        </w:rPr>
        <w:t>l</w:t>
      </w:r>
      <w:r w:rsidRPr="00EA3F5E">
        <w:rPr>
          <w:rFonts w:ascii="Book Antiqua" w:eastAsia="Book Antiqua" w:hAnsi="Book Antiqua" w:cs="Book Antiqua"/>
          <w:color w:val="000000"/>
        </w:rPr>
        <w:t>evel</w:t>
      </w:r>
      <w:bookmarkEnd w:id="12"/>
      <w:r w:rsidRPr="00EA3F5E">
        <w:rPr>
          <w:rFonts w:ascii="Book Antiqua" w:eastAsia="Book Antiqua" w:hAnsi="Book Antiqua" w:cs="Book Antiqua"/>
          <w:color w:val="000000"/>
        </w:rPr>
        <w:t xml:space="preserve"> (579.9 U/mL; reference range, 0–37 U/mL) but no discomfort. Enhanced computed tomography (CT) of the abdomen revealed a mass with a maximum diameter of 5.7 cm </w:t>
      </w:r>
      <w:r w:rsidRPr="00EA3F5E">
        <w:rPr>
          <w:rFonts w:ascii="Book Antiqua" w:eastAsia="Book Antiqua" w:hAnsi="Book Antiqua" w:cs="Book Antiqua"/>
          <w:color w:val="000000" w:themeColor="text1"/>
        </w:rPr>
        <w:t>in S8 of the liver, and pulmonary CT showed multiple small nodules in both lungs (Figure 1A</w:t>
      </w:r>
      <w:r w:rsidRPr="00EA3F5E">
        <w:rPr>
          <w:rFonts w:ascii="Book Antiqua" w:hAnsi="Book Antiqua" w:cs="Book Antiqua"/>
          <w:color w:val="000000" w:themeColor="text1"/>
          <w:lang w:eastAsia="zh-CN"/>
        </w:rPr>
        <w:t xml:space="preserve"> and </w:t>
      </w:r>
      <w:r w:rsidRPr="00EA3F5E">
        <w:rPr>
          <w:rFonts w:ascii="Book Antiqua" w:hAnsi="Book Antiqua" w:cs="Book Antiqua" w:hint="eastAsia"/>
          <w:color w:val="000000" w:themeColor="text1"/>
          <w:lang w:eastAsia="zh-CN"/>
        </w:rPr>
        <w:t>1</w:t>
      </w:r>
      <w:r w:rsidRPr="00EA3F5E">
        <w:rPr>
          <w:rFonts w:ascii="Book Antiqua" w:eastAsia="Book Antiqua" w:hAnsi="Book Antiqua" w:cs="Book Antiqua"/>
          <w:color w:val="000000" w:themeColor="text1"/>
        </w:rPr>
        <w:t>B).</w:t>
      </w:r>
    </w:p>
    <w:p w14:paraId="3E371CEC" w14:textId="77777777" w:rsidR="00AB5C59" w:rsidRPr="00EA3F5E" w:rsidRDefault="00AB5C59">
      <w:pPr>
        <w:spacing w:line="360" w:lineRule="auto"/>
        <w:jc w:val="both"/>
        <w:rPr>
          <w:rFonts w:ascii="Book Antiqua" w:hAnsi="Book Antiqua" w:cs="Book Antiqua"/>
        </w:rPr>
      </w:pPr>
    </w:p>
    <w:p w14:paraId="635D4D05"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i/>
          <w:color w:val="000000"/>
        </w:rPr>
        <w:lastRenderedPageBreak/>
        <w:t>History of past illness</w:t>
      </w:r>
    </w:p>
    <w:p w14:paraId="0D609701"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No history of biliary stones, no history of hepatitis, no history of hepatic schistosomiasis.</w:t>
      </w:r>
    </w:p>
    <w:p w14:paraId="4D8DC134" w14:textId="77777777" w:rsidR="00AB5C59" w:rsidRPr="00EA3F5E" w:rsidRDefault="00AB5C59">
      <w:pPr>
        <w:spacing w:line="360" w:lineRule="auto"/>
        <w:jc w:val="both"/>
        <w:rPr>
          <w:rFonts w:ascii="Book Antiqua" w:hAnsi="Book Antiqua" w:cs="Book Antiqua"/>
        </w:rPr>
      </w:pPr>
    </w:p>
    <w:p w14:paraId="5239B870"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i/>
          <w:color w:val="000000"/>
        </w:rPr>
        <w:t>Personal and family history</w:t>
      </w:r>
    </w:p>
    <w:p w14:paraId="0B6584A5"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Denied smoking, drinking and history of epidemic disease. No family history of tumors.</w:t>
      </w:r>
    </w:p>
    <w:p w14:paraId="509E6D41" w14:textId="77777777" w:rsidR="00AB5C59" w:rsidRPr="00EA3F5E" w:rsidRDefault="00AB5C59">
      <w:pPr>
        <w:spacing w:line="360" w:lineRule="auto"/>
        <w:jc w:val="both"/>
        <w:rPr>
          <w:rFonts w:ascii="Book Antiqua" w:hAnsi="Book Antiqua" w:cs="Book Antiqua"/>
        </w:rPr>
      </w:pPr>
    </w:p>
    <w:p w14:paraId="68D2431B"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i/>
          <w:color w:val="000000"/>
        </w:rPr>
        <w:t>Physical examination</w:t>
      </w:r>
    </w:p>
    <w:p w14:paraId="6565639C"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The abdomen was soft, without pain, and no obvious masses were palpated in the abdomen.</w:t>
      </w:r>
    </w:p>
    <w:p w14:paraId="7DAB3AB9" w14:textId="77777777" w:rsidR="00AB5C59" w:rsidRPr="00EA3F5E" w:rsidRDefault="00AB5C59">
      <w:pPr>
        <w:spacing w:line="360" w:lineRule="auto"/>
        <w:jc w:val="both"/>
        <w:rPr>
          <w:rFonts w:ascii="Book Antiqua" w:hAnsi="Book Antiqua" w:cs="Book Antiqua"/>
        </w:rPr>
      </w:pPr>
    </w:p>
    <w:p w14:paraId="2CF8D05B"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i/>
          <w:color w:val="000000"/>
        </w:rPr>
        <w:t>Laboratory examinations</w:t>
      </w:r>
    </w:p>
    <w:p w14:paraId="605E045B" w14:textId="77777777" w:rsidR="00AB5C59" w:rsidRPr="00EA3F5E" w:rsidRDefault="00FD4637">
      <w:pPr>
        <w:spacing w:line="360" w:lineRule="auto"/>
        <w:jc w:val="both"/>
        <w:rPr>
          <w:rFonts w:ascii="Book Antiqua" w:hAnsi="Book Antiqua" w:cs="Book Antiqua"/>
        </w:rPr>
      </w:pPr>
      <w:bookmarkStart w:id="13" w:name="OLE_LINK9"/>
      <w:r w:rsidRPr="00EA3F5E">
        <w:rPr>
          <w:rFonts w:ascii="Book Antiqua" w:eastAsia="宋体" w:hAnsi="Book Antiqua" w:cs="Book Antiqua"/>
          <w:color w:val="000000"/>
          <w:lang w:eastAsia="zh-CN"/>
        </w:rPr>
        <w:t>CA199</w:t>
      </w:r>
      <w:bookmarkEnd w:id="13"/>
      <w:r w:rsidRPr="00EA3F5E">
        <w:rPr>
          <w:rFonts w:ascii="Book Antiqua" w:eastAsia="Book Antiqua" w:hAnsi="Book Antiqua" w:cs="Book Antiqua"/>
          <w:color w:val="000000"/>
        </w:rPr>
        <w:t xml:space="preserve"> </w:t>
      </w:r>
      <w:r w:rsidRPr="00EA3F5E">
        <w:rPr>
          <w:rFonts w:ascii="Book Antiqua" w:eastAsia="宋体" w:hAnsi="Book Antiqua" w:cs="Book Antiqua"/>
          <w:color w:val="000000"/>
          <w:lang w:eastAsia="zh-CN"/>
        </w:rPr>
        <w:t>l</w:t>
      </w:r>
      <w:r w:rsidRPr="00EA3F5E">
        <w:rPr>
          <w:rFonts w:ascii="Book Antiqua" w:eastAsia="Book Antiqua" w:hAnsi="Book Antiqua" w:cs="Book Antiqua"/>
          <w:color w:val="000000"/>
        </w:rPr>
        <w:t>evel (579.9 U/mL; reference range, 0–37 U/mL)</w:t>
      </w:r>
    </w:p>
    <w:p w14:paraId="11D9F3F9" w14:textId="77777777" w:rsidR="00AB5C59" w:rsidRPr="00EA3F5E" w:rsidRDefault="00AB5C59">
      <w:pPr>
        <w:spacing w:line="360" w:lineRule="auto"/>
        <w:jc w:val="both"/>
        <w:rPr>
          <w:rFonts w:ascii="Book Antiqua" w:hAnsi="Book Antiqua" w:cs="Book Antiqua"/>
        </w:rPr>
      </w:pPr>
    </w:p>
    <w:p w14:paraId="717153EC"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i/>
          <w:color w:val="000000"/>
        </w:rPr>
        <w:t>Imaging examinations</w:t>
      </w:r>
    </w:p>
    <w:p w14:paraId="23AD74FB" w14:textId="77777777" w:rsidR="00AB5C59" w:rsidRPr="00EA3F5E" w:rsidRDefault="00FD4637">
      <w:pPr>
        <w:spacing w:line="360" w:lineRule="auto"/>
        <w:jc w:val="both"/>
        <w:rPr>
          <w:rFonts w:ascii="Book Antiqua" w:eastAsia="Book Antiqua" w:hAnsi="Book Antiqua" w:cs="Book Antiqua"/>
          <w:color w:val="000000"/>
        </w:rPr>
      </w:pPr>
      <w:r w:rsidRPr="00EA3F5E">
        <w:rPr>
          <w:rFonts w:ascii="Book Antiqua" w:eastAsia="Book Antiqua" w:hAnsi="Book Antiqua" w:cs="Book Antiqua"/>
          <w:color w:val="000000"/>
        </w:rPr>
        <w:t>Enhanced CT</w:t>
      </w:r>
      <w:r w:rsidRPr="00EA3F5E">
        <w:rPr>
          <w:rFonts w:ascii="Book Antiqua" w:eastAsia="Book Antiqua" w:hAnsi="Book Antiqua" w:cs="Book Antiqua"/>
          <w:color w:val="000000"/>
          <w:lang w:eastAsia="zh-CN"/>
        </w:rPr>
        <w:t xml:space="preserve"> </w:t>
      </w:r>
      <w:r w:rsidRPr="00EA3F5E">
        <w:rPr>
          <w:rFonts w:ascii="Book Antiqua" w:eastAsia="Book Antiqua" w:hAnsi="Book Antiqua" w:cs="Book Antiqua"/>
          <w:color w:val="000000"/>
        </w:rPr>
        <w:t>of the abdomen revealed a mass with a maximum diameter of 5.7 cm in S8 of the liver, and pulmonary CT showed multiple small nodules in both lungs.</w:t>
      </w:r>
    </w:p>
    <w:p w14:paraId="506D788E" w14:textId="77777777" w:rsidR="00AB5C59" w:rsidRPr="00EA3F5E" w:rsidRDefault="00AB5C59">
      <w:pPr>
        <w:spacing w:line="360" w:lineRule="auto"/>
        <w:jc w:val="both"/>
        <w:rPr>
          <w:rFonts w:ascii="Book Antiqua" w:hAnsi="Book Antiqua" w:cs="Book Antiqua"/>
        </w:rPr>
      </w:pPr>
    </w:p>
    <w:p w14:paraId="12B6C258"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aps/>
          <w:color w:val="000000"/>
          <w:u w:val="single"/>
        </w:rPr>
        <w:t>FINAL DIAGNOSIS</w:t>
      </w:r>
    </w:p>
    <w:p w14:paraId="084A6CE2"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Liver mass: i</w:t>
      </w:r>
      <w:r w:rsidRPr="00EA3F5E">
        <w:rPr>
          <w:rFonts w:ascii="Book Antiqua" w:eastAsia="宋体" w:hAnsi="Book Antiqua" w:cs="Book Antiqua"/>
          <w:color w:val="000000"/>
          <w:lang w:eastAsia="zh-CN"/>
        </w:rPr>
        <w:t>CCA</w:t>
      </w:r>
      <w:r w:rsidRPr="00EA3F5E">
        <w:rPr>
          <w:rFonts w:ascii="Book Antiqua" w:eastAsia="Book Antiqua" w:hAnsi="Book Antiqua" w:cs="Book Antiqua"/>
          <w:color w:val="000000"/>
        </w:rPr>
        <w:t xml:space="preserve"> considered.</w:t>
      </w:r>
    </w:p>
    <w:p w14:paraId="2A3FD572" w14:textId="77777777" w:rsidR="00AB5C59" w:rsidRPr="00EA3F5E" w:rsidRDefault="00AB5C59">
      <w:pPr>
        <w:spacing w:line="360" w:lineRule="auto"/>
        <w:jc w:val="both"/>
        <w:rPr>
          <w:rFonts w:ascii="Book Antiqua" w:hAnsi="Book Antiqua" w:cs="Book Antiqua"/>
        </w:rPr>
      </w:pPr>
    </w:p>
    <w:p w14:paraId="6DEC4ADB"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aps/>
          <w:color w:val="000000"/>
          <w:u w:val="single"/>
        </w:rPr>
        <w:t>TREATMENT</w:t>
      </w:r>
    </w:p>
    <w:p w14:paraId="1D00A899"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After evaluation subsequent intrahepatic mass was proposed for resection. During surgery, the tumor was found to be located in segments V and VIII, approximately 6 cm, with multiple metastases in the diaphragm and peritoneum; therefore, radical resection was not suitable, and a peritoneal nodule biopsy was performed. Pathology revealed a moderately differentiated adenocarcinoma. An immunohistochemical examination showed the following: CK7(+), CK19(+), hepatocyte(-), AFP(-), GPC3(-), Arginase-1(-), MUC-1(local+), CDX2(-). The final clinical diagnosis, according to the American Joint Committee on Cancer, was stage IV iCCA (cT4N0M1).</w:t>
      </w:r>
    </w:p>
    <w:p w14:paraId="3D50C4EE" w14:textId="77777777" w:rsidR="00AB5C59" w:rsidRPr="00EA3F5E" w:rsidRDefault="00FD4637">
      <w:pPr>
        <w:spacing w:line="360" w:lineRule="auto"/>
        <w:ind w:firstLineChars="200" w:firstLine="480"/>
        <w:jc w:val="both"/>
        <w:rPr>
          <w:rFonts w:ascii="Book Antiqua" w:eastAsia="Book Antiqua" w:hAnsi="Book Antiqua" w:cs="Book Antiqua"/>
        </w:rPr>
      </w:pPr>
      <w:r w:rsidRPr="00EA3F5E">
        <w:rPr>
          <w:rFonts w:ascii="Book Antiqua" w:eastAsia="Book Antiqua" w:hAnsi="Book Antiqua" w:cs="Book Antiqua"/>
          <w:color w:val="000000"/>
        </w:rPr>
        <w:lastRenderedPageBreak/>
        <w:t xml:space="preserve">Referring to the ABC-02 clinical trial, the patient was given first-line chemotherapy with GemCis for two cycles. But the patient presented with right-sided chest pain on breathing and no significant decrease in CA199, so an evaluation was performed upfront. However, the response evaluation suggested disease progression with CT showing an increased number and size of metastases in the abdomen and lungs </w:t>
      </w:r>
      <w:r w:rsidRPr="00EA3F5E">
        <w:rPr>
          <w:rFonts w:ascii="Book Antiqua" w:eastAsia="Book Antiqua" w:hAnsi="Book Antiqua" w:cs="Book Antiqua"/>
          <w:color w:val="000000" w:themeColor="text1"/>
        </w:rPr>
        <w:t>(Figure 1A</w:t>
      </w:r>
      <w:r w:rsidRPr="00EA3F5E">
        <w:rPr>
          <w:rFonts w:ascii="Book Antiqua" w:eastAsia="宋体" w:hAnsi="Book Antiqua" w:cs="Book Antiqua"/>
          <w:color w:val="000000" w:themeColor="text1"/>
          <w:lang w:eastAsia="zh-CN"/>
        </w:rPr>
        <w:t xml:space="preserve"> and </w:t>
      </w:r>
      <w:r w:rsidRPr="00EA3F5E">
        <w:rPr>
          <w:rFonts w:ascii="Book Antiqua" w:eastAsia="宋体" w:hAnsi="Book Antiqua" w:cs="Book Antiqua" w:hint="eastAsia"/>
          <w:color w:val="000000" w:themeColor="text1"/>
          <w:lang w:eastAsia="zh-CN"/>
        </w:rPr>
        <w:t>1</w:t>
      </w:r>
      <w:r w:rsidRPr="00EA3F5E">
        <w:rPr>
          <w:rFonts w:ascii="Book Antiqua" w:eastAsia="Book Antiqua" w:hAnsi="Book Antiqua" w:cs="Book Antiqua"/>
          <w:color w:val="000000" w:themeColor="text1"/>
        </w:rPr>
        <w:t>B)</w:t>
      </w:r>
      <w:r w:rsidRPr="00EA3F5E">
        <w:rPr>
          <w:rFonts w:ascii="Book Antiqua" w:eastAsia="Book Antiqua" w:hAnsi="Book Antiqua" w:cs="Book Antiqua"/>
          <w:color w:val="000000"/>
        </w:rPr>
        <w:t xml:space="preserve">. Genomic alteration testing was performed to explore the potential drug targets using the next-generation sequencing assay, which contains 520 genes that are related to cancer mechanism and targeted therapy. The results showed three somatic mutations, including </w:t>
      </w:r>
      <w:r w:rsidRPr="00EA3F5E">
        <w:rPr>
          <w:rFonts w:ascii="Book Antiqua" w:eastAsia="Book Antiqua" w:hAnsi="Book Antiqua" w:cs="Book Antiqua"/>
          <w:i/>
          <w:iCs/>
          <w:color w:val="000000"/>
        </w:rPr>
        <w:t>BRCA1</w:t>
      </w:r>
      <w:r w:rsidRPr="00EA3F5E">
        <w:rPr>
          <w:rFonts w:ascii="Book Antiqua" w:eastAsia="Book Antiqua" w:hAnsi="Book Antiqua" w:cs="Book Antiqua"/>
          <w:color w:val="000000"/>
        </w:rPr>
        <w:t xml:space="preserve">, </w:t>
      </w:r>
      <w:r w:rsidRPr="00EA3F5E">
        <w:rPr>
          <w:rFonts w:ascii="Book Antiqua" w:eastAsia="Book Antiqua" w:hAnsi="Book Antiqua" w:cs="Book Antiqua"/>
          <w:i/>
          <w:iCs/>
          <w:color w:val="000000"/>
        </w:rPr>
        <w:t>KRAS</w:t>
      </w:r>
      <w:r w:rsidRPr="00EA3F5E">
        <w:rPr>
          <w:rFonts w:ascii="Book Antiqua" w:eastAsia="Book Antiqua" w:hAnsi="Book Antiqua" w:cs="Book Antiqua"/>
          <w:color w:val="000000"/>
        </w:rPr>
        <w:t xml:space="preserve">, and </w:t>
      </w:r>
      <w:r w:rsidRPr="00EA3F5E">
        <w:rPr>
          <w:rFonts w:ascii="Book Antiqua" w:eastAsia="Book Antiqua" w:hAnsi="Book Antiqua" w:cs="Book Antiqua"/>
          <w:i/>
          <w:iCs/>
          <w:color w:val="000000"/>
        </w:rPr>
        <w:t>NTRK</w:t>
      </w:r>
      <w:r w:rsidRPr="00EA3F5E">
        <w:rPr>
          <w:rFonts w:ascii="Book Antiqua" w:eastAsia="Book Antiqua" w:hAnsi="Book Antiqua" w:cs="Book Antiqua"/>
          <w:color w:val="000000"/>
        </w:rPr>
        <w:t xml:space="preserve">, with MSI being stable and TMB 3.2 mut/Mb defined as TMB-low (Figure 1C). PD-L1 expression was detected by immunohistochemical staining (Dako 22C3) with </w:t>
      </w:r>
      <w:r w:rsidRPr="00EA3F5E">
        <w:rPr>
          <w:rFonts w:ascii="Book Antiqua" w:eastAsia="Book Antiqua" w:hAnsi="Book Antiqua" w:cs="Book Antiqua"/>
          <w:color w:val="000000"/>
          <w:lang w:eastAsia="zh-CN"/>
        </w:rPr>
        <w:t>t</w:t>
      </w:r>
      <w:r w:rsidRPr="00EA3F5E">
        <w:rPr>
          <w:rFonts w:ascii="Book Antiqua" w:eastAsia="Book Antiqua" w:hAnsi="Book Antiqua" w:cs="Book Antiqua"/>
          <w:color w:val="000000"/>
        </w:rPr>
        <w:t>umor proportion sco</w:t>
      </w:r>
      <w:r w:rsidRPr="00EA3F5E">
        <w:rPr>
          <w:rFonts w:ascii="Book Antiqua" w:eastAsia="Book Antiqua" w:hAnsi="Book Antiqua" w:cs="Book Antiqua"/>
        </w:rPr>
        <w:t>re (</w:t>
      </w:r>
      <w:r w:rsidRPr="00EA3F5E">
        <w:rPr>
          <w:rFonts w:ascii="Book Antiqua" w:eastAsia="Book Antiqua" w:hAnsi="Book Antiqua" w:cs="Book Antiqua"/>
          <w:lang w:eastAsia="zh-CN"/>
        </w:rPr>
        <w:t>T</w:t>
      </w:r>
      <w:r w:rsidRPr="00EA3F5E">
        <w:rPr>
          <w:rFonts w:ascii="Book Antiqua" w:eastAsia="Book Antiqua" w:hAnsi="Book Antiqua" w:cs="Book Antiqua"/>
        </w:rPr>
        <w:t>PS) 0% and combined positive score 5.</w:t>
      </w:r>
    </w:p>
    <w:p w14:paraId="5E9FC603" w14:textId="77777777" w:rsidR="00AB5C59" w:rsidRPr="00EA3F5E" w:rsidRDefault="00FD4637">
      <w:pPr>
        <w:spacing w:line="360" w:lineRule="auto"/>
        <w:ind w:firstLineChars="200" w:firstLine="480"/>
        <w:jc w:val="both"/>
        <w:rPr>
          <w:rFonts w:ascii="Book Antiqua" w:hAnsi="Book Antiqua" w:cs="Book Antiqua"/>
        </w:rPr>
      </w:pPr>
      <w:r w:rsidRPr="00EA3F5E">
        <w:rPr>
          <w:rFonts w:ascii="Book Antiqua" w:eastAsia="Book Antiqua" w:hAnsi="Book Antiqua" w:cs="Book Antiqua"/>
          <w:color w:val="000000"/>
        </w:rPr>
        <w:t>The second-line treatment was changed to camrelizumab 200 mg in combination with paclitaxel 175 mg/m</w:t>
      </w:r>
      <w:r w:rsidRPr="00EA3F5E">
        <w:rPr>
          <w:rFonts w:ascii="Book Antiqua" w:eastAsia="Book Antiqua" w:hAnsi="Book Antiqua" w:cs="Book Antiqua"/>
          <w:color w:val="000000"/>
          <w:vertAlign w:val="superscript"/>
        </w:rPr>
        <w:t>2</w:t>
      </w:r>
      <w:r w:rsidRPr="00EA3F5E">
        <w:rPr>
          <w:rFonts w:ascii="Book Antiqua" w:eastAsia="Book Antiqua" w:hAnsi="Book Antiqua" w:cs="Book Antiqua"/>
          <w:color w:val="000000"/>
        </w:rPr>
        <w:t xml:space="preserve"> every three weeks. The serum concentrations of CA199 and CA125 decreased to 452.3 U/mL and normal, respectively, and partial response was maintained based on CT scans after two cycles of combination chemotherapy and immunotherapy. After six cycles of therapy, both intrapulmonary and intra-abdominal lesions achieved clinical complete remission on CT </w:t>
      </w:r>
      <w:r w:rsidRPr="00EA3F5E">
        <w:rPr>
          <w:rFonts w:ascii="Book Antiqua" w:eastAsia="Book Antiqua" w:hAnsi="Book Antiqua" w:cs="Book Antiqua"/>
          <w:color w:val="000000" w:themeColor="text1"/>
        </w:rPr>
        <w:t>(Figure 1A</w:t>
      </w:r>
      <w:r w:rsidRPr="00EA3F5E">
        <w:rPr>
          <w:rFonts w:ascii="Book Antiqua" w:eastAsia="宋体" w:hAnsi="Book Antiqua" w:cs="Book Antiqua"/>
          <w:color w:val="000000" w:themeColor="text1"/>
          <w:lang w:eastAsia="zh-CN"/>
        </w:rPr>
        <w:t xml:space="preserve"> and </w:t>
      </w:r>
      <w:r w:rsidRPr="00EA3F5E">
        <w:rPr>
          <w:rFonts w:ascii="Book Antiqua" w:eastAsia="宋体" w:hAnsi="Book Antiqua" w:cs="Book Antiqua" w:hint="eastAsia"/>
          <w:color w:val="000000" w:themeColor="text1"/>
          <w:lang w:eastAsia="zh-CN"/>
        </w:rPr>
        <w:t>1</w:t>
      </w:r>
      <w:r w:rsidRPr="00EA3F5E">
        <w:rPr>
          <w:rFonts w:ascii="Book Antiqua" w:eastAsia="Book Antiqua" w:hAnsi="Book Antiqua" w:cs="Book Antiqua"/>
          <w:color w:val="000000" w:themeColor="text1"/>
        </w:rPr>
        <w:t>B).</w:t>
      </w:r>
      <w:r w:rsidRPr="00EA3F5E">
        <w:rPr>
          <w:rFonts w:ascii="Book Antiqua" w:eastAsia="Book Antiqua" w:hAnsi="Book Antiqua" w:cs="Book Antiqua"/>
          <w:color w:val="000000"/>
        </w:rPr>
        <w:t xml:space="preserve"> After eight cycles of combination therapy, the treatment was changed to camrelizumab 200 mg every three weeks until the completion of 1 year of anti-PD-1 antibody treatment. </w:t>
      </w:r>
    </w:p>
    <w:p w14:paraId="327C3BFB" w14:textId="77777777" w:rsidR="00AB5C59" w:rsidRPr="00EA3F5E" w:rsidRDefault="00AB5C59">
      <w:pPr>
        <w:spacing w:line="360" w:lineRule="auto"/>
        <w:ind w:firstLine="360"/>
        <w:jc w:val="both"/>
        <w:rPr>
          <w:rFonts w:ascii="Book Antiqua" w:hAnsi="Book Antiqua" w:cs="Book Antiqua"/>
        </w:rPr>
      </w:pPr>
    </w:p>
    <w:p w14:paraId="6315CC52"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aps/>
          <w:color w:val="000000"/>
          <w:u w:val="single"/>
        </w:rPr>
        <w:t>OUTCOME AND FOLLOW-UP</w:t>
      </w:r>
    </w:p>
    <w:p w14:paraId="564C5236"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This patient has now been followed-up for 32 mo (until May 2022), and no disease progression has been observed at regular follow-ups. Reactive cutaneous capillary endothelial proliferation (RCCEP) developed in the oral gingiva and facial skin with bleeding after the third cycle of chemo-immunotherapy. The RCCEP in the gingival area (Figure 1D) was surgically removed after 2 mo, while that on the facial area self-exfoliated with no other serious adverse effects during treatment.</w:t>
      </w:r>
    </w:p>
    <w:p w14:paraId="48FAB516" w14:textId="77777777" w:rsidR="00AB5C59" w:rsidRPr="00EA3F5E" w:rsidRDefault="00AB5C59">
      <w:pPr>
        <w:spacing w:line="360" w:lineRule="auto"/>
        <w:jc w:val="both"/>
        <w:rPr>
          <w:rFonts w:ascii="Book Antiqua" w:hAnsi="Book Antiqua" w:cs="Book Antiqua"/>
        </w:rPr>
      </w:pPr>
    </w:p>
    <w:p w14:paraId="5501F42B"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aps/>
          <w:color w:val="000000"/>
          <w:u w:val="single"/>
        </w:rPr>
        <w:lastRenderedPageBreak/>
        <w:t>DISCUSSION</w:t>
      </w:r>
    </w:p>
    <w:p w14:paraId="4700F408"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 xml:space="preserve">There is currently no standard second-line treatment for advanced iCCA. mFOLFOX has been recommend as the preferred second-line regimen, but its survival benefit is very limited, with an mOS time of 6.2 mo </w:t>
      </w:r>
      <w:r w:rsidRPr="00EA3F5E">
        <w:rPr>
          <w:rFonts w:ascii="Book Antiqua" w:eastAsia="Book Antiqua" w:hAnsi="Book Antiqua" w:cs="Book Antiqua"/>
          <w:i/>
          <w:iCs/>
          <w:color w:val="000000"/>
        </w:rPr>
        <w:t>vs</w:t>
      </w:r>
      <w:r w:rsidRPr="00EA3F5E">
        <w:rPr>
          <w:rFonts w:ascii="Book Antiqua" w:eastAsia="宋体" w:hAnsi="Book Antiqua" w:cs="Book Antiqua"/>
          <w:i/>
          <w:iCs/>
          <w:color w:val="000000"/>
          <w:lang w:eastAsia="zh-CN"/>
        </w:rPr>
        <w:t xml:space="preserve"> </w:t>
      </w:r>
      <w:r w:rsidRPr="00EA3F5E">
        <w:rPr>
          <w:rFonts w:ascii="Book Antiqua" w:eastAsia="Book Antiqua" w:hAnsi="Book Antiqua" w:cs="Book Antiqua"/>
          <w:color w:val="000000"/>
        </w:rPr>
        <w:t xml:space="preserve">5.3 mo, </w:t>
      </w:r>
      <w:r w:rsidRPr="00EA3F5E">
        <w:rPr>
          <w:rFonts w:ascii="Book Antiqua" w:eastAsia="Book Antiqua" w:hAnsi="Book Antiqua" w:cs="Book Antiqua"/>
          <w:i/>
          <w:iCs/>
          <w:color w:val="000000"/>
        </w:rPr>
        <w:t>P</w:t>
      </w:r>
      <w:r w:rsidRPr="00EA3F5E">
        <w:rPr>
          <w:rFonts w:ascii="Book Antiqua" w:eastAsia="宋体" w:hAnsi="Book Antiqua" w:cs="Book Antiqua"/>
          <w:i/>
          <w:iCs/>
          <w:color w:val="000000"/>
          <w:lang w:eastAsia="zh-CN"/>
        </w:rPr>
        <w:t xml:space="preserve"> </w:t>
      </w:r>
      <w:r w:rsidRPr="00EA3F5E">
        <w:rPr>
          <w:rFonts w:ascii="Book Antiqua" w:eastAsia="Book Antiqua" w:hAnsi="Book Antiqua" w:cs="Book Antiqua"/>
          <w:color w:val="000000"/>
        </w:rPr>
        <w:t>= 0.031</w:t>
      </w:r>
      <w:r w:rsidRPr="00EA3F5E">
        <w:rPr>
          <w:rFonts w:ascii="Book Antiqua" w:eastAsia="Book Antiqua" w:hAnsi="Book Antiqua" w:cs="Book Antiqua"/>
          <w:color w:val="000000"/>
          <w:vertAlign w:val="superscript"/>
        </w:rPr>
        <w:t>[17]</w:t>
      </w:r>
      <w:r w:rsidRPr="00EA3F5E">
        <w:rPr>
          <w:rFonts w:ascii="Book Antiqua" w:eastAsia="Book Antiqua" w:hAnsi="Book Antiqua" w:cs="Book Antiqua"/>
          <w:color w:val="000000"/>
        </w:rPr>
        <w:t>. Immunotherapy has shown relatively good efficacy against a variety of solid tumors, and data from small samples of cholangiocellular carcinoma suggest the efficacy of PD-1 monoclonal antibody in advanced cholangiocellular carcinoma</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22</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23</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 Approximately 11% of cholangiocellular carcinomas have an immunoinflammatory phenotype, as defined by comprehensive genomic analysis, which may be predictive of the effectiveness of PD-1 or PD-L1 monotherapy</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24</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 Other recent studies have explored the molecular typing of CCA by genomics and proteomics, which show the different expression patterns of immune checkpoints, highlight the need to design personalized checkpoint inhibitors for use, and provide clues to explain the differential response of advanced iCCA to anti-PD-1 monotherapy</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25</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w:t>
      </w:r>
    </w:p>
    <w:p w14:paraId="0A9EABA7" w14:textId="77777777" w:rsidR="00AB5C59" w:rsidRPr="00EA3F5E" w:rsidRDefault="00FD4637">
      <w:pPr>
        <w:spacing w:line="360" w:lineRule="auto"/>
        <w:ind w:firstLineChars="200" w:firstLine="480"/>
        <w:jc w:val="both"/>
        <w:rPr>
          <w:rFonts w:ascii="Book Antiqua" w:hAnsi="Book Antiqua" w:cs="Book Antiqua"/>
        </w:rPr>
      </w:pPr>
      <w:r w:rsidRPr="00EA3F5E">
        <w:rPr>
          <w:rFonts w:ascii="Book Antiqua" w:eastAsia="Book Antiqua" w:hAnsi="Book Antiqua" w:cs="Book Antiqua"/>
          <w:color w:val="000000"/>
        </w:rPr>
        <w:t xml:space="preserve">In this case, MSI, TMB, and PD-L1 TPS expressions were low, but mutations in </w:t>
      </w:r>
      <w:r w:rsidRPr="00EA3F5E">
        <w:rPr>
          <w:rFonts w:ascii="Book Antiqua" w:eastAsia="Book Antiqua" w:hAnsi="Book Antiqua" w:cs="Book Antiqua"/>
          <w:i/>
          <w:iCs/>
          <w:color w:val="000000"/>
        </w:rPr>
        <w:t>BRCA1</w:t>
      </w:r>
      <w:r w:rsidRPr="00EA3F5E">
        <w:rPr>
          <w:rFonts w:ascii="Book Antiqua" w:eastAsia="Book Antiqua" w:hAnsi="Book Antiqua" w:cs="Book Antiqua"/>
          <w:color w:val="000000"/>
        </w:rPr>
        <w:t xml:space="preserve"> and </w:t>
      </w:r>
      <w:r w:rsidRPr="00EA3F5E">
        <w:rPr>
          <w:rFonts w:ascii="Book Antiqua" w:eastAsia="Book Antiqua" w:hAnsi="Book Antiqua" w:cs="Book Antiqua"/>
          <w:i/>
          <w:iCs/>
          <w:color w:val="000000"/>
        </w:rPr>
        <w:t>KRAS</w:t>
      </w:r>
      <w:r w:rsidRPr="00EA3F5E">
        <w:rPr>
          <w:rFonts w:ascii="Book Antiqua" w:eastAsia="Book Antiqua" w:hAnsi="Book Antiqua" w:cs="Book Antiqua"/>
          <w:color w:val="000000"/>
        </w:rPr>
        <w:t xml:space="preserve"> were present. </w:t>
      </w:r>
      <w:r w:rsidRPr="00EA3F5E">
        <w:rPr>
          <w:rFonts w:ascii="Book Antiqua" w:eastAsia="Book Antiqua" w:hAnsi="Book Antiqua" w:cs="Book Antiqua"/>
          <w:i/>
          <w:iCs/>
          <w:color w:val="000000"/>
        </w:rPr>
        <w:t>BRCA</w:t>
      </w:r>
      <w:r w:rsidRPr="00EA3F5E">
        <w:rPr>
          <w:rFonts w:ascii="Book Antiqua" w:eastAsia="Book Antiqua" w:hAnsi="Book Antiqua" w:cs="Book Antiqua"/>
          <w:color w:val="000000"/>
        </w:rPr>
        <w:t> mutations were detected in approximately 3.6% of CCA samples (</w:t>
      </w:r>
      <w:r w:rsidRPr="00EA3F5E">
        <w:rPr>
          <w:rFonts w:ascii="Book Antiqua" w:eastAsia="Book Antiqua" w:hAnsi="Book Antiqua" w:cs="Book Antiqua"/>
          <w:i/>
          <w:iCs/>
          <w:color w:val="000000"/>
        </w:rPr>
        <w:t>BRCA1</w:t>
      </w:r>
      <w:r w:rsidRPr="00EA3F5E">
        <w:rPr>
          <w:rFonts w:ascii="Book Antiqua" w:eastAsia="Book Antiqua" w:hAnsi="Book Antiqua" w:cs="Book Antiqua"/>
          <w:color w:val="000000"/>
        </w:rPr>
        <w:t xml:space="preserve">, 0.6%; </w:t>
      </w:r>
      <w:r w:rsidRPr="00EA3F5E">
        <w:rPr>
          <w:rFonts w:ascii="Book Antiqua" w:eastAsia="Book Antiqua" w:hAnsi="Book Antiqua" w:cs="Book Antiqua"/>
          <w:i/>
          <w:iCs/>
          <w:color w:val="000000"/>
        </w:rPr>
        <w:t>BRCA2</w:t>
      </w:r>
      <w:r w:rsidRPr="00EA3F5E">
        <w:rPr>
          <w:rFonts w:ascii="Book Antiqua" w:eastAsia="Book Antiqua" w:hAnsi="Book Antiqua" w:cs="Book Antiqua"/>
          <w:color w:val="000000"/>
        </w:rPr>
        <w:t>, 3%)</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26</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 xml:space="preserve">. </w:t>
      </w:r>
      <w:r w:rsidRPr="00EA3F5E">
        <w:rPr>
          <w:rFonts w:ascii="Book Antiqua" w:eastAsia="Book Antiqua" w:hAnsi="Book Antiqua" w:cs="Book Antiqua"/>
          <w:color w:val="000000" w:themeColor="text1"/>
        </w:rPr>
        <w:t xml:space="preserve">PARP inhibitors </w:t>
      </w:r>
      <w:r w:rsidRPr="00EA3F5E">
        <w:rPr>
          <w:rFonts w:ascii="Book Antiqua" w:eastAsia="Book Antiqua" w:hAnsi="Book Antiqua" w:cs="Book Antiqua"/>
          <w:color w:val="000000"/>
        </w:rPr>
        <w:t>are expected to be the next category of targeted agents as breakthrough treatments for advanced CCA, but the research data are not sufficient</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27</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 The available genetic test results for this patient suggested that he was not sensitive to immunotherapy.</w:t>
      </w:r>
    </w:p>
    <w:p w14:paraId="042BE9DB" w14:textId="77777777" w:rsidR="00AB5C59" w:rsidRPr="00EA3F5E" w:rsidRDefault="00FD4637">
      <w:pPr>
        <w:spacing w:line="360" w:lineRule="auto"/>
        <w:ind w:firstLineChars="200" w:firstLine="480"/>
        <w:jc w:val="both"/>
        <w:rPr>
          <w:rFonts w:ascii="Book Antiqua" w:hAnsi="Book Antiqua" w:cs="Book Antiqua"/>
        </w:rPr>
      </w:pPr>
      <w:r w:rsidRPr="00EA3F5E">
        <w:rPr>
          <w:rFonts w:ascii="Book Antiqua" w:eastAsia="Book Antiqua" w:hAnsi="Book Antiqua" w:cs="Book Antiqua"/>
          <w:color w:val="000000"/>
        </w:rPr>
        <w:t>To improve the anticancer effect, many chemotherapeutic agents have been tested in combination with immunotherapy to modify the antitumor activity</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28</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29</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 The TOPAZ-1 trial is the first phase III clinical study using immunotherapy plus a chemotherapy regimen of gemcitabine and platinum for the first-line treatment of biliary tract cancer to show a significant difference in mOS obtained in the treatment group</w:t>
      </w:r>
      <w:r w:rsidRPr="00EA3F5E">
        <w:rPr>
          <w:rFonts w:ascii="Book Antiqua" w:eastAsia="Book Antiqua" w:hAnsi="Book Antiqua" w:cs="Book Antiqua"/>
          <w:color w:val="000000"/>
          <w:vertAlign w:val="superscript"/>
        </w:rPr>
        <w:t>[15]</w:t>
      </w:r>
      <w:r w:rsidRPr="00EA3F5E">
        <w:rPr>
          <w:rFonts w:ascii="Book Antiqua" w:eastAsia="Book Antiqua" w:hAnsi="Book Antiqua" w:cs="Book Antiqua"/>
          <w:color w:val="000000"/>
        </w:rPr>
        <w:t xml:space="preserve">. </w:t>
      </w:r>
      <w:r w:rsidRPr="00EA3F5E">
        <w:rPr>
          <w:rFonts w:ascii="Book Antiqua" w:eastAsia="Book Antiqua" w:hAnsi="Book Antiqua" w:cs="Book Antiqua"/>
          <w:color w:val="000000" w:themeColor="text1"/>
        </w:rPr>
        <w:t xml:space="preserve">Table 1 </w:t>
      </w:r>
      <w:r w:rsidRPr="00EA3F5E">
        <w:rPr>
          <w:rFonts w:ascii="Book Antiqua" w:hAnsi="Book Antiqua" w:cs="Book Antiqua"/>
          <w:color w:val="000000"/>
          <w:lang w:eastAsia="zh-CN"/>
        </w:rPr>
        <w:t>l</w:t>
      </w:r>
      <w:r w:rsidRPr="00EA3F5E">
        <w:rPr>
          <w:rFonts w:ascii="Book Antiqua" w:eastAsia="Book Antiqua" w:hAnsi="Book Antiqua" w:cs="Book Antiqua"/>
          <w:color w:val="000000"/>
        </w:rPr>
        <w:t xml:space="preserve">ists the reported cases of PD-1/PD-L1 inhibitors and chemotherapy in patients with CCA, and the chemotherapeutic drugs are mainly platinum and fluorouracil alone or in combination. Chemotherapeutic drugs can destroy tumor tissues and overcome immune rejection, causing antigen shedding and increasing </w:t>
      </w:r>
      <w:r w:rsidRPr="00EA3F5E">
        <w:rPr>
          <w:rFonts w:ascii="Book Antiqua" w:eastAsia="Book Antiqua" w:hAnsi="Book Antiqua" w:cs="Book Antiqua"/>
          <w:color w:val="000000"/>
        </w:rPr>
        <w:lastRenderedPageBreak/>
        <w:t>tumor neoplastic antigens to improve immunotherapy efficacy.</w:t>
      </w:r>
      <w:r w:rsidRPr="00EA3F5E">
        <w:rPr>
          <w:rFonts w:ascii="Book Antiqua" w:eastAsia="宋体" w:hAnsi="Book Antiqua" w:cs="Book Antiqua"/>
          <w:color w:val="000000"/>
          <w:lang w:eastAsia="zh-CN"/>
        </w:rPr>
        <w:t xml:space="preserve"> </w:t>
      </w:r>
      <w:r w:rsidRPr="00EA3F5E">
        <w:rPr>
          <w:rFonts w:ascii="Book Antiqua" w:eastAsia="Book Antiqua" w:hAnsi="Book Antiqua" w:cs="Book Antiqua"/>
          <w:color w:val="000000"/>
        </w:rPr>
        <w:t>There is growing evidence that some chemotherapeutic agents, such as platinum and taxanes, induce apoptosis in tumor cells and cause immunogenic cell death, which activates the immune system</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30</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31</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 xml:space="preserve">. The immunomodulatory effects of chemotherapeutic agents are summarized in </w:t>
      </w:r>
      <w:r w:rsidRPr="00EA3F5E">
        <w:rPr>
          <w:rFonts w:ascii="Book Antiqua" w:eastAsia="Book Antiqua" w:hAnsi="Book Antiqua" w:cs="Book Antiqua"/>
          <w:color w:val="000000" w:themeColor="text1"/>
        </w:rPr>
        <w:t>Table</w:t>
      </w:r>
      <w:r w:rsidRPr="00EA3F5E">
        <w:rPr>
          <w:rFonts w:ascii="Book Antiqua" w:eastAsia="宋体" w:hAnsi="Book Antiqua" w:cs="Book Antiqua"/>
          <w:color w:val="000000" w:themeColor="text1"/>
          <w:lang w:eastAsia="zh-CN"/>
        </w:rPr>
        <w:t xml:space="preserve"> </w:t>
      </w:r>
      <w:r w:rsidRPr="00EA3F5E">
        <w:rPr>
          <w:rFonts w:ascii="Book Antiqua" w:eastAsia="Book Antiqua" w:hAnsi="Book Antiqua" w:cs="Book Antiqua"/>
          <w:color w:val="000000" w:themeColor="text1"/>
        </w:rPr>
        <w:t xml:space="preserve">2. </w:t>
      </w:r>
      <w:r w:rsidRPr="00EA3F5E">
        <w:rPr>
          <w:rFonts w:ascii="Book Antiqua" w:eastAsia="Book Antiqua" w:hAnsi="Book Antiqua" w:cs="Book Antiqua"/>
          <w:color w:val="000000"/>
        </w:rPr>
        <w:t>Chemotherapy-induced tumor cell death may release immunostimulatory signals that promote dendritic cell activation and induce T-lymphocyte-mediated immune tumor cell killing. Chemotherapy induces the upregulation of major histocompatibility complex I (MHC-I), which helps T cells recognize tumor cells. Furthermore, chemotherapeutic agents upregulate PD-L1 expression, and chemotherapy-enhanced immunosuppression induced by PD-L1 upregulation can be abolished when immunotherapy is added to the treatment strategy, which is expected to produce a synergistic anti-cancer effect.</w:t>
      </w:r>
    </w:p>
    <w:p w14:paraId="23B73547" w14:textId="77777777" w:rsidR="00AB5C59" w:rsidRPr="00EA3F5E" w:rsidRDefault="00FD4637">
      <w:pPr>
        <w:spacing w:line="360" w:lineRule="auto"/>
        <w:ind w:firstLineChars="200" w:firstLine="480"/>
        <w:jc w:val="both"/>
        <w:rPr>
          <w:rFonts w:ascii="Book Antiqua" w:hAnsi="Book Antiqua" w:cs="Book Antiqua"/>
        </w:rPr>
      </w:pPr>
      <w:r w:rsidRPr="00EA3F5E">
        <w:rPr>
          <w:rFonts w:ascii="Book Antiqua" w:eastAsia="Book Antiqua" w:hAnsi="Book Antiqua" w:cs="Book Antiqua"/>
          <w:color w:val="000000"/>
        </w:rPr>
        <w:t>Based on these theories and the summary in Table 2, paclitaxel in combination with anti-PD-1 is a very favorable option for improving the activated immune response (upregulating MHC</w:t>
      </w:r>
      <w:r w:rsidRPr="00EA3F5E">
        <w:rPr>
          <w:rFonts w:ascii="Book Antiqua" w:eastAsia="宋体" w:hAnsi="Book Antiqua" w:cs="Book Antiqua"/>
          <w:color w:val="000000"/>
          <w:lang w:eastAsia="zh-CN"/>
        </w:rPr>
        <w:t>-</w:t>
      </w:r>
      <w:r w:rsidRPr="00EA3F5E">
        <w:rPr>
          <w:rFonts w:ascii="Book Antiqua" w:eastAsia="Book Antiqua" w:hAnsi="Book Antiqua" w:cs="Book Antiqua"/>
          <w:color w:val="000000"/>
        </w:rPr>
        <w:t>I, dendritic cell maturation, and T cell effectors) and reducing immunosuppressive cells (</w:t>
      </w:r>
      <w:r w:rsidRPr="00EA3F5E">
        <w:rPr>
          <w:rFonts w:ascii="Book Antiqua" w:eastAsia="等线" w:hAnsi="Book Antiqua" w:cs="Book Antiqua"/>
          <w:color w:val="141413"/>
          <w:lang w:eastAsia="zh-CN"/>
        </w:rPr>
        <w:t>m</w:t>
      </w:r>
      <w:r w:rsidRPr="00EA3F5E">
        <w:rPr>
          <w:rFonts w:ascii="Book Antiqua" w:eastAsia="等线" w:hAnsi="Book Antiqua" w:cs="Book Antiqua"/>
          <w:color w:val="141413"/>
        </w:rPr>
        <w:t>yeloid derived suppressor cell</w:t>
      </w:r>
      <w:r w:rsidRPr="00EA3F5E">
        <w:rPr>
          <w:rFonts w:ascii="Book Antiqua" w:eastAsia="等线" w:hAnsi="Book Antiqua" w:cs="Book Antiqua"/>
          <w:color w:val="141413"/>
          <w:lang w:eastAsia="zh-CN"/>
        </w:rPr>
        <w:t xml:space="preserve">, </w:t>
      </w:r>
      <w:r w:rsidRPr="00EA3F5E">
        <w:rPr>
          <w:rFonts w:ascii="Book Antiqua" w:eastAsia="等线" w:hAnsi="Book Antiqua" w:cs="Book Antiqua"/>
          <w:color w:val="141413"/>
        </w:rPr>
        <w:t>T-regulatory cell</w:t>
      </w:r>
      <w:r w:rsidRPr="00EA3F5E">
        <w:rPr>
          <w:rFonts w:ascii="Book Antiqua" w:eastAsia="等线" w:hAnsi="Book Antiqua" w:cs="Book Antiqua"/>
          <w:color w:val="141413"/>
          <w:lang w:eastAsia="zh-CN"/>
        </w:rPr>
        <w:t>s, and</w:t>
      </w:r>
      <w:r w:rsidRPr="00EA3F5E">
        <w:rPr>
          <w:rFonts w:ascii="Book Antiqua" w:eastAsia="等线" w:hAnsi="Book Antiqua" w:cs="Book Antiqua"/>
          <w:color w:val="141413"/>
        </w:rPr>
        <w:t xml:space="preserve"> tumor-associated macrophage type 2</w:t>
      </w:r>
      <w:r w:rsidRPr="00EA3F5E">
        <w:rPr>
          <w:rFonts w:ascii="Book Antiqua" w:eastAsia="Book Antiqua" w:hAnsi="Book Antiqua" w:cs="Book Antiqua"/>
          <w:color w:val="000000"/>
        </w:rPr>
        <w:t>). According to a preclinical study, most iCCA cell lines were resistant to platinum drugs, whereas most cell lines were sensitive to gemcitabine and paclitaxel</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25</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 xml:space="preserve">. Available clinical studies show that triple negative breast cancer patients who are expected to have greater </w:t>
      </w:r>
      <w:r w:rsidRPr="00EA3F5E">
        <w:rPr>
          <w:rFonts w:ascii="Book Antiqua" w:eastAsia="Book Antiqua" w:hAnsi="Book Antiqua" w:cs="Book Antiqua"/>
          <w:i/>
          <w:iCs/>
          <w:color w:val="000000"/>
        </w:rPr>
        <w:t>BRCA</w:t>
      </w:r>
      <w:r w:rsidRPr="00EA3F5E">
        <w:rPr>
          <w:rFonts w:ascii="Book Antiqua" w:eastAsia="Book Antiqua" w:hAnsi="Book Antiqua" w:cs="Book Antiqua"/>
          <w:color w:val="000000"/>
        </w:rPr>
        <w:t xml:space="preserve"> mutations and urothelial cancer patients with </w:t>
      </w:r>
      <w:r w:rsidRPr="00EA3F5E">
        <w:rPr>
          <w:rFonts w:ascii="Book Antiqua" w:eastAsia="Book Antiqua" w:hAnsi="Book Antiqua" w:cs="Book Antiqua"/>
          <w:i/>
          <w:iCs/>
          <w:color w:val="000000"/>
        </w:rPr>
        <w:t>BRCA1</w:t>
      </w:r>
      <w:r w:rsidRPr="00EA3F5E">
        <w:rPr>
          <w:rFonts w:ascii="Book Antiqua" w:eastAsia="宋体" w:hAnsi="Book Antiqua" w:cs="Book Antiqua" w:hint="eastAsia"/>
          <w:i/>
          <w:iCs/>
          <w:color w:val="000000"/>
          <w:lang w:eastAsia="zh-CN"/>
        </w:rPr>
        <w:t xml:space="preserve"> </w:t>
      </w:r>
      <w:r w:rsidRPr="00EA3F5E">
        <w:rPr>
          <w:rFonts w:ascii="Book Antiqua" w:eastAsia="Book Antiqua" w:hAnsi="Book Antiqua" w:cs="Book Antiqua"/>
          <w:color w:val="000000"/>
        </w:rPr>
        <w:t>mutations receive immune-combination chemotherapy regimens; PD-1 monoclonal antibody combined with paclitaxel has very good efficacy</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32</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33</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 xml:space="preserve">. A hypnosis regarding these findings suggests that paclitaxel may be a better chemotherapeutic agent in combination with PD-1/PD-L1 immunotherapy for paclitaxel-sensitive solid tumors with or without </w:t>
      </w:r>
      <w:r w:rsidRPr="00EA3F5E">
        <w:rPr>
          <w:rFonts w:ascii="Book Antiqua" w:eastAsia="Book Antiqua" w:hAnsi="Book Antiqua" w:cs="Book Antiqua"/>
          <w:i/>
          <w:iCs/>
          <w:color w:val="000000"/>
        </w:rPr>
        <w:t>BRCA</w:t>
      </w:r>
      <w:r w:rsidRPr="00EA3F5E">
        <w:rPr>
          <w:rFonts w:ascii="Book Antiqua" w:eastAsia="Book Antiqua" w:hAnsi="Book Antiqua" w:cs="Book Antiqua"/>
          <w:color w:val="000000"/>
        </w:rPr>
        <w:t xml:space="preserve"> gene mutations. This mechanism has been the focus of published research, where treatment with </w:t>
      </w:r>
      <w:r w:rsidRPr="00EA3F5E">
        <w:rPr>
          <w:rFonts w:ascii="Book Antiqua" w:eastAsia="Book Antiqua" w:hAnsi="Book Antiqua" w:cs="Book Antiqua"/>
          <w:lang w:eastAsia="zh-CN"/>
        </w:rPr>
        <w:t>p</w:t>
      </w:r>
      <w:r w:rsidRPr="00EA3F5E">
        <w:rPr>
          <w:rFonts w:ascii="Book Antiqua" w:eastAsia="Book Antiqua" w:hAnsi="Book Antiqua" w:cs="Book Antiqua"/>
        </w:rPr>
        <w:t>olyethylene glycol</w:t>
      </w:r>
      <w:r w:rsidRPr="00EA3F5E">
        <w:rPr>
          <w:rFonts w:ascii="Book Antiqua" w:eastAsia="Book Antiqua" w:hAnsi="Book Antiqua" w:cs="Book Antiqua"/>
          <w:color w:val="000000"/>
        </w:rPr>
        <w:t>-sheddable nanodrugs containing paclitaxel and anti-PD-1 enhanced the tumor infiltration of cytotoxic T lymphocytes as well as local immune checkpoint blockade</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34</w:t>
      </w:r>
      <w:r w:rsidRPr="00EA3F5E">
        <w:rPr>
          <w:rFonts w:ascii="Book Antiqua" w:eastAsia="Book Antiqua" w:hAnsi="Book Antiqua" w:cs="Book Antiqua"/>
          <w:color w:val="000000"/>
          <w:vertAlign w:val="superscript"/>
        </w:rPr>
        <w:t>]</w:t>
      </w:r>
      <w:r w:rsidRPr="00EA3F5E">
        <w:rPr>
          <w:rFonts w:ascii="Book Antiqua" w:eastAsia="Book Antiqua" w:hAnsi="Book Antiqua" w:cs="Book Antiqua"/>
          <w:color w:val="000000"/>
        </w:rPr>
        <w:t>.</w:t>
      </w:r>
    </w:p>
    <w:p w14:paraId="4683998B" w14:textId="77777777" w:rsidR="00AB5C59" w:rsidRPr="00EA3F5E" w:rsidRDefault="00FD4637">
      <w:pPr>
        <w:spacing w:line="360" w:lineRule="auto"/>
        <w:ind w:firstLineChars="200" w:firstLine="480"/>
        <w:jc w:val="both"/>
        <w:rPr>
          <w:rFonts w:ascii="Book Antiqua" w:hAnsi="Book Antiqua" w:cs="Book Antiqua"/>
        </w:rPr>
      </w:pPr>
      <w:r w:rsidRPr="00EA3F5E">
        <w:rPr>
          <w:rFonts w:ascii="Book Antiqua" w:eastAsia="Book Antiqua" w:hAnsi="Book Antiqua" w:cs="Book Antiqua"/>
          <w:color w:val="000000"/>
        </w:rPr>
        <w:lastRenderedPageBreak/>
        <w:t xml:space="preserve">This case describes a potential clinical option for combination immunotherapy in patients with iCCA with or without </w:t>
      </w:r>
      <w:r w:rsidRPr="00EA3F5E">
        <w:rPr>
          <w:rFonts w:ascii="Book Antiqua" w:eastAsia="Book Antiqua" w:hAnsi="Book Antiqua" w:cs="Book Antiqua"/>
          <w:i/>
          <w:iCs/>
          <w:color w:val="000000"/>
        </w:rPr>
        <w:t>BRCA1</w:t>
      </w:r>
      <w:r w:rsidRPr="00EA3F5E">
        <w:rPr>
          <w:rFonts w:ascii="Book Antiqua" w:eastAsia="Book Antiqua" w:hAnsi="Book Antiqua" w:cs="Book Antiqua"/>
          <w:color w:val="000000"/>
        </w:rPr>
        <w:t> mutations. This is the first study to investigate paclitaxel combined with a PD-1 inhibitor in patients with advanced iCCA, which signified the benefit of chemo-immunotherapy in advanced iCCA patients with low TMB, PD-L1</w:t>
      </w:r>
      <w:r w:rsidRPr="00EA3F5E">
        <w:rPr>
          <w:rFonts w:ascii="Book Antiqua" w:hAnsi="Book Antiqua" w:cs="Book Antiqua"/>
          <w:lang w:eastAsia="zh-CN"/>
        </w:rPr>
        <w:t>,</w:t>
      </w:r>
      <w:r w:rsidRPr="00EA3F5E">
        <w:rPr>
          <w:rFonts w:ascii="Book Antiqua" w:eastAsia="Book Antiqua" w:hAnsi="Book Antiqua" w:cs="Book Antiqua"/>
        </w:rPr>
        <w:t xml:space="preserve"> TPS, and microsatellite stability. O</w:t>
      </w:r>
      <w:r w:rsidRPr="00EA3F5E">
        <w:rPr>
          <w:rFonts w:ascii="Book Antiqua" w:eastAsia="Book Antiqua" w:hAnsi="Book Antiqua" w:cs="Book Antiqua"/>
          <w:color w:val="000000"/>
        </w:rPr>
        <w:t>bviously, in iCCA and other types of cancer, predictive biomarkers are lacking for many patients. Thus, this case suggests that the paclitaxel and PD-1 inhibitor combination is a potential effective therapeutic option for the management of these patients.</w:t>
      </w:r>
    </w:p>
    <w:p w14:paraId="41A63E8A" w14:textId="77777777" w:rsidR="00AB5C59" w:rsidRPr="00EA3F5E" w:rsidRDefault="00FD4637">
      <w:pPr>
        <w:spacing w:line="360" w:lineRule="auto"/>
        <w:ind w:firstLineChars="200" w:firstLine="480"/>
        <w:jc w:val="both"/>
        <w:rPr>
          <w:rFonts w:ascii="Book Antiqua" w:hAnsi="Book Antiqua" w:cs="Book Antiqua"/>
        </w:rPr>
      </w:pPr>
      <w:r w:rsidRPr="00EA3F5E">
        <w:rPr>
          <w:rFonts w:ascii="Book Antiqua" w:eastAsia="Book Antiqua" w:hAnsi="Book Antiqua" w:cs="Book Antiqua"/>
          <w:color w:val="000000"/>
        </w:rPr>
        <w:t>In conclusion, chemo-immunotherapy offers a potential therapeutic option for patients with iCCA and few or no predictive biomarkers for immunotherapies, and the combination of paclitaxel as an effective chemotherapeutic agent with PD-1 monoclonal antibody may have a better synergistic effect. Future studies should better elucidate the therapeutic efficacy and potential mechanisms of action of chemo-immunotherapy in iCCA as well as the optimal combination strategy for immunotherapy.</w:t>
      </w:r>
    </w:p>
    <w:p w14:paraId="21BA1431" w14:textId="77777777" w:rsidR="00AB5C59" w:rsidRPr="00EA3F5E" w:rsidRDefault="00AB5C59">
      <w:pPr>
        <w:spacing w:line="360" w:lineRule="auto"/>
        <w:ind w:firstLine="360"/>
        <w:jc w:val="both"/>
        <w:rPr>
          <w:rFonts w:ascii="Book Antiqua" w:hAnsi="Book Antiqua" w:cs="Book Antiqua"/>
        </w:rPr>
      </w:pPr>
    </w:p>
    <w:p w14:paraId="7AA57064"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aps/>
          <w:color w:val="000000"/>
          <w:u w:val="single"/>
        </w:rPr>
        <w:t>CONCLUSION</w:t>
      </w:r>
    </w:p>
    <w:p w14:paraId="37D5AF4E"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For patients with advanced i</w:t>
      </w:r>
      <w:r w:rsidRPr="00EA3F5E">
        <w:rPr>
          <w:rFonts w:ascii="Book Antiqua" w:eastAsia="宋体" w:hAnsi="Book Antiqua" w:cs="Book Antiqua"/>
          <w:color w:val="000000"/>
          <w:lang w:eastAsia="zh-CN"/>
        </w:rPr>
        <w:t>CCA</w:t>
      </w:r>
      <w:r w:rsidRPr="00EA3F5E">
        <w:rPr>
          <w:rFonts w:ascii="Book Antiqua" w:eastAsia="Book Antiqua" w:hAnsi="Book Antiqua" w:cs="Book Antiqua"/>
          <w:color w:val="000000"/>
        </w:rPr>
        <w:t xml:space="preserve"> without predictive biomarkers, a regimen of immunotherpay</w:t>
      </w:r>
      <w:r w:rsidRPr="00EA3F5E">
        <w:rPr>
          <w:rFonts w:ascii="Book Antiqua" w:eastAsia="宋体" w:hAnsi="Book Antiqua" w:cs="Book Antiqua"/>
          <w:color w:val="000000"/>
          <w:lang w:eastAsia="zh-CN"/>
        </w:rPr>
        <w:t xml:space="preserve"> </w:t>
      </w:r>
      <w:r w:rsidRPr="00EA3F5E">
        <w:rPr>
          <w:rFonts w:ascii="Book Antiqua" w:eastAsia="Book Antiqua" w:hAnsi="Book Antiqua" w:cs="Book Antiqua"/>
          <w:color w:val="000000"/>
        </w:rPr>
        <w:t>combined with paclitaxel may be considered for treatment. And a more complex analysis will be performed to screen the population that really benefits from this treatment.</w:t>
      </w:r>
    </w:p>
    <w:p w14:paraId="1BB30A4C" w14:textId="77777777" w:rsidR="00AB5C59" w:rsidRPr="00EA3F5E" w:rsidRDefault="00AB5C59">
      <w:pPr>
        <w:spacing w:line="360" w:lineRule="auto"/>
        <w:jc w:val="both"/>
        <w:rPr>
          <w:rFonts w:ascii="Book Antiqua" w:hAnsi="Book Antiqua" w:cs="Book Antiqua"/>
        </w:rPr>
      </w:pPr>
    </w:p>
    <w:p w14:paraId="3E9EB99C" w14:textId="77777777" w:rsidR="00AB5C59" w:rsidRPr="00EA3F5E" w:rsidRDefault="00FD4637">
      <w:pPr>
        <w:spacing w:line="360" w:lineRule="auto"/>
        <w:jc w:val="both"/>
        <w:rPr>
          <w:rFonts w:ascii="Book Antiqua" w:eastAsia="Book Antiqua" w:hAnsi="Book Antiqua" w:cs="Book Antiqua"/>
          <w:b/>
          <w:color w:val="000000"/>
        </w:rPr>
      </w:pPr>
      <w:r w:rsidRPr="00EA3F5E">
        <w:rPr>
          <w:rFonts w:ascii="Book Antiqua" w:eastAsia="Book Antiqua" w:hAnsi="Book Antiqua" w:cs="Book Antiqua"/>
          <w:b/>
          <w:color w:val="000000"/>
        </w:rPr>
        <w:t>REFERENCES</w:t>
      </w:r>
    </w:p>
    <w:p w14:paraId="6A4371C2" w14:textId="77777777" w:rsidR="00AB5C59" w:rsidRPr="00EA3F5E" w:rsidRDefault="00FD4637">
      <w:pPr>
        <w:spacing w:line="360" w:lineRule="auto"/>
        <w:jc w:val="both"/>
        <w:rPr>
          <w:rFonts w:ascii="Book Antiqua" w:eastAsia="Book Antiqua" w:hAnsi="Book Antiqua" w:cs="Book Antiqua"/>
          <w:color w:val="000000"/>
        </w:rPr>
      </w:pPr>
      <w:bookmarkStart w:id="14" w:name="OLE_LINK6"/>
      <w:r w:rsidRPr="00EA3F5E">
        <w:rPr>
          <w:rFonts w:ascii="Book Antiqua" w:hAnsi="Book Antiqua" w:cs="Book Antiqua"/>
        </w:rPr>
        <w:t xml:space="preserve">1 </w:t>
      </w:r>
      <w:r w:rsidRPr="00EA3F5E">
        <w:rPr>
          <w:rFonts w:ascii="Book Antiqua" w:hAnsi="Book Antiqua" w:cs="Book Antiqua"/>
          <w:b/>
          <w:bCs/>
        </w:rPr>
        <w:t>Sung H</w:t>
      </w:r>
      <w:r w:rsidRPr="00EA3F5E">
        <w:rPr>
          <w:rFonts w:ascii="Book Antiqua" w:hAnsi="Book Antiqua" w:cs="Book Antiqua"/>
        </w:rPr>
        <w:t xml:space="preserve">, Ferlay J, Siegel RL, Laversanne M, Soerjomataram I, Jemal A, Bray F. Global Cancer Statistics 2020: GLOBOCAN Estimates of Incidence and Mortality Worldwide for 36 Cancers in 185 Countries. </w:t>
      </w:r>
      <w:r w:rsidRPr="00EA3F5E">
        <w:rPr>
          <w:rFonts w:ascii="Book Antiqua" w:hAnsi="Book Antiqua" w:cs="Book Antiqua"/>
          <w:i/>
          <w:iCs/>
        </w:rPr>
        <w:t>CA Cancer J Clin</w:t>
      </w:r>
      <w:r w:rsidRPr="00EA3F5E">
        <w:rPr>
          <w:rFonts w:ascii="Book Antiqua" w:hAnsi="Book Antiqua" w:cs="Book Antiqua"/>
        </w:rPr>
        <w:t xml:space="preserve"> 2021; </w:t>
      </w:r>
      <w:r w:rsidRPr="00EA3F5E">
        <w:rPr>
          <w:rFonts w:ascii="Book Antiqua" w:hAnsi="Book Antiqua" w:cs="Book Antiqua"/>
          <w:b/>
          <w:bCs/>
        </w:rPr>
        <w:t>71</w:t>
      </w:r>
      <w:r w:rsidRPr="00EA3F5E">
        <w:rPr>
          <w:rFonts w:ascii="Book Antiqua" w:hAnsi="Book Antiqua" w:cs="Book Antiqua"/>
        </w:rPr>
        <w:t>: 209-249 [PMID: 33538338 DOI: 10.332</w:t>
      </w:r>
      <w:r w:rsidRPr="00EA3F5E">
        <w:rPr>
          <w:rFonts w:ascii="Book Antiqua" w:eastAsia="Book Antiqua" w:hAnsi="Book Antiqua" w:cs="Book Antiqua"/>
          <w:color w:val="000000"/>
        </w:rPr>
        <w:t>2/caac.21660]</w:t>
      </w:r>
    </w:p>
    <w:p w14:paraId="38700262"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 xml:space="preserve">2 </w:t>
      </w:r>
      <w:r w:rsidRPr="00EA3F5E">
        <w:rPr>
          <w:rFonts w:ascii="Book Antiqua" w:eastAsia="Book Antiqua" w:hAnsi="Book Antiqua" w:cs="Book Antiqua"/>
          <w:b/>
          <w:bCs/>
          <w:color w:val="000000"/>
        </w:rPr>
        <w:t>Razumilava N</w:t>
      </w:r>
      <w:r w:rsidRPr="00EA3F5E">
        <w:rPr>
          <w:rFonts w:ascii="Book Antiqua" w:eastAsia="Book Antiqua" w:hAnsi="Book Antiqua" w:cs="Book Antiqua"/>
          <w:color w:val="000000"/>
        </w:rPr>
        <w:t xml:space="preserve">, Gores GJ. Cholangiocarcinoma. </w:t>
      </w:r>
      <w:r w:rsidRPr="00EA3F5E">
        <w:rPr>
          <w:rFonts w:ascii="Book Antiqua" w:hAnsi="Book Antiqua" w:cs="Book Antiqua"/>
          <w:i/>
          <w:iCs/>
        </w:rPr>
        <w:t>Lancet</w:t>
      </w:r>
      <w:r w:rsidRPr="00EA3F5E">
        <w:rPr>
          <w:rFonts w:ascii="Book Antiqua" w:hAnsi="Book Antiqua" w:cs="Book Antiqua"/>
        </w:rPr>
        <w:t xml:space="preserve"> 2014; </w:t>
      </w:r>
      <w:r w:rsidRPr="00EA3F5E">
        <w:rPr>
          <w:rFonts w:ascii="Book Antiqua" w:hAnsi="Book Antiqua" w:cs="Book Antiqua"/>
          <w:b/>
          <w:bCs/>
        </w:rPr>
        <w:t>383</w:t>
      </w:r>
      <w:r w:rsidRPr="00EA3F5E">
        <w:rPr>
          <w:rFonts w:ascii="Book Antiqua" w:hAnsi="Book Antiqua" w:cs="Book Antiqua"/>
        </w:rPr>
        <w:t>: 2168-2179 [PMID: 24581682 DOI: 10.1016/S0140-6736(13)61903-0]</w:t>
      </w:r>
    </w:p>
    <w:p w14:paraId="3C183A73"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lastRenderedPageBreak/>
        <w:t xml:space="preserve">3 </w:t>
      </w:r>
      <w:r w:rsidRPr="00EA3F5E">
        <w:rPr>
          <w:rFonts w:ascii="Book Antiqua" w:hAnsi="Book Antiqua" w:cs="Book Antiqua"/>
          <w:b/>
          <w:bCs/>
        </w:rPr>
        <w:t>Khuntikeo N</w:t>
      </w:r>
      <w:r w:rsidRPr="00EA3F5E">
        <w:rPr>
          <w:rFonts w:ascii="Book Antiqua" w:hAnsi="Book Antiqua" w:cs="Book Antiqua"/>
        </w:rPr>
        <w:t xml:space="preserve">, Chamadol N, Yongvanit P, Loilome W, Namwat N, Sithithaworn P, Andrews RH, Petney TN, Promthet S, Thinkhamrop K, Tawarungruang C, Thinkhamrop B; CASCAP investigators. Cohort profile: cholangiocarcinoma screening and care program (CASCAP). </w:t>
      </w:r>
      <w:r w:rsidRPr="00EA3F5E">
        <w:rPr>
          <w:rFonts w:ascii="Book Antiqua" w:hAnsi="Book Antiqua" w:cs="Book Antiqua"/>
          <w:i/>
          <w:iCs/>
        </w:rPr>
        <w:t>BMC Cancer</w:t>
      </w:r>
      <w:r w:rsidRPr="00EA3F5E">
        <w:rPr>
          <w:rFonts w:ascii="Book Antiqua" w:hAnsi="Book Antiqua" w:cs="Book Antiqua"/>
        </w:rPr>
        <w:t xml:space="preserve"> 2015; </w:t>
      </w:r>
      <w:r w:rsidRPr="00EA3F5E">
        <w:rPr>
          <w:rFonts w:ascii="Book Antiqua" w:hAnsi="Book Antiqua" w:cs="Book Antiqua"/>
          <w:b/>
          <w:bCs/>
        </w:rPr>
        <w:t>15</w:t>
      </w:r>
      <w:r w:rsidRPr="00EA3F5E">
        <w:rPr>
          <w:rFonts w:ascii="Book Antiqua" w:hAnsi="Book Antiqua" w:cs="Book Antiqua"/>
        </w:rPr>
        <w:t>: 459 [PMID: 26054405 DOI: 10.1186/s12885-015-1475-7]</w:t>
      </w:r>
    </w:p>
    <w:p w14:paraId="0887273F"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 </w:t>
      </w:r>
      <w:r w:rsidRPr="00EA3F5E">
        <w:rPr>
          <w:rFonts w:ascii="Book Antiqua" w:hAnsi="Book Antiqua" w:cs="Book Antiqua"/>
          <w:b/>
          <w:bCs/>
        </w:rPr>
        <w:t>Shroff RT</w:t>
      </w:r>
      <w:r w:rsidRPr="00EA3F5E">
        <w:rPr>
          <w:rFonts w:ascii="Book Antiqua" w:hAnsi="Book Antiqua" w:cs="Book Antiqua"/>
        </w:rPr>
        <w:t xml:space="preserve">, Kennedy EB, Bachini M, Bekaii-Saab T, Crane C, Edeline J, El-Khoueiry A, Feng M, Katz MHG, Primrose J, Soares HP, Valle J, Maithel SK. Adjuvant Therapy for Resected Biliary Tract Cancer: ASCO Clinical Practice Guideline. </w:t>
      </w:r>
      <w:r w:rsidRPr="00EA3F5E">
        <w:rPr>
          <w:rFonts w:ascii="Book Antiqua" w:hAnsi="Book Antiqua" w:cs="Book Antiqua"/>
          <w:i/>
          <w:iCs/>
        </w:rPr>
        <w:t>J Clin Oncol</w:t>
      </w:r>
      <w:r w:rsidRPr="00EA3F5E">
        <w:rPr>
          <w:rFonts w:ascii="Book Antiqua" w:hAnsi="Book Antiqua" w:cs="Book Antiqua"/>
        </w:rPr>
        <w:t xml:space="preserve"> 2019; </w:t>
      </w:r>
      <w:r w:rsidRPr="00EA3F5E">
        <w:rPr>
          <w:rFonts w:ascii="Book Antiqua" w:hAnsi="Book Antiqua" w:cs="Book Antiqua"/>
          <w:b/>
          <w:bCs/>
        </w:rPr>
        <w:t>37</w:t>
      </w:r>
      <w:r w:rsidRPr="00EA3F5E">
        <w:rPr>
          <w:rFonts w:ascii="Book Antiqua" w:hAnsi="Book Antiqua" w:cs="Book Antiqua"/>
        </w:rPr>
        <w:t>: 1015-1027 [PMID: 30856044 DOI: 10.1200/JCO.18.02178]</w:t>
      </w:r>
    </w:p>
    <w:p w14:paraId="43F94AB8"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5 </w:t>
      </w:r>
      <w:r w:rsidRPr="00EA3F5E">
        <w:rPr>
          <w:rFonts w:ascii="Book Antiqua" w:hAnsi="Book Antiqua" w:cs="Book Antiqua"/>
          <w:b/>
          <w:bCs/>
        </w:rPr>
        <w:t>Lapitz A</w:t>
      </w:r>
      <w:r w:rsidRPr="00EA3F5E">
        <w:rPr>
          <w:rFonts w:ascii="Book Antiqua" w:hAnsi="Book Antiqua" w:cs="Book Antiqua"/>
        </w:rPr>
        <w:t xml:space="preserve">, Arbelaiz A, O'Rourke CJ, Lavin JL, Casta A, Ibarra C, Jimeno JP, Santos-Laso A, Izquierdo-Sanchez L, Krawczyk M, Perugorria MJ, Jimenez-Aguero R, Sanchez-Campos A, Riaño I, Gónzalez E, Lammert F, Marzioni M, Macias RIR, Marin JJG, Karlsen TH, Bujanda L, Falcón-Pérez JM, Andersen JB, Aransay AM, Rodrigues PM, Banales JM. Patients with Cholangiocarcinoma Present Specific RNA Profiles in Serum and Urine Extracellular Vesicles Mirroring the Tumor Expression: Novel Liquid Biopsy Biomarkers for Disease Diagnosis. </w:t>
      </w:r>
      <w:r w:rsidRPr="00EA3F5E">
        <w:rPr>
          <w:rFonts w:ascii="Book Antiqua" w:hAnsi="Book Antiqua" w:cs="Book Antiqua"/>
          <w:i/>
          <w:iCs/>
        </w:rPr>
        <w:t>Cells</w:t>
      </w:r>
      <w:r w:rsidRPr="00EA3F5E">
        <w:rPr>
          <w:rFonts w:ascii="Book Antiqua" w:hAnsi="Book Antiqua" w:cs="Book Antiqua"/>
        </w:rPr>
        <w:t xml:space="preserve"> 2020; </w:t>
      </w:r>
      <w:r w:rsidRPr="00EA3F5E">
        <w:rPr>
          <w:rFonts w:ascii="Book Antiqua" w:hAnsi="Book Antiqua" w:cs="Book Antiqua"/>
          <w:b/>
          <w:bCs/>
        </w:rPr>
        <w:t>9</w:t>
      </w:r>
      <w:r w:rsidRPr="00EA3F5E">
        <w:rPr>
          <w:rFonts w:ascii="Book Antiqua" w:hAnsi="Book Antiqua" w:cs="Book Antiqua"/>
        </w:rPr>
        <w:t xml:space="preserve"> [PMID: 32183400 DOI: 10.3390/cells9030721]</w:t>
      </w:r>
    </w:p>
    <w:p w14:paraId="4DB43C7A"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6 </w:t>
      </w:r>
      <w:r w:rsidRPr="00EA3F5E">
        <w:rPr>
          <w:rFonts w:ascii="Book Antiqua" w:hAnsi="Book Antiqua" w:cs="Book Antiqua"/>
          <w:b/>
          <w:bCs/>
        </w:rPr>
        <w:t>Mavros MN</w:t>
      </w:r>
      <w:r w:rsidRPr="00EA3F5E">
        <w:rPr>
          <w:rFonts w:ascii="Book Antiqua" w:hAnsi="Book Antiqua" w:cs="Book Antiqua"/>
        </w:rPr>
        <w:t xml:space="preserve">, Economopoulos KP, Alexiou VG, Pawlik TM. Treatment and Prognosis for Patients With Intrahepatic Cholangiocarcinoma: Systematic Review and Meta-analysis. </w:t>
      </w:r>
      <w:r w:rsidRPr="00EA3F5E">
        <w:rPr>
          <w:rFonts w:ascii="Book Antiqua" w:hAnsi="Book Antiqua" w:cs="Book Antiqua"/>
          <w:i/>
          <w:iCs/>
        </w:rPr>
        <w:t>JAMA Surg</w:t>
      </w:r>
      <w:r w:rsidRPr="00EA3F5E">
        <w:rPr>
          <w:rFonts w:ascii="Book Antiqua" w:hAnsi="Book Antiqua" w:cs="Book Antiqua"/>
        </w:rPr>
        <w:t xml:space="preserve"> 2014; </w:t>
      </w:r>
      <w:r w:rsidRPr="00EA3F5E">
        <w:rPr>
          <w:rFonts w:ascii="Book Antiqua" w:hAnsi="Book Antiqua" w:cs="Book Antiqua"/>
          <w:b/>
          <w:bCs/>
        </w:rPr>
        <w:t>149</w:t>
      </w:r>
      <w:r w:rsidRPr="00EA3F5E">
        <w:rPr>
          <w:rFonts w:ascii="Book Antiqua" w:hAnsi="Book Antiqua" w:cs="Book Antiqua"/>
        </w:rPr>
        <w:t>: 565-574 [PMID: 24718873 DOI: 10.1001/jamasurg.2013.5137]</w:t>
      </w:r>
    </w:p>
    <w:p w14:paraId="1680E0AD"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7 </w:t>
      </w:r>
      <w:r w:rsidRPr="00EA3F5E">
        <w:rPr>
          <w:rFonts w:ascii="Book Antiqua" w:hAnsi="Book Antiqua" w:cs="Book Antiqua"/>
          <w:b/>
          <w:bCs/>
        </w:rPr>
        <w:t>Brandi G</w:t>
      </w:r>
      <w:r w:rsidRPr="00EA3F5E">
        <w:rPr>
          <w:rFonts w:ascii="Book Antiqua" w:hAnsi="Book Antiqua" w:cs="Book Antiqua"/>
        </w:rPr>
        <w:t xml:space="preserve">, Rizzo A, Dall'Olio FG, Felicani C, Ercolani G, Cescon M, Frega G, Tavolari S, Palloni A, De Lorenzo S, Abbati F, Mollica V, Ricci AD, Serra C. Percutaneous radiofrequency ablation in intrahepatic cholangiocarcinoma: a retrospective single-center experience. </w:t>
      </w:r>
      <w:r w:rsidRPr="00EA3F5E">
        <w:rPr>
          <w:rFonts w:ascii="Book Antiqua" w:hAnsi="Book Antiqua" w:cs="Book Antiqua"/>
          <w:i/>
          <w:iCs/>
        </w:rPr>
        <w:t>Int J Hyperthermia</w:t>
      </w:r>
      <w:r w:rsidRPr="00EA3F5E">
        <w:rPr>
          <w:rFonts w:ascii="Book Antiqua" w:hAnsi="Book Antiqua" w:cs="Book Antiqua"/>
        </w:rPr>
        <w:t xml:space="preserve"> 2020; </w:t>
      </w:r>
      <w:r w:rsidRPr="00EA3F5E">
        <w:rPr>
          <w:rFonts w:ascii="Book Antiqua" w:hAnsi="Book Antiqua" w:cs="Book Antiqua"/>
          <w:b/>
          <w:bCs/>
        </w:rPr>
        <w:t>37</w:t>
      </w:r>
      <w:r w:rsidRPr="00EA3F5E">
        <w:rPr>
          <w:rFonts w:ascii="Book Antiqua" w:hAnsi="Book Antiqua" w:cs="Book Antiqua"/>
        </w:rPr>
        <w:t>: 479-485 [PMID: 32396398 DOI: 10.1080/02656736.2020.1763484]</w:t>
      </w:r>
    </w:p>
    <w:p w14:paraId="693803D8"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8 </w:t>
      </w:r>
      <w:r w:rsidRPr="00EA3F5E">
        <w:rPr>
          <w:rFonts w:ascii="Book Antiqua" w:hAnsi="Book Antiqua" w:cs="Book Antiqua"/>
          <w:b/>
          <w:bCs/>
        </w:rPr>
        <w:t>Edeline J</w:t>
      </w:r>
      <w:r w:rsidRPr="00EA3F5E">
        <w:rPr>
          <w:rFonts w:ascii="Book Antiqua" w:hAnsi="Book Antiqua" w:cs="Book Antiqua"/>
        </w:rPr>
        <w:t xml:space="preserve">, Lamarca A, McNamara MG, Jacobs T, Hubner RA, Palmer D, Groot Koerkamp B, Johnson P, Guiu B, Valle JW. Locoregional therapies in patients with </w:t>
      </w:r>
      <w:r w:rsidRPr="00EA3F5E">
        <w:rPr>
          <w:rFonts w:ascii="Book Antiqua" w:hAnsi="Book Antiqua" w:cs="Book Antiqua"/>
        </w:rPr>
        <w:lastRenderedPageBreak/>
        <w:t xml:space="preserve">intrahepatic cholangiocarcinoma: A systematic review and pooled analysis. </w:t>
      </w:r>
      <w:r w:rsidRPr="00EA3F5E">
        <w:rPr>
          <w:rFonts w:ascii="Book Antiqua" w:hAnsi="Book Antiqua" w:cs="Book Antiqua"/>
          <w:i/>
          <w:iCs/>
        </w:rPr>
        <w:t>Cancer Treat Rev</w:t>
      </w:r>
      <w:r w:rsidRPr="00EA3F5E">
        <w:rPr>
          <w:rFonts w:ascii="Book Antiqua" w:hAnsi="Book Antiqua" w:cs="Book Antiqua"/>
        </w:rPr>
        <w:t xml:space="preserve"> 2021; </w:t>
      </w:r>
      <w:r w:rsidRPr="00EA3F5E">
        <w:rPr>
          <w:rFonts w:ascii="Book Antiqua" w:hAnsi="Book Antiqua" w:cs="Book Antiqua"/>
          <w:b/>
          <w:bCs/>
        </w:rPr>
        <w:t>99</w:t>
      </w:r>
      <w:r w:rsidRPr="00EA3F5E">
        <w:rPr>
          <w:rFonts w:ascii="Book Antiqua" w:hAnsi="Book Antiqua" w:cs="Book Antiqua"/>
        </w:rPr>
        <w:t>: 102258 [PMID: 34252720 DOI: 10.1016/j.ctrv.2021.102258]</w:t>
      </w:r>
    </w:p>
    <w:p w14:paraId="24F85BBF"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9 </w:t>
      </w:r>
      <w:r w:rsidRPr="00EA3F5E">
        <w:rPr>
          <w:rFonts w:ascii="Book Antiqua" w:hAnsi="Book Antiqua" w:cs="Book Antiqua"/>
          <w:b/>
          <w:bCs/>
        </w:rPr>
        <w:t>Valle J</w:t>
      </w:r>
      <w:r w:rsidRPr="00EA3F5E">
        <w:rPr>
          <w:rFonts w:ascii="Book Antiqua" w:hAnsi="Book Antiqua" w:cs="Book Antiqua"/>
        </w:rPr>
        <w:t xml:space="preserve">, Wasan H, Palmer DH, Cunningham D, Anthoney A, Maraveyas A, Madhusudan S, Iveson T, Hughes S, Pereira SP, Roughton M, Bridgewater J; ABC-02 Trial Investigators. Cisplatin plus gemcitabine versus gemcitabine for biliary tract cancer. </w:t>
      </w:r>
      <w:r w:rsidRPr="00EA3F5E">
        <w:rPr>
          <w:rFonts w:ascii="Book Antiqua" w:hAnsi="Book Antiqua" w:cs="Book Antiqua"/>
          <w:i/>
          <w:iCs/>
        </w:rPr>
        <w:t>N Engl J Med</w:t>
      </w:r>
      <w:r w:rsidRPr="00EA3F5E">
        <w:rPr>
          <w:rFonts w:ascii="Book Antiqua" w:hAnsi="Book Antiqua" w:cs="Book Antiqua"/>
        </w:rPr>
        <w:t xml:space="preserve"> 2010; </w:t>
      </w:r>
      <w:r w:rsidRPr="00EA3F5E">
        <w:rPr>
          <w:rFonts w:ascii="Book Antiqua" w:hAnsi="Book Antiqua" w:cs="Book Antiqua"/>
          <w:b/>
          <w:bCs/>
        </w:rPr>
        <w:t>362</w:t>
      </w:r>
      <w:r w:rsidRPr="00EA3F5E">
        <w:rPr>
          <w:rFonts w:ascii="Book Antiqua" w:hAnsi="Book Antiqua" w:cs="Book Antiqua"/>
        </w:rPr>
        <w:t>: 1273-1281 [PMID: 20375404 DOI: 10.1056/NEJMoa0908721]</w:t>
      </w:r>
    </w:p>
    <w:p w14:paraId="66E485E7"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10 </w:t>
      </w:r>
      <w:r w:rsidRPr="00EA3F5E">
        <w:rPr>
          <w:rFonts w:ascii="Book Antiqua" w:hAnsi="Book Antiqua" w:cs="Book Antiqua"/>
          <w:b/>
          <w:bCs/>
        </w:rPr>
        <w:t>Sahai V</w:t>
      </w:r>
      <w:r w:rsidRPr="00EA3F5E">
        <w:rPr>
          <w:rFonts w:ascii="Book Antiqua" w:hAnsi="Book Antiqua" w:cs="Book Antiqua"/>
        </w:rPr>
        <w:t xml:space="preserve">, Catalano PJ, Zalupski MM, Lubner SJ, Menge MR, Nimeiri HS, Munshi HG, Benson AB 3rd, O'Dwyer PJ. Nab-Paclitaxel and Gemcitabine as First-line Treatment of Advanced or Metastatic Cholangiocarcinoma: A Phase 2 Clinical Trial. </w:t>
      </w:r>
      <w:r w:rsidRPr="00EA3F5E">
        <w:rPr>
          <w:rFonts w:ascii="Book Antiqua" w:hAnsi="Book Antiqua" w:cs="Book Antiqua"/>
          <w:i/>
          <w:iCs/>
        </w:rPr>
        <w:t>JAMA Oncol</w:t>
      </w:r>
      <w:r w:rsidRPr="00EA3F5E">
        <w:rPr>
          <w:rFonts w:ascii="Book Antiqua" w:hAnsi="Book Antiqua" w:cs="Book Antiqua"/>
        </w:rPr>
        <w:t xml:space="preserve"> 2018; </w:t>
      </w:r>
      <w:r w:rsidRPr="00EA3F5E">
        <w:rPr>
          <w:rFonts w:ascii="Book Antiqua" w:hAnsi="Book Antiqua" w:cs="Book Antiqua"/>
          <w:b/>
          <w:bCs/>
        </w:rPr>
        <w:t>4</w:t>
      </w:r>
      <w:r w:rsidRPr="00EA3F5E">
        <w:rPr>
          <w:rFonts w:ascii="Book Antiqua" w:hAnsi="Book Antiqua" w:cs="Book Antiqua"/>
        </w:rPr>
        <w:t>: 1707-1712 [PMID: 30178032 DOI: 10.1001/jamaoncol.2018.3277]</w:t>
      </w:r>
    </w:p>
    <w:p w14:paraId="67F1CEC0"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11 </w:t>
      </w:r>
      <w:r w:rsidRPr="00EA3F5E">
        <w:rPr>
          <w:rFonts w:ascii="Book Antiqua" w:hAnsi="Book Antiqua" w:cs="Book Antiqua"/>
          <w:b/>
          <w:bCs/>
        </w:rPr>
        <w:t>Shroff RT</w:t>
      </w:r>
      <w:r w:rsidRPr="00EA3F5E">
        <w:rPr>
          <w:rFonts w:ascii="Book Antiqua" w:hAnsi="Book Antiqua" w:cs="Book Antiqua"/>
        </w:rPr>
        <w:t xml:space="preserve">, Javle MM, Xiao L, Kaseb AO, Varadhachary GR, Wolff RA, Raghav KPS, Iwasaki M, Masci P, Ramanathan RK, Ahn DH, Bekaii-Saab TS, Borad MJ. Gemcitabine, Cisplatin, and nab-Paclitaxel for the Treatment of Advanced Biliary Tract Cancers: A Phase 2 Clinical Trial. </w:t>
      </w:r>
      <w:r w:rsidRPr="00EA3F5E">
        <w:rPr>
          <w:rFonts w:ascii="Book Antiqua" w:hAnsi="Book Antiqua" w:cs="Book Antiqua"/>
          <w:i/>
          <w:iCs/>
        </w:rPr>
        <w:t>JAMA Oncol</w:t>
      </w:r>
      <w:r w:rsidRPr="00EA3F5E">
        <w:rPr>
          <w:rFonts w:ascii="Book Antiqua" w:hAnsi="Book Antiqua" w:cs="Book Antiqua"/>
        </w:rPr>
        <w:t xml:space="preserve"> 2019; </w:t>
      </w:r>
      <w:r w:rsidRPr="00EA3F5E">
        <w:rPr>
          <w:rFonts w:ascii="Book Antiqua" w:hAnsi="Book Antiqua" w:cs="Book Antiqua"/>
          <w:b/>
          <w:bCs/>
        </w:rPr>
        <w:t>5</w:t>
      </w:r>
      <w:r w:rsidRPr="00EA3F5E">
        <w:rPr>
          <w:rFonts w:ascii="Book Antiqua" w:hAnsi="Book Antiqua" w:cs="Book Antiqua"/>
        </w:rPr>
        <w:t>: 824-830 [PMID: 30998813 DOI: 10.1001/jamaoncol.2019.0270]</w:t>
      </w:r>
    </w:p>
    <w:p w14:paraId="429581CD"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12 </w:t>
      </w:r>
      <w:r w:rsidRPr="00EA3F5E">
        <w:rPr>
          <w:rFonts w:ascii="Book Antiqua" w:hAnsi="Book Antiqua" w:cs="Book Antiqua"/>
          <w:b/>
          <w:bCs/>
        </w:rPr>
        <w:t>Reck M</w:t>
      </w:r>
      <w:r w:rsidRPr="00EA3F5E">
        <w:rPr>
          <w:rFonts w:ascii="Book Antiqua" w:hAnsi="Book Antiqua" w:cs="Book Antiqua"/>
        </w:rPr>
        <w:t xml:space="preserve">, Rodríguez-Abreu D, Robinson AG, Hui R, Csőszi T, Fülöp A, Gottfried M, Peled N, Tafreshi A, Cuffe S, O'Brien M, Rao S, Hotta K, Vandormael K, Riccio A, Yang J, Pietanza MC, Brahmer JR. Updated Analysis of KEYNOTE-024: Pembrolizumab Versus Platinum-Based Chemotherapy for Advanced Non-Small-Cell Lung Cancer With PD-L1 Tumor Proportion Score of 50% or Greater. </w:t>
      </w:r>
      <w:r w:rsidRPr="00EA3F5E">
        <w:rPr>
          <w:rFonts w:ascii="Book Antiqua" w:hAnsi="Book Antiqua" w:cs="Book Antiqua"/>
          <w:i/>
          <w:iCs/>
        </w:rPr>
        <w:t>J Clin Oncol</w:t>
      </w:r>
      <w:r w:rsidRPr="00EA3F5E">
        <w:rPr>
          <w:rFonts w:ascii="Book Antiqua" w:hAnsi="Book Antiqua" w:cs="Book Antiqua"/>
        </w:rPr>
        <w:t xml:space="preserve"> 2019; </w:t>
      </w:r>
      <w:r w:rsidRPr="00EA3F5E">
        <w:rPr>
          <w:rFonts w:ascii="Book Antiqua" w:hAnsi="Book Antiqua" w:cs="Book Antiqua"/>
          <w:b/>
          <w:bCs/>
        </w:rPr>
        <w:t>37</w:t>
      </w:r>
      <w:r w:rsidRPr="00EA3F5E">
        <w:rPr>
          <w:rFonts w:ascii="Book Antiqua" w:hAnsi="Book Antiqua" w:cs="Book Antiqua"/>
        </w:rPr>
        <w:t>: 537-546 [PMID: 30620668 DOI: 10.1200/JCO.18.00149]</w:t>
      </w:r>
    </w:p>
    <w:p w14:paraId="7CA17E72"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13 </w:t>
      </w:r>
      <w:r w:rsidRPr="00EA3F5E">
        <w:rPr>
          <w:rFonts w:ascii="Book Antiqua" w:hAnsi="Book Antiqua" w:cs="Book Antiqua"/>
          <w:b/>
          <w:bCs/>
        </w:rPr>
        <w:t>Marabelle A</w:t>
      </w:r>
      <w:r w:rsidRPr="00EA3F5E">
        <w:rPr>
          <w:rFonts w:ascii="Book Antiqua" w:hAnsi="Book Antiqua" w:cs="Book Antiqua"/>
        </w:rPr>
        <w:t xml:space="preserve">, Fakih M, Lopez J, Shah M, Shapira-Frommer R, Nakagawa K, Chung HC, Kindler HL, Lopez-Martin JA, Miller WH Jr, Italiano A, Kao S, Piha-Paul SA, Delord JP, McWilliams RR, Fabrizio DA, Aurora-Garg D, Xu L, Jin F, Norwood K, Bang YJ. Association of tumour mutational burden with outcomes in patients with advanced solid tumours treated with pembrolizumab: prospective biomarker analysis of the multicohort, open-label, phase 2 KEYNOTE-158 study. </w:t>
      </w:r>
      <w:r w:rsidRPr="00EA3F5E">
        <w:rPr>
          <w:rFonts w:ascii="Book Antiqua" w:hAnsi="Book Antiqua" w:cs="Book Antiqua"/>
          <w:i/>
          <w:iCs/>
        </w:rPr>
        <w:t>Lancet Oncol</w:t>
      </w:r>
      <w:r w:rsidRPr="00EA3F5E">
        <w:rPr>
          <w:rFonts w:ascii="Book Antiqua" w:hAnsi="Book Antiqua" w:cs="Book Antiqua"/>
        </w:rPr>
        <w:t xml:space="preserve"> 2020; </w:t>
      </w:r>
      <w:r w:rsidRPr="00EA3F5E">
        <w:rPr>
          <w:rFonts w:ascii="Book Antiqua" w:hAnsi="Book Antiqua" w:cs="Book Antiqua"/>
          <w:b/>
          <w:bCs/>
        </w:rPr>
        <w:t>21</w:t>
      </w:r>
      <w:r w:rsidRPr="00EA3F5E">
        <w:rPr>
          <w:rFonts w:ascii="Book Antiqua" w:hAnsi="Book Antiqua" w:cs="Book Antiqua"/>
        </w:rPr>
        <w:t>: 1353-1365 [PMID: 32919526 DOI: 10.1016/S1470-2045(20)30445-9]</w:t>
      </w:r>
    </w:p>
    <w:p w14:paraId="5A7CC79C"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lastRenderedPageBreak/>
        <w:t xml:space="preserve">14 </w:t>
      </w:r>
      <w:r w:rsidRPr="00EA3F5E">
        <w:rPr>
          <w:rFonts w:ascii="Book Antiqua" w:hAnsi="Book Antiqua" w:cs="Book Antiqua"/>
          <w:b/>
          <w:bCs/>
        </w:rPr>
        <w:t>André T</w:t>
      </w:r>
      <w:r w:rsidRPr="00EA3F5E">
        <w:rPr>
          <w:rFonts w:ascii="Book Antiqua" w:hAnsi="Book Antiqua" w:cs="Book Antiqua"/>
        </w:rPr>
        <w:t xml:space="preserve">, Shiu KK, Kim TW, Jensen BV, Jensen LH, Punt C, Smith D, Garcia-Carbonero R, Benavides M, Gibbs P, de la Fouchardiere C, Rivera F, Elez E, Bendell J, Le DT, Yoshino T, Van Cutsem E, Yang P, Farooqui MZH, Marinello P, Diaz LA Jr; KEYNOTE-177 Investigators. Pembrolizumab in Microsatellite-Instability-High Advanced Colorectal Cancer. </w:t>
      </w:r>
      <w:r w:rsidRPr="00EA3F5E">
        <w:rPr>
          <w:rFonts w:ascii="Book Antiqua" w:hAnsi="Book Antiqua" w:cs="Book Antiqua"/>
          <w:i/>
          <w:iCs/>
        </w:rPr>
        <w:t>N Engl J Med</w:t>
      </w:r>
      <w:r w:rsidRPr="00EA3F5E">
        <w:rPr>
          <w:rFonts w:ascii="Book Antiqua" w:hAnsi="Book Antiqua" w:cs="Book Antiqua"/>
        </w:rPr>
        <w:t xml:space="preserve"> 2020; </w:t>
      </w:r>
      <w:r w:rsidRPr="00EA3F5E">
        <w:rPr>
          <w:rFonts w:ascii="Book Antiqua" w:hAnsi="Book Antiqua" w:cs="Book Antiqua"/>
          <w:b/>
          <w:bCs/>
        </w:rPr>
        <w:t>383</w:t>
      </w:r>
      <w:r w:rsidRPr="00EA3F5E">
        <w:rPr>
          <w:rFonts w:ascii="Book Antiqua" w:hAnsi="Book Antiqua" w:cs="Book Antiqua"/>
        </w:rPr>
        <w:t>: 2207-2218 [PMID: 33264544 DOI: 10.1056/NEJMoa2017699]</w:t>
      </w:r>
    </w:p>
    <w:p w14:paraId="0002909B" w14:textId="77777777" w:rsidR="00AB5C59" w:rsidRPr="00EA3F5E" w:rsidRDefault="00FD4637">
      <w:pPr>
        <w:spacing w:line="360" w:lineRule="auto"/>
        <w:jc w:val="both"/>
        <w:rPr>
          <w:rFonts w:ascii="Book Antiqua" w:hAnsi="Book Antiqua" w:cs="Book Antiqua"/>
          <w:color w:val="000000" w:themeColor="text1"/>
        </w:rPr>
      </w:pPr>
      <w:r w:rsidRPr="00EA3F5E">
        <w:rPr>
          <w:rFonts w:ascii="Book Antiqua" w:hAnsi="Book Antiqua" w:cs="Book Antiqua"/>
          <w:color w:val="000000" w:themeColor="text1"/>
        </w:rPr>
        <w:t xml:space="preserve">15 </w:t>
      </w:r>
      <w:r w:rsidRPr="00EA3F5E">
        <w:rPr>
          <w:rFonts w:ascii="Book Antiqua" w:hAnsi="Book Antiqua" w:cs="Book Antiqua"/>
          <w:b/>
          <w:bCs/>
          <w:color w:val="000000" w:themeColor="text1"/>
        </w:rPr>
        <w:t>Oh DY,</w:t>
      </w:r>
      <w:r w:rsidRPr="00EA3F5E">
        <w:rPr>
          <w:rFonts w:ascii="Book Antiqua" w:hAnsi="Book Antiqua" w:cs="Book Antiqua"/>
          <w:color w:val="000000" w:themeColor="text1"/>
        </w:rPr>
        <w:t xml:space="preserve"> He AR, Qin S, Chen LT, Okusaka T, Vogel A</w:t>
      </w:r>
      <w:r w:rsidRPr="00EA3F5E">
        <w:rPr>
          <w:rFonts w:ascii="Book Antiqua" w:hAnsi="Book Antiqua" w:cs="Book Antiqua"/>
          <w:color w:val="000000" w:themeColor="text1"/>
          <w:lang w:eastAsia="zh-CN"/>
        </w:rPr>
        <w:t>.</w:t>
      </w:r>
      <w:r w:rsidRPr="00EA3F5E">
        <w:rPr>
          <w:rFonts w:ascii="Book Antiqua" w:hAnsi="Book Antiqua" w:cs="Book Antiqua"/>
          <w:color w:val="000000" w:themeColor="text1"/>
        </w:rPr>
        <w:t xml:space="preserve"> A phase 3 randomized, double-blind, placebo-controlled study of durvalumab in combination with gemcitabine plus cisplatin (GemCis) in patients (pts) with advanced biliary tract cancer (BTC): TOPAZ-1. </w:t>
      </w:r>
      <w:r w:rsidRPr="00EA3F5E">
        <w:rPr>
          <w:rFonts w:ascii="Book Antiqua" w:hAnsi="Book Antiqua" w:cs="Book Antiqua"/>
          <w:i/>
          <w:iCs/>
          <w:color w:val="000000" w:themeColor="text1"/>
        </w:rPr>
        <w:t>ASCO Gastrointestinal Cancers Symposium</w:t>
      </w:r>
      <w:r w:rsidRPr="00EA3F5E">
        <w:rPr>
          <w:rFonts w:ascii="Book Antiqua" w:hAnsi="Book Antiqua" w:cs="Book Antiqua"/>
          <w:color w:val="000000" w:themeColor="text1"/>
        </w:rPr>
        <w:t xml:space="preserve"> 2022.</w:t>
      </w:r>
    </w:p>
    <w:p w14:paraId="7D72311E"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16 </w:t>
      </w:r>
      <w:r w:rsidRPr="00EA3F5E">
        <w:rPr>
          <w:rFonts w:ascii="Book Antiqua" w:hAnsi="Book Antiqua" w:cs="Book Antiqua"/>
          <w:b/>
          <w:bCs/>
        </w:rPr>
        <w:t>Rizzo A</w:t>
      </w:r>
      <w:r w:rsidRPr="00EA3F5E">
        <w:rPr>
          <w:rFonts w:ascii="Book Antiqua" w:hAnsi="Book Antiqua" w:cs="Book Antiqua"/>
        </w:rPr>
        <w:t xml:space="preserve">, Ricci AD, Brandi G. Durvalumab: an investigational anti-PD-L1 antibody for the treatment of biliary tract cancer. </w:t>
      </w:r>
      <w:r w:rsidRPr="00EA3F5E">
        <w:rPr>
          <w:rFonts w:ascii="Book Antiqua" w:hAnsi="Book Antiqua" w:cs="Book Antiqua"/>
          <w:i/>
          <w:iCs/>
        </w:rPr>
        <w:t>Expert Opin Investig Drugs</w:t>
      </w:r>
      <w:r w:rsidRPr="00EA3F5E">
        <w:rPr>
          <w:rFonts w:ascii="Book Antiqua" w:hAnsi="Book Antiqua" w:cs="Book Antiqua"/>
        </w:rPr>
        <w:t xml:space="preserve"> 2021; </w:t>
      </w:r>
      <w:r w:rsidRPr="00EA3F5E">
        <w:rPr>
          <w:rFonts w:ascii="Book Antiqua" w:hAnsi="Book Antiqua" w:cs="Book Antiqua"/>
          <w:b/>
          <w:bCs/>
        </w:rPr>
        <w:t>30</w:t>
      </w:r>
      <w:r w:rsidRPr="00EA3F5E">
        <w:rPr>
          <w:rFonts w:ascii="Book Antiqua" w:hAnsi="Book Antiqua" w:cs="Book Antiqua"/>
        </w:rPr>
        <w:t>: 343-350 [PMID: 33645367 DOI: 10.1080/13543784.2021.1897102]</w:t>
      </w:r>
    </w:p>
    <w:p w14:paraId="20D34F8D"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17 </w:t>
      </w:r>
      <w:r w:rsidRPr="00EA3F5E">
        <w:rPr>
          <w:rFonts w:ascii="Book Antiqua" w:hAnsi="Book Antiqua" w:cs="Book Antiqua"/>
          <w:b/>
          <w:bCs/>
        </w:rPr>
        <w:t>Lamarca A</w:t>
      </w:r>
      <w:r w:rsidRPr="00EA3F5E">
        <w:rPr>
          <w:rFonts w:ascii="Book Antiqua" w:hAnsi="Book Antiqua" w:cs="Book Antiqua"/>
        </w:rPr>
        <w:t xml:space="preserve">, Palmer DH, Wasan HS, Ross PJ, Ma YT, Arora A, Falk S, Gillmore R, Wadsley J, Patel K, Anthoney A, Maraveyas A, Iveson T, Waters JS, Hobbs C, Barber S, Ryder WD, Ramage J, Davies LM, Bridgewater JA, Valle JW; Advanced Biliary Cancer Working Group. Second-line FOLFOX chemotherapy versus active symptom control for advanced biliary tract cancer (ABC-06): a phase 3, open-label, randomised, controlled trial. </w:t>
      </w:r>
      <w:r w:rsidRPr="00EA3F5E">
        <w:rPr>
          <w:rFonts w:ascii="Book Antiqua" w:hAnsi="Book Antiqua" w:cs="Book Antiqua"/>
          <w:i/>
          <w:iCs/>
        </w:rPr>
        <w:t>Lancet Oncol</w:t>
      </w:r>
      <w:r w:rsidRPr="00EA3F5E">
        <w:rPr>
          <w:rFonts w:ascii="Book Antiqua" w:hAnsi="Book Antiqua" w:cs="Book Antiqua"/>
        </w:rPr>
        <w:t xml:space="preserve"> 2021; </w:t>
      </w:r>
      <w:r w:rsidRPr="00EA3F5E">
        <w:rPr>
          <w:rFonts w:ascii="Book Antiqua" w:hAnsi="Book Antiqua" w:cs="Book Antiqua"/>
          <w:b/>
          <w:bCs/>
        </w:rPr>
        <w:t>22</w:t>
      </w:r>
      <w:r w:rsidRPr="00EA3F5E">
        <w:rPr>
          <w:rFonts w:ascii="Book Antiqua" w:hAnsi="Book Antiqua" w:cs="Book Antiqua"/>
        </w:rPr>
        <w:t>: 690-701 [PMID: 33798493 DOI: 10.1016/S1470-2045(21)00027-9]</w:t>
      </w:r>
    </w:p>
    <w:p w14:paraId="659F9B07"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18 </w:t>
      </w:r>
      <w:r w:rsidRPr="00EA3F5E">
        <w:rPr>
          <w:rFonts w:ascii="Book Antiqua" w:hAnsi="Book Antiqua" w:cs="Book Antiqua"/>
          <w:b/>
          <w:bCs/>
        </w:rPr>
        <w:t>Yoo C</w:t>
      </w:r>
      <w:r w:rsidRPr="00EA3F5E">
        <w:rPr>
          <w:rFonts w:ascii="Book Antiqua" w:hAnsi="Book Antiqua" w:cs="Book Antiqua"/>
        </w:rPr>
        <w:t xml:space="preserve">, Kim KP, Jeong JH, Kim I, Kang MJ, Cheon J, Kang BW, Ryu H, Lee JS, Kim KW, Abou-Alfa GK, Ryoo BY. Liposomal irinotecan plus fluorouracil and leucovorin versus fluorouracil and leucovorin for metastatic biliary tract cancer after progression on gemcitabine plus cisplatin (NIFTY): a multicentre, open-label, randomised, phase 2b study. </w:t>
      </w:r>
      <w:r w:rsidRPr="00EA3F5E">
        <w:rPr>
          <w:rFonts w:ascii="Book Antiqua" w:hAnsi="Book Antiqua" w:cs="Book Antiqua"/>
          <w:i/>
          <w:iCs/>
        </w:rPr>
        <w:t>Lancet Oncol</w:t>
      </w:r>
      <w:r w:rsidRPr="00EA3F5E">
        <w:rPr>
          <w:rFonts w:ascii="Book Antiqua" w:hAnsi="Book Antiqua" w:cs="Book Antiqua"/>
        </w:rPr>
        <w:t xml:space="preserve"> 2021; </w:t>
      </w:r>
      <w:r w:rsidRPr="00EA3F5E">
        <w:rPr>
          <w:rFonts w:ascii="Book Antiqua" w:hAnsi="Book Antiqua" w:cs="Book Antiqua"/>
          <w:b/>
          <w:bCs/>
        </w:rPr>
        <w:t>22</w:t>
      </w:r>
      <w:r w:rsidRPr="00EA3F5E">
        <w:rPr>
          <w:rFonts w:ascii="Book Antiqua" w:hAnsi="Book Antiqua" w:cs="Book Antiqua"/>
        </w:rPr>
        <w:t>: 1560-1572 [PMID: 34656226 DOI: 10.1016/S1470-2045(21)00486-1]</w:t>
      </w:r>
    </w:p>
    <w:p w14:paraId="370B4E55" w14:textId="77777777" w:rsidR="00AB5C59" w:rsidRPr="00EA3F5E" w:rsidRDefault="00FD4637">
      <w:pPr>
        <w:spacing w:line="360" w:lineRule="auto"/>
        <w:jc w:val="both"/>
        <w:rPr>
          <w:rFonts w:ascii="Book Antiqua" w:eastAsia="Book Antiqua" w:hAnsi="Book Antiqua" w:cs="Book Antiqua"/>
          <w:color w:val="000000"/>
          <w:lang w:eastAsia="zh-CN"/>
        </w:rPr>
      </w:pPr>
      <w:r w:rsidRPr="00EA3F5E">
        <w:rPr>
          <w:rFonts w:ascii="Book Antiqua" w:hAnsi="Book Antiqua" w:cs="Book Antiqua"/>
        </w:rPr>
        <w:t xml:space="preserve">19 </w:t>
      </w:r>
      <w:r w:rsidRPr="00EA3F5E">
        <w:rPr>
          <w:rFonts w:ascii="Book Antiqua" w:hAnsi="Book Antiqua" w:cs="Book Antiqua"/>
          <w:b/>
          <w:bCs/>
        </w:rPr>
        <w:t>Kendall T</w:t>
      </w:r>
      <w:r w:rsidRPr="00EA3F5E">
        <w:rPr>
          <w:rFonts w:ascii="Book Antiqua" w:hAnsi="Book Antiqua" w:cs="Book Antiqua"/>
        </w:rPr>
        <w:t xml:space="preserve">, Verheij J, Gaudio E, Evert M, Guido M, Goeppert B, Carpino G. Anatomical, histomorphological and molecular classification of cholangiocarcinoma. </w:t>
      </w:r>
      <w:r w:rsidRPr="00EA3F5E">
        <w:rPr>
          <w:rFonts w:ascii="Book Antiqua" w:hAnsi="Book Antiqua" w:cs="Book Antiqua"/>
          <w:i/>
          <w:iCs/>
        </w:rPr>
        <w:t>Liver Int</w:t>
      </w:r>
      <w:r w:rsidRPr="00EA3F5E">
        <w:rPr>
          <w:rFonts w:ascii="Book Antiqua" w:hAnsi="Book Antiqua" w:cs="Book Antiqua"/>
        </w:rPr>
        <w:t xml:space="preserve"> 2019; </w:t>
      </w:r>
      <w:r w:rsidRPr="00EA3F5E">
        <w:rPr>
          <w:rFonts w:ascii="Book Antiqua" w:hAnsi="Book Antiqua" w:cs="Book Antiqua"/>
          <w:b/>
          <w:bCs/>
        </w:rPr>
        <w:t>39 Suppl 1</w:t>
      </w:r>
      <w:r w:rsidRPr="00EA3F5E">
        <w:rPr>
          <w:rFonts w:ascii="Book Antiqua" w:hAnsi="Book Antiqua" w:cs="Book Antiqua"/>
        </w:rPr>
        <w:t xml:space="preserve">: 7-18 [PMID: 30882996 </w:t>
      </w:r>
      <w:r w:rsidRPr="00EA3F5E">
        <w:rPr>
          <w:rFonts w:ascii="Book Antiqua" w:eastAsia="Book Antiqua" w:hAnsi="Book Antiqua" w:cs="Book Antiqua"/>
          <w:color w:val="000000"/>
        </w:rPr>
        <w:t>DOI: 10.1111/</w:t>
      </w:r>
      <w:r w:rsidRPr="00EA3F5E">
        <w:rPr>
          <w:rFonts w:ascii="Book Antiqua" w:eastAsia="Book Antiqua" w:hAnsi="Book Antiqua" w:cs="Book Antiqua"/>
          <w:color w:val="000000"/>
          <w:lang w:eastAsia="zh-CN"/>
        </w:rPr>
        <w:t>l</w:t>
      </w:r>
      <w:r w:rsidRPr="00EA3F5E">
        <w:rPr>
          <w:rFonts w:ascii="Book Antiqua" w:eastAsia="Book Antiqua" w:hAnsi="Book Antiqua" w:cs="Book Antiqua"/>
          <w:color w:val="000000"/>
        </w:rPr>
        <w:t>iv.14093]</w:t>
      </w:r>
      <w:r w:rsidRPr="00EA3F5E">
        <w:rPr>
          <w:rFonts w:ascii="Book Antiqua" w:eastAsia="Book Antiqua" w:hAnsi="Book Antiqua" w:cs="Book Antiqua"/>
          <w:color w:val="000000"/>
          <w:lang w:eastAsia="zh-CN"/>
        </w:rPr>
        <w:t xml:space="preserve"> </w:t>
      </w:r>
    </w:p>
    <w:p w14:paraId="47C8F735"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lastRenderedPageBreak/>
        <w:t xml:space="preserve">20 </w:t>
      </w:r>
      <w:r w:rsidRPr="00EA3F5E">
        <w:rPr>
          <w:rFonts w:ascii="Book Antiqua" w:eastAsia="Book Antiqua" w:hAnsi="Book Antiqua" w:cs="Book Antiqua"/>
          <w:b/>
          <w:bCs/>
          <w:color w:val="000000"/>
        </w:rPr>
        <w:t>Kelley RK</w:t>
      </w:r>
      <w:r w:rsidRPr="00EA3F5E">
        <w:rPr>
          <w:rFonts w:ascii="Book Antiqua" w:eastAsia="Book Antiqua" w:hAnsi="Book Antiqua" w:cs="Book Antiqua"/>
          <w:color w:val="000000"/>
        </w:rPr>
        <w:t xml:space="preserve">, Bridgewater J, Gores GJ, Zhu AX. Systemic therapies for intrahepatic cholangiocarcinoma. J Hepatol 2020; 72: 353-363 [PMID: </w:t>
      </w:r>
      <w:r w:rsidRPr="00EA3F5E">
        <w:rPr>
          <w:rFonts w:ascii="Book Antiqua" w:hAnsi="Book Antiqua" w:cs="Book Antiqua"/>
        </w:rPr>
        <w:t>31954497 DOI: 10.1016/j.jhep.2019.10.009]</w:t>
      </w:r>
    </w:p>
    <w:p w14:paraId="03C08E6A"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21 </w:t>
      </w:r>
      <w:r w:rsidRPr="00EA3F5E">
        <w:rPr>
          <w:rFonts w:ascii="Book Antiqua" w:hAnsi="Book Antiqua" w:cs="Book Antiqua"/>
          <w:b/>
          <w:bCs/>
        </w:rPr>
        <w:t>Rizzo A</w:t>
      </w:r>
      <w:r w:rsidRPr="00EA3F5E">
        <w:rPr>
          <w:rFonts w:ascii="Book Antiqua" w:hAnsi="Book Antiqua" w:cs="Book Antiqua"/>
        </w:rPr>
        <w:t xml:space="preserve">, Ricci AD, Brandi G. Pemigatinib: Hot topics behind the first approval of a targeted therapy in cholangiocarcinoma. </w:t>
      </w:r>
      <w:r w:rsidRPr="00EA3F5E">
        <w:rPr>
          <w:rFonts w:ascii="Book Antiqua" w:hAnsi="Book Antiqua" w:cs="Book Antiqua"/>
          <w:i/>
          <w:iCs/>
        </w:rPr>
        <w:t>Cancer Treat Res Commun</w:t>
      </w:r>
      <w:r w:rsidRPr="00EA3F5E">
        <w:rPr>
          <w:rFonts w:ascii="Book Antiqua" w:hAnsi="Book Antiqua" w:cs="Book Antiqua"/>
        </w:rPr>
        <w:t xml:space="preserve"> 2021; </w:t>
      </w:r>
      <w:r w:rsidRPr="00EA3F5E">
        <w:rPr>
          <w:rFonts w:ascii="Book Antiqua" w:hAnsi="Book Antiqua" w:cs="Book Antiqua"/>
          <w:b/>
          <w:bCs/>
        </w:rPr>
        <w:t>27</w:t>
      </w:r>
      <w:r w:rsidRPr="00EA3F5E">
        <w:rPr>
          <w:rFonts w:ascii="Book Antiqua" w:hAnsi="Book Antiqua" w:cs="Book Antiqua"/>
        </w:rPr>
        <w:t>: 100337 [PMID: 33611090 DOI: 10.1016/j.ctarc.2021.100337]</w:t>
      </w:r>
    </w:p>
    <w:p w14:paraId="0D242A0A"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22 </w:t>
      </w:r>
      <w:r w:rsidRPr="00EA3F5E">
        <w:rPr>
          <w:rFonts w:ascii="Book Antiqua" w:hAnsi="Book Antiqua" w:cs="Book Antiqua"/>
          <w:b/>
          <w:bCs/>
        </w:rPr>
        <w:t>Gbolahan O</w:t>
      </w:r>
      <w:r w:rsidRPr="00EA3F5E">
        <w:rPr>
          <w:rFonts w:ascii="Book Antiqua" w:hAnsi="Book Antiqua" w:cs="Book Antiqua"/>
        </w:rPr>
        <w:t xml:space="preserve">, Hashemi-Sadraei N, O'Neil B. Prolonged Response to Anti-PD-1 Antibody Therapy in Chemotherapy-Refractory Cholangiocarcinoma With High Tumor Mutational Burden. </w:t>
      </w:r>
      <w:r w:rsidRPr="00EA3F5E">
        <w:rPr>
          <w:rFonts w:ascii="Book Antiqua" w:hAnsi="Book Antiqua" w:cs="Book Antiqua"/>
          <w:i/>
          <w:iCs/>
        </w:rPr>
        <w:t>J Natl Compr Canc Netw</w:t>
      </w:r>
      <w:r w:rsidRPr="00EA3F5E">
        <w:rPr>
          <w:rFonts w:ascii="Book Antiqua" w:hAnsi="Book Antiqua" w:cs="Book Antiqua"/>
        </w:rPr>
        <w:t xml:space="preserve"> 2019; </w:t>
      </w:r>
      <w:r w:rsidRPr="00EA3F5E">
        <w:rPr>
          <w:rFonts w:ascii="Book Antiqua" w:hAnsi="Book Antiqua" w:cs="Book Antiqua"/>
          <w:b/>
          <w:bCs/>
        </w:rPr>
        <w:t>17</w:t>
      </w:r>
      <w:r w:rsidRPr="00EA3F5E">
        <w:rPr>
          <w:rFonts w:ascii="Book Antiqua" w:hAnsi="Book Antiqua" w:cs="Book Antiqua"/>
        </w:rPr>
        <w:t>: 644-648 [PMID: 31200359 DOI: 10.6004/jnccn.2019.7304]</w:t>
      </w:r>
    </w:p>
    <w:p w14:paraId="3F6D7795"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23 </w:t>
      </w:r>
      <w:r w:rsidRPr="00EA3F5E">
        <w:rPr>
          <w:rFonts w:ascii="Book Antiqua" w:hAnsi="Book Antiqua" w:cs="Book Antiqua"/>
          <w:b/>
          <w:bCs/>
        </w:rPr>
        <w:t>Nakamura M</w:t>
      </w:r>
      <w:r w:rsidRPr="00EA3F5E">
        <w:rPr>
          <w:rFonts w:ascii="Book Antiqua" w:hAnsi="Book Antiqua" w:cs="Book Antiqua"/>
        </w:rPr>
        <w:t xml:space="preserve">, Ueno M, Hayami S, Kawai M, Miyamoto A, Suzaki N, Hirono S, Okada KI, Miyazawa M, Kitahata Y, Kobayashi R, Kojima F, Yamaue H. Effective Response of Intrahepatic Cholangiocarcinoma to Pembrolizumab: A Case Report. </w:t>
      </w:r>
      <w:r w:rsidRPr="00EA3F5E">
        <w:rPr>
          <w:rFonts w:ascii="Book Antiqua" w:hAnsi="Book Antiqua" w:cs="Book Antiqua"/>
          <w:i/>
          <w:iCs/>
        </w:rPr>
        <w:t>Anticancer Res</w:t>
      </w:r>
      <w:r w:rsidRPr="00EA3F5E">
        <w:rPr>
          <w:rFonts w:ascii="Book Antiqua" w:hAnsi="Book Antiqua" w:cs="Book Antiqua"/>
        </w:rPr>
        <w:t xml:space="preserve"> 2020; </w:t>
      </w:r>
      <w:r w:rsidRPr="00EA3F5E">
        <w:rPr>
          <w:rFonts w:ascii="Book Antiqua" w:hAnsi="Book Antiqua" w:cs="Book Antiqua"/>
          <w:b/>
          <w:bCs/>
        </w:rPr>
        <w:t>40</w:t>
      </w:r>
      <w:r w:rsidRPr="00EA3F5E">
        <w:rPr>
          <w:rFonts w:ascii="Book Antiqua" w:hAnsi="Book Antiqua" w:cs="Book Antiqua"/>
        </w:rPr>
        <w:t>: 4123-4129 [PMID: 32620661 DOI: 10.21873/anticanres.14411]</w:t>
      </w:r>
    </w:p>
    <w:p w14:paraId="65916093"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24 </w:t>
      </w:r>
      <w:r w:rsidRPr="00EA3F5E">
        <w:rPr>
          <w:rFonts w:ascii="Book Antiqua" w:hAnsi="Book Antiqua" w:cs="Book Antiqua"/>
          <w:b/>
          <w:bCs/>
        </w:rPr>
        <w:t>Job S</w:t>
      </w:r>
      <w:r w:rsidRPr="00EA3F5E">
        <w:rPr>
          <w:rFonts w:ascii="Book Antiqua" w:hAnsi="Book Antiqua" w:cs="Book Antiqua"/>
        </w:rPr>
        <w:t xml:space="preserve">, Rapoud D, Dos Santos A, Gonzalez P, Desterke C, Pascal G, Elarouci N, Ayadi M, Adam R, Azoulay D, Castaing D, Vibert E, Cherqui D, Samuel D, Sa Cuhna A, Marchio A, Pineau P, Guettier C, de Reyniès A, Faivre J. Identification of Four Immune Subtypes Characterized by Distinct Composition and Functions of Tumor Microenvironment in Intrahepatic Cholangiocarcinoma. </w:t>
      </w:r>
      <w:r w:rsidRPr="00EA3F5E">
        <w:rPr>
          <w:rFonts w:ascii="Book Antiqua" w:hAnsi="Book Antiqua" w:cs="Book Antiqua"/>
          <w:i/>
          <w:iCs/>
        </w:rPr>
        <w:t>Hepatology</w:t>
      </w:r>
      <w:r w:rsidRPr="00EA3F5E">
        <w:rPr>
          <w:rFonts w:ascii="Book Antiqua" w:hAnsi="Book Antiqua" w:cs="Book Antiqua"/>
        </w:rPr>
        <w:t xml:space="preserve"> 2020; </w:t>
      </w:r>
      <w:r w:rsidRPr="00EA3F5E">
        <w:rPr>
          <w:rFonts w:ascii="Book Antiqua" w:hAnsi="Book Antiqua" w:cs="Book Antiqua"/>
          <w:b/>
          <w:bCs/>
        </w:rPr>
        <w:t>72</w:t>
      </w:r>
      <w:r w:rsidRPr="00EA3F5E">
        <w:rPr>
          <w:rFonts w:ascii="Book Antiqua" w:hAnsi="Book Antiqua" w:cs="Book Antiqua"/>
        </w:rPr>
        <w:t>: 965-981 [PMID: 31875970 DOI: 10.1002/hep.31092]</w:t>
      </w:r>
    </w:p>
    <w:p w14:paraId="1532D241"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25 </w:t>
      </w:r>
      <w:r w:rsidRPr="00EA3F5E">
        <w:rPr>
          <w:rFonts w:ascii="Book Antiqua" w:hAnsi="Book Antiqua" w:cs="Book Antiqua"/>
          <w:b/>
          <w:bCs/>
        </w:rPr>
        <w:t>Dong L</w:t>
      </w:r>
      <w:r w:rsidRPr="00EA3F5E">
        <w:rPr>
          <w:rFonts w:ascii="Book Antiqua" w:hAnsi="Book Antiqua" w:cs="Book Antiqua"/>
        </w:rPr>
        <w:t xml:space="preserve">, Lu D, Chen R, Lin Y, Zhu H, Zhang Z, Cai S, Cui P, Song G, Rao D, Yi X, Wu Y, Song N, Liu F, Zou Y, Zhang S, Zhang X, Wang X, Qiu S, Zhou J, Wang S, Zhang X, Shi Y, Figeys D, Ding L, Wang P, Zhang B, Rodriguez H, Gao Q, Gao D, Zhou H, Fan J. Proteogenomic characterization identifies clinically relevant subgroups of intrahepatic cholangiocarcinoma. </w:t>
      </w:r>
      <w:r w:rsidRPr="00EA3F5E">
        <w:rPr>
          <w:rFonts w:ascii="Book Antiqua" w:hAnsi="Book Antiqua" w:cs="Book Antiqua"/>
          <w:i/>
          <w:iCs/>
        </w:rPr>
        <w:t>Cancer Cell</w:t>
      </w:r>
      <w:r w:rsidRPr="00EA3F5E">
        <w:rPr>
          <w:rFonts w:ascii="Book Antiqua" w:hAnsi="Book Antiqua" w:cs="Book Antiqua"/>
        </w:rPr>
        <w:t xml:space="preserve"> 2022; </w:t>
      </w:r>
      <w:r w:rsidRPr="00EA3F5E">
        <w:rPr>
          <w:rFonts w:ascii="Book Antiqua" w:hAnsi="Book Antiqua" w:cs="Book Antiqua"/>
          <w:b/>
          <w:bCs/>
        </w:rPr>
        <w:t>40</w:t>
      </w:r>
      <w:r w:rsidRPr="00EA3F5E">
        <w:rPr>
          <w:rFonts w:ascii="Book Antiqua" w:hAnsi="Book Antiqua" w:cs="Book Antiqua"/>
        </w:rPr>
        <w:t>: 70-87.e15 [PMID: 34971568 DOI: 10.1016/j.ccell.2021.12.006]</w:t>
      </w:r>
    </w:p>
    <w:p w14:paraId="59B8BBD6"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26 </w:t>
      </w:r>
      <w:r w:rsidRPr="00EA3F5E">
        <w:rPr>
          <w:rFonts w:ascii="Book Antiqua" w:hAnsi="Book Antiqua" w:cs="Book Antiqua"/>
          <w:b/>
          <w:bCs/>
        </w:rPr>
        <w:t>Spizzo G</w:t>
      </w:r>
      <w:r w:rsidRPr="00EA3F5E">
        <w:rPr>
          <w:rFonts w:ascii="Book Antiqua" w:hAnsi="Book Antiqua" w:cs="Book Antiqua"/>
        </w:rPr>
        <w:t xml:space="preserve">, Puccini A, Xiu J, Goldberg RM, Grothey A, Shields AF, Arora SP, Khushman M, Salem ME, Battaglin F, Baca Y, El-Deiry WS, Philip PA, Nassem M, Hall M, Marshall JL, Kocher F, Amann A, Wolf D, Korn WM, Lenz HJ, Seeber A. Molecular </w:t>
      </w:r>
      <w:r w:rsidRPr="00EA3F5E">
        <w:rPr>
          <w:rFonts w:ascii="Book Antiqua" w:hAnsi="Book Antiqua" w:cs="Book Antiqua"/>
        </w:rPr>
        <w:lastRenderedPageBreak/>
        <w:t xml:space="preserve">profile of BRCA-mutated biliary tract cancers. </w:t>
      </w:r>
      <w:r w:rsidRPr="00EA3F5E">
        <w:rPr>
          <w:rFonts w:ascii="Book Antiqua" w:hAnsi="Book Antiqua" w:cs="Book Antiqua"/>
          <w:i/>
          <w:iCs/>
        </w:rPr>
        <w:t>ESMO Open</w:t>
      </w:r>
      <w:r w:rsidRPr="00EA3F5E">
        <w:rPr>
          <w:rFonts w:ascii="Book Antiqua" w:hAnsi="Book Antiqua" w:cs="Book Antiqua"/>
        </w:rPr>
        <w:t xml:space="preserve"> 2020; </w:t>
      </w:r>
      <w:r w:rsidRPr="00EA3F5E">
        <w:rPr>
          <w:rFonts w:ascii="Book Antiqua" w:hAnsi="Book Antiqua" w:cs="Book Antiqua"/>
          <w:b/>
          <w:bCs/>
        </w:rPr>
        <w:t>5</w:t>
      </w:r>
      <w:r w:rsidRPr="00EA3F5E">
        <w:rPr>
          <w:rFonts w:ascii="Book Antiqua" w:hAnsi="Book Antiqua" w:cs="Book Antiqua"/>
        </w:rPr>
        <w:t>: e000682 [PMID: 32576609 DOI: 10.1136/esmoopen-2020-000682]</w:t>
      </w:r>
    </w:p>
    <w:p w14:paraId="1F0AF1BD"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27 </w:t>
      </w:r>
      <w:r w:rsidRPr="00EA3F5E">
        <w:rPr>
          <w:rFonts w:ascii="Book Antiqua" w:hAnsi="Book Antiqua" w:cs="Book Antiqua"/>
          <w:b/>
          <w:bCs/>
        </w:rPr>
        <w:t>Mehta R</w:t>
      </w:r>
      <w:r w:rsidRPr="00EA3F5E">
        <w:rPr>
          <w:rFonts w:ascii="Book Antiqua" w:hAnsi="Book Antiqua" w:cs="Book Antiqua"/>
        </w:rPr>
        <w:t xml:space="preserve">, Wood AC, Yu J, Kim R. Investigational PARP inhibitors for the treatment of biliary tract cancer: spotlight on preclinical and clinical studies. </w:t>
      </w:r>
      <w:r w:rsidRPr="00EA3F5E">
        <w:rPr>
          <w:rFonts w:ascii="Book Antiqua" w:hAnsi="Book Antiqua" w:cs="Book Antiqua"/>
          <w:i/>
          <w:iCs/>
        </w:rPr>
        <w:t>Expert Opin Investig Drugs</w:t>
      </w:r>
      <w:r w:rsidRPr="00EA3F5E">
        <w:rPr>
          <w:rFonts w:ascii="Book Antiqua" w:hAnsi="Book Antiqua" w:cs="Book Antiqua"/>
        </w:rPr>
        <w:t xml:space="preserve"> 2021; </w:t>
      </w:r>
      <w:r w:rsidRPr="00EA3F5E">
        <w:rPr>
          <w:rFonts w:ascii="Book Antiqua" w:hAnsi="Book Antiqua" w:cs="Book Antiqua"/>
          <w:b/>
          <w:bCs/>
        </w:rPr>
        <w:t>30</w:t>
      </w:r>
      <w:r w:rsidRPr="00EA3F5E">
        <w:rPr>
          <w:rFonts w:ascii="Book Antiqua" w:hAnsi="Book Antiqua" w:cs="Book Antiqua"/>
        </w:rPr>
        <w:t>: 451-461 [PMID: 33660569 DOI: 10.1080/13543784.2021.1898586]</w:t>
      </w:r>
    </w:p>
    <w:p w14:paraId="01E88FD8"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28 </w:t>
      </w:r>
      <w:r w:rsidRPr="00EA3F5E">
        <w:rPr>
          <w:rFonts w:ascii="Book Antiqua" w:hAnsi="Book Antiqua" w:cs="Book Antiqua"/>
          <w:b/>
          <w:bCs/>
        </w:rPr>
        <w:t>Rizvi NA</w:t>
      </w:r>
      <w:r w:rsidRPr="00EA3F5E">
        <w:rPr>
          <w:rFonts w:ascii="Book Antiqua" w:hAnsi="Book Antiqua" w:cs="Book Antiqua"/>
        </w:rPr>
        <w:t xml:space="preserve">, Hellmann MD, Brahmer JR, Juergens RA, Borghaei H, Gettinger S, Chow LQ, Gerber DE, Laurie SA, Goldman JW, Shepherd FA, Chen AC, Shen Y, Nathan FE, Harbison CT, Antonia S. Nivolumab in Combination With Platinum-Based Doublet Chemotherapy for First-Line Treatment of Advanced Non-Small-Cell Lung Cancer. </w:t>
      </w:r>
      <w:r w:rsidRPr="00EA3F5E">
        <w:rPr>
          <w:rFonts w:ascii="Book Antiqua" w:hAnsi="Book Antiqua" w:cs="Book Antiqua"/>
          <w:i/>
          <w:iCs/>
        </w:rPr>
        <w:t>J Clin Oncol</w:t>
      </w:r>
      <w:r w:rsidRPr="00EA3F5E">
        <w:rPr>
          <w:rFonts w:ascii="Book Antiqua" w:hAnsi="Book Antiqua" w:cs="Book Antiqua"/>
        </w:rPr>
        <w:t xml:space="preserve"> 2016; </w:t>
      </w:r>
      <w:r w:rsidRPr="00EA3F5E">
        <w:rPr>
          <w:rFonts w:ascii="Book Antiqua" w:hAnsi="Book Antiqua" w:cs="Book Antiqua"/>
          <w:b/>
          <w:bCs/>
        </w:rPr>
        <w:t>34</w:t>
      </w:r>
      <w:r w:rsidRPr="00EA3F5E">
        <w:rPr>
          <w:rFonts w:ascii="Book Antiqua" w:hAnsi="Book Antiqua" w:cs="Book Antiqua"/>
        </w:rPr>
        <w:t>: 2969-2979 [PMID: 27354481 DOI: 10.1200/JCO.2016.66.9861]</w:t>
      </w:r>
    </w:p>
    <w:p w14:paraId="51E2FD14"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29 </w:t>
      </w:r>
      <w:r w:rsidRPr="00EA3F5E">
        <w:rPr>
          <w:rFonts w:ascii="Book Antiqua" w:hAnsi="Book Antiqua" w:cs="Book Antiqua"/>
          <w:b/>
          <w:bCs/>
        </w:rPr>
        <w:t>Weiss GJ</w:t>
      </w:r>
      <w:r w:rsidRPr="00EA3F5E">
        <w:rPr>
          <w:rFonts w:ascii="Book Antiqua" w:hAnsi="Book Antiqua" w:cs="Book Antiqua"/>
        </w:rPr>
        <w:t xml:space="preserve">, Waypa J, Blaydorn L, Coats J, McGahey K, Sangal A, Niu J, Lynch CA, Farley JH, Khemka V. A phase Ib study of pembrolizumab plus chemotherapy in patients with advanced cancer (PembroPlus). </w:t>
      </w:r>
      <w:r w:rsidRPr="00EA3F5E">
        <w:rPr>
          <w:rFonts w:ascii="Book Antiqua" w:hAnsi="Book Antiqua" w:cs="Book Antiqua"/>
          <w:i/>
          <w:iCs/>
        </w:rPr>
        <w:t>Br J Cancer</w:t>
      </w:r>
      <w:r w:rsidRPr="00EA3F5E">
        <w:rPr>
          <w:rFonts w:ascii="Book Antiqua" w:hAnsi="Book Antiqua" w:cs="Book Antiqua"/>
        </w:rPr>
        <w:t xml:space="preserve"> 2017; </w:t>
      </w:r>
      <w:r w:rsidRPr="00EA3F5E">
        <w:rPr>
          <w:rFonts w:ascii="Book Antiqua" w:hAnsi="Book Antiqua" w:cs="Book Antiqua"/>
          <w:b/>
          <w:bCs/>
        </w:rPr>
        <w:t>117</w:t>
      </w:r>
      <w:r w:rsidRPr="00EA3F5E">
        <w:rPr>
          <w:rFonts w:ascii="Book Antiqua" w:hAnsi="Book Antiqua" w:cs="Book Antiqua"/>
        </w:rPr>
        <w:t>: 33-40 [PMID: 28588322 DOI: 10.1038/bjc.2017.145]</w:t>
      </w:r>
    </w:p>
    <w:p w14:paraId="0C13B72C"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30 </w:t>
      </w:r>
      <w:r w:rsidRPr="00EA3F5E">
        <w:rPr>
          <w:rFonts w:ascii="Book Antiqua" w:hAnsi="Book Antiqua" w:cs="Book Antiqua"/>
          <w:b/>
          <w:bCs/>
        </w:rPr>
        <w:t>Pfirschke C</w:t>
      </w:r>
      <w:r w:rsidRPr="00EA3F5E">
        <w:rPr>
          <w:rFonts w:ascii="Book Antiqua" w:hAnsi="Book Antiqua" w:cs="Book Antiqua"/>
        </w:rPr>
        <w:t xml:space="preserve">, Engblom C, Rickelt S, Cortez-Retamozo V, Garris C, Pucci F, Yamazaki T, Poirier-Colame V, Newton A, Redouane Y, Lin YJ, Wojtkiewicz G, Iwamoto Y, Mino-Kenudson M, Huynh TG, Hynes RO, Freeman GJ, Kroemer G, Zitvogel L, Weissleder R, Pittet MJ. Immunogenic Chemotherapy Sensitizes Tumors to Checkpoint Blockade Therapy. </w:t>
      </w:r>
      <w:r w:rsidRPr="00EA3F5E">
        <w:rPr>
          <w:rFonts w:ascii="Book Antiqua" w:hAnsi="Book Antiqua" w:cs="Book Antiqua"/>
          <w:i/>
          <w:iCs/>
        </w:rPr>
        <w:t>Immunity</w:t>
      </w:r>
      <w:r w:rsidRPr="00EA3F5E">
        <w:rPr>
          <w:rFonts w:ascii="Book Antiqua" w:hAnsi="Book Antiqua" w:cs="Book Antiqua"/>
        </w:rPr>
        <w:t xml:space="preserve"> 2016; </w:t>
      </w:r>
      <w:r w:rsidRPr="00EA3F5E">
        <w:rPr>
          <w:rFonts w:ascii="Book Antiqua" w:hAnsi="Book Antiqua" w:cs="Book Antiqua"/>
          <w:b/>
          <w:bCs/>
        </w:rPr>
        <w:t>44</w:t>
      </w:r>
      <w:r w:rsidRPr="00EA3F5E">
        <w:rPr>
          <w:rFonts w:ascii="Book Antiqua" w:hAnsi="Book Antiqua" w:cs="Book Antiqua"/>
        </w:rPr>
        <w:t>: 343-354 [PMID: 26872698 DOI: 10.1016/j.immuni.2015.11.024]</w:t>
      </w:r>
    </w:p>
    <w:p w14:paraId="6B66C15D" w14:textId="77777777" w:rsidR="00AB5C59" w:rsidRPr="00EA3F5E" w:rsidRDefault="00FD4637">
      <w:pPr>
        <w:spacing w:line="360" w:lineRule="auto"/>
        <w:jc w:val="both"/>
        <w:rPr>
          <w:rFonts w:ascii="Book Antiqua" w:eastAsia="Book Antiqua" w:hAnsi="Book Antiqua" w:cs="Book Antiqua"/>
          <w:color w:val="000000"/>
        </w:rPr>
      </w:pPr>
      <w:r w:rsidRPr="00EA3F5E">
        <w:rPr>
          <w:rFonts w:ascii="Book Antiqua" w:hAnsi="Book Antiqua" w:cs="Book Antiqua"/>
        </w:rPr>
        <w:t xml:space="preserve">31 </w:t>
      </w:r>
      <w:r w:rsidRPr="00EA3F5E">
        <w:rPr>
          <w:rFonts w:ascii="Book Antiqua" w:hAnsi="Book Antiqua" w:cs="Book Antiqua"/>
          <w:b/>
          <w:bCs/>
        </w:rPr>
        <w:t>Golden EB</w:t>
      </w:r>
      <w:r w:rsidRPr="00EA3F5E">
        <w:rPr>
          <w:rFonts w:ascii="Book Antiqua" w:hAnsi="Book Antiqua" w:cs="Book Antiqua"/>
        </w:rPr>
        <w:t xml:space="preserve">, Frances D, Pellicciotta I, Demaria S, Helen Barcellos-Hoff M, Formenti SC. Radiation fosters dose-dependent and chemotherapy-induced immunogenic cell death. </w:t>
      </w:r>
      <w:r w:rsidRPr="00EA3F5E">
        <w:rPr>
          <w:rFonts w:ascii="Book Antiqua" w:hAnsi="Book Antiqua" w:cs="Book Antiqua"/>
          <w:i/>
          <w:iCs/>
        </w:rPr>
        <w:t>Oncoimmunology</w:t>
      </w:r>
      <w:r w:rsidRPr="00EA3F5E">
        <w:rPr>
          <w:rFonts w:ascii="Book Antiqua" w:hAnsi="Book Antiqua" w:cs="Book Antiqua"/>
        </w:rPr>
        <w:t xml:space="preserve"> 2014; </w:t>
      </w:r>
      <w:r w:rsidRPr="00EA3F5E">
        <w:rPr>
          <w:rFonts w:ascii="Book Antiqua" w:hAnsi="Book Antiqua" w:cs="Book Antiqua"/>
          <w:b/>
          <w:bCs/>
        </w:rPr>
        <w:t>3</w:t>
      </w:r>
      <w:r w:rsidRPr="00EA3F5E">
        <w:rPr>
          <w:rFonts w:ascii="Book Antiqua" w:hAnsi="Book Antiqua" w:cs="Book Antiqua"/>
        </w:rPr>
        <w:t>: e28518 [PMID: 25071979 DOI: 10.4161</w:t>
      </w:r>
      <w:r w:rsidRPr="00EA3F5E">
        <w:rPr>
          <w:rFonts w:ascii="Book Antiqua" w:eastAsia="Book Antiqua" w:hAnsi="Book Antiqua" w:cs="Book Antiqua"/>
          <w:color w:val="000000"/>
        </w:rPr>
        <w:t>/onci.28518]</w:t>
      </w:r>
    </w:p>
    <w:p w14:paraId="6014F755" w14:textId="77777777" w:rsidR="00AB5C59" w:rsidRPr="00EA3F5E" w:rsidRDefault="00FD4637">
      <w:pPr>
        <w:spacing w:line="360" w:lineRule="auto"/>
        <w:jc w:val="both"/>
        <w:rPr>
          <w:rFonts w:ascii="Book Antiqua" w:hAnsi="Book Antiqua" w:cs="Book Antiqua"/>
        </w:rPr>
      </w:pPr>
      <w:r w:rsidRPr="00EA3F5E">
        <w:rPr>
          <w:rFonts w:ascii="Book Antiqua" w:eastAsia="宋体" w:hAnsi="Book Antiqua" w:cs="Book Antiqua"/>
          <w:color w:val="000000"/>
          <w:lang w:eastAsia="zh-CN"/>
        </w:rPr>
        <w:t xml:space="preserve">32 </w:t>
      </w:r>
      <w:r w:rsidRPr="00EA3F5E">
        <w:rPr>
          <w:rFonts w:ascii="Book Antiqua" w:eastAsia="Book Antiqua" w:hAnsi="Book Antiqua" w:cs="Book Antiqua"/>
          <w:b/>
          <w:bCs/>
          <w:color w:val="000000"/>
        </w:rPr>
        <w:t>Shields LBE</w:t>
      </w:r>
      <w:r w:rsidRPr="00EA3F5E">
        <w:rPr>
          <w:rFonts w:ascii="Book Antiqua" w:eastAsia="Book Antiqua" w:hAnsi="Book Antiqua" w:cs="Book Antiqua"/>
          <w:color w:val="000000"/>
        </w:rPr>
        <w:t>, Kalebasty AR. Pers</w:t>
      </w:r>
      <w:r w:rsidRPr="00EA3F5E">
        <w:rPr>
          <w:rFonts w:ascii="Book Antiqua" w:hAnsi="Book Antiqua" w:cs="Book Antiqua"/>
        </w:rPr>
        <w:t xml:space="preserve">onalized chemotherapy in clear cell adenocarcinoma of the urethra: A case report. </w:t>
      </w:r>
      <w:r w:rsidRPr="00EA3F5E">
        <w:rPr>
          <w:rFonts w:ascii="Book Antiqua" w:hAnsi="Book Antiqua" w:cs="Book Antiqua"/>
          <w:i/>
          <w:iCs/>
        </w:rPr>
        <w:t>World J Clin Oncol</w:t>
      </w:r>
      <w:r w:rsidRPr="00EA3F5E">
        <w:rPr>
          <w:rFonts w:ascii="Book Antiqua" w:hAnsi="Book Antiqua" w:cs="Book Antiqua"/>
        </w:rPr>
        <w:t xml:space="preserve"> 2020; </w:t>
      </w:r>
      <w:r w:rsidRPr="00EA3F5E">
        <w:rPr>
          <w:rFonts w:ascii="Book Antiqua" w:hAnsi="Book Antiqua" w:cs="Book Antiqua"/>
          <w:b/>
          <w:bCs/>
        </w:rPr>
        <w:t>11</w:t>
      </w:r>
      <w:r w:rsidRPr="00EA3F5E">
        <w:rPr>
          <w:rFonts w:ascii="Book Antiqua" w:hAnsi="Book Antiqua" w:cs="Book Antiqua"/>
        </w:rPr>
        <w:t>: 243-249 [PMID: 32355644 DOI: 10.5306/wjco.v11.i4.243]</w:t>
      </w:r>
    </w:p>
    <w:p w14:paraId="1F615D1C"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33 </w:t>
      </w:r>
      <w:r w:rsidRPr="00EA3F5E">
        <w:rPr>
          <w:rFonts w:ascii="Book Antiqua" w:hAnsi="Book Antiqua" w:cs="Book Antiqua"/>
          <w:b/>
          <w:bCs/>
        </w:rPr>
        <w:t>Cortes J</w:t>
      </w:r>
      <w:r w:rsidRPr="00EA3F5E">
        <w:rPr>
          <w:rFonts w:ascii="Book Antiqua" w:hAnsi="Book Antiqua" w:cs="Book Antiqua"/>
        </w:rPr>
        <w:t xml:space="preserve">, Cescon DW, Rugo HS, Nowecki Z, Im SA, Yusof MM, Gallardo C, Lipatov O, Barrios CH, Holgado E, Iwata H, Masuda N, Otero MT, Gokmen E, Loi S, Guo Z, Zhao J, Aktan G, Karantza V, Schmid P; KEYNOTE-355 Investigators. Pembrolizumab </w:t>
      </w:r>
      <w:r w:rsidRPr="00EA3F5E">
        <w:rPr>
          <w:rFonts w:ascii="Book Antiqua" w:hAnsi="Book Antiqua" w:cs="Book Antiqua"/>
        </w:rPr>
        <w:lastRenderedPageBreak/>
        <w:t xml:space="preserve">plus chemotherapy versus placebo plus chemotherapy for previously untreated locally recurrent inoperable or metastatic triple-negative breast cancer (KEYNOTE-355): a randomised, placebo-controlled, double-blind, phase 3 clinical trial. </w:t>
      </w:r>
      <w:r w:rsidRPr="00EA3F5E">
        <w:rPr>
          <w:rFonts w:ascii="Book Antiqua" w:hAnsi="Book Antiqua" w:cs="Book Antiqua"/>
          <w:i/>
          <w:iCs/>
        </w:rPr>
        <w:t>Lancet</w:t>
      </w:r>
      <w:r w:rsidRPr="00EA3F5E">
        <w:rPr>
          <w:rFonts w:ascii="Book Antiqua" w:hAnsi="Book Antiqua" w:cs="Book Antiqua"/>
        </w:rPr>
        <w:t xml:space="preserve"> 2020; </w:t>
      </w:r>
      <w:r w:rsidRPr="00EA3F5E">
        <w:rPr>
          <w:rFonts w:ascii="Book Antiqua" w:hAnsi="Book Antiqua" w:cs="Book Antiqua"/>
          <w:b/>
          <w:bCs/>
        </w:rPr>
        <w:t>396</w:t>
      </w:r>
      <w:r w:rsidRPr="00EA3F5E">
        <w:rPr>
          <w:rFonts w:ascii="Book Antiqua" w:hAnsi="Book Antiqua" w:cs="Book Antiqua"/>
        </w:rPr>
        <w:t>: 1817-1828 [PMID: 33278935 DOI: 10.1016/S0140-6736(20)32531-9]</w:t>
      </w:r>
    </w:p>
    <w:p w14:paraId="753DBDDB"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34 </w:t>
      </w:r>
      <w:r w:rsidRPr="00EA3F5E">
        <w:rPr>
          <w:rFonts w:ascii="Book Antiqua" w:hAnsi="Book Antiqua" w:cs="Book Antiqua"/>
          <w:b/>
          <w:bCs/>
        </w:rPr>
        <w:t>Su Z</w:t>
      </w:r>
      <w:r w:rsidRPr="00EA3F5E">
        <w:rPr>
          <w:rFonts w:ascii="Book Antiqua" w:hAnsi="Book Antiqua" w:cs="Book Antiqua"/>
        </w:rPr>
        <w:t xml:space="preserve">, Xiao Z, Wang Y, Huang J, An Y, Wang X, Shuai X. Codelivery of Anti-PD-1 Antibody and Paclitaxel with Matrix Metalloproteinase and pH Dual-Sensitive Micelles for Enhanced Tumor Chemoimmunotherapy. </w:t>
      </w:r>
      <w:r w:rsidRPr="00EA3F5E">
        <w:rPr>
          <w:rFonts w:ascii="Book Antiqua" w:hAnsi="Book Antiqua" w:cs="Book Antiqua"/>
          <w:i/>
          <w:iCs/>
        </w:rPr>
        <w:t>Small</w:t>
      </w:r>
      <w:r w:rsidRPr="00EA3F5E">
        <w:rPr>
          <w:rFonts w:ascii="Book Antiqua" w:hAnsi="Book Antiqua" w:cs="Book Antiqua"/>
        </w:rPr>
        <w:t xml:space="preserve"> 2020; </w:t>
      </w:r>
      <w:r w:rsidRPr="00EA3F5E">
        <w:rPr>
          <w:rFonts w:ascii="Book Antiqua" w:hAnsi="Book Antiqua" w:cs="Book Antiqua"/>
          <w:b/>
          <w:bCs/>
        </w:rPr>
        <w:t>16</w:t>
      </w:r>
      <w:r w:rsidRPr="00EA3F5E">
        <w:rPr>
          <w:rFonts w:ascii="Book Antiqua" w:hAnsi="Book Antiqua" w:cs="Book Antiqua"/>
        </w:rPr>
        <w:t>: e1906832 [PMID: 31990457 DOI: 10.1002/smll.201906832]</w:t>
      </w:r>
    </w:p>
    <w:p w14:paraId="5CA96DB9"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35 </w:t>
      </w:r>
      <w:r w:rsidRPr="00EA3F5E">
        <w:rPr>
          <w:rFonts w:ascii="Book Antiqua" w:hAnsi="Book Antiqua" w:cs="Book Antiqua"/>
          <w:b/>
          <w:bCs/>
        </w:rPr>
        <w:t>Ma Z</w:t>
      </w:r>
      <w:r w:rsidRPr="00EA3F5E">
        <w:rPr>
          <w:rFonts w:ascii="Book Antiqua" w:hAnsi="Book Antiqua" w:cs="Book Antiqua"/>
        </w:rPr>
        <w:t xml:space="preserve">, Li H, Liu L. Combining PD-1 Inhibitor with VEGF/VEGFR2 Inhibitor in Chemotherapy: Report of a Patient with End-Stage Cholangiocarcinoma and Review of Literature. </w:t>
      </w:r>
      <w:r w:rsidRPr="00EA3F5E">
        <w:rPr>
          <w:rFonts w:ascii="Book Antiqua" w:hAnsi="Book Antiqua" w:cs="Book Antiqua"/>
          <w:i/>
          <w:iCs/>
        </w:rPr>
        <w:t>Recent Pat Anticancer Drug Discov</w:t>
      </w:r>
      <w:r w:rsidRPr="00EA3F5E">
        <w:rPr>
          <w:rFonts w:ascii="Book Antiqua" w:hAnsi="Book Antiqua" w:cs="Book Antiqua"/>
        </w:rPr>
        <w:t xml:space="preserve"> 2021; </w:t>
      </w:r>
      <w:r w:rsidRPr="00EA3F5E">
        <w:rPr>
          <w:rFonts w:ascii="Book Antiqua" w:hAnsi="Book Antiqua" w:cs="Book Antiqua"/>
          <w:b/>
          <w:bCs/>
        </w:rPr>
        <w:t>16</w:t>
      </w:r>
      <w:r w:rsidRPr="00EA3F5E">
        <w:rPr>
          <w:rFonts w:ascii="Book Antiqua" w:hAnsi="Book Antiqua" w:cs="Book Antiqua"/>
        </w:rPr>
        <w:t>: 101-107 [PMID: 33390149 DOI: 10.2174/1574892815999201231215311]</w:t>
      </w:r>
    </w:p>
    <w:p w14:paraId="6AE33316"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36 </w:t>
      </w:r>
      <w:r w:rsidRPr="00EA3F5E">
        <w:rPr>
          <w:rFonts w:ascii="Book Antiqua" w:hAnsi="Book Antiqua" w:cs="Book Antiqua"/>
          <w:b/>
          <w:bCs/>
        </w:rPr>
        <w:t>Liu J</w:t>
      </w:r>
      <w:r w:rsidRPr="00EA3F5E">
        <w:rPr>
          <w:rFonts w:ascii="Book Antiqua" w:hAnsi="Book Antiqua" w:cs="Book Antiqua"/>
        </w:rPr>
        <w:t xml:space="preserve">, Wang C, Cao L, Li S. Treatment of advanced intrahepatic cholangiocarcinoma with sintilimab combined with tegafur-gimeracil-oteracil potassium capsules (S-1): a case report. </w:t>
      </w:r>
      <w:r w:rsidRPr="00EA3F5E">
        <w:rPr>
          <w:rFonts w:ascii="Book Antiqua" w:hAnsi="Book Antiqua" w:cs="Book Antiqua"/>
          <w:i/>
          <w:iCs/>
        </w:rPr>
        <w:t>Ann Palliat Med</w:t>
      </w:r>
      <w:r w:rsidRPr="00EA3F5E">
        <w:rPr>
          <w:rFonts w:ascii="Book Antiqua" w:hAnsi="Book Antiqua" w:cs="Book Antiqua"/>
        </w:rPr>
        <w:t xml:space="preserve"> 2020; </w:t>
      </w:r>
      <w:r w:rsidRPr="00EA3F5E">
        <w:rPr>
          <w:rFonts w:ascii="Book Antiqua" w:hAnsi="Book Antiqua" w:cs="Book Antiqua"/>
          <w:b/>
          <w:bCs/>
        </w:rPr>
        <w:t>9</w:t>
      </w:r>
      <w:r w:rsidRPr="00EA3F5E">
        <w:rPr>
          <w:rFonts w:ascii="Book Antiqua" w:hAnsi="Book Antiqua" w:cs="Book Antiqua"/>
        </w:rPr>
        <w:t>: 497-503 [PMID: 32233637 DOI: 10.21037/apm.2020.03.14]</w:t>
      </w:r>
    </w:p>
    <w:p w14:paraId="292BCDE0"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37 </w:t>
      </w:r>
      <w:r w:rsidRPr="00EA3F5E">
        <w:rPr>
          <w:rFonts w:ascii="Book Antiqua" w:hAnsi="Book Antiqua" w:cs="Book Antiqua"/>
          <w:b/>
          <w:bCs/>
        </w:rPr>
        <w:t>Sui M</w:t>
      </w:r>
      <w:r w:rsidRPr="00EA3F5E">
        <w:rPr>
          <w:rFonts w:ascii="Book Antiqua" w:hAnsi="Book Antiqua" w:cs="Book Antiqua"/>
        </w:rPr>
        <w:t xml:space="preserve">, Li Y, Wang H, Luo Y, Wan T, Wang X, Hu B, Cheng Y, Lv X, Xin X, Xu Q, Wang G, Lu S. Two cases of intrahepatic cholangiocellular carcinoma with high insertion-deletion ratios that achieved a complete response following chemotherapy combined with PD-1 blockade. </w:t>
      </w:r>
      <w:r w:rsidRPr="00EA3F5E">
        <w:rPr>
          <w:rFonts w:ascii="Book Antiqua" w:hAnsi="Book Antiqua" w:cs="Book Antiqua"/>
          <w:i/>
          <w:iCs/>
        </w:rPr>
        <w:t>J Immunother Cancer</w:t>
      </w:r>
      <w:r w:rsidRPr="00EA3F5E">
        <w:rPr>
          <w:rFonts w:ascii="Book Antiqua" w:hAnsi="Book Antiqua" w:cs="Book Antiqua"/>
        </w:rPr>
        <w:t xml:space="preserve"> 2019; </w:t>
      </w:r>
      <w:r w:rsidRPr="00EA3F5E">
        <w:rPr>
          <w:rFonts w:ascii="Book Antiqua" w:hAnsi="Book Antiqua" w:cs="Book Antiqua"/>
          <w:b/>
          <w:bCs/>
        </w:rPr>
        <w:t>7</w:t>
      </w:r>
      <w:r w:rsidRPr="00EA3F5E">
        <w:rPr>
          <w:rFonts w:ascii="Book Antiqua" w:hAnsi="Book Antiqua" w:cs="Book Antiqua"/>
        </w:rPr>
        <w:t>: 125 [PMID: 31064408 DOI: 10.1186/s40425-019-0596-y]</w:t>
      </w:r>
    </w:p>
    <w:p w14:paraId="1085E005"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38 </w:t>
      </w:r>
      <w:r w:rsidRPr="00EA3F5E">
        <w:rPr>
          <w:rFonts w:ascii="Book Antiqua" w:hAnsi="Book Antiqua" w:cs="Book Antiqua"/>
          <w:b/>
          <w:bCs/>
        </w:rPr>
        <w:t>Mou H</w:t>
      </w:r>
      <w:r w:rsidRPr="00EA3F5E">
        <w:rPr>
          <w:rFonts w:ascii="Book Antiqua" w:hAnsi="Book Antiqua" w:cs="Book Antiqua"/>
        </w:rPr>
        <w:t xml:space="preserve">, Yu L, Liao Q, Hou X, Wu Y, Cui Q, Yan N, Ma R, Wang L, Yao M, Wang K. Successful response to the combination of immunotherapy and chemotherapy in cholangiocarcinoma with high tumour mutational burden and PD-L1 expression: a case report. </w:t>
      </w:r>
      <w:r w:rsidRPr="00EA3F5E">
        <w:rPr>
          <w:rFonts w:ascii="Book Antiqua" w:hAnsi="Book Antiqua" w:cs="Book Antiqua"/>
          <w:i/>
          <w:iCs/>
        </w:rPr>
        <w:t>BMC Cancer</w:t>
      </w:r>
      <w:r w:rsidRPr="00EA3F5E">
        <w:rPr>
          <w:rFonts w:ascii="Book Antiqua" w:hAnsi="Book Antiqua" w:cs="Book Antiqua"/>
        </w:rPr>
        <w:t xml:space="preserve"> 2018; </w:t>
      </w:r>
      <w:r w:rsidRPr="00EA3F5E">
        <w:rPr>
          <w:rFonts w:ascii="Book Antiqua" w:hAnsi="Book Antiqua" w:cs="Book Antiqua"/>
          <w:b/>
          <w:bCs/>
        </w:rPr>
        <w:t>18</w:t>
      </w:r>
      <w:r w:rsidRPr="00EA3F5E">
        <w:rPr>
          <w:rFonts w:ascii="Book Antiqua" w:hAnsi="Book Antiqua" w:cs="Book Antiqua"/>
        </w:rPr>
        <w:t>: 1105 [PMID: 30419854 DOI: 10.1186/s12885-018-5021-2]</w:t>
      </w:r>
    </w:p>
    <w:p w14:paraId="7AEFEAE4"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39 </w:t>
      </w:r>
      <w:r w:rsidRPr="00EA3F5E">
        <w:rPr>
          <w:rFonts w:ascii="Book Antiqua" w:hAnsi="Book Antiqua" w:cs="Book Antiqua"/>
          <w:b/>
          <w:bCs/>
        </w:rPr>
        <w:t>Peng J</w:t>
      </w:r>
      <w:r w:rsidRPr="00EA3F5E">
        <w:rPr>
          <w:rFonts w:ascii="Book Antiqua" w:hAnsi="Book Antiqua" w:cs="Book Antiqua"/>
        </w:rPr>
        <w:t xml:space="preserve">, Hamanishi J, Matsumura N, Abiko K, Murat K, Baba T, Yamaguchi K, Horikawa N, Hosoe Y, Murphy SK, Konishi I, Mandai M. Chemotherapy Induces Programmed Cell Death-Ligand 1 Overexpression via the Nuclear Factor-κB to Foster </w:t>
      </w:r>
      <w:r w:rsidRPr="00EA3F5E">
        <w:rPr>
          <w:rFonts w:ascii="Book Antiqua" w:hAnsi="Book Antiqua" w:cs="Book Antiqua"/>
        </w:rPr>
        <w:lastRenderedPageBreak/>
        <w:t xml:space="preserve">an Immunosuppressive Tumor Microenvironment in Ovarian Cancer. </w:t>
      </w:r>
      <w:r w:rsidRPr="00EA3F5E">
        <w:rPr>
          <w:rFonts w:ascii="Book Antiqua" w:hAnsi="Book Antiqua" w:cs="Book Antiqua"/>
          <w:i/>
          <w:iCs/>
        </w:rPr>
        <w:t>Cancer Res</w:t>
      </w:r>
      <w:r w:rsidRPr="00EA3F5E">
        <w:rPr>
          <w:rFonts w:ascii="Book Antiqua" w:hAnsi="Book Antiqua" w:cs="Book Antiqua"/>
        </w:rPr>
        <w:t xml:space="preserve"> 2015; </w:t>
      </w:r>
      <w:r w:rsidRPr="00EA3F5E">
        <w:rPr>
          <w:rFonts w:ascii="Book Antiqua" w:hAnsi="Book Antiqua" w:cs="Book Antiqua"/>
          <w:b/>
          <w:bCs/>
        </w:rPr>
        <w:t>75</w:t>
      </w:r>
      <w:r w:rsidRPr="00EA3F5E">
        <w:rPr>
          <w:rFonts w:ascii="Book Antiqua" w:hAnsi="Book Antiqua" w:cs="Book Antiqua"/>
        </w:rPr>
        <w:t>: 5034-5045 [PMID: 26573793 DOI: 10.1158/0008-5472.CAN-14-3098]</w:t>
      </w:r>
    </w:p>
    <w:p w14:paraId="61132D2E"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40 </w:t>
      </w:r>
      <w:r w:rsidRPr="00EA3F5E">
        <w:rPr>
          <w:rFonts w:ascii="Book Antiqua" w:hAnsi="Book Antiqua" w:cs="Book Antiqua"/>
          <w:b/>
          <w:bCs/>
        </w:rPr>
        <w:t>Hayashi K</w:t>
      </w:r>
      <w:r w:rsidRPr="00EA3F5E">
        <w:rPr>
          <w:rFonts w:ascii="Book Antiqua" w:hAnsi="Book Antiqua" w:cs="Book Antiqua"/>
        </w:rPr>
        <w:t xml:space="preserve">, Nikolos F, Lee YC, Jain A, Tsouko E, Gao H, Kasabyan A, Leung HE, Osipov A, Jung SY, Kurtova AV, Chan KS. Tipping the immunostimulatory and inhibitory DAMP balance to harness immunogenic cell death. </w:t>
      </w:r>
      <w:r w:rsidRPr="00EA3F5E">
        <w:rPr>
          <w:rFonts w:ascii="Book Antiqua" w:hAnsi="Book Antiqua" w:cs="Book Antiqua"/>
          <w:i/>
          <w:iCs/>
        </w:rPr>
        <w:t>Nat Commun</w:t>
      </w:r>
      <w:r w:rsidRPr="00EA3F5E">
        <w:rPr>
          <w:rFonts w:ascii="Book Antiqua" w:hAnsi="Book Antiqua" w:cs="Book Antiqua"/>
        </w:rPr>
        <w:t xml:space="preserve"> 2020; </w:t>
      </w:r>
      <w:r w:rsidRPr="00EA3F5E">
        <w:rPr>
          <w:rFonts w:ascii="Book Antiqua" w:hAnsi="Book Antiqua" w:cs="Book Antiqua"/>
          <w:b/>
          <w:bCs/>
        </w:rPr>
        <w:t>11</w:t>
      </w:r>
      <w:r w:rsidRPr="00EA3F5E">
        <w:rPr>
          <w:rFonts w:ascii="Book Antiqua" w:hAnsi="Book Antiqua" w:cs="Book Antiqua"/>
        </w:rPr>
        <w:t>: 6299 [PMID: 33288764 DOI: 10.1038/s41467-020-19970-9]</w:t>
      </w:r>
    </w:p>
    <w:p w14:paraId="37B91D65"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41 </w:t>
      </w:r>
      <w:r w:rsidRPr="00EA3F5E">
        <w:rPr>
          <w:rFonts w:ascii="Book Antiqua" w:hAnsi="Book Antiqua" w:cs="Book Antiqua"/>
          <w:b/>
          <w:bCs/>
        </w:rPr>
        <w:t>Hack SP</w:t>
      </w:r>
      <w:r w:rsidRPr="00EA3F5E">
        <w:rPr>
          <w:rFonts w:ascii="Book Antiqua" w:hAnsi="Book Antiqua" w:cs="Book Antiqua"/>
        </w:rPr>
        <w:t xml:space="preserve">, Verret W, Mulla S, Liu B, Wang Y, Macarulla T, Ren Z, El-Khoueiry AB, Zhu AX. IMbrave 151: a randomized phase II trial of atezolizumab combined with bevacizumab and chemotherapy in patients with advanced biliary tract cancer. </w:t>
      </w:r>
      <w:r w:rsidRPr="00EA3F5E">
        <w:rPr>
          <w:rFonts w:ascii="Book Antiqua" w:hAnsi="Book Antiqua" w:cs="Book Antiqua"/>
          <w:i/>
          <w:iCs/>
        </w:rPr>
        <w:t>Ther Adv Med Oncol</w:t>
      </w:r>
      <w:r w:rsidRPr="00EA3F5E">
        <w:rPr>
          <w:rFonts w:ascii="Book Antiqua" w:hAnsi="Book Antiqua" w:cs="Book Antiqua"/>
        </w:rPr>
        <w:t xml:space="preserve"> 2021; </w:t>
      </w:r>
      <w:r w:rsidRPr="00EA3F5E">
        <w:rPr>
          <w:rFonts w:ascii="Book Antiqua" w:hAnsi="Book Antiqua" w:cs="Book Antiqua"/>
          <w:b/>
          <w:bCs/>
        </w:rPr>
        <w:t>13</w:t>
      </w:r>
      <w:r w:rsidRPr="00EA3F5E">
        <w:rPr>
          <w:rFonts w:ascii="Book Antiqua" w:hAnsi="Book Antiqua" w:cs="Book Antiqua"/>
        </w:rPr>
        <w:t>: 17588359211036544 [PMID: 34377158 DOI: 10.1177/17588359211036544]</w:t>
      </w:r>
    </w:p>
    <w:p w14:paraId="53A983CE"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42 </w:t>
      </w:r>
      <w:r w:rsidRPr="00EA3F5E">
        <w:rPr>
          <w:rFonts w:ascii="Book Antiqua" w:hAnsi="Book Antiqua" w:cs="Book Antiqua"/>
          <w:b/>
          <w:bCs/>
        </w:rPr>
        <w:t>Bezu L</w:t>
      </w:r>
      <w:r w:rsidRPr="00EA3F5E">
        <w:rPr>
          <w:rFonts w:ascii="Book Antiqua" w:hAnsi="Book Antiqua" w:cs="Book Antiqua"/>
        </w:rPr>
        <w:t xml:space="preserve">, Gomes-de-Silva LC, Dewitte H, Breckpot K, Fucikova J, Spisek R, Galluzzi L, Kepp O, Kroemer G. Combinatorial strategies for the induction of immunogenic cell death. </w:t>
      </w:r>
      <w:r w:rsidRPr="00EA3F5E">
        <w:rPr>
          <w:rFonts w:ascii="Book Antiqua" w:hAnsi="Book Antiqua" w:cs="Book Antiqua"/>
          <w:i/>
          <w:iCs/>
        </w:rPr>
        <w:t>Front Immunol</w:t>
      </w:r>
      <w:r w:rsidRPr="00EA3F5E">
        <w:rPr>
          <w:rFonts w:ascii="Book Antiqua" w:hAnsi="Book Antiqua" w:cs="Book Antiqua"/>
        </w:rPr>
        <w:t xml:space="preserve"> 2015; </w:t>
      </w:r>
      <w:r w:rsidRPr="00EA3F5E">
        <w:rPr>
          <w:rFonts w:ascii="Book Antiqua" w:hAnsi="Book Antiqua" w:cs="Book Antiqua"/>
          <w:b/>
          <w:bCs/>
        </w:rPr>
        <w:t>6</w:t>
      </w:r>
      <w:r w:rsidRPr="00EA3F5E">
        <w:rPr>
          <w:rFonts w:ascii="Book Antiqua" w:hAnsi="Book Antiqua" w:cs="Book Antiqua"/>
        </w:rPr>
        <w:t>: 187 [PMID: 25964783 DOI: 10.3389/fimmu.2015.00187]</w:t>
      </w:r>
    </w:p>
    <w:p w14:paraId="2932670E"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43 </w:t>
      </w:r>
      <w:r w:rsidRPr="00EA3F5E">
        <w:rPr>
          <w:rFonts w:ascii="Book Antiqua" w:hAnsi="Book Antiqua" w:cs="Book Antiqua"/>
          <w:b/>
          <w:bCs/>
        </w:rPr>
        <w:t>Xue Y</w:t>
      </w:r>
      <w:r w:rsidRPr="00EA3F5E">
        <w:rPr>
          <w:rFonts w:ascii="Book Antiqua" w:hAnsi="Book Antiqua" w:cs="Book Antiqua"/>
        </w:rPr>
        <w:t xml:space="preserve">, Gao S, Gou J, Yin T, He H, Wang Y, Zhang Y, Tang X, Wu R. Platinum-based chemotherapy in combination with PD-1/PD-L1 inhibitors: preclinical and clinical studies and mechanism of action. </w:t>
      </w:r>
      <w:r w:rsidRPr="00EA3F5E">
        <w:rPr>
          <w:rFonts w:ascii="Book Antiqua" w:hAnsi="Book Antiqua" w:cs="Book Antiqua"/>
          <w:i/>
          <w:iCs/>
        </w:rPr>
        <w:t>Expert Opin Drug Deliv</w:t>
      </w:r>
      <w:r w:rsidRPr="00EA3F5E">
        <w:rPr>
          <w:rFonts w:ascii="Book Antiqua" w:hAnsi="Book Antiqua" w:cs="Book Antiqua"/>
        </w:rPr>
        <w:t xml:space="preserve"> 2021; </w:t>
      </w:r>
      <w:r w:rsidRPr="00EA3F5E">
        <w:rPr>
          <w:rFonts w:ascii="Book Antiqua" w:hAnsi="Book Antiqua" w:cs="Book Antiqua"/>
          <w:b/>
          <w:bCs/>
        </w:rPr>
        <w:t>18</w:t>
      </w:r>
      <w:r w:rsidRPr="00EA3F5E">
        <w:rPr>
          <w:rFonts w:ascii="Book Antiqua" w:hAnsi="Book Antiqua" w:cs="Book Antiqua"/>
        </w:rPr>
        <w:t>: 187-203 [PMID: 32954856 DOI: 10.1080/17425247.2021.1825376]</w:t>
      </w:r>
    </w:p>
    <w:p w14:paraId="0DA8492C"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44 </w:t>
      </w:r>
      <w:r w:rsidRPr="00EA3F5E">
        <w:rPr>
          <w:rFonts w:ascii="Book Antiqua" w:hAnsi="Book Antiqua" w:cs="Book Antiqua"/>
          <w:b/>
          <w:bCs/>
        </w:rPr>
        <w:t>Wan S</w:t>
      </w:r>
      <w:r w:rsidRPr="00EA3F5E">
        <w:rPr>
          <w:rFonts w:ascii="Book Antiqua" w:hAnsi="Book Antiqua" w:cs="Book Antiqua"/>
        </w:rPr>
        <w:t xml:space="preserve">, Pestka S, Jubin RG, Lyu YL, Tsai YC, Liu LF. Chemotherapeutics and radiation stimulate MHC class I expression through elevated interferon-beta signaling in breast cancer cells. </w:t>
      </w:r>
      <w:r w:rsidRPr="00EA3F5E">
        <w:rPr>
          <w:rFonts w:ascii="Book Antiqua" w:hAnsi="Book Antiqua" w:cs="Book Antiqua"/>
          <w:i/>
          <w:iCs/>
        </w:rPr>
        <w:t>PLoS One</w:t>
      </w:r>
      <w:r w:rsidRPr="00EA3F5E">
        <w:rPr>
          <w:rFonts w:ascii="Book Antiqua" w:hAnsi="Book Antiqua" w:cs="Book Antiqua"/>
        </w:rPr>
        <w:t xml:space="preserve"> 2012; </w:t>
      </w:r>
      <w:r w:rsidRPr="00EA3F5E">
        <w:rPr>
          <w:rFonts w:ascii="Book Antiqua" w:hAnsi="Book Antiqua" w:cs="Book Antiqua"/>
          <w:b/>
          <w:bCs/>
        </w:rPr>
        <w:t>7</w:t>
      </w:r>
      <w:r w:rsidRPr="00EA3F5E">
        <w:rPr>
          <w:rFonts w:ascii="Book Antiqua" w:hAnsi="Book Antiqua" w:cs="Book Antiqua"/>
        </w:rPr>
        <w:t>: e32542 [PMID: 22396773 DOI: 10.1371/journal.pone.0032542]</w:t>
      </w:r>
    </w:p>
    <w:p w14:paraId="0C0BE299"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45 </w:t>
      </w:r>
      <w:r w:rsidRPr="00EA3F5E">
        <w:rPr>
          <w:rFonts w:ascii="Book Antiqua" w:hAnsi="Book Antiqua" w:cs="Book Antiqua"/>
          <w:b/>
          <w:bCs/>
        </w:rPr>
        <w:t>Flieswasser T</w:t>
      </w:r>
      <w:r w:rsidRPr="00EA3F5E">
        <w:rPr>
          <w:rFonts w:ascii="Book Antiqua" w:hAnsi="Book Antiqua" w:cs="Book Antiqua"/>
        </w:rPr>
        <w:t xml:space="preserve">, Van Loenhout J, Freire Boullosa L, Van den Eynde A, De Waele J, Van Audenaerde J, Lardon F, Smits E, Pauwels P, Jacobs J. Clinically Relevant Chemotherapeutics Have the Ability to Induce Immunogenic Cell Death in Non-Small Cell Lung Cancer. </w:t>
      </w:r>
      <w:r w:rsidRPr="00EA3F5E">
        <w:rPr>
          <w:rFonts w:ascii="Book Antiqua" w:hAnsi="Book Antiqua" w:cs="Book Antiqua"/>
          <w:i/>
          <w:iCs/>
        </w:rPr>
        <w:t>Cells</w:t>
      </w:r>
      <w:r w:rsidRPr="00EA3F5E">
        <w:rPr>
          <w:rFonts w:ascii="Book Antiqua" w:hAnsi="Book Antiqua" w:cs="Book Antiqua"/>
        </w:rPr>
        <w:t xml:space="preserve"> 2020; </w:t>
      </w:r>
      <w:r w:rsidRPr="00EA3F5E">
        <w:rPr>
          <w:rFonts w:ascii="Book Antiqua" w:hAnsi="Book Antiqua" w:cs="Book Antiqua"/>
          <w:b/>
          <w:bCs/>
        </w:rPr>
        <w:t>9</w:t>
      </w:r>
      <w:r w:rsidRPr="00EA3F5E">
        <w:rPr>
          <w:rFonts w:ascii="Book Antiqua" w:hAnsi="Book Antiqua" w:cs="Book Antiqua"/>
        </w:rPr>
        <w:t xml:space="preserve"> [PMID: 32560232 DOI: 10.3390/cells9061474]</w:t>
      </w:r>
    </w:p>
    <w:p w14:paraId="3F00B13E"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46 </w:t>
      </w:r>
      <w:r w:rsidRPr="00EA3F5E">
        <w:rPr>
          <w:rFonts w:ascii="Book Antiqua" w:hAnsi="Book Antiqua" w:cs="Book Antiqua"/>
          <w:b/>
          <w:bCs/>
        </w:rPr>
        <w:t>Lau TS</w:t>
      </w:r>
      <w:r w:rsidRPr="00EA3F5E">
        <w:rPr>
          <w:rFonts w:ascii="Book Antiqua" w:hAnsi="Book Antiqua" w:cs="Book Antiqua"/>
        </w:rPr>
        <w:t xml:space="preserve">, Chan LKY, Man GCW, Wong CH, Lee JHS, Yim SF, Cheung TH, McNeish IA, Kwong J. Paclitaxel Induces Immunogenic Cell Death in Ovarian Cancer via </w:t>
      </w:r>
      <w:r w:rsidRPr="00EA3F5E">
        <w:rPr>
          <w:rFonts w:ascii="Book Antiqua" w:hAnsi="Book Antiqua" w:cs="Book Antiqua"/>
        </w:rPr>
        <w:lastRenderedPageBreak/>
        <w:t xml:space="preserve">TLR4/IKK2/SNARE-Dependent Exocytosis. </w:t>
      </w:r>
      <w:r w:rsidRPr="00EA3F5E">
        <w:rPr>
          <w:rFonts w:ascii="Book Antiqua" w:hAnsi="Book Antiqua" w:cs="Book Antiqua"/>
          <w:i/>
          <w:iCs/>
        </w:rPr>
        <w:t>Cancer Immunol Res</w:t>
      </w:r>
      <w:r w:rsidRPr="00EA3F5E">
        <w:rPr>
          <w:rFonts w:ascii="Book Antiqua" w:hAnsi="Book Antiqua" w:cs="Book Antiqua"/>
        </w:rPr>
        <w:t xml:space="preserve"> 2020; </w:t>
      </w:r>
      <w:r w:rsidRPr="00EA3F5E">
        <w:rPr>
          <w:rFonts w:ascii="Book Antiqua" w:hAnsi="Book Antiqua" w:cs="Book Antiqua"/>
          <w:b/>
          <w:bCs/>
        </w:rPr>
        <w:t>8</w:t>
      </w:r>
      <w:r w:rsidRPr="00EA3F5E">
        <w:rPr>
          <w:rFonts w:ascii="Book Antiqua" w:hAnsi="Book Antiqua" w:cs="Book Antiqua"/>
        </w:rPr>
        <w:t>: 1099-1111 [PMID: 32354736 DOI: 10.1158/2326-6066.CIR-19-0616]</w:t>
      </w:r>
    </w:p>
    <w:p w14:paraId="189C7111"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47 </w:t>
      </w:r>
      <w:r w:rsidRPr="00EA3F5E">
        <w:rPr>
          <w:rFonts w:ascii="Book Antiqua" w:hAnsi="Book Antiqua" w:cs="Book Antiqua"/>
          <w:b/>
          <w:bCs/>
        </w:rPr>
        <w:t>Majidi M</w:t>
      </w:r>
      <w:r w:rsidRPr="00EA3F5E">
        <w:rPr>
          <w:rFonts w:ascii="Book Antiqua" w:hAnsi="Book Antiqua" w:cs="Book Antiqua"/>
        </w:rPr>
        <w:t xml:space="preserve">, Safaee S, Amini M, Baghbanzadeh A, Hajiasgharzadeh K, Hashemzadeh S, Sandoghchian Shotorbani S, Mokhtarzadeh A, Baradaran B. The effects of chemotherapeutic drugs on PD-L1 gene expression in breast cancer cell lines. </w:t>
      </w:r>
      <w:r w:rsidRPr="00EA3F5E">
        <w:rPr>
          <w:rFonts w:ascii="Book Antiqua" w:hAnsi="Book Antiqua" w:cs="Book Antiqua"/>
          <w:i/>
          <w:iCs/>
        </w:rPr>
        <w:t>Med Oncol</w:t>
      </w:r>
      <w:r w:rsidRPr="00EA3F5E">
        <w:rPr>
          <w:rFonts w:ascii="Book Antiqua" w:hAnsi="Book Antiqua" w:cs="Book Antiqua"/>
        </w:rPr>
        <w:t xml:space="preserve"> 2021; </w:t>
      </w:r>
      <w:r w:rsidRPr="00EA3F5E">
        <w:rPr>
          <w:rFonts w:ascii="Book Antiqua" w:hAnsi="Book Antiqua" w:cs="Book Antiqua"/>
          <w:b/>
          <w:bCs/>
        </w:rPr>
        <w:t>38</w:t>
      </w:r>
      <w:r w:rsidRPr="00EA3F5E">
        <w:rPr>
          <w:rFonts w:ascii="Book Antiqua" w:hAnsi="Book Antiqua" w:cs="Book Antiqua"/>
        </w:rPr>
        <w:t>: 147 [PMID: 34687372 DOI: 10.1007/s12032-021-01556-0]</w:t>
      </w:r>
    </w:p>
    <w:p w14:paraId="44AA4EF9"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48 </w:t>
      </w:r>
      <w:r w:rsidRPr="00EA3F5E">
        <w:rPr>
          <w:rFonts w:ascii="Book Antiqua" w:hAnsi="Book Antiqua" w:cs="Book Antiqua"/>
          <w:b/>
          <w:bCs/>
        </w:rPr>
        <w:t>Michels T</w:t>
      </w:r>
      <w:r w:rsidRPr="00EA3F5E">
        <w:rPr>
          <w:rFonts w:ascii="Book Antiqua" w:hAnsi="Book Antiqua" w:cs="Book Antiqua"/>
        </w:rPr>
        <w:t xml:space="preserve">, Shurin GV, Naiditch H, Sevko A, Umansky V, Shurin MR. Paclitaxel promotes differentiation of myeloid-derived suppressor cells into dendritic cells in vitro in a TLR4-independent manner. </w:t>
      </w:r>
      <w:r w:rsidRPr="00EA3F5E">
        <w:rPr>
          <w:rFonts w:ascii="Book Antiqua" w:hAnsi="Book Antiqua" w:cs="Book Antiqua"/>
          <w:i/>
          <w:iCs/>
        </w:rPr>
        <w:t>J Immunotoxicol</w:t>
      </w:r>
      <w:r w:rsidRPr="00EA3F5E">
        <w:rPr>
          <w:rFonts w:ascii="Book Antiqua" w:hAnsi="Book Antiqua" w:cs="Book Antiqua"/>
        </w:rPr>
        <w:t xml:space="preserve"> 2012; </w:t>
      </w:r>
      <w:r w:rsidRPr="00EA3F5E">
        <w:rPr>
          <w:rFonts w:ascii="Book Antiqua" w:hAnsi="Book Antiqua" w:cs="Book Antiqua"/>
          <w:b/>
          <w:bCs/>
        </w:rPr>
        <w:t>9</w:t>
      </w:r>
      <w:r w:rsidRPr="00EA3F5E">
        <w:rPr>
          <w:rFonts w:ascii="Book Antiqua" w:hAnsi="Book Antiqua" w:cs="Book Antiqua"/>
        </w:rPr>
        <w:t>: 292-300 [PMID: 22283566 DOI: 10.3109/1547691X.2011.642418]</w:t>
      </w:r>
    </w:p>
    <w:p w14:paraId="54A49054"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49 </w:t>
      </w:r>
      <w:r w:rsidRPr="00EA3F5E">
        <w:rPr>
          <w:rFonts w:ascii="Book Antiqua" w:hAnsi="Book Antiqua" w:cs="Book Antiqua"/>
          <w:b/>
          <w:bCs/>
        </w:rPr>
        <w:t>Deng LJ</w:t>
      </w:r>
      <w:r w:rsidRPr="00EA3F5E">
        <w:rPr>
          <w:rFonts w:ascii="Book Antiqua" w:hAnsi="Book Antiqua" w:cs="Book Antiqua"/>
        </w:rPr>
        <w:t xml:space="preserve">, Qi M, Li N, Lei YH, Zhang DM, Chen JX. Natural products and their derivatives: Promising modulators of tumor immunotherapy. </w:t>
      </w:r>
      <w:r w:rsidRPr="00EA3F5E">
        <w:rPr>
          <w:rFonts w:ascii="Book Antiqua" w:hAnsi="Book Antiqua" w:cs="Book Antiqua"/>
          <w:i/>
          <w:iCs/>
        </w:rPr>
        <w:t>J Leukoc Biol</w:t>
      </w:r>
      <w:r w:rsidRPr="00EA3F5E">
        <w:rPr>
          <w:rFonts w:ascii="Book Antiqua" w:hAnsi="Book Antiqua" w:cs="Book Antiqua"/>
        </w:rPr>
        <w:t xml:space="preserve"> 2020; </w:t>
      </w:r>
      <w:r w:rsidRPr="00EA3F5E">
        <w:rPr>
          <w:rFonts w:ascii="Book Antiqua" w:hAnsi="Book Antiqua" w:cs="Book Antiqua"/>
          <w:b/>
          <w:bCs/>
        </w:rPr>
        <w:t>108</w:t>
      </w:r>
      <w:r w:rsidRPr="00EA3F5E">
        <w:rPr>
          <w:rFonts w:ascii="Book Antiqua" w:hAnsi="Book Antiqua" w:cs="Book Antiqua"/>
        </w:rPr>
        <w:t>: 493-508 [PMID: 32678943 DOI: 10.1002/JLB.3MR0320-444R]</w:t>
      </w:r>
    </w:p>
    <w:p w14:paraId="4841D99B"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50 </w:t>
      </w:r>
      <w:r w:rsidRPr="00EA3F5E">
        <w:rPr>
          <w:rFonts w:ascii="Book Antiqua" w:hAnsi="Book Antiqua" w:cs="Book Antiqua"/>
          <w:b/>
          <w:bCs/>
        </w:rPr>
        <w:t>Gmeiner WH</w:t>
      </w:r>
      <w:r w:rsidRPr="00EA3F5E">
        <w:rPr>
          <w:rFonts w:ascii="Book Antiqua" w:hAnsi="Book Antiqua" w:cs="Book Antiqua"/>
        </w:rPr>
        <w:t xml:space="preserve">. Fluoropyrimidine Modulation of the Anti-Tumor Immune Response-Prospects for Improved Colorectal Cancer Treatment. </w:t>
      </w:r>
      <w:r w:rsidRPr="00EA3F5E">
        <w:rPr>
          <w:rFonts w:ascii="Book Antiqua" w:hAnsi="Book Antiqua" w:cs="Book Antiqua"/>
          <w:i/>
          <w:iCs/>
        </w:rPr>
        <w:t>Cancers (Basel)</w:t>
      </w:r>
      <w:r w:rsidRPr="00EA3F5E">
        <w:rPr>
          <w:rFonts w:ascii="Book Antiqua" w:hAnsi="Book Antiqua" w:cs="Book Antiqua"/>
        </w:rPr>
        <w:t xml:space="preserve"> 2020; </w:t>
      </w:r>
      <w:r w:rsidRPr="00EA3F5E">
        <w:rPr>
          <w:rFonts w:ascii="Book Antiqua" w:hAnsi="Book Antiqua" w:cs="Book Antiqua"/>
          <w:b/>
          <w:bCs/>
        </w:rPr>
        <w:t>12</w:t>
      </w:r>
      <w:r w:rsidRPr="00EA3F5E">
        <w:rPr>
          <w:rFonts w:ascii="Book Antiqua" w:hAnsi="Book Antiqua" w:cs="Book Antiqua"/>
        </w:rPr>
        <w:t xml:space="preserve"> [PMID: 32575843 DOI: 10.3390/cancers12061641]</w:t>
      </w:r>
    </w:p>
    <w:p w14:paraId="2145E926"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51 </w:t>
      </w:r>
      <w:r w:rsidRPr="00EA3F5E">
        <w:rPr>
          <w:rFonts w:ascii="Book Antiqua" w:hAnsi="Book Antiqua" w:cs="Book Antiqua"/>
          <w:b/>
          <w:bCs/>
        </w:rPr>
        <w:t>Yu S</w:t>
      </w:r>
      <w:r w:rsidRPr="00EA3F5E">
        <w:rPr>
          <w:rFonts w:ascii="Book Antiqua" w:hAnsi="Book Antiqua" w:cs="Book Antiqua"/>
        </w:rPr>
        <w:t xml:space="preserve">, Li Q, Yu Y, Cui Y, Li W, Liu T, Liu F. Activated HIF1α of tumor cells promotes chemoresistance development via recruiting GDF15-producing tumor-associated macrophages in gastric cancer. </w:t>
      </w:r>
      <w:r w:rsidRPr="00EA3F5E">
        <w:rPr>
          <w:rFonts w:ascii="Book Antiqua" w:hAnsi="Book Antiqua" w:cs="Book Antiqua"/>
          <w:i/>
          <w:iCs/>
        </w:rPr>
        <w:t>Cancer Immunol Immunother</w:t>
      </w:r>
      <w:r w:rsidRPr="00EA3F5E">
        <w:rPr>
          <w:rFonts w:ascii="Book Antiqua" w:hAnsi="Book Antiqua" w:cs="Book Antiqua"/>
        </w:rPr>
        <w:t xml:space="preserve"> 2020; </w:t>
      </w:r>
      <w:r w:rsidRPr="00EA3F5E">
        <w:rPr>
          <w:rFonts w:ascii="Book Antiqua" w:hAnsi="Book Antiqua" w:cs="Book Antiqua"/>
          <w:b/>
          <w:bCs/>
        </w:rPr>
        <w:t>69</w:t>
      </w:r>
      <w:r w:rsidRPr="00EA3F5E">
        <w:rPr>
          <w:rFonts w:ascii="Book Antiqua" w:hAnsi="Book Antiqua" w:cs="Book Antiqua"/>
        </w:rPr>
        <w:t>: 1973-1987 [PMID: 32388677 DOI: 10.1007/s00262-020-02598-5]</w:t>
      </w:r>
    </w:p>
    <w:p w14:paraId="120E287B"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52 </w:t>
      </w:r>
      <w:r w:rsidRPr="00EA3F5E">
        <w:rPr>
          <w:rFonts w:ascii="Book Antiqua" w:hAnsi="Book Antiqua" w:cs="Book Antiqua"/>
          <w:b/>
          <w:bCs/>
        </w:rPr>
        <w:t>Van Der Kraak L</w:t>
      </w:r>
      <w:r w:rsidRPr="00EA3F5E">
        <w:rPr>
          <w:rFonts w:ascii="Book Antiqua" w:hAnsi="Book Antiqua" w:cs="Book Antiqua"/>
        </w:rPr>
        <w:t xml:space="preserve">, Goel G, Ramanan K, Kaltenmeier C, Zhang L, Normolle DP, Freeman GJ, Tang D, Nason KS, Davison JM, Luketich JD, Dhupar R, Lotze MT. 5-Fluorouracil upregulates cell surface B7-H1 (PD-L1) expression in gastrointestinal cancers. </w:t>
      </w:r>
      <w:r w:rsidRPr="00EA3F5E">
        <w:rPr>
          <w:rFonts w:ascii="Book Antiqua" w:hAnsi="Book Antiqua" w:cs="Book Antiqua"/>
          <w:i/>
          <w:iCs/>
        </w:rPr>
        <w:t>J Immunother Cancer</w:t>
      </w:r>
      <w:r w:rsidRPr="00EA3F5E">
        <w:rPr>
          <w:rFonts w:ascii="Book Antiqua" w:hAnsi="Book Antiqua" w:cs="Book Antiqua"/>
        </w:rPr>
        <w:t xml:space="preserve"> 2016; </w:t>
      </w:r>
      <w:r w:rsidRPr="00EA3F5E">
        <w:rPr>
          <w:rFonts w:ascii="Book Antiqua" w:hAnsi="Book Antiqua" w:cs="Book Antiqua"/>
          <w:b/>
          <w:bCs/>
        </w:rPr>
        <w:t>4</w:t>
      </w:r>
      <w:r w:rsidRPr="00EA3F5E">
        <w:rPr>
          <w:rFonts w:ascii="Book Antiqua" w:hAnsi="Book Antiqua" w:cs="Book Antiqua"/>
        </w:rPr>
        <w:t>: 65 [PMID: 27777774 DOI: 10.1186/s40425-016-0163-8]</w:t>
      </w:r>
    </w:p>
    <w:p w14:paraId="4433A9B6" w14:textId="77777777" w:rsidR="00AB5C59" w:rsidRPr="00EA3F5E" w:rsidRDefault="00FD4637">
      <w:pPr>
        <w:spacing w:line="360" w:lineRule="auto"/>
        <w:jc w:val="both"/>
        <w:rPr>
          <w:rFonts w:ascii="Book Antiqua" w:hAnsi="Book Antiqua" w:cs="Book Antiqua"/>
        </w:rPr>
      </w:pPr>
      <w:r w:rsidRPr="00EA3F5E">
        <w:rPr>
          <w:rFonts w:ascii="Book Antiqua" w:hAnsi="Book Antiqua" w:cs="Book Antiqua"/>
        </w:rPr>
        <w:t xml:space="preserve">53 </w:t>
      </w:r>
      <w:r w:rsidRPr="00EA3F5E">
        <w:rPr>
          <w:rFonts w:ascii="Book Antiqua" w:hAnsi="Book Antiqua" w:cs="Book Antiqua"/>
          <w:b/>
          <w:bCs/>
        </w:rPr>
        <w:t>AbdAlla EE</w:t>
      </w:r>
      <w:r w:rsidRPr="00EA3F5E">
        <w:rPr>
          <w:rFonts w:ascii="Book Antiqua" w:hAnsi="Book Antiqua" w:cs="Book Antiqua"/>
        </w:rPr>
        <w:t xml:space="preserve">, Blair GE, Jones RA, Sue-Ling HM, Johnston D. Mechanism of synergy of levamisole and fluorouracil: induction of human leukocyte antigen class I in a colorectal cancer cell line. </w:t>
      </w:r>
      <w:r w:rsidRPr="00EA3F5E">
        <w:rPr>
          <w:rFonts w:ascii="Book Antiqua" w:hAnsi="Book Antiqua" w:cs="Book Antiqua"/>
          <w:i/>
          <w:iCs/>
        </w:rPr>
        <w:t>J Natl Cancer Inst</w:t>
      </w:r>
      <w:r w:rsidRPr="00EA3F5E">
        <w:rPr>
          <w:rFonts w:ascii="Book Antiqua" w:hAnsi="Book Antiqua" w:cs="Book Antiqua"/>
        </w:rPr>
        <w:t xml:space="preserve"> 1995; </w:t>
      </w:r>
      <w:r w:rsidRPr="00EA3F5E">
        <w:rPr>
          <w:rFonts w:ascii="Book Antiqua" w:hAnsi="Book Antiqua" w:cs="Book Antiqua"/>
          <w:b/>
          <w:bCs/>
        </w:rPr>
        <w:t>87</w:t>
      </w:r>
      <w:r w:rsidRPr="00EA3F5E">
        <w:rPr>
          <w:rFonts w:ascii="Book Antiqua" w:hAnsi="Book Antiqua" w:cs="Book Antiqua"/>
        </w:rPr>
        <w:t>: 489-496 [PMID: 7707435 DOI: 10.1093/jnci/87.7.489]</w:t>
      </w:r>
    </w:p>
    <w:p w14:paraId="0D027959" w14:textId="77777777" w:rsidR="00AB5C59" w:rsidRPr="00EA3F5E" w:rsidRDefault="00AB5C59">
      <w:pPr>
        <w:spacing w:line="360" w:lineRule="auto"/>
        <w:jc w:val="both"/>
        <w:rPr>
          <w:rFonts w:ascii="Book Antiqua" w:hAnsi="Book Antiqua" w:cs="Book Antiqua"/>
        </w:rPr>
        <w:sectPr w:rsidR="00AB5C59" w:rsidRPr="00EA3F5E">
          <w:pgSz w:w="12240" w:h="15840"/>
          <w:pgMar w:top="1440" w:right="1440" w:bottom="1440" w:left="1440" w:header="720" w:footer="720" w:gutter="0"/>
          <w:cols w:space="720"/>
          <w:docGrid w:linePitch="360"/>
        </w:sectPr>
      </w:pPr>
    </w:p>
    <w:bookmarkEnd w:id="14"/>
    <w:p w14:paraId="32F5F0B9"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lastRenderedPageBreak/>
        <w:t>Footnotes</w:t>
      </w:r>
    </w:p>
    <w:p w14:paraId="2020B530"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Informed consent statement:</w:t>
      </w:r>
      <w:r w:rsidRPr="00EA3F5E">
        <w:rPr>
          <w:rFonts w:ascii="Book Antiqua" w:eastAsia="宋体" w:hAnsi="Book Antiqua" w:cs="Book Antiqua"/>
          <w:b/>
          <w:bCs/>
          <w:color w:val="000000"/>
          <w:lang w:eastAsia="zh-CN"/>
        </w:rPr>
        <w:t xml:space="preserve"> </w:t>
      </w:r>
      <w:r w:rsidRPr="00EA3F5E">
        <w:rPr>
          <w:rFonts w:ascii="Book Antiqua" w:eastAsia="Book Antiqua" w:hAnsi="Book Antiqua" w:cs="Book Antiqua"/>
          <w:color w:val="000000"/>
        </w:rPr>
        <w:t>All</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study</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participants</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or</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their</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legal</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guardian</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provided</w:t>
      </w:r>
      <w:r w:rsidRPr="00EA3F5E">
        <w:rPr>
          <w:rFonts w:ascii="Book Antiqua" w:eastAsia="宋体" w:hAnsi="Book Antiqua" w:cs="Book Antiqua"/>
          <w:color w:val="000000"/>
          <w:lang w:eastAsia="zh-CN"/>
        </w:rPr>
        <w:t xml:space="preserve"> </w:t>
      </w:r>
      <w:r w:rsidRPr="00EA3F5E">
        <w:rPr>
          <w:rFonts w:ascii="Book Antiqua" w:eastAsia="Book Antiqua" w:hAnsi="Book Antiqua" w:cs="Book Antiqua"/>
          <w:color w:val="000000"/>
        </w:rPr>
        <w:t>informed</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written</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consent</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about</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personal</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and</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medical</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data</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collection</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prior</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to</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study</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enrolment.</w:t>
      </w:r>
    </w:p>
    <w:p w14:paraId="21D3ACF5" w14:textId="77777777" w:rsidR="00AB5C59" w:rsidRPr="00EA3F5E" w:rsidRDefault="00AB5C59">
      <w:pPr>
        <w:spacing w:line="360" w:lineRule="auto"/>
        <w:jc w:val="both"/>
        <w:rPr>
          <w:rFonts w:ascii="Book Antiqua" w:hAnsi="Book Antiqua" w:cs="Book Antiqua"/>
        </w:rPr>
      </w:pPr>
    </w:p>
    <w:p w14:paraId="509F0786"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 xml:space="preserve">Conflict-of-interest statement: </w:t>
      </w:r>
      <w:r w:rsidRPr="00EA3F5E">
        <w:rPr>
          <w:rFonts w:ascii="Book Antiqua" w:eastAsia="Book Antiqua" w:hAnsi="Book Antiqua" w:cs="Book Antiqua"/>
          <w:color w:val="000000"/>
        </w:rPr>
        <w:t>All</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the</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authors</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report</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no</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relevant</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conflicts</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of</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interest</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for</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this</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rPr>
        <w:t>article.</w:t>
      </w:r>
    </w:p>
    <w:p w14:paraId="7FF07552" w14:textId="77777777" w:rsidR="00AB5C59" w:rsidRPr="00EA3F5E" w:rsidRDefault="00AB5C59">
      <w:pPr>
        <w:spacing w:line="360" w:lineRule="auto"/>
        <w:jc w:val="both"/>
        <w:rPr>
          <w:rFonts w:ascii="Book Antiqua" w:hAnsi="Book Antiqua" w:cs="Book Antiqua"/>
        </w:rPr>
      </w:pPr>
    </w:p>
    <w:p w14:paraId="46D1BC3B"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 xml:space="preserve">CARE Checklist (2016) statement: </w:t>
      </w:r>
      <w:r w:rsidRPr="00EA3F5E">
        <w:rPr>
          <w:rFonts w:ascii="Book Antiqua" w:eastAsia="Book Antiqua" w:hAnsi="Book Antiqua" w:cs="Book Antiqua"/>
          <w:color w:val="000000"/>
        </w:rPr>
        <w:t>The authors have read the CARE Checklist (2016), and the manuscript was prepared and revised according to the CARE Checklist (2016).</w:t>
      </w:r>
    </w:p>
    <w:p w14:paraId="772EFD92" w14:textId="77777777" w:rsidR="00AB5C59" w:rsidRPr="00EA3F5E" w:rsidRDefault="00AB5C59">
      <w:pPr>
        <w:spacing w:line="360" w:lineRule="auto"/>
        <w:jc w:val="both"/>
        <w:rPr>
          <w:rFonts w:ascii="Book Antiqua" w:hAnsi="Book Antiqua" w:cs="Book Antiqua"/>
        </w:rPr>
      </w:pPr>
    </w:p>
    <w:p w14:paraId="60C2B795"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bCs/>
          <w:color w:val="000000"/>
        </w:rPr>
        <w:t xml:space="preserve">Open-Access: </w:t>
      </w:r>
      <w:r w:rsidRPr="00EA3F5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09BE8D" w14:textId="77777777" w:rsidR="00AB5C59" w:rsidRPr="00EA3F5E" w:rsidRDefault="00AB5C59">
      <w:pPr>
        <w:spacing w:line="360" w:lineRule="auto"/>
        <w:jc w:val="both"/>
        <w:rPr>
          <w:rFonts w:ascii="Book Antiqua" w:hAnsi="Book Antiqua" w:cs="Book Antiqua"/>
        </w:rPr>
      </w:pPr>
    </w:p>
    <w:p w14:paraId="75DFDE84"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t xml:space="preserve">Provenance and peer review: </w:t>
      </w:r>
      <w:r w:rsidRPr="00EA3F5E">
        <w:rPr>
          <w:rFonts w:ascii="Book Antiqua" w:eastAsia="Book Antiqua" w:hAnsi="Book Antiqua" w:cs="Book Antiqua"/>
          <w:color w:val="000000"/>
        </w:rPr>
        <w:t>Unsolicited article; Externally peer reviewed.</w:t>
      </w:r>
    </w:p>
    <w:p w14:paraId="2868701B" w14:textId="77777777" w:rsidR="00AB5C59" w:rsidRPr="00EA3F5E" w:rsidRDefault="00AB5C59">
      <w:pPr>
        <w:spacing w:line="360" w:lineRule="auto"/>
        <w:jc w:val="both"/>
        <w:rPr>
          <w:rFonts w:ascii="Book Antiqua" w:eastAsia="Book Antiqua" w:hAnsi="Book Antiqua" w:cs="Book Antiqua"/>
          <w:b/>
          <w:color w:val="000000"/>
        </w:rPr>
      </w:pPr>
    </w:p>
    <w:p w14:paraId="49A182EA"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t xml:space="preserve">Peer-review model: </w:t>
      </w:r>
      <w:r w:rsidRPr="00EA3F5E">
        <w:rPr>
          <w:rFonts w:ascii="Book Antiqua" w:eastAsia="Book Antiqua" w:hAnsi="Book Antiqua" w:cs="Book Antiqua"/>
          <w:color w:val="000000"/>
        </w:rPr>
        <w:t>Single blind</w:t>
      </w:r>
    </w:p>
    <w:p w14:paraId="5428334F" w14:textId="77777777" w:rsidR="00AB5C59" w:rsidRPr="00EA3F5E" w:rsidRDefault="00AB5C59">
      <w:pPr>
        <w:spacing w:line="360" w:lineRule="auto"/>
        <w:jc w:val="both"/>
        <w:rPr>
          <w:rFonts w:ascii="Book Antiqua" w:hAnsi="Book Antiqua" w:cs="Book Antiqua"/>
        </w:rPr>
      </w:pPr>
    </w:p>
    <w:p w14:paraId="2545318C"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t xml:space="preserve">Peer-review started: </w:t>
      </w:r>
      <w:r w:rsidRPr="00EA3F5E">
        <w:rPr>
          <w:rFonts w:ascii="Book Antiqua" w:eastAsia="Book Antiqua" w:hAnsi="Book Antiqua" w:cs="Book Antiqua"/>
          <w:color w:val="000000"/>
        </w:rPr>
        <w:t>June 23, 2022</w:t>
      </w:r>
    </w:p>
    <w:p w14:paraId="6A8A8526"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t xml:space="preserve">First decision: </w:t>
      </w:r>
      <w:r w:rsidRPr="00EA3F5E">
        <w:rPr>
          <w:rFonts w:ascii="Book Antiqua" w:eastAsia="Book Antiqua" w:hAnsi="Book Antiqua" w:cs="Book Antiqua"/>
          <w:color w:val="000000"/>
        </w:rPr>
        <w:t>August 22, 2022</w:t>
      </w:r>
    </w:p>
    <w:p w14:paraId="5F22F2F9" w14:textId="46A2A203"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t xml:space="preserve">Article in press: </w:t>
      </w:r>
      <w:r w:rsidR="00F76C78" w:rsidRPr="00EA3F5E">
        <w:rPr>
          <w:rFonts w:ascii="Book Antiqua" w:eastAsia="Book Antiqua" w:hAnsi="Book Antiqua" w:cs="Book Antiqua"/>
          <w:color w:val="000000"/>
        </w:rPr>
        <w:t>October 17, 2022</w:t>
      </w:r>
    </w:p>
    <w:p w14:paraId="5AD01113" w14:textId="77777777" w:rsidR="00AB5C59" w:rsidRPr="00EA3F5E" w:rsidRDefault="00AB5C59">
      <w:pPr>
        <w:spacing w:line="360" w:lineRule="auto"/>
        <w:jc w:val="both"/>
        <w:rPr>
          <w:rFonts w:ascii="Book Antiqua" w:hAnsi="Book Antiqua" w:cs="Book Antiqua"/>
        </w:rPr>
      </w:pPr>
    </w:p>
    <w:p w14:paraId="7B2BDED7" w14:textId="77777777" w:rsidR="00AB5C59" w:rsidRPr="00EA3F5E" w:rsidRDefault="00FD4637">
      <w:pPr>
        <w:spacing w:line="360" w:lineRule="auto"/>
        <w:jc w:val="both"/>
        <w:rPr>
          <w:rFonts w:ascii="Book Antiqua" w:hAnsi="Book Antiqua" w:cs="Book Antiqua"/>
          <w:bCs/>
        </w:rPr>
      </w:pPr>
      <w:r w:rsidRPr="00EA3F5E">
        <w:rPr>
          <w:rFonts w:ascii="Book Antiqua" w:eastAsia="Book Antiqua" w:hAnsi="Book Antiqua" w:cs="Book Antiqua"/>
          <w:b/>
          <w:color w:val="000000"/>
        </w:rPr>
        <w:t xml:space="preserve">Specialty type: </w:t>
      </w:r>
      <w:bookmarkStart w:id="15" w:name="OLE_LINK293"/>
      <w:bookmarkStart w:id="16" w:name="OLE_LINK2005"/>
      <w:bookmarkStart w:id="17" w:name="OLE_LINK1988"/>
      <w:bookmarkStart w:id="18" w:name="OLE_LINK1890"/>
      <w:bookmarkStart w:id="19" w:name="OLE_LINK1973"/>
      <w:bookmarkStart w:id="20" w:name="OLE_LINK1739"/>
      <w:bookmarkStart w:id="21" w:name="OLE_LINK1741"/>
      <w:bookmarkStart w:id="22" w:name="OLE_LINK1762"/>
      <w:bookmarkStart w:id="23" w:name="OLE_LINK1740"/>
      <w:r w:rsidRPr="00EA3F5E">
        <w:rPr>
          <w:rFonts w:ascii="Book Antiqua" w:eastAsia="Book Antiqua" w:hAnsi="Book Antiqua" w:cs="Book Antiqua"/>
          <w:bCs/>
          <w:color w:val="000000"/>
        </w:rPr>
        <w:t>Medicine, research and experimental</w:t>
      </w:r>
      <w:bookmarkEnd w:id="15"/>
      <w:bookmarkEnd w:id="16"/>
      <w:bookmarkEnd w:id="17"/>
      <w:bookmarkEnd w:id="18"/>
      <w:bookmarkEnd w:id="19"/>
      <w:bookmarkEnd w:id="20"/>
      <w:bookmarkEnd w:id="21"/>
      <w:bookmarkEnd w:id="22"/>
      <w:bookmarkEnd w:id="23"/>
    </w:p>
    <w:p w14:paraId="5D10CF3F"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t xml:space="preserve">Country/Territory of origin: </w:t>
      </w:r>
      <w:r w:rsidRPr="00EA3F5E">
        <w:rPr>
          <w:rFonts w:ascii="Book Antiqua" w:eastAsia="Book Antiqua" w:hAnsi="Book Antiqua" w:cs="Book Antiqua"/>
          <w:color w:val="000000"/>
        </w:rPr>
        <w:t>China</w:t>
      </w:r>
    </w:p>
    <w:p w14:paraId="68EB8883"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b/>
          <w:color w:val="000000"/>
        </w:rPr>
        <w:lastRenderedPageBreak/>
        <w:t>Peer-review report’s scientific quality classification</w:t>
      </w:r>
    </w:p>
    <w:p w14:paraId="2EE1079F"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Grade A (Excellent): A</w:t>
      </w:r>
    </w:p>
    <w:p w14:paraId="09EE262C"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Grade B (Very good): B</w:t>
      </w:r>
    </w:p>
    <w:p w14:paraId="103B1D6F"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Grade C (Good): C</w:t>
      </w:r>
    </w:p>
    <w:p w14:paraId="46E4EEAF"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Grade D (Fair): 0</w:t>
      </w:r>
    </w:p>
    <w:p w14:paraId="57A594BA" w14:textId="77777777" w:rsidR="00AB5C59" w:rsidRPr="00EA3F5E" w:rsidRDefault="00FD4637">
      <w:pPr>
        <w:spacing w:line="360" w:lineRule="auto"/>
        <w:jc w:val="both"/>
        <w:rPr>
          <w:rFonts w:ascii="Book Antiqua" w:hAnsi="Book Antiqua" w:cs="Book Antiqua"/>
        </w:rPr>
      </w:pPr>
      <w:r w:rsidRPr="00EA3F5E">
        <w:rPr>
          <w:rFonts w:ascii="Book Antiqua" w:eastAsia="Book Antiqua" w:hAnsi="Book Antiqua" w:cs="Book Antiqua"/>
          <w:color w:val="000000"/>
        </w:rPr>
        <w:t>Grade E (Poor): 0</w:t>
      </w:r>
    </w:p>
    <w:p w14:paraId="064785A8" w14:textId="77777777" w:rsidR="00AB5C59" w:rsidRPr="00EA3F5E" w:rsidRDefault="00AB5C59">
      <w:pPr>
        <w:spacing w:line="360" w:lineRule="auto"/>
        <w:jc w:val="both"/>
        <w:rPr>
          <w:rFonts w:ascii="Book Antiqua" w:hAnsi="Book Antiqua" w:cs="Book Antiqua"/>
        </w:rPr>
      </w:pPr>
    </w:p>
    <w:p w14:paraId="00DF2898" w14:textId="77777777" w:rsidR="00AB5C59" w:rsidRPr="00EA3F5E" w:rsidRDefault="00FD4637">
      <w:pPr>
        <w:spacing w:line="360" w:lineRule="auto"/>
        <w:jc w:val="both"/>
        <w:rPr>
          <w:rFonts w:ascii="Book Antiqua" w:hAnsi="Book Antiqua" w:cs="Book Antiqua"/>
          <w:color w:val="000000"/>
          <w:lang w:eastAsia="zh-CN"/>
        </w:rPr>
      </w:pPr>
      <w:r w:rsidRPr="00EA3F5E">
        <w:rPr>
          <w:rFonts w:ascii="Book Antiqua" w:hAnsi="Book Antiqua" w:cs="Book Antiqua"/>
          <w:b/>
          <w:color w:val="000000"/>
          <w:lang w:eastAsia="zh-CN"/>
        </w:rPr>
        <w:t>P-</w:t>
      </w:r>
      <w:r w:rsidRPr="00EA3F5E">
        <w:rPr>
          <w:rFonts w:ascii="Book Antiqua" w:eastAsia="Book Antiqua" w:hAnsi="Book Antiqua" w:cs="Book Antiqua"/>
          <w:b/>
          <w:color w:val="000000"/>
        </w:rPr>
        <w:t xml:space="preserve">Reviewer: </w:t>
      </w:r>
      <w:r w:rsidRPr="00EA3F5E">
        <w:rPr>
          <w:rFonts w:ascii="Book Antiqua" w:eastAsia="Book Antiqua" w:hAnsi="Book Antiqua" w:cs="Book Antiqua"/>
          <w:color w:val="000000"/>
        </w:rPr>
        <w:t>Rizzo A</w:t>
      </w:r>
      <w:r w:rsidRPr="00EA3F5E">
        <w:rPr>
          <w:rFonts w:ascii="Book Antiqua" w:eastAsia="宋体" w:hAnsi="Book Antiqua" w:cs="Book Antiqua"/>
          <w:color w:val="000000"/>
          <w:lang w:eastAsia="zh-CN"/>
        </w:rPr>
        <w:t>, Italy</w:t>
      </w:r>
      <w:r w:rsidRPr="00EA3F5E">
        <w:rPr>
          <w:rFonts w:ascii="Book Antiqua" w:eastAsia="Book Antiqua" w:hAnsi="Book Antiqua" w:cs="Book Antiqua"/>
          <w:color w:val="000000"/>
        </w:rPr>
        <w:t>; Su YY, Taiwan</w:t>
      </w:r>
      <w:r w:rsidRPr="00EA3F5E">
        <w:rPr>
          <w:rFonts w:ascii="Book Antiqua" w:eastAsia="Book Antiqua" w:hAnsi="Book Antiqua" w:cs="Book Antiqua"/>
          <w:b/>
          <w:color w:val="000000"/>
        </w:rPr>
        <w:t xml:space="preserve"> S-Editor: </w:t>
      </w:r>
      <w:r w:rsidRPr="00EA3F5E">
        <w:rPr>
          <w:rFonts w:ascii="Book Antiqua" w:hAnsi="Book Antiqua" w:cs="Book Antiqua"/>
          <w:color w:val="000000"/>
          <w:lang w:eastAsia="zh-CN"/>
        </w:rPr>
        <w:t>Liu GL</w:t>
      </w:r>
      <w:r w:rsidRPr="00EA3F5E">
        <w:rPr>
          <w:rFonts w:ascii="Book Antiqua" w:eastAsia="Book Antiqua" w:hAnsi="Book Antiqua" w:cs="Book Antiqua"/>
          <w:b/>
          <w:color w:val="000000"/>
        </w:rPr>
        <w:t xml:space="preserve"> L-Editor:</w:t>
      </w:r>
      <w:r w:rsidRPr="00EA3F5E">
        <w:rPr>
          <w:rFonts w:ascii="Book Antiqua" w:eastAsia="宋体" w:hAnsi="Book Antiqua" w:cs="Book Antiqua"/>
          <w:b/>
          <w:color w:val="000000"/>
          <w:lang w:eastAsia="zh-CN"/>
        </w:rPr>
        <w:t xml:space="preserve"> </w:t>
      </w:r>
      <w:r w:rsidRPr="00EA3F5E">
        <w:rPr>
          <w:rFonts w:ascii="Book Antiqua" w:eastAsia="宋体" w:hAnsi="Book Antiqua" w:cs="Book Antiqua"/>
          <w:bCs/>
          <w:color w:val="000000"/>
          <w:lang w:eastAsia="zh-CN"/>
        </w:rPr>
        <w:t>A</w:t>
      </w:r>
      <w:r w:rsidRPr="00EA3F5E">
        <w:rPr>
          <w:rFonts w:ascii="Book Antiqua" w:eastAsia="Book Antiqua" w:hAnsi="Book Antiqua" w:cs="Book Antiqua"/>
          <w:b/>
          <w:color w:val="000000"/>
        </w:rPr>
        <w:t xml:space="preserve"> P-Editor: </w:t>
      </w:r>
      <w:r w:rsidRPr="00EA3F5E">
        <w:rPr>
          <w:rFonts w:ascii="Book Antiqua" w:hAnsi="Book Antiqua" w:cs="Book Antiqua"/>
          <w:color w:val="000000"/>
          <w:lang w:eastAsia="zh-CN"/>
        </w:rPr>
        <w:t>Liu GL</w:t>
      </w:r>
    </w:p>
    <w:p w14:paraId="0C25094B" w14:textId="77777777" w:rsidR="00AB5C59" w:rsidRPr="00EA3F5E" w:rsidRDefault="00AB5C59">
      <w:pPr>
        <w:spacing w:line="360" w:lineRule="auto"/>
        <w:jc w:val="both"/>
        <w:rPr>
          <w:rFonts w:ascii="Book Antiqua" w:hAnsi="Book Antiqua" w:cs="Book Antiqua"/>
          <w:color w:val="000000"/>
          <w:lang w:eastAsia="zh-CN"/>
        </w:rPr>
        <w:sectPr w:rsidR="00AB5C59" w:rsidRPr="00EA3F5E">
          <w:pgSz w:w="12240" w:h="15840"/>
          <w:pgMar w:top="1440" w:right="1440" w:bottom="1440" w:left="1440" w:header="720" w:footer="720" w:gutter="0"/>
          <w:cols w:space="720"/>
          <w:docGrid w:linePitch="360"/>
        </w:sectPr>
      </w:pPr>
    </w:p>
    <w:p w14:paraId="03E22CF6" w14:textId="77777777" w:rsidR="00AB5C59" w:rsidRPr="00EA3F5E" w:rsidRDefault="00FD4637">
      <w:pPr>
        <w:spacing w:line="360" w:lineRule="auto"/>
        <w:jc w:val="both"/>
        <w:rPr>
          <w:rFonts w:ascii="Book Antiqua" w:eastAsia="Book Antiqua" w:hAnsi="Book Antiqua" w:cs="Book Antiqua"/>
          <w:b/>
          <w:color w:val="000000" w:themeColor="text1"/>
        </w:rPr>
      </w:pPr>
      <w:r w:rsidRPr="00EA3F5E">
        <w:rPr>
          <w:rFonts w:ascii="Book Antiqua" w:eastAsia="Book Antiqua" w:hAnsi="Book Antiqua" w:cs="Book Antiqua"/>
          <w:b/>
          <w:color w:val="000000" w:themeColor="text1"/>
        </w:rPr>
        <w:lastRenderedPageBreak/>
        <w:t>Figure Legends</w:t>
      </w:r>
    </w:p>
    <w:p w14:paraId="16E38684" w14:textId="10903622" w:rsidR="00AB5C59" w:rsidRPr="00EA3F5E" w:rsidRDefault="006772AF">
      <w:pPr>
        <w:spacing w:line="360" w:lineRule="auto"/>
        <w:jc w:val="both"/>
        <w:rPr>
          <w:rFonts w:ascii="Book Antiqua" w:eastAsia="宋体" w:hAnsi="Book Antiqua" w:cs="Book Antiqua"/>
          <w:b/>
          <w:color w:val="000000" w:themeColor="text1"/>
          <w:lang w:eastAsia="zh-CN"/>
        </w:rPr>
      </w:pPr>
      <w:r>
        <w:rPr>
          <w:noProof/>
        </w:rPr>
        <w:drawing>
          <wp:inline distT="0" distB="0" distL="0" distR="0" wp14:anchorId="1C25BEFE" wp14:editId="525E8E91">
            <wp:extent cx="5571490" cy="7463790"/>
            <wp:effectExtent l="0" t="0" r="0" b="0"/>
            <wp:docPr id="2"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1490" cy="7463790"/>
                    </a:xfrm>
                    <a:prstGeom prst="rect">
                      <a:avLst/>
                    </a:prstGeom>
                    <a:noFill/>
                    <a:ln>
                      <a:noFill/>
                    </a:ln>
                  </pic:spPr>
                </pic:pic>
              </a:graphicData>
            </a:graphic>
          </wp:inline>
        </w:drawing>
      </w:r>
    </w:p>
    <w:p w14:paraId="31AC2712" w14:textId="77777777" w:rsidR="00AB5C59" w:rsidRPr="00EA3F5E" w:rsidRDefault="00FD4637">
      <w:pPr>
        <w:spacing w:line="360" w:lineRule="auto"/>
        <w:jc w:val="both"/>
        <w:rPr>
          <w:rFonts w:ascii="Book Antiqua" w:eastAsia="Book Antiqua" w:hAnsi="Book Antiqua" w:cs="Book Antiqua"/>
          <w:color w:val="000000"/>
        </w:rPr>
        <w:sectPr w:rsidR="00AB5C59" w:rsidRPr="00EA3F5E">
          <w:pgSz w:w="12240" w:h="15840"/>
          <w:pgMar w:top="1440" w:right="1440" w:bottom="1440" w:left="1440" w:header="720" w:footer="720" w:gutter="0"/>
          <w:cols w:space="720"/>
          <w:docGrid w:linePitch="360"/>
        </w:sectPr>
      </w:pPr>
      <w:r w:rsidRPr="00EA3F5E">
        <w:rPr>
          <w:rFonts w:ascii="Book Antiqua" w:eastAsia="Book Antiqua" w:hAnsi="Book Antiqua" w:cs="Book Antiqua"/>
          <w:b/>
          <w:bCs/>
          <w:color w:val="000000"/>
        </w:rPr>
        <w:lastRenderedPageBreak/>
        <w:t>Figure 1</w:t>
      </w:r>
      <w:r w:rsidRPr="00EA3F5E">
        <w:rPr>
          <w:rFonts w:ascii="Book Antiqua" w:eastAsia="宋体" w:hAnsi="Book Antiqua" w:cs="Book Antiqua"/>
          <w:b/>
          <w:bCs/>
          <w:color w:val="000000"/>
          <w:lang w:eastAsia="zh-CN"/>
        </w:rPr>
        <w:t xml:space="preserve"> Patient's treatment history and outcome. </w:t>
      </w:r>
      <w:r w:rsidRPr="00EA3F5E">
        <w:rPr>
          <w:rFonts w:ascii="Book Antiqua" w:eastAsia="宋体" w:hAnsi="Book Antiqua" w:cs="Book Antiqua"/>
          <w:color w:val="000000"/>
          <w:lang w:eastAsia="zh-CN"/>
        </w:rPr>
        <w:t>A: Timeline: Treatment regimens with response assessment and carbohydrate antigen 199 change; B: Computed tomography (CT) of the abdominal and lung lesions throughout therapy. July 2019, CT images of lung and liver on presentation, benign proliferative lesion of lung was considered at that time; September 2019</w:t>
      </w:r>
      <w:r w:rsidRPr="00EA3F5E">
        <w:rPr>
          <w:rFonts w:ascii="Book Antiqua" w:eastAsia="宋体" w:hAnsi="Book Antiqua" w:cs="Book Antiqua" w:hint="eastAsia"/>
          <w:color w:val="000000"/>
          <w:lang w:eastAsia="zh-CN"/>
        </w:rPr>
        <w:t>,</w:t>
      </w:r>
      <w:r w:rsidRPr="00EA3F5E">
        <w:rPr>
          <w:rFonts w:ascii="Book Antiqua" w:eastAsia="宋体" w:hAnsi="Book Antiqua" w:cs="Book Antiqua"/>
          <w:color w:val="000000"/>
          <w:lang w:eastAsia="zh-CN"/>
        </w:rPr>
        <w:t xml:space="preserve"> CT images of lung and liver after 2 cycles of GemCis chemotherapy, the intrahepatic and intrapulmonary lesions were significantly larger than before, and the peritoneal lesions were increased and pleural effusion appeared; </w:t>
      </w:r>
      <w:r w:rsidRPr="00EA3F5E">
        <w:rPr>
          <w:rFonts w:ascii="Book Antiqua" w:eastAsia="宋体" w:hAnsi="Book Antiqua" w:cs="Book Antiqua" w:hint="eastAsia"/>
          <w:color w:val="000000"/>
          <w:lang w:eastAsia="zh-CN"/>
        </w:rPr>
        <w:t>January</w:t>
      </w:r>
      <w:r w:rsidRPr="00EA3F5E">
        <w:rPr>
          <w:rFonts w:ascii="Book Antiqua" w:eastAsia="宋体" w:hAnsi="Book Antiqua" w:cs="Book Antiqua"/>
          <w:color w:val="000000"/>
          <w:lang w:eastAsia="zh-CN"/>
        </w:rPr>
        <w:t xml:space="preserve"> 20</w:t>
      </w:r>
      <w:r w:rsidRPr="00EA3F5E">
        <w:rPr>
          <w:rFonts w:ascii="Book Antiqua" w:eastAsia="宋体" w:hAnsi="Book Antiqua" w:cs="Book Antiqua" w:hint="eastAsia"/>
          <w:color w:val="000000"/>
          <w:lang w:eastAsia="zh-CN"/>
        </w:rPr>
        <w:t>20,</w:t>
      </w:r>
      <w:r w:rsidRPr="00EA3F5E">
        <w:rPr>
          <w:rFonts w:ascii="Book Antiqua" w:eastAsia="宋体" w:hAnsi="Book Antiqua" w:cs="Book Antiqua"/>
          <w:color w:val="000000"/>
          <w:lang w:eastAsia="zh-CN"/>
        </w:rPr>
        <w:t xml:space="preserve"> CT images of lung and liver after 6 cycles of paclitaxel and </w:t>
      </w:r>
      <w:r w:rsidRPr="00EA3F5E">
        <w:rPr>
          <w:rFonts w:ascii="Book Antiqua" w:eastAsia="Book Antiqua" w:hAnsi="Book Antiqua" w:cs="Book Antiqua"/>
          <w:color w:val="000000"/>
        </w:rPr>
        <w:t>programmed death 1</w:t>
      </w:r>
      <w:r w:rsidRPr="00EA3F5E">
        <w:rPr>
          <w:rFonts w:ascii="Book Antiqua" w:eastAsia="宋体" w:hAnsi="Book Antiqua" w:cs="Book Antiqua"/>
          <w:color w:val="000000"/>
          <w:lang w:eastAsia="zh-CN"/>
        </w:rPr>
        <w:t xml:space="preserve"> monoclonal antibody, lesions of liver and lung were clinical complete remission; C: Genomic alteration assay result; D: The </w:t>
      </w:r>
      <w:r w:rsidRPr="00EA3F5E">
        <w:rPr>
          <w:rFonts w:ascii="Book Antiqua" w:eastAsia="Book Antiqua" w:hAnsi="Book Antiqua" w:cs="Book Antiqua"/>
          <w:color w:val="000000"/>
        </w:rPr>
        <w:t>Reactive cutaneous capillary endothelial proliferation</w:t>
      </w:r>
      <w:r w:rsidRPr="00EA3F5E">
        <w:rPr>
          <w:rFonts w:ascii="Book Antiqua" w:eastAsia="宋体" w:hAnsi="Book Antiqua" w:cs="Book Antiqua"/>
          <w:color w:val="000000"/>
          <w:lang w:eastAsia="zh-CN"/>
        </w:rPr>
        <w:t xml:space="preserve"> developed in the oral gingiva after the third cycle of camrelizumab with paclitaxel and was surgically removed after 2 mo.</w:t>
      </w:r>
      <w:r w:rsidRPr="00EA3F5E">
        <w:rPr>
          <w:rFonts w:ascii="Book Antiqua" w:hAnsi="Book Antiqua" w:cs="Book Antiqua"/>
          <w:color w:val="000000"/>
          <w:lang w:eastAsia="zh-CN"/>
        </w:rPr>
        <w:t xml:space="preserve"> </w:t>
      </w:r>
      <w:r w:rsidRPr="00EA3F5E">
        <w:rPr>
          <w:rFonts w:ascii="Book Antiqua" w:eastAsia="Book Antiqua" w:hAnsi="Book Antiqua" w:cs="Book Antiqua"/>
          <w:color w:val="000000" w:themeColor="text1"/>
        </w:rPr>
        <w:t>iCC</w:t>
      </w:r>
      <w:r w:rsidRPr="00EA3F5E">
        <w:rPr>
          <w:rFonts w:ascii="Book Antiqua" w:eastAsia="宋体" w:hAnsi="Book Antiqua" w:cs="Book Antiqua"/>
          <w:color w:val="000000" w:themeColor="text1"/>
          <w:lang w:eastAsia="zh-CN"/>
        </w:rPr>
        <w:t>:</w:t>
      </w:r>
      <w:r w:rsidRPr="00EA3F5E">
        <w:rPr>
          <w:rFonts w:ascii="Book Antiqua" w:eastAsia="Book Antiqua" w:hAnsi="Book Antiqua" w:cs="Book Antiqua"/>
          <w:color w:val="000000" w:themeColor="text1"/>
        </w:rPr>
        <w:t xml:space="preserve"> </w:t>
      </w:r>
      <w:r w:rsidRPr="00EA3F5E">
        <w:rPr>
          <w:rFonts w:ascii="Book Antiqua" w:hAnsi="Book Antiqua" w:cs="Book Antiqua"/>
          <w:color w:val="000000" w:themeColor="text1"/>
          <w:lang w:eastAsia="zh-CN"/>
        </w:rPr>
        <w:t>I</w:t>
      </w:r>
      <w:r w:rsidRPr="00EA3F5E">
        <w:rPr>
          <w:rFonts w:ascii="Book Antiqua" w:eastAsia="Book Antiqua" w:hAnsi="Book Antiqua" w:cs="Book Antiqua"/>
          <w:color w:val="000000" w:themeColor="text1"/>
        </w:rPr>
        <w:t>ntrahepatic cholagiocarcinama cancer; PR</w:t>
      </w:r>
      <w:r w:rsidRPr="00EA3F5E">
        <w:rPr>
          <w:rFonts w:ascii="Book Antiqua" w:eastAsia="宋体" w:hAnsi="Book Antiqua" w:cs="Book Antiqua"/>
          <w:color w:val="000000" w:themeColor="text1"/>
          <w:lang w:eastAsia="zh-CN"/>
        </w:rPr>
        <w:t>:</w:t>
      </w:r>
      <w:r w:rsidRPr="00EA3F5E">
        <w:rPr>
          <w:rFonts w:ascii="Book Antiqua" w:eastAsia="Book Antiqua" w:hAnsi="Book Antiqua" w:cs="Book Antiqua"/>
          <w:color w:val="000000" w:themeColor="text1"/>
        </w:rPr>
        <w:t xml:space="preserve"> </w:t>
      </w:r>
      <w:r w:rsidRPr="00EA3F5E">
        <w:rPr>
          <w:rFonts w:ascii="Book Antiqua" w:hAnsi="Book Antiqua" w:cs="Book Antiqua"/>
          <w:color w:val="000000" w:themeColor="text1"/>
          <w:lang w:eastAsia="zh-CN"/>
        </w:rPr>
        <w:t>P</w:t>
      </w:r>
      <w:r w:rsidRPr="00EA3F5E">
        <w:rPr>
          <w:rFonts w:ascii="Book Antiqua" w:eastAsia="Book Antiqua" w:hAnsi="Book Antiqua" w:cs="Book Antiqua"/>
          <w:color w:val="000000" w:themeColor="text1"/>
        </w:rPr>
        <w:t>artial response; PD</w:t>
      </w:r>
      <w:r w:rsidRPr="00EA3F5E">
        <w:rPr>
          <w:rFonts w:ascii="Book Antiqua" w:eastAsia="宋体" w:hAnsi="Book Antiqua" w:cs="Book Antiqua"/>
          <w:color w:val="000000" w:themeColor="text1"/>
          <w:lang w:eastAsia="zh-CN"/>
        </w:rPr>
        <w:t>:</w:t>
      </w:r>
      <w:r w:rsidRPr="00EA3F5E">
        <w:rPr>
          <w:rFonts w:ascii="Book Antiqua" w:eastAsia="Book Antiqua" w:hAnsi="Book Antiqua" w:cs="Book Antiqua"/>
          <w:color w:val="000000" w:themeColor="text1"/>
        </w:rPr>
        <w:t xml:space="preserve"> </w:t>
      </w:r>
      <w:r w:rsidRPr="00EA3F5E">
        <w:rPr>
          <w:rFonts w:ascii="Book Antiqua" w:hAnsi="Book Antiqua" w:cs="Book Antiqua"/>
          <w:color w:val="000000" w:themeColor="text1"/>
          <w:lang w:eastAsia="zh-CN"/>
        </w:rPr>
        <w:t>P</w:t>
      </w:r>
      <w:r w:rsidRPr="00EA3F5E">
        <w:rPr>
          <w:rFonts w:ascii="Book Antiqua" w:eastAsia="Book Antiqua" w:hAnsi="Book Antiqua" w:cs="Book Antiqua"/>
          <w:color w:val="000000" w:themeColor="text1"/>
        </w:rPr>
        <w:t>rogressive disease; cCR</w:t>
      </w:r>
      <w:r w:rsidRPr="00EA3F5E">
        <w:rPr>
          <w:rFonts w:ascii="Book Antiqua" w:eastAsia="宋体" w:hAnsi="Book Antiqua" w:cs="Book Antiqua"/>
          <w:color w:val="000000" w:themeColor="text1"/>
          <w:lang w:eastAsia="zh-CN"/>
        </w:rPr>
        <w:t>:</w:t>
      </w:r>
      <w:r w:rsidRPr="00EA3F5E">
        <w:rPr>
          <w:rFonts w:ascii="Book Antiqua" w:eastAsia="Book Antiqua" w:hAnsi="Book Antiqua" w:cs="Book Antiqua"/>
          <w:color w:val="000000" w:themeColor="text1"/>
        </w:rPr>
        <w:t xml:space="preserve"> </w:t>
      </w:r>
      <w:r w:rsidRPr="00EA3F5E">
        <w:rPr>
          <w:rFonts w:ascii="Book Antiqua" w:hAnsi="Book Antiqua" w:cs="Book Antiqua"/>
          <w:color w:val="000000" w:themeColor="text1"/>
          <w:lang w:eastAsia="zh-CN"/>
        </w:rPr>
        <w:t>C</w:t>
      </w:r>
      <w:r w:rsidRPr="00EA3F5E">
        <w:rPr>
          <w:rFonts w:ascii="Book Antiqua" w:eastAsia="Book Antiqua" w:hAnsi="Book Antiqua" w:cs="Book Antiqua"/>
          <w:color w:val="000000" w:themeColor="text1"/>
        </w:rPr>
        <w:t>linical complete remission; GemCis</w:t>
      </w:r>
      <w:r w:rsidRPr="00EA3F5E">
        <w:rPr>
          <w:rFonts w:ascii="Book Antiqua" w:eastAsia="宋体" w:hAnsi="Book Antiqua" w:cs="Book Antiqua"/>
          <w:color w:val="000000" w:themeColor="text1"/>
          <w:lang w:eastAsia="zh-CN"/>
        </w:rPr>
        <w:t>:</w:t>
      </w:r>
      <w:r w:rsidRPr="00EA3F5E">
        <w:rPr>
          <w:rFonts w:ascii="Book Antiqua" w:eastAsia="Book Antiqua" w:hAnsi="Book Antiqua" w:cs="Book Antiqua"/>
          <w:color w:val="000000" w:themeColor="text1"/>
        </w:rPr>
        <w:t xml:space="preserve"> Gemcitabine and cisplatin; IO</w:t>
      </w:r>
      <w:r w:rsidRPr="00EA3F5E">
        <w:rPr>
          <w:rFonts w:ascii="Book Antiqua" w:eastAsia="宋体" w:hAnsi="Book Antiqua" w:cs="Book Antiqua"/>
          <w:color w:val="000000" w:themeColor="text1"/>
          <w:lang w:eastAsia="zh-CN"/>
        </w:rPr>
        <w:t>:</w:t>
      </w:r>
      <w:r w:rsidRPr="00EA3F5E">
        <w:rPr>
          <w:rFonts w:ascii="Book Antiqua" w:eastAsia="Book Antiqua" w:hAnsi="Book Antiqua" w:cs="Book Antiqua"/>
          <w:color w:val="000000" w:themeColor="text1"/>
        </w:rPr>
        <w:t xml:space="preserve"> </w:t>
      </w:r>
      <w:r w:rsidRPr="00EA3F5E">
        <w:rPr>
          <w:rFonts w:ascii="Book Antiqua" w:hAnsi="Book Antiqua" w:cs="Book Antiqua"/>
          <w:color w:val="000000" w:themeColor="text1"/>
          <w:lang w:eastAsia="zh-CN"/>
        </w:rPr>
        <w:t>I</w:t>
      </w:r>
      <w:r w:rsidRPr="00EA3F5E">
        <w:rPr>
          <w:rFonts w:ascii="Book Antiqua" w:eastAsia="Book Antiqua" w:hAnsi="Book Antiqua" w:cs="Book Antiqua"/>
          <w:color w:val="000000" w:themeColor="text1"/>
        </w:rPr>
        <w:t>mmunotherpay; Pac</w:t>
      </w:r>
      <w:r w:rsidRPr="00EA3F5E">
        <w:rPr>
          <w:rFonts w:ascii="Book Antiqua" w:eastAsia="宋体" w:hAnsi="Book Antiqua" w:cs="Book Antiqua"/>
          <w:color w:val="000000" w:themeColor="text1"/>
          <w:lang w:eastAsia="zh-CN"/>
        </w:rPr>
        <w:t>:</w:t>
      </w:r>
      <w:r w:rsidRPr="00EA3F5E">
        <w:rPr>
          <w:rFonts w:ascii="Book Antiqua" w:eastAsia="Book Antiqua" w:hAnsi="Book Antiqua" w:cs="Book Antiqua"/>
          <w:color w:val="000000" w:themeColor="text1"/>
        </w:rPr>
        <w:t xml:space="preserve"> </w:t>
      </w:r>
      <w:r w:rsidRPr="00EA3F5E">
        <w:rPr>
          <w:rFonts w:ascii="Book Antiqua" w:hAnsi="Book Antiqua" w:cs="Book Antiqua"/>
          <w:color w:val="000000" w:themeColor="text1"/>
          <w:lang w:eastAsia="zh-CN"/>
        </w:rPr>
        <w:t>P</w:t>
      </w:r>
      <w:r w:rsidRPr="00EA3F5E">
        <w:rPr>
          <w:rFonts w:ascii="Book Antiqua" w:eastAsia="Book Antiqua" w:hAnsi="Book Antiqua" w:cs="Book Antiqua"/>
          <w:color w:val="000000" w:themeColor="text1"/>
        </w:rPr>
        <w:t>aclitaxel</w:t>
      </w:r>
      <w:r w:rsidRPr="00EA3F5E">
        <w:rPr>
          <w:rFonts w:ascii="Book Antiqua" w:eastAsia="宋体" w:hAnsi="Book Antiqua" w:cs="Book Antiqua"/>
          <w:color w:val="000000" w:themeColor="text1"/>
          <w:lang w:eastAsia="zh-CN"/>
        </w:rPr>
        <w:t xml:space="preserve">; PD-1: </w:t>
      </w:r>
      <w:r w:rsidRPr="00EA3F5E">
        <w:rPr>
          <w:rFonts w:ascii="Book Antiqua" w:eastAsia="宋体" w:hAnsi="Book Antiqua" w:cs="Book Antiqua"/>
          <w:color w:val="000000"/>
          <w:lang w:eastAsia="zh-CN"/>
        </w:rPr>
        <w:t xml:space="preserve">Programmed </w:t>
      </w:r>
      <w:r w:rsidRPr="00EA3F5E">
        <w:rPr>
          <w:rFonts w:ascii="Book Antiqua" w:eastAsia="Book Antiqua" w:hAnsi="Book Antiqua" w:cs="Book Antiqua"/>
          <w:color w:val="000000"/>
        </w:rPr>
        <w:t>death 1</w:t>
      </w:r>
      <w:r w:rsidRPr="00EA3F5E">
        <w:rPr>
          <w:rFonts w:ascii="Book Antiqua" w:eastAsia="宋体" w:hAnsi="Book Antiqua" w:cs="Book Antiqua"/>
          <w:color w:val="000000"/>
          <w:lang w:eastAsia="zh-CN"/>
        </w:rPr>
        <w:t>.</w:t>
      </w:r>
    </w:p>
    <w:p w14:paraId="3463A6B5" w14:textId="77777777" w:rsidR="00AB5C59" w:rsidRPr="00EA3F5E" w:rsidRDefault="00FD4637">
      <w:pPr>
        <w:spacing w:line="360" w:lineRule="auto"/>
        <w:jc w:val="both"/>
        <w:rPr>
          <w:rFonts w:ascii="Book Antiqua" w:eastAsia="宋体" w:hAnsi="Book Antiqua" w:cs="Book Antiqua"/>
          <w:b/>
          <w:bCs/>
          <w:lang w:eastAsia="zh-CN"/>
        </w:rPr>
      </w:pPr>
      <w:r w:rsidRPr="00EA3F5E">
        <w:rPr>
          <w:rFonts w:ascii="Book Antiqua" w:eastAsia="Book Antiqua" w:hAnsi="Book Antiqua" w:cs="Book Antiqua"/>
          <w:b/>
          <w:bCs/>
          <w:color w:val="000000"/>
        </w:rPr>
        <w:lastRenderedPageBreak/>
        <w:t xml:space="preserve">Table 1 Reported cases of </w:t>
      </w:r>
      <w:r w:rsidRPr="00EA3F5E">
        <w:rPr>
          <w:rFonts w:ascii="Book Antiqua" w:hAnsi="Book Antiqua" w:cs="Book Antiqua" w:hint="eastAsia"/>
          <w:b/>
          <w:bCs/>
          <w:color w:val="000000"/>
          <w:lang w:eastAsia="zh-CN"/>
        </w:rPr>
        <w:t>p</w:t>
      </w:r>
      <w:r w:rsidRPr="00EA3F5E">
        <w:rPr>
          <w:rFonts w:ascii="Book Antiqua" w:eastAsia="Book Antiqua" w:hAnsi="Book Antiqua" w:cs="Book Antiqua"/>
          <w:b/>
          <w:bCs/>
          <w:color w:val="000000"/>
        </w:rPr>
        <w:t>rogrammed death 1 inhibitors and chemotherapy in patients with cholangiocarcinoma</w:t>
      </w:r>
      <w:r w:rsidRPr="00EA3F5E">
        <w:rPr>
          <w:rFonts w:ascii="Book Antiqua" w:eastAsia="宋体" w:hAnsi="Book Antiqua" w:cs="Book Antiqua"/>
          <w:b/>
          <w:bCs/>
          <w:color w:val="000000"/>
          <w:lang w:eastAsia="zh-CN"/>
        </w:rPr>
        <w:t xml:space="preserve"> </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03"/>
        <w:gridCol w:w="2343"/>
        <w:gridCol w:w="1430"/>
        <w:gridCol w:w="1043"/>
        <w:gridCol w:w="830"/>
        <w:gridCol w:w="1294"/>
      </w:tblGrid>
      <w:tr w:rsidR="00AB5C59" w:rsidRPr="00EA3F5E" w14:paraId="49B07224" w14:textId="77777777">
        <w:trPr>
          <w:trHeight w:val="320"/>
        </w:trPr>
        <w:tc>
          <w:tcPr>
            <w:tcW w:w="1129" w:type="dxa"/>
            <w:tcBorders>
              <w:top w:val="single" w:sz="4" w:space="0" w:color="auto"/>
              <w:bottom w:val="single" w:sz="4" w:space="0" w:color="auto"/>
            </w:tcBorders>
            <w:noWrap/>
          </w:tcPr>
          <w:p w14:paraId="6DFF42AF" w14:textId="77777777" w:rsidR="00AB5C59" w:rsidRPr="00EA3F5E" w:rsidRDefault="00FD4637">
            <w:pPr>
              <w:spacing w:line="360" w:lineRule="auto"/>
              <w:jc w:val="both"/>
              <w:rPr>
                <w:rFonts w:ascii="Book Antiqua" w:eastAsia="等线" w:hAnsi="Book Antiqua" w:cs="Book Antiqua"/>
                <w:b/>
                <w:bCs/>
                <w:color w:val="141413"/>
                <w:kern w:val="0"/>
                <w:lang w:eastAsia="zh-CN"/>
              </w:rPr>
            </w:pPr>
            <w:r w:rsidRPr="00EA3F5E">
              <w:rPr>
                <w:rFonts w:ascii="Book Antiqua" w:eastAsia="等线" w:hAnsi="Book Antiqua" w:cs="Book Antiqua"/>
                <w:b/>
                <w:bCs/>
                <w:color w:val="141413"/>
                <w:kern w:val="0"/>
                <w:lang w:eastAsia="zh-CN"/>
              </w:rPr>
              <w:t>Ref.</w:t>
            </w:r>
          </w:p>
        </w:tc>
        <w:tc>
          <w:tcPr>
            <w:tcW w:w="1403" w:type="dxa"/>
            <w:tcBorders>
              <w:top w:val="single" w:sz="4" w:space="0" w:color="auto"/>
              <w:bottom w:val="single" w:sz="4" w:space="0" w:color="auto"/>
            </w:tcBorders>
            <w:noWrap/>
          </w:tcPr>
          <w:p w14:paraId="74AE1C5C" w14:textId="77777777" w:rsidR="00AB5C59" w:rsidRPr="00EA3F5E" w:rsidRDefault="00FD4637">
            <w:pPr>
              <w:spacing w:line="360" w:lineRule="auto"/>
              <w:jc w:val="both"/>
              <w:rPr>
                <w:rFonts w:ascii="Book Antiqua" w:eastAsia="等线" w:hAnsi="Book Antiqua" w:cs="Book Antiqua"/>
                <w:b/>
                <w:bCs/>
                <w:color w:val="141413"/>
                <w:kern w:val="0"/>
              </w:rPr>
            </w:pPr>
            <w:r w:rsidRPr="00EA3F5E">
              <w:rPr>
                <w:rFonts w:ascii="Book Antiqua" w:eastAsia="等线" w:hAnsi="Book Antiqua" w:cs="Book Antiqua"/>
                <w:b/>
                <w:bCs/>
                <w:color w:val="141413"/>
                <w:kern w:val="0"/>
              </w:rPr>
              <w:t>Biomarker</w:t>
            </w:r>
          </w:p>
        </w:tc>
        <w:tc>
          <w:tcPr>
            <w:tcW w:w="2343" w:type="dxa"/>
            <w:tcBorders>
              <w:top w:val="single" w:sz="4" w:space="0" w:color="auto"/>
              <w:bottom w:val="single" w:sz="4" w:space="0" w:color="auto"/>
            </w:tcBorders>
            <w:noWrap/>
          </w:tcPr>
          <w:p w14:paraId="5682E37E" w14:textId="77777777" w:rsidR="00AB5C59" w:rsidRPr="00EA3F5E" w:rsidRDefault="00FD4637">
            <w:pPr>
              <w:spacing w:line="360" w:lineRule="auto"/>
              <w:jc w:val="both"/>
              <w:rPr>
                <w:rFonts w:ascii="Book Antiqua" w:eastAsia="等线" w:hAnsi="Book Antiqua" w:cs="Book Antiqua"/>
                <w:b/>
                <w:bCs/>
                <w:color w:val="141413"/>
                <w:kern w:val="0"/>
              </w:rPr>
            </w:pPr>
            <w:r w:rsidRPr="00EA3F5E">
              <w:rPr>
                <w:rFonts w:ascii="Book Antiqua" w:eastAsia="等线" w:hAnsi="Book Antiqua" w:cs="Book Antiqua"/>
                <w:b/>
                <w:bCs/>
                <w:color w:val="141413"/>
                <w:kern w:val="0"/>
              </w:rPr>
              <w:t>Drug</w:t>
            </w:r>
          </w:p>
        </w:tc>
        <w:tc>
          <w:tcPr>
            <w:tcW w:w="1430" w:type="dxa"/>
            <w:tcBorders>
              <w:top w:val="single" w:sz="4" w:space="0" w:color="auto"/>
              <w:bottom w:val="single" w:sz="4" w:space="0" w:color="auto"/>
            </w:tcBorders>
            <w:noWrap/>
          </w:tcPr>
          <w:p w14:paraId="765E2C2A" w14:textId="77777777" w:rsidR="00AB5C59" w:rsidRPr="00EA3F5E" w:rsidRDefault="00FD4637">
            <w:pPr>
              <w:spacing w:line="360" w:lineRule="auto"/>
              <w:jc w:val="both"/>
              <w:rPr>
                <w:rFonts w:ascii="Book Antiqua" w:eastAsia="等线" w:hAnsi="Book Antiqua" w:cs="Book Antiqua"/>
                <w:b/>
                <w:bCs/>
                <w:color w:val="141413"/>
                <w:kern w:val="0"/>
              </w:rPr>
            </w:pPr>
            <w:r w:rsidRPr="00EA3F5E">
              <w:rPr>
                <w:rFonts w:ascii="Book Antiqua" w:eastAsia="等线" w:hAnsi="Book Antiqua" w:cs="Book Antiqua"/>
                <w:b/>
                <w:bCs/>
                <w:color w:val="141413"/>
                <w:kern w:val="0"/>
              </w:rPr>
              <w:t>Patient population</w:t>
            </w:r>
          </w:p>
        </w:tc>
        <w:tc>
          <w:tcPr>
            <w:tcW w:w="1043" w:type="dxa"/>
            <w:tcBorders>
              <w:top w:val="single" w:sz="4" w:space="0" w:color="auto"/>
              <w:bottom w:val="single" w:sz="4" w:space="0" w:color="auto"/>
            </w:tcBorders>
            <w:noWrap/>
          </w:tcPr>
          <w:p w14:paraId="15D14DD5" w14:textId="77777777" w:rsidR="00AB5C59" w:rsidRPr="00EA3F5E" w:rsidRDefault="00FD4637">
            <w:pPr>
              <w:spacing w:line="360" w:lineRule="auto"/>
              <w:jc w:val="both"/>
              <w:rPr>
                <w:rFonts w:ascii="Book Antiqua" w:eastAsia="等线" w:hAnsi="Book Antiqua" w:cs="Book Antiqua"/>
                <w:b/>
                <w:bCs/>
                <w:color w:val="141413"/>
                <w:kern w:val="0"/>
              </w:rPr>
            </w:pPr>
            <w:r w:rsidRPr="00EA3F5E">
              <w:rPr>
                <w:rFonts w:ascii="Book Antiqua" w:eastAsia="等线" w:hAnsi="Book Antiqua" w:cs="Book Antiqua"/>
                <w:b/>
                <w:bCs/>
                <w:color w:val="141413"/>
                <w:kern w:val="0"/>
              </w:rPr>
              <w:t>Sample size</w:t>
            </w:r>
          </w:p>
        </w:tc>
        <w:tc>
          <w:tcPr>
            <w:tcW w:w="830" w:type="dxa"/>
            <w:tcBorders>
              <w:top w:val="single" w:sz="4" w:space="0" w:color="auto"/>
              <w:bottom w:val="single" w:sz="4" w:space="0" w:color="auto"/>
            </w:tcBorders>
            <w:noWrap/>
          </w:tcPr>
          <w:p w14:paraId="19A3A08D" w14:textId="77777777" w:rsidR="00AB5C59" w:rsidRPr="00EA3F5E" w:rsidRDefault="00FD4637">
            <w:pPr>
              <w:spacing w:line="360" w:lineRule="auto"/>
              <w:jc w:val="both"/>
              <w:rPr>
                <w:rFonts w:ascii="Book Antiqua" w:eastAsia="等线" w:hAnsi="Book Antiqua" w:cs="Book Antiqua"/>
                <w:b/>
                <w:bCs/>
                <w:color w:val="141413"/>
                <w:kern w:val="0"/>
              </w:rPr>
            </w:pPr>
            <w:r w:rsidRPr="00EA3F5E">
              <w:rPr>
                <w:rFonts w:ascii="Book Antiqua" w:eastAsia="等线" w:hAnsi="Book Antiqua" w:cs="Book Antiqua"/>
                <w:b/>
                <w:bCs/>
                <w:color w:val="141413"/>
                <w:kern w:val="0"/>
              </w:rPr>
              <w:t>Best effect</w:t>
            </w:r>
          </w:p>
        </w:tc>
        <w:tc>
          <w:tcPr>
            <w:tcW w:w="1294" w:type="dxa"/>
            <w:tcBorders>
              <w:top w:val="single" w:sz="4" w:space="0" w:color="auto"/>
              <w:bottom w:val="single" w:sz="4" w:space="0" w:color="auto"/>
            </w:tcBorders>
            <w:noWrap/>
          </w:tcPr>
          <w:p w14:paraId="3552EF3B" w14:textId="77777777" w:rsidR="00AB5C59" w:rsidRPr="00EA3F5E" w:rsidRDefault="00FD4637">
            <w:pPr>
              <w:spacing w:line="360" w:lineRule="auto"/>
              <w:jc w:val="both"/>
              <w:rPr>
                <w:rFonts w:ascii="Book Antiqua" w:eastAsia="等线" w:hAnsi="Book Antiqua" w:cs="Book Antiqua"/>
                <w:b/>
                <w:bCs/>
                <w:color w:val="141413"/>
                <w:kern w:val="0"/>
              </w:rPr>
            </w:pPr>
            <w:r w:rsidRPr="00EA3F5E">
              <w:rPr>
                <w:rFonts w:ascii="Book Antiqua" w:eastAsia="等线" w:hAnsi="Book Antiqua" w:cs="Book Antiqua"/>
                <w:b/>
                <w:bCs/>
                <w:color w:val="141413"/>
                <w:kern w:val="0"/>
              </w:rPr>
              <w:t>PFS</w:t>
            </w:r>
          </w:p>
        </w:tc>
      </w:tr>
      <w:tr w:rsidR="00AB5C59" w:rsidRPr="00EA3F5E" w14:paraId="2430A952" w14:textId="77777777">
        <w:trPr>
          <w:trHeight w:val="320"/>
        </w:trPr>
        <w:tc>
          <w:tcPr>
            <w:tcW w:w="1129" w:type="dxa"/>
            <w:tcBorders>
              <w:top w:val="single" w:sz="4" w:space="0" w:color="auto"/>
            </w:tcBorders>
            <w:noWrap/>
          </w:tcPr>
          <w:p w14:paraId="1117A267"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Ma</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i/>
                <w:color w:val="141413"/>
                <w:kern w:val="0"/>
              </w:rPr>
              <w:t>et al</w:t>
            </w:r>
            <w:r w:rsidRPr="00EA3F5E">
              <w:rPr>
                <w:rFonts w:ascii="Book Antiqua" w:eastAsia="Book Antiqua" w:hAnsi="Book Antiqua" w:cs="Book Antiqua"/>
                <w:color w:val="000000"/>
                <w:kern w:val="0"/>
                <w:vertAlign w:val="superscript"/>
              </w:rPr>
              <w:t>[</w:t>
            </w:r>
            <w:r w:rsidRPr="00EA3F5E">
              <w:rPr>
                <w:rFonts w:ascii="Book Antiqua" w:eastAsia="宋体" w:hAnsi="Book Antiqua" w:cs="Book Antiqua"/>
                <w:color w:val="000000"/>
                <w:kern w:val="0"/>
                <w:vertAlign w:val="superscript"/>
                <w:lang w:eastAsia="zh-CN"/>
              </w:rPr>
              <w:t>35</w:t>
            </w:r>
            <w:r w:rsidRPr="00EA3F5E">
              <w:rPr>
                <w:rFonts w:ascii="Book Antiqua" w:eastAsia="Book Antiqua" w:hAnsi="Book Antiqua" w:cs="Book Antiqua"/>
                <w:color w:val="000000"/>
                <w:kern w:val="0"/>
                <w:vertAlign w:val="superscript"/>
              </w:rPr>
              <w:t>]</w:t>
            </w:r>
            <w:r w:rsidRPr="00EA3F5E">
              <w:rPr>
                <w:rFonts w:ascii="Book Antiqua" w:eastAsia="等线" w:hAnsi="Book Antiqua" w:cs="Book Antiqua"/>
                <w:color w:val="141413"/>
                <w:kern w:val="0"/>
                <w:lang w:eastAsia="zh-CN"/>
              </w:rPr>
              <w:t>,</w:t>
            </w:r>
            <w:r w:rsidRPr="00EA3F5E">
              <w:rPr>
                <w:rFonts w:ascii="Book Antiqua" w:eastAsia="等线" w:hAnsi="Book Antiqua" w:cs="Book Antiqua"/>
                <w:color w:val="141413"/>
                <w:kern w:val="0"/>
              </w:rPr>
              <w:t xml:space="preserve"> 2021</w:t>
            </w:r>
          </w:p>
        </w:tc>
        <w:tc>
          <w:tcPr>
            <w:tcW w:w="1403" w:type="dxa"/>
            <w:tcBorders>
              <w:top w:val="single" w:sz="4" w:space="0" w:color="auto"/>
            </w:tcBorders>
            <w:noWrap/>
          </w:tcPr>
          <w:p w14:paraId="52BDFC4B"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NA</w:t>
            </w:r>
          </w:p>
        </w:tc>
        <w:tc>
          <w:tcPr>
            <w:tcW w:w="2343" w:type="dxa"/>
            <w:tcBorders>
              <w:top w:val="single" w:sz="4" w:space="0" w:color="auto"/>
            </w:tcBorders>
            <w:noWrap/>
          </w:tcPr>
          <w:p w14:paraId="5D84AFE5"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FOLFOX6</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Camrelizumab + Fruquintinib</w:t>
            </w:r>
          </w:p>
        </w:tc>
        <w:tc>
          <w:tcPr>
            <w:tcW w:w="1430" w:type="dxa"/>
            <w:tcBorders>
              <w:top w:val="single" w:sz="4" w:space="0" w:color="auto"/>
            </w:tcBorders>
            <w:noWrap/>
          </w:tcPr>
          <w:p w14:paraId="465CDE8D"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fourth line</w:t>
            </w:r>
          </w:p>
        </w:tc>
        <w:tc>
          <w:tcPr>
            <w:tcW w:w="1043" w:type="dxa"/>
            <w:tcBorders>
              <w:top w:val="single" w:sz="4" w:space="0" w:color="auto"/>
            </w:tcBorders>
            <w:noWrap/>
          </w:tcPr>
          <w:p w14:paraId="73D29273"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1</w:t>
            </w:r>
          </w:p>
        </w:tc>
        <w:tc>
          <w:tcPr>
            <w:tcW w:w="830" w:type="dxa"/>
            <w:tcBorders>
              <w:top w:val="single" w:sz="4" w:space="0" w:color="auto"/>
            </w:tcBorders>
            <w:noWrap/>
          </w:tcPr>
          <w:p w14:paraId="70492DB3"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PR</w:t>
            </w:r>
          </w:p>
        </w:tc>
        <w:tc>
          <w:tcPr>
            <w:tcW w:w="1294" w:type="dxa"/>
            <w:tcBorders>
              <w:top w:val="single" w:sz="4" w:space="0" w:color="auto"/>
            </w:tcBorders>
            <w:noWrap/>
          </w:tcPr>
          <w:p w14:paraId="426B29D5" w14:textId="77777777" w:rsidR="00AB5C59" w:rsidRPr="00EA3F5E" w:rsidRDefault="00FD4637">
            <w:pPr>
              <w:spacing w:line="360" w:lineRule="auto"/>
              <w:jc w:val="both"/>
              <w:rPr>
                <w:rFonts w:ascii="Book Antiqua" w:eastAsia="等线" w:hAnsi="Book Antiqua" w:cs="Book Antiqua"/>
                <w:color w:val="141413"/>
                <w:kern w:val="0"/>
                <w:lang w:eastAsia="zh-CN"/>
              </w:rPr>
            </w:pPr>
            <w:r w:rsidRPr="00EA3F5E">
              <w:rPr>
                <w:rFonts w:ascii="Book Antiqua" w:eastAsia="等线" w:hAnsi="Book Antiqua" w:cs="Book Antiqua"/>
                <w:color w:val="141413"/>
                <w:kern w:val="0"/>
              </w:rPr>
              <w:t>2</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m</w:t>
            </w:r>
            <w:r w:rsidRPr="00EA3F5E">
              <w:rPr>
                <w:rFonts w:ascii="Book Antiqua" w:eastAsia="等线" w:hAnsi="Book Antiqua" w:cs="Book Antiqua"/>
                <w:color w:val="141413"/>
                <w:kern w:val="0"/>
                <w:lang w:eastAsia="zh-CN"/>
              </w:rPr>
              <w:t>o</w:t>
            </w:r>
          </w:p>
        </w:tc>
      </w:tr>
      <w:tr w:rsidR="00AB5C59" w:rsidRPr="00EA3F5E" w14:paraId="59C88EF9" w14:textId="77777777">
        <w:trPr>
          <w:trHeight w:val="320"/>
        </w:trPr>
        <w:tc>
          <w:tcPr>
            <w:tcW w:w="1129" w:type="dxa"/>
            <w:noWrap/>
          </w:tcPr>
          <w:p w14:paraId="79DC7990"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Liu</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i/>
                <w:iCs/>
                <w:color w:val="141413"/>
                <w:kern w:val="0"/>
              </w:rPr>
              <w:t>et al</w:t>
            </w:r>
            <w:r w:rsidRPr="00EA3F5E">
              <w:rPr>
                <w:rFonts w:ascii="Book Antiqua" w:eastAsia="Book Antiqua" w:hAnsi="Book Antiqua" w:cs="Book Antiqua"/>
                <w:color w:val="000000"/>
                <w:kern w:val="0"/>
                <w:vertAlign w:val="superscript"/>
              </w:rPr>
              <w:t>[</w:t>
            </w:r>
            <w:r w:rsidRPr="00EA3F5E">
              <w:rPr>
                <w:rFonts w:ascii="Book Antiqua" w:eastAsia="宋体" w:hAnsi="Book Antiqua" w:cs="Book Antiqua"/>
                <w:color w:val="000000"/>
                <w:kern w:val="0"/>
                <w:vertAlign w:val="superscript"/>
                <w:lang w:eastAsia="zh-CN"/>
              </w:rPr>
              <w:t>36</w:t>
            </w:r>
            <w:r w:rsidRPr="00EA3F5E">
              <w:rPr>
                <w:rFonts w:ascii="Book Antiqua" w:eastAsia="Book Antiqua" w:hAnsi="Book Antiqua" w:cs="Book Antiqua"/>
                <w:color w:val="000000"/>
                <w:kern w:val="0"/>
                <w:vertAlign w:val="superscript"/>
              </w:rPr>
              <w:t>]</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2020</w:t>
            </w:r>
          </w:p>
        </w:tc>
        <w:tc>
          <w:tcPr>
            <w:tcW w:w="1403" w:type="dxa"/>
            <w:noWrap/>
          </w:tcPr>
          <w:p w14:paraId="1A309428"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TMB-H</w:t>
            </w:r>
          </w:p>
        </w:tc>
        <w:tc>
          <w:tcPr>
            <w:tcW w:w="2343" w:type="dxa"/>
            <w:noWrap/>
          </w:tcPr>
          <w:p w14:paraId="54B08C56"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Sintilimab + S-1</w:t>
            </w:r>
          </w:p>
        </w:tc>
        <w:tc>
          <w:tcPr>
            <w:tcW w:w="1430" w:type="dxa"/>
            <w:noWrap/>
          </w:tcPr>
          <w:p w14:paraId="140495DD"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third line</w:t>
            </w:r>
          </w:p>
        </w:tc>
        <w:tc>
          <w:tcPr>
            <w:tcW w:w="1043" w:type="dxa"/>
            <w:noWrap/>
          </w:tcPr>
          <w:p w14:paraId="0EF5F1DD"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1</w:t>
            </w:r>
          </w:p>
        </w:tc>
        <w:tc>
          <w:tcPr>
            <w:tcW w:w="830" w:type="dxa"/>
            <w:noWrap/>
          </w:tcPr>
          <w:p w14:paraId="0C4C7611"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PR</w:t>
            </w:r>
          </w:p>
        </w:tc>
        <w:tc>
          <w:tcPr>
            <w:tcW w:w="1294" w:type="dxa"/>
            <w:noWrap/>
          </w:tcPr>
          <w:p w14:paraId="6C5A284A" w14:textId="77777777" w:rsidR="00AB5C59" w:rsidRPr="00EA3F5E" w:rsidRDefault="00FD4637">
            <w:pPr>
              <w:spacing w:line="360" w:lineRule="auto"/>
              <w:jc w:val="both"/>
              <w:rPr>
                <w:rFonts w:ascii="Book Antiqua" w:eastAsia="等线" w:hAnsi="Book Antiqua" w:cs="Book Antiqua"/>
                <w:color w:val="141413"/>
                <w:kern w:val="0"/>
                <w:lang w:eastAsia="zh-CN"/>
              </w:rPr>
            </w:pPr>
            <w:r w:rsidRPr="00EA3F5E">
              <w:rPr>
                <w:rFonts w:ascii="Book Antiqua" w:eastAsia="等线" w:hAnsi="Book Antiqua" w:cs="Book Antiqua"/>
                <w:color w:val="141413"/>
                <w:kern w:val="0"/>
              </w:rPr>
              <w:t>5</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m</w:t>
            </w:r>
            <w:r w:rsidRPr="00EA3F5E">
              <w:rPr>
                <w:rFonts w:ascii="Book Antiqua" w:eastAsia="等线" w:hAnsi="Book Antiqua" w:cs="Book Antiqua"/>
                <w:color w:val="141413"/>
                <w:kern w:val="0"/>
                <w:lang w:eastAsia="zh-CN"/>
              </w:rPr>
              <w:t>o</w:t>
            </w:r>
          </w:p>
        </w:tc>
      </w:tr>
      <w:tr w:rsidR="00AB5C59" w:rsidRPr="00EA3F5E" w14:paraId="457FBFE9" w14:textId="77777777">
        <w:trPr>
          <w:trHeight w:val="320"/>
        </w:trPr>
        <w:tc>
          <w:tcPr>
            <w:tcW w:w="1129" w:type="dxa"/>
            <w:noWrap/>
          </w:tcPr>
          <w:p w14:paraId="7E21DC77"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Sui</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i/>
                <w:iCs/>
                <w:color w:val="141413"/>
                <w:kern w:val="0"/>
              </w:rPr>
              <w:t>et al</w:t>
            </w:r>
            <w:r w:rsidRPr="00EA3F5E">
              <w:rPr>
                <w:rFonts w:ascii="Book Antiqua" w:eastAsia="Book Antiqua" w:hAnsi="Book Antiqua" w:cs="Book Antiqua"/>
                <w:color w:val="000000"/>
                <w:kern w:val="0"/>
                <w:vertAlign w:val="superscript"/>
              </w:rPr>
              <w:t>[</w:t>
            </w:r>
            <w:r w:rsidRPr="00EA3F5E">
              <w:rPr>
                <w:rFonts w:ascii="Book Antiqua" w:eastAsia="宋体" w:hAnsi="Book Antiqua" w:cs="Book Antiqua"/>
                <w:color w:val="000000"/>
                <w:kern w:val="0"/>
                <w:vertAlign w:val="superscript"/>
                <w:lang w:eastAsia="zh-CN"/>
              </w:rPr>
              <w:t>37</w:t>
            </w:r>
            <w:r w:rsidRPr="00EA3F5E">
              <w:rPr>
                <w:rFonts w:ascii="Book Antiqua" w:eastAsia="Book Antiqua" w:hAnsi="Book Antiqua" w:cs="Book Antiqua"/>
                <w:color w:val="000000"/>
                <w:kern w:val="0"/>
                <w:vertAlign w:val="superscript"/>
              </w:rPr>
              <w:t>]</w:t>
            </w:r>
            <w:r w:rsidRPr="00EA3F5E">
              <w:rPr>
                <w:rFonts w:ascii="Book Antiqua" w:eastAsia="等线" w:hAnsi="Book Antiqua" w:cs="Book Antiqua" w:hint="eastAsia"/>
                <w:i/>
                <w:iCs/>
                <w:color w:val="141413"/>
                <w:kern w:val="0"/>
                <w:lang w:eastAsia="zh-CN"/>
              </w:rPr>
              <w:t xml:space="preserve">, </w:t>
            </w:r>
            <w:r w:rsidRPr="00EA3F5E">
              <w:rPr>
                <w:rFonts w:ascii="Book Antiqua" w:eastAsia="等线" w:hAnsi="Book Antiqua" w:cs="Book Antiqua"/>
                <w:color w:val="141413"/>
                <w:kern w:val="0"/>
              </w:rPr>
              <w:t>2019</w:t>
            </w:r>
          </w:p>
        </w:tc>
        <w:tc>
          <w:tcPr>
            <w:tcW w:w="1403" w:type="dxa"/>
            <w:noWrap/>
          </w:tcPr>
          <w:p w14:paraId="7413C4A7"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High insertion-deletion ratio</w:t>
            </w:r>
          </w:p>
        </w:tc>
        <w:tc>
          <w:tcPr>
            <w:tcW w:w="2343" w:type="dxa"/>
            <w:noWrap/>
          </w:tcPr>
          <w:p w14:paraId="356C2B96"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Tegafur</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 Pembrolizumab</w:t>
            </w:r>
          </w:p>
        </w:tc>
        <w:tc>
          <w:tcPr>
            <w:tcW w:w="1430" w:type="dxa"/>
            <w:noWrap/>
          </w:tcPr>
          <w:p w14:paraId="11D0E925"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first line</w:t>
            </w:r>
          </w:p>
        </w:tc>
        <w:tc>
          <w:tcPr>
            <w:tcW w:w="1043" w:type="dxa"/>
            <w:noWrap/>
          </w:tcPr>
          <w:p w14:paraId="168CE724"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2</w:t>
            </w:r>
          </w:p>
        </w:tc>
        <w:tc>
          <w:tcPr>
            <w:tcW w:w="830" w:type="dxa"/>
            <w:noWrap/>
          </w:tcPr>
          <w:p w14:paraId="368C1A7C"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cCR</w:t>
            </w:r>
          </w:p>
        </w:tc>
        <w:tc>
          <w:tcPr>
            <w:tcW w:w="1294" w:type="dxa"/>
            <w:noWrap/>
          </w:tcPr>
          <w:p w14:paraId="37E0C8AF" w14:textId="77777777" w:rsidR="00AB5C59" w:rsidRPr="00EA3F5E" w:rsidRDefault="00FD4637">
            <w:pPr>
              <w:spacing w:line="360" w:lineRule="auto"/>
              <w:jc w:val="both"/>
              <w:rPr>
                <w:rFonts w:ascii="Book Antiqua" w:eastAsia="等线" w:hAnsi="Book Antiqua" w:cs="Book Antiqua"/>
                <w:color w:val="141413"/>
                <w:kern w:val="0"/>
                <w:lang w:eastAsia="zh-CN"/>
              </w:rPr>
            </w:pPr>
            <w:r w:rsidRPr="00EA3F5E">
              <w:rPr>
                <w:rFonts w:ascii="Book Antiqua" w:eastAsia="等线" w:hAnsi="Book Antiqua" w:cs="Book Antiqua"/>
                <w:color w:val="141413"/>
                <w:kern w:val="0"/>
              </w:rPr>
              <w:t>16</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m</w:t>
            </w:r>
            <w:r w:rsidRPr="00EA3F5E">
              <w:rPr>
                <w:rFonts w:ascii="Book Antiqua" w:eastAsia="等线" w:hAnsi="Book Antiqua" w:cs="Book Antiqua"/>
                <w:color w:val="141413"/>
                <w:kern w:val="0"/>
                <w:lang w:eastAsia="zh-CN"/>
              </w:rPr>
              <w:t>o</w:t>
            </w:r>
            <w:r w:rsidRPr="00EA3F5E">
              <w:rPr>
                <w:rFonts w:ascii="Book Antiqua" w:eastAsia="等线" w:hAnsi="Book Antiqua" w:cs="Book Antiqua"/>
                <w:color w:val="141413"/>
                <w:kern w:val="0"/>
              </w:rPr>
              <w:t>; 13</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m</w:t>
            </w:r>
            <w:r w:rsidRPr="00EA3F5E">
              <w:rPr>
                <w:rFonts w:ascii="Book Antiqua" w:eastAsia="等线" w:hAnsi="Book Antiqua" w:cs="Book Antiqua"/>
                <w:color w:val="141413"/>
                <w:kern w:val="0"/>
                <w:lang w:eastAsia="zh-CN"/>
              </w:rPr>
              <w:t>o</w:t>
            </w:r>
          </w:p>
        </w:tc>
      </w:tr>
      <w:tr w:rsidR="00AB5C59" w:rsidRPr="00EA3F5E" w14:paraId="1D20EDF6" w14:textId="77777777">
        <w:trPr>
          <w:trHeight w:val="320"/>
        </w:trPr>
        <w:tc>
          <w:tcPr>
            <w:tcW w:w="1129" w:type="dxa"/>
            <w:noWrap/>
          </w:tcPr>
          <w:p w14:paraId="50F21B6B"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Mou</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i/>
                <w:iCs/>
                <w:color w:val="141413"/>
                <w:kern w:val="0"/>
              </w:rPr>
              <w:t>et al</w:t>
            </w:r>
            <w:r w:rsidRPr="00EA3F5E">
              <w:rPr>
                <w:rFonts w:ascii="Book Antiqua" w:eastAsia="Book Antiqua" w:hAnsi="Book Antiqua" w:cs="Book Antiqua"/>
                <w:color w:val="000000"/>
                <w:kern w:val="0"/>
                <w:vertAlign w:val="superscript"/>
              </w:rPr>
              <w:t>[</w:t>
            </w:r>
            <w:r w:rsidRPr="00EA3F5E">
              <w:rPr>
                <w:rFonts w:ascii="Book Antiqua" w:eastAsia="宋体" w:hAnsi="Book Antiqua" w:cs="Book Antiqua"/>
                <w:color w:val="000000"/>
                <w:kern w:val="0"/>
                <w:vertAlign w:val="superscript"/>
                <w:lang w:eastAsia="zh-CN"/>
              </w:rPr>
              <w:t>38</w:t>
            </w:r>
            <w:r w:rsidRPr="00EA3F5E">
              <w:rPr>
                <w:rFonts w:ascii="Book Antiqua" w:eastAsia="Book Antiqua" w:hAnsi="Book Antiqua" w:cs="Book Antiqua"/>
                <w:color w:val="000000"/>
                <w:kern w:val="0"/>
                <w:vertAlign w:val="superscript"/>
              </w:rPr>
              <w:t>]</w:t>
            </w:r>
            <w:r w:rsidRPr="00EA3F5E">
              <w:rPr>
                <w:rFonts w:ascii="Book Antiqua" w:eastAsia="等线" w:hAnsi="Book Antiqua" w:cs="Book Antiqua" w:hint="eastAsia"/>
                <w:i/>
                <w:iCs/>
                <w:color w:val="141413"/>
                <w:kern w:val="0"/>
                <w:lang w:eastAsia="zh-CN"/>
              </w:rPr>
              <w:t xml:space="preserve">, </w:t>
            </w:r>
            <w:r w:rsidRPr="00EA3F5E">
              <w:rPr>
                <w:rFonts w:ascii="Book Antiqua" w:eastAsia="等线" w:hAnsi="Book Antiqua" w:cs="Book Antiqua"/>
                <w:color w:val="141413"/>
                <w:kern w:val="0"/>
              </w:rPr>
              <w:t>2018</w:t>
            </w:r>
          </w:p>
        </w:tc>
        <w:tc>
          <w:tcPr>
            <w:tcW w:w="1403" w:type="dxa"/>
            <w:noWrap/>
          </w:tcPr>
          <w:p w14:paraId="7312C68A"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TMB-H; PD-L1</w:t>
            </w:r>
          </w:p>
        </w:tc>
        <w:tc>
          <w:tcPr>
            <w:tcW w:w="2343" w:type="dxa"/>
            <w:noWrap/>
          </w:tcPr>
          <w:p w14:paraId="325780D6"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Pembrolizumab</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SOX</w:t>
            </w:r>
          </w:p>
        </w:tc>
        <w:tc>
          <w:tcPr>
            <w:tcW w:w="1430" w:type="dxa"/>
            <w:noWrap/>
          </w:tcPr>
          <w:p w14:paraId="61F67060"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second line</w:t>
            </w:r>
          </w:p>
        </w:tc>
        <w:tc>
          <w:tcPr>
            <w:tcW w:w="1043" w:type="dxa"/>
            <w:noWrap/>
          </w:tcPr>
          <w:p w14:paraId="4641FC86"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1</w:t>
            </w:r>
          </w:p>
        </w:tc>
        <w:tc>
          <w:tcPr>
            <w:tcW w:w="830" w:type="dxa"/>
            <w:noWrap/>
          </w:tcPr>
          <w:p w14:paraId="6C817EDD" w14:textId="77777777" w:rsidR="00AB5C59" w:rsidRPr="00EA3F5E" w:rsidRDefault="00FD4637">
            <w:pPr>
              <w:spacing w:line="360" w:lineRule="auto"/>
              <w:jc w:val="both"/>
              <w:rPr>
                <w:rFonts w:ascii="Book Antiqua" w:eastAsia="等线" w:hAnsi="Book Antiqua" w:cs="Book Antiqua"/>
                <w:color w:val="141413"/>
                <w:kern w:val="0"/>
              </w:rPr>
            </w:pPr>
            <w:r w:rsidRPr="00EA3F5E">
              <w:rPr>
                <w:rFonts w:ascii="Book Antiqua" w:eastAsia="等线" w:hAnsi="Book Antiqua" w:cs="Book Antiqua"/>
                <w:color w:val="141413"/>
                <w:kern w:val="0"/>
              </w:rPr>
              <w:t>cCR</w:t>
            </w:r>
          </w:p>
        </w:tc>
        <w:tc>
          <w:tcPr>
            <w:tcW w:w="1294" w:type="dxa"/>
            <w:noWrap/>
          </w:tcPr>
          <w:p w14:paraId="3EECCA7D" w14:textId="77777777" w:rsidR="00AB5C59" w:rsidRPr="00EA3F5E" w:rsidRDefault="00FD4637">
            <w:pPr>
              <w:spacing w:line="360" w:lineRule="auto"/>
              <w:jc w:val="both"/>
              <w:rPr>
                <w:rFonts w:ascii="Book Antiqua" w:eastAsia="等线" w:hAnsi="Book Antiqua" w:cs="Book Antiqua"/>
                <w:color w:val="141413"/>
                <w:kern w:val="0"/>
                <w:lang w:eastAsia="zh-CN"/>
              </w:rPr>
            </w:pPr>
            <w:r w:rsidRPr="00EA3F5E">
              <w:rPr>
                <w:rFonts w:ascii="Book Antiqua" w:eastAsia="等线" w:hAnsi="Book Antiqua" w:cs="Book Antiqua"/>
                <w:color w:val="141413"/>
                <w:kern w:val="0"/>
              </w:rPr>
              <w:t>11</w:t>
            </w:r>
            <w:r w:rsidRPr="00EA3F5E">
              <w:rPr>
                <w:rFonts w:ascii="Book Antiqua" w:eastAsia="等线" w:hAnsi="Book Antiqua" w:cs="Book Antiqua"/>
                <w:color w:val="141413"/>
                <w:kern w:val="0"/>
                <w:lang w:eastAsia="zh-CN"/>
              </w:rPr>
              <w:t xml:space="preserve"> </w:t>
            </w:r>
            <w:r w:rsidRPr="00EA3F5E">
              <w:rPr>
                <w:rFonts w:ascii="Book Antiqua" w:eastAsia="等线" w:hAnsi="Book Antiqua" w:cs="Book Antiqua"/>
                <w:color w:val="141413"/>
                <w:kern w:val="0"/>
              </w:rPr>
              <w:t>m</w:t>
            </w:r>
            <w:r w:rsidRPr="00EA3F5E">
              <w:rPr>
                <w:rFonts w:ascii="Book Antiqua" w:eastAsia="等线" w:hAnsi="Book Antiqua" w:cs="Book Antiqua"/>
                <w:color w:val="141413"/>
                <w:kern w:val="0"/>
                <w:lang w:eastAsia="zh-CN"/>
              </w:rPr>
              <w:t>o</w:t>
            </w:r>
          </w:p>
        </w:tc>
      </w:tr>
    </w:tbl>
    <w:p w14:paraId="1355B3F6"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NA</w:t>
      </w:r>
      <w:r w:rsidRPr="00EA3F5E">
        <w:rPr>
          <w:rFonts w:ascii="Book Antiqua" w:eastAsia="等线" w:hAnsi="Book Antiqua" w:cs="Book Antiqua"/>
          <w:color w:val="141413"/>
          <w:lang w:eastAsia="zh-CN"/>
        </w:rPr>
        <w:t>: N</w:t>
      </w:r>
      <w:r w:rsidRPr="00EA3F5E">
        <w:rPr>
          <w:rFonts w:ascii="Book Antiqua" w:eastAsia="等线" w:hAnsi="Book Antiqua" w:cs="Book Antiqua"/>
          <w:color w:val="141413"/>
        </w:rPr>
        <w:t>ot available; TMB</w:t>
      </w:r>
      <w:r w:rsidRPr="00EA3F5E">
        <w:rPr>
          <w:rFonts w:ascii="Book Antiqua" w:eastAsia="等线" w:hAnsi="Book Antiqua" w:cs="Book Antiqua"/>
          <w:color w:val="141413"/>
          <w:lang w:eastAsia="zh-CN"/>
        </w:rPr>
        <w:t xml:space="preserve">: </w:t>
      </w:r>
      <w:r w:rsidRPr="00EA3F5E">
        <w:rPr>
          <w:rFonts w:ascii="Book Antiqua" w:eastAsia="宋体" w:hAnsi="Book Antiqua" w:cs="Book Antiqua"/>
          <w:color w:val="000000" w:themeColor="text1"/>
          <w:lang w:eastAsia="zh-CN"/>
        </w:rPr>
        <w:t>T</w:t>
      </w:r>
      <w:r w:rsidRPr="00EA3F5E">
        <w:rPr>
          <w:rFonts w:ascii="Book Antiqua" w:eastAsia="Book Antiqua" w:hAnsi="Book Antiqua" w:cs="Book Antiqua"/>
          <w:color w:val="000000" w:themeColor="text1"/>
        </w:rPr>
        <w:t>umor mutation load</w:t>
      </w:r>
      <w:r w:rsidRPr="00EA3F5E">
        <w:rPr>
          <w:rFonts w:ascii="Book Antiqua" w:eastAsia="宋体" w:hAnsi="Book Antiqua" w:cs="Book Antiqua"/>
          <w:color w:val="000000" w:themeColor="text1"/>
          <w:lang w:eastAsia="zh-CN"/>
        </w:rPr>
        <w:t xml:space="preserve">; </w:t>
      </w:r>
      <w:r w:rsidRPr="00EA3F5E">
        <w:rPr>
          <w:rFonts w:ascii="Book Antiqua" w:eastAsia="等线" w:hAnsi="Book Antiqua" w:cs="Book Antiqua"/>
          <w:color w:val="141413"/>
        </w:rPr>
        <w:t>PR</w:t>
      </w:r>
      <w:r w:rsidRPr="00EA3F5E">
        <w:rPr>
          <w:rFonts w:ascii="Book Antiqua" w:eastAsia="等线" w:hAnsi="Book Antiqua" w:cs="Book Antiqua"/>
          <w:color w:val="141413"/>
          <w:lang w:eastAsia="zh-CN"/>
        </w:rPr>
        <w:t>:</w:t>
      </w:r>
      <w:r w:rsidRPr="00EA3F5E">
        <w:rPr>
          <w:rFonts w:ascii="Book Antiqua" w:eastAsia="等线" w:hAnsi="Book Antiqua" w:cs="Book Antiqua"/>
          <w:color w:val="141413"/>
        </w:rPr>
        <w:t xml:space="preserve"> </w:t>
      </w:r>
      <w:r w:rsidRPr="00EA3F5E">
        <w:rPr>
          <w:rFonts w:ascii="Book Antiqua" w:eastAsia="等线" w:hAnsi="Book Antiqua" w:cs="Book Antiqua"/>
          <w:color w:val="141413"/>
          <w:lang w:eastAsia="zh-CN"/>
        </w:rPr>
        <w:t>P</w:t>
      </w:r>
      <w:r w:rsidRPr="00EA3F5E">
        <w:rPr>
          <w:rFonts w:ascii="Book Antiqua" w:eastAsia="等线" w:hAnsi="Book Antiqua" w:cs="Book Antiqua"/>
          <w:color w:val="141413"/>
        </w:rPr>
        <w:t>artial remission; PFS</w:t>
      </w:r>
      <w:r w:rsidRPr="00EA3F5E">
        <w:rPr>
          <w:rFonts w:ascii="Book Antiqua" w:eastAsia="等线" w:hAnsi="Book Antiqua" w:cs="Book Antiqua" w:hint="eastAsia"/>
          <w:color w:val="141413"/>
          <w:lang w:eastAsia="zh-CN"/>
        </w:rPr>
        <w:t xml:space="preserve">: Progression free survival; PD-L1: </w:t>
      </w:r>
      <w:r w:rsidRPr="00EA3F5E">
        <w:rPr>
          <w:rFonts w:ascii="Book Antiqua" w:eastAsia="宋体" w:hAnsi="Book Antiqua" w:cs="Book Antiqua" w:hint="eastAsia"/>
          <w:color w:val="000000" w:themeColor="text1"/>
          <w:lang w:eastAsia="zh-CN"/>
        </w:rPr>
        <w:t>p</w:t>
      </w:r>
      <w:r w:rsidRPr="00EA3F5E">
        <w:rPr>
          <w:rFonts w:ascii="Book Antiqua" w:eastAsia="Book Antiqua" w:hAnsi="Book Antiqua" w:cs="Book Antiqua"/>
          <w:color w:val="000000" w:themeColor="text1"/>
        </w:rPr>
        <w:t>rogrammed cell death ligand 1</w:t>
      </w:r>
      <w:r w:rsidRPr="00EA3F5E">
        <w:rPr>
          <w:rFonts w:ascii="Book Antiqua" w:eastAsia="宋体" w:hAnsi="Book Antiqua" w:cs="Book Antiqua" w:hint="eastAsia"/>
          <w:color w:val="000000" w:themeColor="text1"/>
          <w:lang w:eastAsia="zh-CN"/>
        </w:rPr>
        <w:t xml:space="preserve">; </w:t>
      </w:r>
      <w:r w:rsidRPr="00EA3F5E">
        <w:rPr>
          <w:rFonts w:ascii="Book Antiqua" w:eastAsia="等线" w:hAnsi="Book Antiqua" w:cs="Book Antiqua"/>
          <w:color w:val="141413"/>
        </w:rPr>
        <w:t>cCR</w:t>
      </w:r>
      <w:r w:rsidRPr="00EA3F5E">
        <w:rPr>
          <w:rFonts w:ascii="Book Antiqua" w:eastAsia="等线" w:hAnsi="Book Antiqua" w:cs="Book Antiqua"/>
          <w:color w:val="141413"/>
          <w:lang w:eastAsia="zh-CN"/>
        </w:rPr>
        <w:t>: C</w:t>
      </w:r>
      <w:r w:rsidRPr="00EA3F5E">
        <w:rPr>
          <w:rFonts w:ascii="Book Antiqua" w:eastAsia="等线" w:hAnsi="Book Antiqua" w:cs="Book Antiqua"/>
          <w:color w:val="141413"/>
        </w:rPr>
        <w:t>linical complete remission.</w:t>
      </w:r>
    </w:p>
    <w:p w14:paraId="59E5A3AE" w14:textId="77777777" w:rsidR="00AB5C59" w:rsidRPr="00EA3F5E" w:rsidRDefault="00AB5C59">
      <w:pPr>
        <w:jc w:val="both"/>
        <w:rPr>
          <w:rFonts w:ascii="Book Antiqua" w:eastAsia="等线" w:hAnsi="Book Antiqua" w:cs="Book Antiqua"/>
          <w:color w:val="141413"/>
        </w:rPr>
        <w:sectPr w:rsidR="00AB5C59" w:rsidRPr="00EA3F5E">
          <w:pgSz w:w="12240" w:h="15840"/>
          <w:pgMar w:top="1440" w:right="1440" w:bottom="1440" w:left="1440" w:header="720" w:footer="720" w:gutter="0"/>
          <w:cols w:space="720"/>
          <w:docGrid w:linePitch="360"/>
        </w:sectPr>
      </w:pPr>
    </w:p>
    <w:p w14:paraId="59C536B5" w14:textId="77777777" w:rsidR="00AB5C59" w:rsidRPr="00EA3F5E" w:rsidRDefault="00FD4637">
      <w:pPr>
        <w:spacing w:line="360" w:lineRule="auto"/>
        <w:jc w:val="both"/>
        <w:rPr>
          <w:rFonts w:ascii="Book Antiqua" w:eastAsia="等线" w:hAnsi="Book Antiqua" w:cs="Book Antiqua"/>
          <w:b/>
          <w:bCs/>
          <w:color w:val="141413"/>
        </w:rPr>
      </w:pPr>
      <w:r w:rsidRPr="00EA3F5E">
        <w:rPr>
          <w:rFonts w:ascii="Book Antiqua" w:eastAsia="Book Antiqua" w:hAnsi="Book Antiqua" w:cs="Book Antiqua"/>
          <w:b/>
          <w:bCs/>
          <w:color w:val="000000"/>
        </w:rPr>
        <w:lastRenderedPageBreak/>
        <w:t>Table 2 Immunomodulatory effects of chemotherapeutic agents</w:t>
      </w:r>
    </w:p>
    <w:tbl>
      <w:tblPr>
        <w:tblW w:w="10059" w:type="dxa"/>
        <w:tblLayout w:type="fixed"/>
        <w:tblLook w:val="04A0" w:firstRow="1" w:lastRow="0" w:firstColumn="1" w:lastColumn="0" w:noHBand="0" w:noVBand="1"/>
      </w:tblPr>
      <w:tblGrid>
        <w:gridCol w:w="1712"/>
        <w:gridCol w:w="1817"/>
        <w:gridCol w:w="855"/>
        <w:gridCol w:w="976"/>
        <w:gridCol w:w="761"/>
        <w:gridCol w:w="738"/>
        <w:gridCol w:w="850"/>
        <w:gridCol w:w="1308"/>
        <w:gridCol w:w="1042"/>
      </w:tblGrid>
      <w:tr w:rsidR="00AB5C59" w:rsidRPr="00EA3F5E" w14:paraId="40212EEA" w14:textId="77777777">
        <w:trPr>
          <w:trHeight w:val="297"/>
        </w:trPr>
        <w:tc>
          <w:tcPr>
            <w:tcW w:w="1712" w:type="dxa"/>
            <w:tcBorders>
              <w:top w:val="single" w:sz="4" w:space="0" w:color="auto"/>
              <w:bottom w:val="single" w:sz="4" w:space="0" w:color="auto"/>
            </w:tcBorders>
            <w:shd w:val="clear" w:color="auto" w:fill="auto"/>
            <w:noWrap/>
            <w:vAlign w:val="center"/>
          </w:tcPr>
          <w:p w14:paraId="7DD09830" w14:textId="77777777" w:rsidR="00AB5C59" w:rsidRPr="00EA3F5E" w:rsidRDefault="00AB5C59">
            <w:pPr>
              <w:tabs>
                <w:tab w:val="center" w:pos="748"/>
              </w:tabs>
              <w:spacing w:line="360" w:lineRule="auto"/>
              <w:jc w:val="both"/>
              <w:rPr>
                <w:rFonts w:ascii="Book Antiqua" w:eastAsia="宋体" w:hAnsi="Book Antiqua" w:cs="Book Antiqua"/>
                <w:b/>
                <w:bCs/>
                <w:lang w:eastAsia="zh-CN"/>
              </w:rPr>
            </w:pPr>
          </w:p>
        </w:tc>
        <w:tc>
          <w:tcPr>
            <w:tcW w:w="1817" w:type="dxa"/>
            <w:tcBorders>
              <w:top w:val="single" w:sz="4" w:space="0" w:color="auto"/>
              <w:bottom w:val="single" w:sz="4" w:space="0" w:color="auto"/>
            </w:tcBorders>
            <w:shd w:val="clear" w:color="auto" w:fill="auto"/>
            <w:noWrap/>
            <w:vAlign w:val="center"/>
          </w:tcPr>
          <w:p w14:paraId="466B72DB" w14:textId="77777777" w:rsidR="00AB5C59" w:rsidRPr="00EA3F5E" w:rsidRDefault="00FD4637">
            <w:pPr>
              <w:spacing w:line="360" w:lineRule="auto"/>
              <w:jc w:val="both"/>
              <w:rPr>
                <w:rFonts w:ascii="Book Antiqua" w:eastAsia="等线" w:hAnsi="Book Antiqua" w:cs="Book Antiqua"/>
                <w:b/>
                <w:bCs/>
                <w:color w:val="141413"/>
              </w:rPr>
            </w:pPr>
            <w:r w:rsidRPr="00EA3F5E">
              <w:rPr>
                <w:rFonts w:ascii="Book Antiqua" w:eastAsia="等线" w:hAnsi="Book Antiqua" w:cs="Book Antiqua"/>
                <w:b/>
                <w:bCs/>
                <w:color w:val="141413"/>
              </w:rPr>
              <w:t>Immunogenic cell death</w:t>
            </w:r>
          </w:p>
        </w:tc>
        <w:tc>
          <w:tcPr>
            <w:tcW w:w="855" w:type="dxa"/>
            <w:tcBorders>
              <w:top w:val="single" w:sz="4" w:space="0" w:color="auto"/>
              <w:bottom w:val="single" w:sz="4" w:space="0" w:color="auto"/>
            </w:tcBorders>
            <w:shd w:val="clear" w:color="auto" w:fill="auto"/>
            <w:noWrap/>
            <w:vAlign w:val="center"/>
          </w:tcPr>
          <w:p w14:paraId="23221A7F" w14:textId="77777777" w:rsidR="00AB5C59" w:rsidRPr="00EA3F5E" w:rsidRDefault="00FD4637">
            <w:pPr>
              <w:spacing w:line="360" w:lineRule="auto"/>
              <w:jc w:val="both"/>
              <w:rPr>
                <w:rFonts w:ascii="Book Antiqua" w:eastAsia="等线" w:hAnsi="Book Antiqua" w:cs="Book Antiqua"/>
                <w:b/>
                <w:bCs/>
                <w:color w:val="141413"/>
              </w:rPr>
            </w:pPr>
            <w:r w:rsidRPr="00EA3F5E">
              <w:rPr>
                <w:rFonts w:ascii="Book Antiqua" w:eastAsia="等线" w:hAnsi="Book Antiqua" w:cs="Book Antiqua"/>
                <w:b/>
                <w:bCs/>
                <w:color w:val="141413"/>
              </w:rPr>
              <w:t>PD-L1 ↑</w:t>
            </w:r>
          </w:p>
        </w:tc>
        <w:tc>
          <w:tcPr>
            <w:tcW w:w="976" w:type="dxa"/>
            <w:tcBorders>
              <w:top w:val="single" w:sz="4" w:space="0" w:color="auto"/>
              <w:bottom w:val="single" w:sz="4" w:space="0" w:color="auto"/>
            </w:tcBorders>
            <w:shd w:val="clear" w:color="auto" w:fill="auto"/>
            <w:noWrap/>
            <w:vAlign w:val="center"/>
          </w:tcPr>
          <w:p w14:paraId="6E5F32EE" w14:textId="77777777" w:rsidR="00AB5C59" w:rsidRPr="00EA3F5E" w:rsidRDefault="00FD4637">
            <w:pPr>
              <w:spacing w:line="360" w:lineRule="auto"/>
              <w:jc w:val="both"/>
              <w:rPr>
                <w:rFonts w:ascii="Book Antiqua" w:eastAsia="等线" w:hAnsi="Book Antiqua" w:cs="Book Antiqua"/>
                <w:b/>
                <w:bCs/>
                <w:color w:val="141413"/>
              </w:rPr>
            </w:pPr>
            <w:r w:rsidRPr="00EA3F5E">
              <w:rPr>
                <w:rFonts w:ascii="Book Antiqua" w:eastAsia="等线" w:hAnsi="Book Antiqua" w:cs="Book Antiqua"/>
                <w:b/>
                <w:bCs/>
                <w:color w:val="141413"/>
              </w:rPr>
              <w:t>MDSC ↓</w:t>
            </w:r>
          </w:p>
        </w:tc>
        <w:tc>
          <w:tcPr>
            <w:tcW w:w="761" w:type="dxa"/>
            <w:tcBorders>
              <w:top w:val="single" w:sz="4" w:space="0" w:color="auto"/>
              <w:bottom w:val="single" w:sz="4" w:space="0" w:color="auto"/>
            </w:tcBorders>
            <w:shd w:val="clear" w:color="auto" w:fill="auto"/>
            <w:noWrap/>
            <w:vAlign w:val="center"/>
          </w:tcPr>
          <w:p w14:paraId="5531C886" w14:textId="77777777" w:rsidR="00AB5C59" w:rsidRPr="00EA3F5E" w:rsidRDefault="00FD4637">
            <w:pPr>
              <w:spacing w:line="360" w:lineRule="auto"/>
              <w:jc w:val="both"/>
              <w:rPr>
                <w:rFonts w:ascii="Book Antiqua" w:eastAsia="等线" w:hAnsi="Book Antiqua" w:cs="Book Antiqua"/>
                <w:b/>
                <w:bCs/>
                <w:color w:val="141413"/>
              </w:rPr>
            </w:pPr>
            <w:r w:rsidRPr="00EA3F5E">
              <w:rPr>
                <w:rFonts w:ascii="Book Antiqua" w:eastAsia="等线" w:hAnsi="Book Antiqua" w:cs="Book Antiqua"/>
                <w:b/>
                <w:bCs/>
                <w:color w:val="141413"/>
              </w:rPr>
              <w:t>Treg ↓</w:t>
            </w:r>
          </w:p>
        </w:tc>
        <w:tc>
          <w:tcPr>
            <w:tcW w:w="738" w:type="dxa"/>
            <w:tcBorders>
              <w:top w:val="single" w:sz="4" w:space="0" w:color="auto"/>
              <w:bottom w:val="single" w:sz="4" w:space="0" w:color="auto"/>
            </w:tcBorders>
            <w:shd w:val="clear" w:color="auto" w:fill="auto"/>
            <w:noWrap/>
            <w:vAlign w:val="center"/>
          </w:tcPr>
          <w:p w14:paraId="71E6A474" w14:textId="77777777" w:rsidR="00AB5C59" w:rsidRPr="00EA3F5E" w:rsidRDefault="00FD4637">
            <w:pPr>
              <w:spacing w:line="360" w:lineRule="auto"/>
              <w:jc w:val="both"/>
              <w:rPr>
                <w:rFonts w:ascii="Book Antiqua" w:eastAsia="等线" w:hAnsi="Book Antiqua" w:cs="Book Antiqua"/>
                <w:b/>
                <w:bCs/>
                <w:color w:val="141413"/>
              </w:rPr>
            </w:pPr>
            <w:r w:rsidRPr="00EA3F5E">
              <w:rPr>
                <w:rFonts w:ascii="Book Antiqua" w:eastAsia="等线" w:hAnsi="Book Antiqua" w:cs="Book Antiqua"/>
                <w:b/>
                <w:bCs/>
                <w:color w:val="141413"/>
              </w:rPr>
              <w:t>M2↓</w:t>
            </w:r>
          </w:p>
        </w:tc>
        <w:tc>
          <w:tcPr>
            <w:tcW w:w="850" w:type="dxa"/>
            <w:tcBorders>
              <w:top w:val="single" w:sz="4" w:space="0" w:color="auto"/>
              <w:bottom w:val="single" w:sz="4" w:space="0" w:color="auto"/>
            </w:tcBorders>
            <w:shd w:val="clear" w:color="auto" w:fill="auto"/>
            <w:noWrap/>
            <w:vAlign w:val="center"/>
          </w:tcPr>
          <w:p w14:paraId="383FE5EF" w14:textId="77777777" w:rsidR="00AB5C59" w:rsidRPr="00EA3F5E" w:rsidRDefault="00FD4637">
            <w:pPr>
              <w:spacing w:line="360" w:lineRule="auto"/>
              <w:jc w:val="both"/>
              <w:rPr>
                <w:rFonts w:ascii="Book Antiqua" w:eastAsia="等线" w:hAnsi="Book Antiqua" w:cs="Book Antiqua"/>
                <w:b/>
                <w:bCs/>
                <w:color w:val="141413"/>
              </w:rPr>
            </w:pPr>
            <w:r w:rsidRPr="00EA3F5E">
              <w:rPr>
                <w:rFonts w:ascii="Book Antiqua" w:eastAsia="等线" w:hAnsi="Book Antiqua" w:cs="Book Antiqua"/>
                <w:b/>
                <w:bCs/>
                <w:color w:val="141413"/>
              </w:rPr>
              <w:t>MHC class I ↑</w:t>
            </w:r>
          </w:p>
        </w:tc>
        <w:tc>
          <w:tcPr>
            <w:tcW w:w="1308" w:type="dxa"/>
            <w:tcBorders>
              <w:top w:val="single" w:sz="4" w:space="0" w:color="auto"/>
              <w:bottom w:val="single" w:sz="4" w:space="0" w:color="auto"/>
            </w:tcBorders>
            <w:shd w:val="clear" w:color="auto" w:fill="auto"/>
            <w:noWrap/>
            <w:vAlign w:val="center"/>
          </w:tcPr>
          <w:p w14:paraId="0664DBF7" w14:textId="77777777" w:rsidR="00AB5C59" w:rsidRPr="00EA3F5E" w:rsidRDefault="00FD4637">
            <w:pPr>
              <w:spacing w:line="360" w:lineRule="auto"/>
              <w:jc w:val="both"/>
              <w:rPr>
                <w:rFonts w:ascii="Book Antiqua" w:eastAsia="等线" w:hAnsi="Book Antiqua" w:cs="Book Antiqua"/>
                <w:b/>
                <w:bCs/>
                <w:color w:val="141413"/>
              </w:rPr>
            </w:pPr>
            <w:r w:rsidRPr="00EA3F5E">
              <w:rPr>
                <w:rFonts w:ascii="Book Antiqua" w:eastAsia="等线" w:hAnsi="Book Antiqua" w:cs="Book Antiqua"/>
                <w:b/>
                <w:bCs/>
                <w:color w:val="141413"/>
              </w:rPr>
              <w:t>Dendritic cells mature</w:t>
            </w:r>
          </w:p>
        </w:tc>
        <w:tc>
          <w:tcPr>
            <w:tcW w:w="1042" w:type="dxa"/>
            <w:tcBorders>
              <w:top w:val="single" w:sz="4" w:space="0" w:color="auto"/>
              <w:bottom w:val="single" w:sz="4" w:space="0" w:color="auto"/>
            </w:tcBorders>
            <w:shd w:val="clear" w:color="auto" w:fill="auto"/>
            <w:noWrap/>
            <w:vAlign w:val="center"/>
          </w:tcPr>
          <w:p w14:paraId="665759E9" w14:textId="77777777" w:rsidR="00AB5C59" w:rsidRPr="00EA3F5E" w:rsidRDefault="00FD4637">
            <w:pPr>
              <w:spacing w:line="360" w:lineRule="auto"/>
              <w:jc w:val="both"/>
              <w:rPr>
                <w:rFonts w:ascii="Book Antiqua" w:eastAsia="等线" w:hAnsi="Book Antiqua" w:cs="Book Antiqua"/>
                <w:b/>
                <w:bCs/>
                <w:color w:val="141413"/>
              </w:rPr>
            </w:pPr>
            <w:r w:rsidRPr="00EA3F5E">
              <w:rPr>
                <w:rFonts w:ascii="Book Antiqua" w:eastAsia="等线" w:hAnsi="Book Antiqua" w:cs="Book Antiqua"/>
                <w:b/>
                <w:bCs/>
                <w:color w:val="141413"/>
              </w:rPr>
              <w:t>T-cell effectors ↑</w:t>
            </w:r>
          </w:p>
        </w:tc>
      </w:tr>
      <w:tr w:rsidR="00AB5C59" w:rsidRPr="00EA3F5E" w14:paraId="6ECB255B" w14:textId="77777777">
        <w:trPr>
          <w:trHeight w:val="297"/>
        </w:trPr>
        <w:tc>
          <w:tcPr>
            <w:tcW w:w="1712" w:type="dxa"/>
            <w:tcBorders>
              <w:top w:val="single" w:sz="4" w:space="0" w:color="auto"/>
            </w:tcBorders>
            <w:shd w:val="clear" w:color="auto" w:fill="auto"/>
            <w:noWrap/>
            <w:vAlign w:val="center"/>
          </w:tcPr>
          <w:p w14:paraId="541196BB"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Gemcitabine</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39</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41</w:t>
            </w:r>
            <w:r w:rsidRPr="00EA3F5E">
              <w:rPr>
                <w:rFonts w:ascii="Book Antiqua" w:eastAsia="Book Antiqua" w:hAnsi="Book Antiqua" w:cs="Book Antiqua"/>
                <w:color w:val="000000"/>
                <w:vertAlign w:val="superscript"/>
              </w:rPr>
              <w:t>]</w:t>
            </w:r>
          </w:p>
        </w:tc>
        <w:tc>
          <w:tcPr>
            <w:tcW w:w="1817" w:type="dxa"/>
            <w:tcBorders>
              <w:top w:val="single" w:sz="4" w:space="0" w:color="auto"/>
            </w:tcBorders>
            <w:shd w:val="clear" w:color="auto" w:fill="auto"/>
            <w:noWrap/>
            <w:vAlign w:val="center"/>
          </w:tcPr>
          <w:p w14:paraId="41D067F7"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855" w:type="dxa"/>
            <w:tcBorders>
              <w:top w:val="single" w:sz="4" w:space="0" w:color="auto"/>
            </w:tcBorders>
            <w:shd w:val="clear" w:color="auto" w:fill="auto"/>
            <w:noWrap/>
            <w:vAlign w:val="center"/>
          </w:tcPr>
          <w:p w14:paraId="73313503"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976" w:type="dxa"/>
            <w:tcBorders>
              <w:top w:val="single" w:sz="4" w:space="0" w:color="auto"/>
            </w:tcBorders>
            <w:shd w:val="clear" w:color="auto" w:fill="auto"/>
            <w:noWrap/>
            <w:vAlign w:val="center"/>
          </w:tcPr>
          <w:p w14:paraId="41CB9C77"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761" w:type="dxa"/>
            <w:tcBorders>
              <w:top w:val="single" w:sz="4" w:space="0" w:color="auto"/>
            </w:tcBorders>
            <w:shd w:val="clear" w:color="auto" w:fill="auto"/>
            <w:noWrap/>
            <w:vAlign w:val="center"/>
          </w:tcPr>
          <w:p w14:paraId="3B3E5C1E"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738" w:type="dxa"/>
            <w:tcBorders>
              <w:top w:val="single" w:sz="4" w:space="0" w:color="auto"/>
            </w:tcBorders>
            <w:shd w:val="clear" w:color="auto" w:fill="auto"/>
            <w:noWrap/>
            <w:vAlign w:val="center"/>
          </w:tcPr>
          <w:p w14:paraId="6260D166"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850" w:type="dxa"/>
            <w:tcBorders>
              <w:top w:val="single" w:sz="4" w:space="0" w:color="auto"/>
            </w:tcBorders>
            <w:shd w:val="clear" w:color="auto" w:fill="auto"/>
            <w:noWrap/>
            <w:vAlign w:val="center"/>
          </w:tcPr>
          <w:p w14:paraId="374E227A"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1308" w:type="dxa"/>
            <w:tcBorders>
              <w:top w:val="single" w:sz="4" w:space="0" w:color="auto"/>
            </w:tcBorders>
            <w:shd w:val="clear" w:color="auto" w:fill="auto"/>
            <w:noWrap/>
            <w:vAlign w:val="center"/>
          </w:tcPr>
          <w:p w14:paraId="4B8D75CA"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1042" w:type="dxa"/>
            <w:tcBorders>
              <w:top w:val="single" w:sz="4" w:space="0" w:color="auto"/>
            </w:tcBorders>
            <w:shd w:val="clear" w:color="auto" w:fill="auto"/>
            <w:noWrap/>
            <w:vAlign w:val="center"/>
          </w:tcPr>
          <w:p w14:paraId="0CECAD90"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r>
      <w:tr w:rsidR="00AB5C59" w:rsidRPr="00EA3F5E" w14:paraId="48FFC915" w14:textId="77777777">
        <w:trPr>
          <w:trHeight w:val="297"/>
        </w:trPr>
        <w:tc>
          <w:tcPr>
            <w:tcW w:w="1712" w:type="dxa"/>
            <w:shd w:val="clear" w:color="auto" w:fill="auto"/>
            <w:noWrap/>
            <w:vAlign w:val="center"/>
          </w:tcPr>
          <w:p w14:paraId="02650F2B"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Platinum</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42</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45</w:t>
            </w:r>
            <w:r w:rsidRPr="00EA3F5E">
              <w:rPr>
                <w:rFonts w:ascii="Book Antiqua" w:eastAsia="Book Antiqua" w:hAnsi="Book Antiqua" w:cs="Book Antiqua"/>
                <w:color w:val="000000"/>
                <w:vertAlign w:val="superscript"/>
              </w:rPr>
              <w:t>]</w:t>
            </w:r>
          </w:p>
        </w:tc>
        <w:tc>
          <w:tcPr>
            <w:tcW w:w="1817" w:type="dxa"/>
            <w:shd w:val="clear" w:color="auto" w:fill="auto"/>
            <w:noWrap/>
            <w:vAlign w:val="center"/>
          </w:tcPr>
          <w:p w14:paraId="7A03A8E1"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855" w:type="dxa"/>
            <w:shd w:val="clear" w:color="auto" w:fill="auto"/>
            <w:noWrap/>
            <w:vAlign w:val="center"/>
          </w:tcPr>
          <w:p w14:paraId="7972ABC9"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976" w:type="dxa"/>
            <w:shd w:val="clear" w:color="auto" w:fill="auto"/>
            <w:noWrap/>
            <w:vAlign w:val="center"/>
          </w:tcPr>
          <w:p w14:paraId="3F352C17"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761" w:type="dxa"/>
            <w:shd w:val="clear" w:color="auto" w:fill="auto"/>
            <w:noWrap/>
            <w:vAlign w:val="center"/>
          </w:tcPr>
          <w:p w14:paraId="75E941BF"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738" w:type="dxa"/>
            <w:shd w:val="clear" w:color="auto" w:fill="auto"/>
            <w:noWrap/>
            <w:vAlign w:val="center"/>
          </w:tcPr>
          <w:p w14:paraId="108C42F6"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850" w:type="dxa"/>
            <w:shd w:val="clear" w:color="auto" w:fill="auto"/>
            <w:noWrap/>
            <w:vAlign w:val="center"/>
          </w:tcPr>
          <w:p w14:paraId="6FF19388"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1308" w:type="dxa"/>
            <w:shd w:val="clear" w:color="auto" w:fill="auto"/>
            <w:noWrap/>
            <w:vAlign w:val="center"/>
          </w:tcPr>
          <w:p w14:paraId="21B5C324"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1042" w:type="dxa"/>
            <w:shd w:val="clear" w:color="auto" w:fill="auto"/>
            <w:noWrap/>
            <w:vAlign w:val="center"/>
          </w:tcPr>
          <w:p w14:paraId="550C03EF"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r>
      <w:tr w:rsidR="00AB5C59" w:rsidRPr="00EA3F5E" w14:paraId="01A4863D" w14:textId="77777777">
        <w:trPr>
          <w:trHeight w:val="297"/>
        </w:trPr>
        <w:tc>
          <w:tcPr>
            <w:tcW w:w="1712" w:type="dxa"/>
            <w:shd w:val="clear" w:color="auto" w:fill="auto"/>
            <w:noWrap/>
            <w:vAlign w:val="center"/>
          </w:tcPr>
          <w:p w14:paraId="17D1FBA1"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Paclitaxel</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44</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46</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49</w:t>
            </w:r>
            <w:r w:rsidRPr="00EA3F5E">
              <w:rPr>
                <w:rFonts w:ascii="Book Antiqua" w:eastAsia="Book Antiqua" w:hAnsi="Book Antiqua" w:cs="Book Antiqua"/>
                <w:color w:val="000000"/>
                <w:vertAlign w:val="superscript"/>
              </w:rPr>
              <w:t>]</w:t>
            </w:r>
          </w:p>
        </w:tc>
        <w:tc>
          <w:tcPr>
            <w:tcW w:w="1817" w:type="dxa"/>
            <w:shd w:val="clear" w:color="auto" w:fill="auto"/>
            <w:noWrap/>
            <w:vAlign w:val="center"/>
          </w:tcPr>
          <w:p w14:paraId="6DAF1086" w14:textId="77777777" w:rsidR="00AB5C59" w:rsidRPr="00EA3F5E" w:rsidRDefault="00FD4637">
            <w:pPr>
              <w:spacing w:line="360" w:lineRule="auto"/>
              <w:jc w:val="both"/>
              <w:rPr>
                <w:rFonts w:ascii="Book Antiqua" w:eastAsia="等线" w:hAnsi="Book Antiqua" w:cs="Book Antiqua"/>
                <w:color w:val="141413"/>
              </w:rPr>
            </w:pPr>
            <w:bookmarkStart w:id="24" w:name="OLE_LINK10"/>
            <w:r w:rsidRPr="00EA3F5E">
              <w:rPr>
                <w:rFonts w:ascii="Book Antiqua" w:eastAsia="等线" w:hAnsi="Book Antiqua" w:cs="Book Antiqua"/>
                <w:color w:val="141413"/>
              </w:rPr>
              <w:t>√</w:t>
            </w:r>
            <w:bookmarkEnd w:id="24"/>
          </w:p>
        </w:tc>
        <w:tc>
          <w:tcPr>
            <w:tcW w:w="855" w:type="dxa"/>
            <w:shd w:val="clear" w:color="auto" w:fill="auto"/>
            <w:noWrap/>
            <w:vAlign w:val="center"/>
          </w:tcPr>
          <w:p w14:paraId="7019D7FE"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976" w:type="dxa"/>
            <w:shd w:val="clear" w:color="auto" w:fill="auto"/>
            <w:noWrap/>
            <w:vAlign w:val="center"/>
          </w:tcPr>
          <w:p w14:paraId="2A801A18"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761" w:type="dxa"/>
            <w:shd w:val="clear" w:color="auto" w:fill="auto"/>
            <w:noWrap/>
            <w:vAlign w:val="center"/>
          </w:tcPr>
          <w:p w14:paraId="0F75D713"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738" w:type="dxa"/>
            <w:shd w:val="clear" w:color="auto" w:fill="auto"/>
            <w:noWrap/>
            <w:vAlign w:val="center"/>
          </w:tcPr>
          <w:p w14:paraId="36C8AAE7"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850" w:type="dxa"/>
            <w:shd w:val="clear" w:color="auto" w:fill="auto"/>
            <w:noWrap/>
            <w:vAlign w:val="center"/>
          </w:tcPr>
          <w:p w14:paraId="4B511FD5"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1308" w:type="dxa"/>
            <w:shd w:val="clear" w:color="auto" w:fill="auto"/>
            <w:noWrap/>
            <w:vAlign w:val="center"/>
          </w:tcPr>
          <w:p w14:paraId="023F05E6"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1042" w:type="dxa"/>
            <w:shd w:val="clear" w:color="auto" w:fill="auto"/>
            <w:noWrap/>
            <w:vAlign w:val="center"/>
          </w:tcPr>
          <w:p w14:paraId="46D20206"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r>
      <w:tr w:rsidR="00AB5C59" w:rsidRPr="00EA3F5E" w14:paraId="01295B66" w14:textId="77777777">
        <w:trPr>
          <w:trHeight w:val="297"/>
        </w:trPr>
        <w:tc>
          <w:tcPr>
            <w:tcW w:w="1712" w:type="dxa"/>
            <w:tcBorders>
              <w:bottom w:val="single" w:sz="4" w:space="0" w:color="auto"/>
            </w:tcBorders>
            <w:shd w:val="clear" w:color="auto" w:fill="auto"/>
            <w:noWrap/>
            <w:vAlign w:val="center"/>
          </w:tcPr>
          <w:p w14:paraId="1FBE856A"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Fluorouracil</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50</w:t>
            </w:r>
            <w:r w:rsidRPr="00EA3F5E">
              <w:rPr>
                <w:rFonts w:ascii="Book Antiqua" w:eastAsia="Book Antiqua" w:hAnsi="Book Antiqua" w:cs="Book Antiqua"/>
                <w:color w:val="000000"/>
                <w:vertAlign w:val="superscript"/>
              </w:rPr>
              <w:t>-</w:t>
            </w:r>
            <w:r w:rsidRPr="00EA3F5E">
              <w:rPr>
                <w:rFonts w:ascii="Book Antiqua" w:eastAsia="宋体" w:hAnsi="Book Antiqua" w:cs="Book Antiqua"/>
                <w:color w:val="000000"/>
                <w:vertAlign w:val="superscript"/>
                <w:lang w:eastAsia="zh-CN"/>
              </w:rPr>
              <w:t>53</w:t>
            </w:r>
            <w:r w:rsidRPr="00EA3F5E">
              <w:rPr>
                <w:rFonts w:ascii="Book Antiqua" w:eastAsia="Book Antiqua" w:hAnsi="Book Antiqua" w:cs="Book Antiqua"/>
                <w:color w:val="000000"/>
                <w:vertAlign w:val="superscript"/>
              </w:rPr>
              <w:t>]</w:t>
            </w:r>
          </w:p>
        </w:tc>
        <w:tc>
          <w:tcPr>
            <w:tcW w:w="1817" w:type="dxa"/>
            <w:tcBorders>
              <w:bottom w:val="single" w:sz="4" w:space="0" w:color="auto"/>
            </w:tcBorders>
            <w:shd w:val="clear" w:color="auto" w:fill="auto"/>
            <w:noWrap/>
            <w:vAlign w:val="center"/>
          </w:tcPr>
          <w:p w14:paraId="6B10F046"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855" w:type="dxa"/>
            <w:tcBorders>
              <w:bottom w:val="single" w:sz="4" w:space="0" w:color="auto"/>
            </w:tcBorders>
            <w:shd w:val="clear" w:color="auto" w:fill="auto"/>
            <w:noWrap/>
            <w:vAlign w:val="center"/>
          </w:tcPr>
          <w:p w14:paraId="03DE9EB0"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976" w:type="dxa"/>
            <w:tcBorders>
              <w:bottom w:val="single" w:sz="4" w:space="0" w:color="auto"/>
            </w:tcBorders>
            <w:shd w:val="clear" w:color="auto" w:fill="auto"/>
            <w:noWrap/>
            <w:vAlign w:val="center"/>
          </w:tcPr>
          <w:p w14:paraId="0E7A7B5D"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761" w:type="dxa"/>
            <w:tcBorders>
              <w:bottom w:val="single" w:sz="4" w:space="0" w:color="auto"/>
            </w:tcBorders>
            <w:shd w:val="clear" w:color="auto" w:fill="auto"/>
            <w:noWrap/>
            <w:vAlign w:val="center"/>
          </w:tcPr>
          <w:p w14:paraId="0BDB65D2"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738" w:type="dxa"/>
            <w:tcBorders>
              <w:bottom w:val="single" w:sz="4" w:space="0" w:color="auto"/>
            </w:tcBorders>
            <w:shd w:val="clear" w:color="auto" w:fill="auto"/>
            <w:noWrap/>
            <w:vAlign w:val="center"/>
          </w:tcPr>
          <w:p w14:paraId="7ADDE441"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850" w:type="dxa"/>
            <w:tcBorders>
              <w:bottom w:val="single" w:sz="4" w:space="0" w:color="auto"/>
            </w:tcBorders>
            <w:shd w:val="clear" w:color="auto" w:fill="auto"/>
            <w:noWrap/>
            <w:vAlign w:val="center"/>
          </w:tcPr>
          <w:p w14:paraId="2D8A8FF2"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1308" w:type="dxa"/>
            <w:tcBorders>
              <w:bottom w:val="single" w:sz="4" w:space="0" w:color="auto"/>
            </w:tcBorders>
            <w:shd w:val="clear" w:color="auto" w:fill="auto"/>
            <w:noWrap/>
            <w:vAlign w:val="center"/>
          </w:tcPr>
          <w:p w14:paraId="37C0F3FB"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c>
          <w:tcPr>
            <w:tcW w:w="1042" w:type="dxa"/>
            <w:tcBorders>
              <w:bottom w:val="single" w:sz="4" w:space="0" w:color="auto"/>
            </w:tcBorders>
            <w:shd w:val="clear" w:color="auto" w:fill="auto"/>
            <w:noWrap/>
            <w:vAlign w:val="center"/>
          </w:tcPr>
          <w:p w14:paraId="005CBF73" w14:textId="77777777" w:rsidR="00AB5C59" w:rsidRPr="00EA3F5E" w:rsidRDefault="00FD4637">
            <w:pPr>
              <w:spacing w:line="360" w:lineRule="auto"/>
              <w:jc w:val="both"/>
              <w:rPr>
                <w:rFonts w:ascii="Book Antiqua" w:eastAsia="等线" w:hAnsi="Book Antiqua" w:cs="Book Antiqua"/>
                <w:color w:val="141413"/>
              </w:rPr>
            </w:pPr>
            <w:r w:rsidRPr="00EA3F5E">
              <w:rPr>
                <w:rFonts w:ascii="Book Antiqua" w:eastAsia="等线" w:hAnsi="Book Antiqua" w:cs="Book Antiqua"/>
                <w:color w:val="141413"/>
              </w:rPr>
              <w:t>?</w:t>
            </w:r>
          </w:p>
        </w:tc>
      </w:tr>
    </w:tbl>
    <w:p w14:paraId="2AA40983" w14:textId="77777777" w:rsidR="00AB5C59" w:rsidRPr="00EA3F5E" w:rsidRDefault="00FD4637">
      <w:pPr>
        <w:spacing w:line="360" w:lineRule="auto"/>
        <w:jc w:val="both"/>
        <w:rPr>
          <w:rFonts w:ascii="Book Antiqua" w:hAnsi="Book Antiqua" w:cs="Book Antiqua"/>
        </w:rPr>
      </w:pPr>
      <w:r w:rsidRPr="00EA3F5E">
        <w:rPr>
          <w:rFonts w:ascii="Book Antiqua" w:eastAsia="等线" w:hAnsi="Book Antiqua" w:cs="Book Antiqua"/>
          <w:color w:val="141413"/>
        </w:rPr>
        <w:t>↑</w:t>
      </w:r>
      <w:r w:rsidRPr="00EA3F5E">
        <w:rPr>
          <w:rFonts w:ascii="Book Antiqua" w:eastAsia="等线" w:hAnsi="Book Antiqua" w:cs="Book Antiqua"/>
          <w:color w:val="141413"/>
          <w:lang w:eastAsia="zh-CN"/>
        </w:rPr>
        <w:t>:</w:t>
      </w:r>
      <w:r w:rsidRPr="00EA3F5E">
        <w:rPr>
          <w:rFonts w:ascii="Book Antiqua" w:eastAsia="等线" w:hAnsi="Book Antiqua" w:cs="Book Antiqua"/>
          <w:color w:val="141413"/>
        </w:rPr>
        <w:t xml:space="preserve"> </w:t>
      </w:r>
      <w:r w:rsidRPr="00EA3F5E">
        <w:rPr>
          <w:rFonts w:ascii="Book Antiqua" w:eastAsia="等线" w:hAnsi="Book Antiqua" w:cs="Book Antiqua"/>
          <w:color w:val="141413"/>
          <w:lang w:eastAsia="zh-CN"/>
        </w:rPr>
        <w:t>I</w:t>
      </w:r>
      <w:r w:rsidRPr="00EA3F5E">
        <w:rPr>
          <w:rFonts w:ascii="Book Antiqua" w:eastAsia="等线" w:hAnsi="Book Antiqua" w:cs="Book Antiqua"/>
          <w:color w:val="141413"/>
        </w:rPr>
        <w:t>ncrease; ↓</w:t>
      </w:r>
      <w:r w:rsidRPr="00EA3F5E">
        <w:rPr>
          <w:rFonts w:ascii="Book Antiqua" w:eastAsia="等线" w:hAnsi="Book Antiqua" w:cs="Book Antiqua"/>
          <w:color w:val="141413"/>
          <w:lang w:eastAsia="zh-CN"/>
        </w:rPr>
        <w:t>:</w:t>
      </w:r>
      <w:r w:rsidRPr="00EA3F5E">
        <w:rPr>
          <w:rFonts w:ascii="Book Antiqua" w:eastAsia="等线" w:hAnsi="Book Antiqua" w:cs="Book Antiqua"/>
          <w:color w:val="141413"/>
        </w:rPr>
        <w:t xml:space="preserve"> </w:t>
      </w:r>
      <w:r w:rsidRPr="00EA3F5E">
        <w:rPr>
          <w:rFonts w:ascii="Book Antiqua" w:eastAsia="等线" w:hAnsi="Book Antiqua" w:cs="Book Antiqua"/>
          <w:color w:val="141413"/>
          <w:lang w:eastAsia="zh-CN"/>
        </w:rPr>
        <w:t>D</w:t>
      </w:r>
      <w:r w:rsidRPr="00EA3F5E">
        <w:rPr>
          <w:rFonts w:ascii="Book Antiqua" w:eastAsia="等线" w:hAnsi="Book Antiqua" w:cs="Book Antiqua"/>
          <w:color w:val="141413"/>
        </w:rPr>
        <w:t>ecrease; ?</w:t>
      </w:r>
      <w:r w:rsidRPr="00EA3F5E">
        <w:rPr>
          <w:rFonts w:ascii="Book Antiqua" w:eastAsia="等线" w:hAnsi="Book Antiqua" w:cs="Book Antiqua"/>
          <w:color w:val="141413"/>
          <w:lang w:eastAsia="zh-CN"/>
        </w:rPr>
        <w:t>:</w:t>
      </w:r>
      <w:r w:rsidRPr="00EA3F5E">
        <w:rPr>
          <w:rFonts w:ascii="Book Antiqua" w:eastAsia="等线" w:hAnsi="Book Antiqua" w:cs="Book Antiqua"/>
          <w:color w:val="141413"/>
        </w:rPr>
        <w:t xml:space="preserve"> </w:t>
      </w:r>
      <w:r w:rsidRPr="00EA3F5E">
        <w:rPr>
          <w:rFonts w:ascii="Book Antiqua" w:eastAsia="等线" w:hAnsi="Book Antiqua" w:cs="Book Antiqua"/>
          <w:color w:val="141413"/>
          <w:lang w:eastAsia="zh-CN"/>
        </w:rPr>
        <w:t>U</w:t>
      </w:r>
      <w:r w:rsidRPr="00EA3F5E">
        <w:rPr>
          <w:rFonts w:ascii="Book Antiqua" w:eastAsia="等线" w:hAnsi="Book Antiqua" w:cs="Book Antiqua"/>
          <w:color w:val="141413"/>
        </w:rPr>
        <w:t>nsure; √</w:t>
      </w:r>
      <w:r w:rsidRPr="00EA3F5E">
        <w:rPr>
          <w:rFonts w:ascii="Book Antiqua" w:eastAsia="等线" w:hAnsi="Book Antiqua" w:cs="Book Antiqua"/>
          <w:color w:val="141413"/>
          <w:lang w:eastAsia="zh-CN"/>
        </w:rPr>
        <w:t>:</w:t>
      </w:r>
      <w:r w:rsidRPr="00EA3F5E">
        <w:rPr>
          <w:rFonts w:ascii="Book Antiqua" w:eastAsia="等线" w:hAnsi="Book Antiqua" w:cs="Book Antiqua"/>
          <w:color w:val="141413"/>
        </w:rPr>
        <w:t xml:space="preserve"> </w:t>
      </w:r>
      <w:r w:rsidRPr="00EA3F5E">
        <w:rPr>
          <w:rFonts w:ascii="Book Antiqua" w:eastAsia="等线" w:hAnsi="Book Antiqua" w:cs="Book Antiqua"/>
          <w:color w:val="141413"/>
          <w:lang w:eastAsia="zh-CN"/>
        </w:rPr>
        <w:t>M</w:t>
      </w:r>
      <w:r w:rsidRPr="00EA3F5E">
        <w:rPr>
          <w:rFonts w:ascii="Book Antiqua" w:eastAsia="等线" w:hAnsi="Book Antiqua" w:cs="Book Antiqua"/>
          <w:color w:val="141413"/>
        </w:rPr>
        <w:t>odulate mechanism; ×</w:t>
      </w:r>
      <w:r w:rsidRPr="00EA3F5E">
        <w:rPr>
          <w:rFonts w:ascii="Book Antiqua" w:eastAsia="等线" w:hAnsi="Book Antiqua" w:cs="Book Antiqua"/>
          <w:color w:val="141413"/>
          <w:lang w:eastAsia="zh-CN"/>
        </w:rPr>
        <w:t>:</w:t>
      </w:r>
      <w:r w:rsidRPr="00EA3F5E">
        <w:rPr>
          <w:rFonts w:ascii="Book Antiqua" w:eastAsia="等线" w:hAnsi="Book Antiqua" w:cs="Book Antiqua"/>
          <w:color w:val="141413"/>
        </w:rPr>
        <w:t xml:space="preserve"> </w:t>
      </w:r>
      <w:r w:rsidRPr="00EA3F5E">
        <w:rPr>
          <w:rFonts w:ascii="Book Antiqua" w:eastAsia="等线" w:hAnsi="Book Antiqua" w:cs="Book Antiqua"/>
          <w:color w:val="141413"/>
          <w:lang w:eastAsia="zh-CN"/>
        </w:rPr>
        <w:t>D</w:t>
      </w:r>
      <w:r w:rsidRPr="00EA3F5E">
        <w:rPr>
          <w:rFonts w:ascii="Book Antiqua" w:eastAsia="等线" w:hAnsi="Book Antiqua" w:cs="Book Antiqua"/>
          <w:color w:val="141413"/>
        </w:rPr>
        <w:t xml:space="preserve">oes </w:t>
      </w:r>
      <w:r w:rsidRPr="00EA3F5E">
        <w:rPr>
          <w:rFonts w:ascii="Book Antiqua" w:eastAsia="等线" w:hAnsi="Book Antiqua" w:cs="Book Antiqua"/>
          <w:color w:val="141413"/>
          <w:lang w:eastAsia="zh-CN"/>
        </w:rPr>
        <w:t>n</w:t>
      </w:r>
      <w:r w:rsidRPr="00EA3F5E">
        <w:rPr>
          <w:rFonts w:ascii="Book Antiqua" w:eastAsia="等线" w:hAnsi="Book Antiqua" w:cs="Book Antiqua"/>
          <w:color w:val="141413"/>
        </w:rPr>
        <w:t>ot modulate mechanism; MDSC</w:t>
      </w:r>
      <w:r w:rsidRPr="00EA3F5E">
        <w:rPr>
          <w:rFonts w:ascii="Book Antiqua" w:eastAsia="等线" w:hAnsi="Book Antiqua" w:cs="Book Antiqua"/>
          <w:color w:val="141413"/>
          <w:lang w:eastAsia="zh-CN"/>
        </w:rPr>
        <w:t>:</w:t>
      </w:r>
      <w:r w:rsidRPr="00EA3F5E">
        <w:rPr>
          <w:rFonts w:ascii="Book Antiqua" w:eastAsia="等线" w:hAnsi="Book Antiqua" w:cs="Book Antiqua"/>
          <w:color w:val="141413"/>
        </w:rPr>
        <w:t xml:space="preserve"> </w:t>
      </w:r>
      <w:r w:rsidRPr="00EA3F5E">
        <w:rPr>
          <w:rFonts w:ascii="Book Antiqua" w:eastAsia="等线" w:hAnsi="Book Antiqua" w:cs="Book Antiqua"/>
          <w:color w:val="141413"/>
          <w:lang w:eastAsia="zh-CN"/>
        </w:rPr>
        <w:t>M</w:t>
      </w:r>
      <w:r w:rsidRPr="00EA3F5E">
        <w:rPr>
          <w:rFonts w:ascii="Book Antiqua" w:eastAsia="等线" w:hAnsi="Book Antiqua" w:cs="Book Antiqua"/>
          <w:color w:val="141413"/>
        </w:rPr>
        <w:t>yeloid derived suppressor cell; MHC</w:t>
      </w:r>
      <w:r w:rsidRPr="00EA3F5E">
        <w:rPr>
          <w:rFonts w:ascii="Book Antiqua" w:eastAsia="等线" w:hAnsi="Book Antiqua" w:cs="Book Antiqua"/>
          <w:color w:val="141413"/>
          <w:lang w:eastAsia="zh-CN"/>
        </w:rPr>
        <w:t>: M</w:t>
      </w:r>
      <w:r w:rsidRPr="00EA3F5E">
        <w:rPr>
          <w:rFonts w:ascii="Book Antiqua" w:eastAsia="等线" w:hAnsi="Book Antiqua" w:cs="Book Antiqua"/>
          <w:color w:val="141413"/>
        </w:rPr>
        <w:t>ajor histocompatibility complex; PD-L1</w:t>
      </w:r>
      <w:r w:rsidRPr="00EA3F5E">
        <w:rPr>
          <w:rFonts w:ascii="Book Antiqua" w:eastAsia="等线" w:hAnsi="Book Antiqua" w:cs="Book Antiqua"/>
          <w:color w:val="141413"/>
          <w:lang w:eastAsia="zh-CN"/>
        </w:rPr>
        <w:t>: P</w:t>
      </w:r>
      <w:r w:rsidRPr="00EA3F5E">
        <w:rPr>
          <w:rFonts w:ascii="Book Antiqua" w:eastAsia="等线" w:hAnsi="Book Antiqua" w:cs="Book Antiqua"/>
          <w:color w:val="141413"/>
        </w:rPr>
        <w:t>rogrammed death ligand 1; M2</w:t>
      </w:r>
      <w:r w:rsidRPr="00EA3F5E">
        <w:rPr>
          <w:rFonts w:ascii="Book Antiqua" w:eastAsia="等线" w:hAnsi="Book Antiqua" w:cs="Book Antiqua"/>
          <w:color w:val="141413"/>
          <w:lang w:eastAsia="zh-CN"/>
        </w:rPr>
        <w:t>: T</w:t>
      </w:r>
      <w:r w:rsidRPr="00EA3F5E">
        <w:rPr>
          <w:rFonts w:ascii="Book Antiqua" w:eastAsia="等线" w:hAnsi="Book Antiqua" w:cs="Book Antiqua"/>
          <w:color w:val="141413"/>
        </w:rPr>
        <w:t>umor-associated macrophage type 2; Treg</w:t>
      </w:r>
      <w:r w:rsidRPr="00EA3F5E">
        <w:rPr>
          <w:rFonts w:ascii="Book Antiqua" w:eastAsia="等线" w:hAnsi="Book Antiqua" w:cs="Book Antiqua"/>
          <w:color w:val="141413"/>
          <w:lang w:eastAsia="zh-CN"/>
        </w:rPr>
        <w:t>:</w:t>
      </w:r>
      <w:r w:rsidRPr="00EA3F5E">
        <w:rPr>
          <w:rFonts w:ascii="Book Antiqua" w:eastAsia="等线" w:hAnsi="Book Antiqua" w:cs="Book Antiqua"/>
          <w:color w:val="141413"/>
        </w:rPr>
        <w:t xml:space="preserve"> T-regulatory cell.</w:t>
      </w:r>
    </w:p>
    <w:p w14:paraId="720DA3F1" w14:textId="77777777" w:rsidR="00AB5C59" w:rsidRPr="00EA3F5E" w:rsidRDefault="00AB5C59">
      <w:pPr>
        <w:jc w:val="both"/>
        <w:rPr>
          <w:rFonts w:ascii="Book Antiqua" w:eastAsia="等线" w:hAnsi="Book Antiqua" w:cs="Book Antiqua"/>
          <w:color w:val="141413"/>
        </w:rPr>
      </w:pPr>
    </w:p>
    <w:p w14:paraId="3C9FFF95" w14:textId="77777777" w:rsidR="00EA3F5E" w:rsidRPr="00EA3F5E" w:rsidRDefault="00EA3F5E" w:rsidP="00EA3F5E">
      <w:pPr>
        <w:ind w:leftChars="100" w:left="240"/>
        <w:jc w:val="center"/>
        <w:rPr>
          <w:rFonts w:ascii="Book Antiqua" w:hAnsi="Book Antiqua"/>
          <w:lang w:val="pt-BR" w:eastAsia="zh-CN"/>
        </w:rPr>
      </w:pPr>
      <w:r w:rsidRPr="00EA3F5E">
        <w:rPr>
          <w:rFonts w:ascii="Book Antiqua" w:hAnsi="Book Antiqua" w:cs="Book Antiqua"/>
        </w:rPr>
        <w:br w:type="page"/>
      </w:r>
      <w:bookmarkStart w:id="25" w:name="_Hlk88512952"/>
    </w:p>
    <w:p w14:paraId="611CD982" w14:textId="77777777" w:rsidR="00EA3F5E" w:rsidRPr="00EA3F5E" w:rsidRDefault="00EA3F5E" w:rsidP="00EA3F5E">
      <w:pPr>
        <w:ind w:leftChars="100" w:left="240"/>
        <w:jc w:val="center"/>
        <w:rPr>
          <w:rFonts w:ascii="Book Antiqua" w:hAnsi="Book Antiqua"/>
          <w:lang w:val="pt-BR" w:eastAsia="zh-CN"/>
        </w:rPr>
      </w:pPr>
    </w:p>
    <w:p w14:paraId="2AD13D06" w14:textId="77777777" w:rsidR="00EA3F5E" w:rsidRPr="00EA3F5E" w:rsidRDefault="00EA3F5E" w:rsidP="00EA3F5E">
      <w:pPr>
        <w:ind w:leftChars="100" w:left="240"/>
        <w:jc w:val="center"/>
        <w:rPr>
          <w:rFonts w:ascii="Book Antiqua" w:hAnsi="Book Antiqua"/>
          <w:lang w:val="pt-BR" w:eastAsia="zh-CN"/>
        </w:rPr>
      </w:pPr>
    </w:p>
    <w:p w14:paraId="381EDF21" w14:textId="77777777" w:rsidR="00EA3F5E" w:rsidRPr="00EA3F5E" w:rsidRDefault="00EA3F5E" w:rsidP="00EA3F5E">
      <w:pPr>
        <w:ind w:leftChars="100" w:left="240"/>
        <w:jc w:val="center"/>
        <w:rPr>
          <w:rFonts w:ascii="Book Antiqua" w:hAnsi="Book Antiqua"/>
          <w:lang w:val="pt-BR" w:eastAsia="zh-CN"/>
        </w:rPr>
      </w:pPr>
    </w:p>
    <w:p w14:paraId="1362C790" w14:textId="77777777" w:rsidR="00EA3F5E" w:rsidRPr="00EA3F5E" w:rsidRDefault="00EA3F5E" w:rsidP="00EA3F5E">
      <w:pPr>
        <w:ind w:leftChars="100" w:left="240"/>
        <w:jc w:val="center"/>
        <w:rPr>
          <w:rFonts w:ascii="Book Antiqua" w:hAnsi="Book Antiqua"/>
          <w:lang w:eastAsia="zh-CN"/>
        </w:rPr>
      </w:pPr>
      <w:r w:rsidRPr="00EA3F5E">
        <w:rPr>
          <w:rFonts w:ascii="Book Antiqua" w:hAnsi="Book Antiqua"/>
          <w:noProof/>
          <w:lang w:eastAsia="zh-CN"/>
        </w:rPr>
        <w:drawing>
          <wp:inline distT="0" distB="0" distL="0" distR="0" wp14:anchorId="26D16524" wp14:editId="4A21CD7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F8E993B" w14:textId="77777777" w:rsidR="00EA3F5E" w:rsidRPr="00EA3F5E" w:rsidRDefault="00EA3F5E" w:rsidP="00EA3F5E">
      <w:pPr>
        <w:ind w:leftChars="100" w:left="240"/>
        <w:jc w:val="center"/>
        <w:rPr>
          <w:rFonts w:ascii="Book Antiqua" w:hAnsi="Book Antiqua"/>
          <w:lang w:eastAsia="zh-CN"/>
        </w:rPr>
      </w:pPr>
    </w:p>
    <w:p w14:paraId="2C9955EF" w14:textId="77777777" w:rsidR="00EA3F5E" w:rsidRPr="00EA3F5E" w:rsidRDefault="00EA3F5E" w:rsidP="00EA3F5E">
      <w:pPr>
        <w:autoSpaceDE w:val="0"/>
        <w:autoSpaceDN w:val="0"/>
        <w:adjustRightInd w:val="0"/>
        <w:ind w:leftChars="100" w:left="240"/>
        <w:jc w:val="center"/>
        <w:rPr>
          <w:rFonts w:ascii="Book Antiqua" w:eastAsia="Garamond-Bold" w:hAnsi="Book Antiqua" w:cs="Garamond-Bold"/>
          <w:b/>
          <w:bCs/>
          <w:color w:val="000000"/>
          <w:sz w:val="28"/>
          <w:szCs w:val="28"/>
        </w:rPr>
      </w:pPr>
      <w:r w:rsidRPr="00EA3F5E">
        <w:rPr>
          <w:rFonts w:ascii="Book Antiqua" w:eastAsia="TimesNewRomanPSMT" w:hAnsi="Book Antiqua" w:cs="TimesNewRomanPSMT"/>
          <w:color w:val="000000"/>
          <w:sz w:val="28"/>
          <w:szCs w:val="28"/>
        </w:rPr>
        <w:t xml:space="preserve">Published by </w:t>
      </w:r>
      <w:r w:rsidRPr="00EA3F5E">
        <w:rPr>
          <w:rFonts w:ascii="Book Antiqua" w:eastAsia="Garamond-Bold" w:hAnsi="Book Antiqua" w:cs="Garamond-Bold"/>
          <w:b/>
          <w:bCs/>
          <w:color w:val="000000"/>
          <w:sz w:val="28"/>
          <w:szCs w:val="28"/>
        </w:rPr>
        <w:t>Baishideng Publishing Group Inc</w:t>
      </w:r>
    </w:p>
    <w:p w14:paraId="11828213" w14:textId="77777777" w:rsidR="00EA3F5E" w:rsidRPr="00EA3F5E" w:rsidRDefault="00EA3F5E" w:rsidP="00EA3F5E">
      <w:pPr>
        <w:autoSpaceDE w:val="0"/>
        <w:autoSpaceDN w:val="0"/>
        <w:adjustRightInd w:val="0"/>
        <w:ind w:leftChars="100" w:left="240"/>
        <w:jc w:val="center"/>
        <w:rPr>
          <w:rFonts w:ascii="Book Antiqua" w:eastAsia="TimesNewRomanPSMT" w:hAnsi="Book Antiqua" w:cs="Garamond"/>
          <w:color w:val="000000"/>
          <w:sz w:val="28"/>
          <w:szCs w:val="28"/>
        </w:rPr>
      </w:pPr>
      <w:r w:rsidRPr="00EA3F5E">
        <w:rPr>
          <w:rFonts w:ascii="Book Antiqua" w:eastAsia="TimesNewRomanPSMT" w:hAnsi="Book Antiqua" w:cs="Garamond"/>
          <w:color w:val="000000"/>
          <w:sz w:val="28"/>
          <w:szCs w:val="28"/>
        </w:rPr>
        <w:t>7041 Koll Center Parkway, Suite 160, Pleasanton, CA 94566, USA</w:t>
      </w:r>
    </w:p>
    <w:p w14:paraId="56C4DAFB" w14:textId="77777777" w:rsidR="00EA3F5E" w:rsidRPr="00EA3F5E" w:rsidRDefault="00EA3F5E" w:rsidP="00EA3F5E">
      <w:pPr>
        <w:autoSpaceDE w:val="0"/>
        <w:autoSpaceDN w:val="0"/>
        <w:adjustRightInd w:val="0"/>
        <w:ind w:leftChars="100" w:left="240"/>
        <w:jc w:val="center"/>
        <w:rPr>
          <w:rFonts w:ascii="Book Antiqua" w:eastAsia="TimesNewRomanPSMT" w:hAnsi="Book Antiqua" w:cs="Garamond"/>
          <w:color w:val="000000"/>
          <w:sz w:val="28"/>
          <w:szCs w:val="28"/>
        </w:rPr>
      </w:pPr>
      <w:r w:rsidRPr="00EA3F5E">
        <w:rPr>
          <w:rFonts w:ascii="Book Antiqua" w:eastAsia="Garamond-Bold" w:hAnsi="Book Antiqua" w:cs="Garamond-Bold"/>
          <w:b/>
          <w:bCs/>
          <w:color w:val="000000"/>
          <w:sz w:val="28"/>
          <w:szCs w:val="28"/>
        </w:rPr>
        <w:t xml:space="preserve">Telephone: </w:t>
      </w:r>
      <w:r w:rsidRPr="00EA3F5E">
        <w:rPr>
          <w:rFonts w:ascii="Book Antiqua" w:eastAsia="TimesNewRomanPSMT" w:hAnsi="Book Antiqua" w:cs="Garamond"/>
          <w:color w:val="000000"/>
          <w:sz w:val="28"/>
          <w:szCs w:val="28"/>
        </w:rPr>
        <w:t>+1-925-3991568</w:t>
      </w:r>
    </w:p>
    <w:p w14:paraId="5911C558" w14:textId="77777777" w:rsidR="00EA3F5E" w:rsidRPr="00EA3F5E" w:rsidRDefault="00EA3F5E" w:rsidP="00EA3F5E">
      <w:pPr>
        <w:autoSpaceDE w:val="0"/>
        <w:autoSpaceDN w:val="0"/>
        <w:adjustRightInd w:val="0"/>
        <w:ind w:leftChars="100" w:left="240"/>
        <w:jc w:val="center"/>
        <w:rPr>
          <w:rFonts w:ascii="Book Antiqua" w:eastAsia="TimesNewRomanPSMT" w:hAnsi="Book Antiqua" w:cs="Garamond"/>
          <w:color w:val="D56400"/>
          <w:sz w:val="28"/>
          <w:szCs w:val="28"/>
        </w:rPr>
      </w:pPr>
      <w:r w:rsidRPr="00EA3F5E">
        <w:rPr>
          <w:rFonts w:ascii="Book Antiqua" w:eastAsia="Garamond-Bold" w:hAnsi="Book Antiqua" w:cs="Garamond-Bold"/>
          <w:b/>
          <w:bCs/>
          <w:color w:val="000000"/>
          <w:sz w:val="28"/>
          <w:szCs w:val="28"/>
        </w:rPr>
        <w:t xml:space="preserve">E-mail: </w:t>
      </w:r>
      <w:r w:rsidRPr="00EA3F5E">
        <w:rPr>
          <w:rFonts w:ascii="Book Antiqua" w:eastAsia="TimesNewRomanPSMT" w:hAnsi="Book Antiqua" w:cs="Garamond"/>
          <w:color w:val="D56400"/>
          <w:sz w:val="28"/>
          <w:szCs w:val="28"/>
        </w:rPr>
        <w:t>bpgoffice@wjgnet.com</w:t>
      </w:r>
    </w:p>
    <w:p w14:paraId="19CCABF8" w14:textId="77777777" w:rsidR="00EA3F5E" w:rsidRPr="00EA3F5E" w:rsidRDefault="00EA3F5E" w:rsidP="00EA3F5E">
      <w:pPr>
        <w:autoSpaceDE w:val="0"/>
        <w:autoSpaceDN w:val="0"/>
        <w:adjustRightInd w:val="0"/>
        <w:ind w:leftChars="100" w:left="240"/>
        <w:jc w:val="center"/>
        <w:rPr>
          <w:rFonts w:ascii="Book Antiqua" w:eastAsia="TimesNewRomanPSMT" w:hAnsi="Book Antiqua" w:cs="Garamond"/>
          <w:color w:val="D56400"/>
          <w:sz w:val="28"/>
          <w:szCs w:val="28"/>
        </w:rPr>
      </w:pPr>
      <w:r w:rsidRPr="00EA3F5E">
        <w:rPr>
          <w:rFonts w:ascii="Book Antiqua" w:eastAsia="Garamond-Bold" w:hAnsi="Book Antiqua" w:cs="Garamond-Bold"/>
          <w:b/>
          <w:bCs/>
          <w:color w:val="000000"/>
          <w:sz w:val="28"/>
          <w:szCs w:val="28"/>
        </w:rPr>
        <w:t xml:space="preserve">Help Desk: </w:t>
      </w:r>
      <w:r w:rsidRPr="00EA3F5E">
        <w:rPr>
          <w:rFonts w:ascii="Book Antiqua" w:eastAsia="TimesNewRomanPSMT" w:hAnsi="Book Antiqua" w:cs="Garamond"/>
          <w:color w:val="D56400"/>
          <w:sz w:val="28"/>
          <w:szCs w:val="28"/>
        </w:rPr>
        <w:t>https://www.f6publishing.com/helpdesk</w:t>
      </w:r>
    </w:p>
    <w:p w14:paraId="5BEE0B41" w14:textId="77777777" w:rsidR="00EA3F5E" w:rsidRPr="00EA3F5E" w:rsidRDefault="00EA3F5E" w:rsidP="00EA3F5E">
      <w:pPr>
        <w:ind w:leftChars="100" w:left="240"/>
        <w:jc w:val="center"/>
        <w:rPr>
          <w:rFonts w:ascii="Book Antiqua" w:hAnsi="Book Antiqua"/>
          <w:lang w:eastAsia="zh-CN"/>
        </w:rPr>
      </w:pPr>
      <w:r w:rsidRPr="00EA3F5E">
        <w:rPr>
          <w:rFonts w:ascii="Book Antiqua" w:eastAsia="TimesNewRomanPSMT" w:hAnsi="Book Antiqua" w:cs="Garamond"/>
          <w:color w:val="D56400"/>
          <w:sz w:val="28"/>
          <w:szCs w:val="28"/>
        </w:rPr>
        <w:t>https://www.wjgnet.com</w:t>
      </w:r>
    </w:p>
    <w:p w14:paraId="5632A55D" w14:textId="77777777" w:rsidR="00EA3F5E" w:rsidRPr="00EA3F5E" w:rsidRDefault="00EA3F5E" w:rsidP="00EA3F5E">
      <w:pPr>
        <w:ind w:leftChars="100" w:left="240"/>
        <w:jc w:val="center"/>
        <w:rPr>
          <w:rFonts w:ascii="Book Antiqua" w:hAnsi="Book Antiqua"/>
          <w:lang w:eastAsia="zh-CN"/>
        </w:rPr>
      </w:pPr>
    </w:p>
    <w:p w14:paraId="6FFEB813" w14:textId="77777777" w:rsidR="00EA3F5E" w:rsidRPr="00EA3F5E" w:rsidRDefault="00EA3F5E" w:rsidP="00EA3F5E">
      <w:pPr>
        <w:ind w:leftChars="100" w:left="240"/>
        <w:jc w:val="center"/>
        <w:rPr>
          <w:rFonts w:ascii="Book Antiqua" w:hAnsi="Book Antiqua"/>
          <w:lang w:eastAsia="zh-CN"/>
        </w:rPr>
      </w:pPr>
    </w:p>
    <w:p w14:paraId="19E8A232" w14:textId="77777777" w:rsidR="00EA3F5E" w:rsidRPr="00EA3F5E" w:rsidRDefault="00EA3F5E" w:rsidP="00EA3F5E">
      <w:pPr>
        <w:ind w:leftChars="100" w:left="240"/>
        <w:jc w:val="center"/>
        <w:rPr>
          <w:rFonts w:ascii="Book Antiqua" w:hAnsi="Book Antiqua"/>
          <w:lang w:eastAsia="zh-CN"/>
        </w:rPr>
      </w:pPr>
    </w:p>
    <w:p w14:paraId="0CA32438" w14:textId="77777777" w:rsidR="00EA3F5E" w:rsidRPr="00EA3F5E" w:rsidRDefault="00EA3F5E" w:rsidP="00EA3F5E">
      <w:pPr>
        <w:ind w:leftChars="100" w:left="240"/>
        <w:jc w:val="center"/>
        <w:rPr>
          <w:rFonts w:ascii="Book Antiqua" w:hAnsi="Book Antiqua"/>
          <w:lang w:eastAsia="zh-CN"/>
        </w:rPr>
      </w:pPr>
      <w:r w:rsidRPr="00EA3F5E">
        <w:rPr>
          <w:rFonts w:ascii="Book Antiqua" w:hAnsi="Book Antiqua"/>
          <w:noProof/>
          <w:lang w:eastAsia="zh-CN"/>
        </w:rPr>
        <w:drawing>
          <wp:inline distT="0" distB="0" distL="0" distR="0" wp14:anchorId="0DD39789" wp14:editId="096925A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B139D4" w14:textId="77777777" w:rsidR="00EA3F5E" w:rsidRPr="00EA3F5E" w:rsidRDefault="00EA3F5E" w:rsidP="00EA3F5E">
      <w:pPr>
        <w:ind w:leftChars="100" w:left="240"/>
        <w:jc w:val="center"/>
        <w:rPr>
          <w:rFonts w:ascii="Book Antiqua" w:hAnsi="Book Antiqua"/>
          <w:lang w:eastAsia="zh-CN"/>
        </w:rPr>
      </w:pPr>
    </w:p>
    <w:p w14:paraId="4F0470C7" w14:textId="77777777" w:rsidR="00EA3F5E" w:rsidRPr="00EA3F5E" w:rsidRDefault="00EA3F5E" w:rsidP="00EA3F5E">
      <w:pPr>
        <w:ind w:leftChars="100" w:left="240"/>
        <w:jc w:val="center"/>
        <w:rPr>
          <w:rFonts w:ascii="Book Antiqua" w:hAnsi="Book Antiqua"/>
          <w:lang w:eastAsia="zh-CN"/>
        </w:rPr>
      </w:pPr>
    </w:p>
    <w:p w14:paraId="7867584F" w14:textId="77777777" w:rsidR="00EA3F5E" w:rsidRPr="00EA3F5E" w:rsidRDefault="00EA3F5E" w:rsidP="00EA3F5E">
      <w:pPr>
        <w:ind w:leftChars="100" w:left="240"/>
        <w:jc w:val="center"/>
        <w:rPr>
          <w:rFonts w:ascii="Book Antiqua" w:hAnsi="Book Antiqua"/>
          <w:lang w:eastAsia="zh-CN"/>
        </w:rPr>
      </w:pPr>
    </w:p>
    <w:p w14:paraId="2FB3BC9F" w14:textId="77777777" w:rsidR="00EA3F5E" w:rsidRPr="00EA3F5E" w:rsidRDefault="00EA3F5E" w:rsidP="00EA3F5E">
      <w:pPr>
        <w:ind w:leftChars="100" w:left="240"/>
        <w:jc w:val="center"/>
        <w:rPr>
          <w:rFonts w:ascii="Book Antiqua" w:hAnsi="Book Antiqua"/>
          <w:lang w:eastAsia="zh-CN"/>
        </w:rPr>
      </w:pPr>
    </w:p>
    <w:p w14:paraId="1D57E539" w14:textId="77777777" w:rsidR="00EA3F5E" w:rsidRPr="00EA3F5E" w:rsidRDefault="00EA3F5E" w:rsidP="00EA3F5E">
      <w:pPr>
        <w:ind w:leftChars="100" w:left="240"/>
        <w:jc w:val="center"/>
        <w:rPr>
          <w:rFonts w:ascii="Book Antiqua" w:hAnsi="Book Antiqua"/>
          <w:lang w:eastAsia="zh-CN"/>
        </w:rPr>
      </w:pPr>
    </w:p>
    <w:p w14:paraId="50017DCB" w14:textId="77777777" w:rsidR="00EA3F5E" w:rsidRPr="00EA3F5E" w:rsidRDefault="00EA3F5E" w:rsidP="00EA3F5E">
      <w:pPr>
        <w:ind w:leftChars="100" w:left="240"/>
        <w:jc w:val="center"/>
        <w:rPr>
          <w:rFonts w:ascii="Book Antiqua" w:hAnsi="Book Antiqua"/>
          <w:lang w:eastAsia="zh-CN"/>
        </w:rPr>
      </w:pPr>
    </w:p>
    <w:p w14:paraId="6443B687" w14:textId="77777777" w:rsidR="00EA3F5E" w:rsidRPr="00EA3F5E" w:rsidRDefault="00EA3F5E" w:rsidP="00EA3F5E">
      <w:pPr>
        <w:ind w:leftChars="100" w:left="240"/>
        <w:jc w:val="center"/>
        <w:rPr>
          <w:rFonts w:ascii="Book Antiqua" w:hAnsi="Book Antiqua"/>
          <w:lang w:eastAsia="zh-CN"/>
        </w:rPr>
      </w:pPr>
    </w:p>
    <w:p w14:paraId="14BE3475" w14:textId="77777777" w:rsidR="00EA3F5E" w:rsidRPr="00EA3F5E" w:rsidRDefault="00EA3F5E" w:rsidP="00EA3F5E">
      <w:pPr>
        <w:ind w:leftChars="100" w:left="240"/>
        <w:jc w:val="center"/>
        <w:rPr>
          <w:rFonts w:ascii="Book Antiqua" w:hAnsi="Book Antiqua"/>
          <w:lang w:eastAsia="zh-CN"/>
        </w:rPr>
      </w:pPr>
    </w:p>
    <w:p w14:paraId="5FEF370E" w14:textId="77777777" w:rsidR="00EA3F5E" w:rsidRPr="00EA3F5E" w:rsidRDefault="00EA3F5E" w:rsidP="00EA3F5E">
      <w:pPr>
        <w:ind w:leftChars="100" w:left="240"/>
        <w:jc w:val="center"/>
        <w:rPr>
          <w:rFonts w:ascii="Book Antiqua" w:hAnsi="Book Antiqua"/>
          <w:lang w:eastAsia="zh-CN"/>
        </w:rPr>
      </w:pPr>
    </w:p>
    <w:p w14:paraId="77200A05" w14:textId="77777777" w:rsidR="00EA3F5E" w:rsidRPr="00EA3F5E" w:rsidRDefault="00EA3F5E" w:rsidP="00EA3F5E">
      <w:pPr>
        <w:ind w:leftChars="100" w:left="240"/>
        <w:jc w:val="right"/>
        <w:rPr>
          <w:rFonts w:ascii="Book Antiqua" w:hAnsi="Book Antiqua"/>
          <w:color w:val="000000" w:themeColor="text1"/>
          <w:lang w:eastAsia="zh-CN"/>
        </w:rPr>
      </w:pPr>
    </w:p>
    <w:p w14:paraId="232D5E46" w14:textId="77777777" w:rsidR="00EA3F5E" w:rsidRPr="00763D22" w:rsidRDefault="00EA3F5E" w:rsidP="00EA3F5E">
      <w:pPr>
        <w:ind w:leftChars="100" w:left="240"/>
        <w:jc w:val="center"/>
        <w:rPr>
          <w:rFonts w:ascii="Book Antiqua" w:hAnsi="Book Antiqua"/>
          <w:color w:val="000000" w:themeColor="text1"/>
          <w:lang w:eastAsia="zh-CN"/>
        </w:rPr>
      </w:pPr>
      <w:r w:rsidRPr="00EA3F5E">
        <w:rPr>
          <w:rFonts w:ascii="Book Antiqua" w:eastAsia="BookAntiqua-Bold" w:hAnsi="Book Antiqua" w:cs="BookAntiqua-Bold"/>
          <w:b/>
          <w:bCs/>
          <w:color w:val="000000" w:themeColor="text1"/>
        </w:rPr>
        <w:t>© 2022 Baishideng Publishing Group Inc. All rights reserved.</w:t>
      </w:r>
      <w:r w:rsidRPr="00EA3F5E">
        <w:rPr>
          <w:rFonts w:ascii="Book Antiqua" w:hAnsi="Book Antiqua"/>
          <w:color w:val="000000" w:themeColor="text1"/>
          <w:lang w:eastAsia="zh-CN"/>
        </w:rPr>
        <w:fldChar w:fldCharType="begin"/>
      </w:r>
      <w:r w:rsidRPr="00EA3F5E">
        <w:rPr>
          <w:rFonts w:ascii="Book Antiqua" w:hAnsi="Book Antiqua"/>
          <w:color w:val="000000" w:themeColor="text1"/>
          <w:lang w:eastAsia="zh-CN"/>
        </w:rPr>
        <w:instrText xml:space="preserve"> ADDIN EN.REFLIST </w:instrText>
      </w:r>
      <w:r w:rsidRPr="00EA3F5E">
        <w:rPr>
          <w:rFonts w:ascii="Book Antiqua" w:hAnsi="Book Antiqua"/>
          <w:color w:val="000000" w:themeColor="text1"/>
          <w:lang w:eastAsia="zh-CN"/>
        </w:rPr>
        <w:fldChar w:fldCharType="end"/>
      </w:r>
      <w:bookmarkEnd w:id="25"/>
    </w:p>
    <w:p w14:paraId="1057404D" w14:textId="1E867208" w:rsidR="00AB5C59" w:rsidRDefault="00AB5C59">
      <w:pPr>
        <w:spacing w:line="360" w:lineRule="auto"/>
        <w:jc w:val="both"/>
        <w:rPr>
          <w:rFonts w:ascii="Book Antiqua" w:hAnsi="Book Antiqua" w:cs="Book Antiqua"/>
        </w:rPr>
      </w:pPr>
    </w:p>
    <w:sectPr w:rsidR="00AB5C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66E91" w14:textId="77777777" w:rsidR="003246F8" w:rsidRDefault="003246F8">
      <w:r>
        <w:separator/>
      </w:r>
    </w:p>
  </w:endnote>
  <w:endnote w:type="continuationSeparator" w:id="0">
    <w:p w14:paraId="606B3E27" w14:textId="77777777" w:rsidR="003246F8" w:rsidRDefault="00324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DC3E" w14:textId="77777777" w:rsidR="00AB5C59" w:rsidRDefault="00000000">
    <w:pPr>
      <w:pStyle w:val="a7"/>
    </w:pPr>
    <w:r>
      <w:pict w14:anchorId="51E7F43C">
        <v:shapetype id="_x0000_t202" coordsize="21600,21600" o:spt="202" path="m,l,21600r21600,l21600,xe">
          <v:stroke joinstyle="miter"/>
          <v:path gradientshapeok="t" o:connecttype="rect"/>
        </v:shapetype>
        <v:shape id="_x0000_s1025" type="#_x0000_t202" alt="" style="position:absolute;margin-left:-79.6pt;margin-top:0;width:31.3pt;height:14.45pt;z-index:251659264;mso-wrap-style:none;mso-wrap-edited:f;mso-width-percent:0;mso-height-percent:0;mso-position-horizontal:right;mso-position-horizontal-relative:margin;mso-width-percent:0;mso-height-percent:0;mso-width-relative:page;mso-height-relative:page;v-text-anchor:top" filled="f" stroked="f">
          <v:textbox style="mso-fit-shape-to-text:t" inset="0,0,0,0">
            <w:txbxContent>
              <w:p w14:paraId="4A918D9E" w14:textId="77777777" w:rsidR="00AB5C59" w:rsidRDefault="00FD4637">
                <w:pPr>
                  <w:pStyle w:val="a7"/>
                  <w:rPr>
                    <w:rFonts w:ascii="Book Antiqua" w:eastAsia="Book Antiqua" w:hAnsi="Book Antiqua" w:cs="Book Antiqua"/>
                    <w:color w:val="000000"/>
                    <w:sz w:val="24"/>
                  </w:rPr>
                </w:pP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PAGE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23</w:t>
                </w:r>
                <w:r>
                  <w:rPr>
                    <w:rFonts w:ascii="Book Antiqua" w:eastAsia="Book Antiqua" w:hAnsi="Book Antiqua" w:cs="Book Antiqua"/>
                    <w:color w:val="000000"/>
                    <w:sz w:val="24"/>
                  </w:rPr>
                  <w:fldChar w:fldCharType="end"/>
                </w:r>
                <w:r>
                  <w:rPr>
                    <w:rFonts w:ascii="Book Antiqua" w:eastAsia="Book Antiqua" w:hAnsi="Book Antiqua" w:cs="Book Antiqua"/>
                    <w:color w:val="000000"/>
                    <w:sz w:val="24"/>
                  </w:rPr>
                  <w:t xml:space="preserve"> / </w:t>
                </w: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NUMPAGES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24</w:t>
                </w:r>
                <w:r>
                  <w:rPr>
                    <w:rFonts w:ascii="Book Antiqua" w:eastAsia="Book Antiqua" w:hAnsi="Book Antiqua" w:cs="Book Antiqua"/>
                    <w:color w:val="000000"/>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DCF7D" w14:textId="77777777" w:rsidR="003246F8" w:rsidRDefault="003246F8">
      <w:r>
        <w:separator/>
      </w:r>
    </w:p>
  </w:footnote>
  <w:footnote w:type="continuationSeparator" w:id="0">
    <w:p w14:paraId="118EF4EF" w14:textId="77777777" w:rsidR="003246F8" w:rsidRDefault="003246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kyZGRkNDI1ZTUzMTZiNjgxZWVkZmFiOTM0ZmI1NzQifQ=="/>
  </w:docVars>
  <w:rsids>
    <w:rsidRoot w:val="00A77B3E"/>
    <w:rsid w:val="00071142"/>
    <w:rsid w:val="001105CC"/>
    <w:rsid w:val="00195BC7"/>
    <w:rsid w:val="001A3A69"/>
    <w:rsid w:val="001E3C72"/>
    <w:rsid w:val="00214A12"/>
    <w:rsid w:val="002322F0"/>
    <w:rsid w:val="00292956"/>
    <w:rsid w:val="002E738E"/>
    <w:rsid w:val="003246F8"/>
    <w:rsid w:val="00371FF8"/>
    <w:rsid w:val="00381AE9"/>
    <w:rsid w:val="0041048D"/>
    <w:rsid w:val="00412484"/>
    <w:rsid w:val="00412658"/>
    <w:rsid w:val="004133A6"/>
    <w:rsid w:val="00421572"/>
    <w:rsid w:val="0046563A"/>
    <w:rsid w:val="004D0D7E"/>
    <w:rsid w:val="006611A3"/>
    <w:rsid w:val="006772AF"/>
    <w:rsid w:val="0071649D"/>
    <w:rsid w:val="0074345C"/>
    <w:rsid w:val="007966C3"/>
    <w:rsid w:val="007A6779"/>
    <w:rsid w:val="008001EE"/>
    <w:rsid w:val="008C63D8"/>
    <w:rsid w:val="008D6ABA"/>
    <w:rsid w:val="00946923"/>
    <w:rsid w:val="00951E5F"/>
    <w:rsid w:val="009543D6"/>
    <w:rsid w:val="009641E2"/>
    <w:rsid w:val="009B7913"/>
    <w:rsid w:val="00A41BAE"/>
    <w:rsid w:val="00A77B3E"/>
    <w:rsid w:val="00AB5C59"/>
    <w:rsid w:val="00AD0F28"/>
    <w:rsid w:val="00B221CB"/>
    <w:rsid w:val="00B9588C"/>
    <w:rsid w:val="00BC24E6"/>
    <w:rsid w:val="00C31FD6"/>
    <w:rsid w:val="00C9136E"/>
    <w:rsid w:val="00CA2A55"/>
    <w:rsid w:val="00CF5D63"/>
    <w:rsid w:val="00D52DD1"/>
    <w:rsid w:val="00D6396B"/>
    <w:rsid w:val="00D97FC6"/>
    <w:rsid w:val="00DD061B"/>
    <w:rsid w:val="00E4684D"/>
    <w:rsid w:val="00EA3F5E"/>
    <w:rsid w:val="00F22C5B"/>
    <w:rsid w:val="00F267C4"/>
    <w:rsid w:val="00F640D8"/>
    <w:rsid w:val="00F76C78"/>
    <w:rsid w:val="00FD4637"/>
    <w:rsid w:val="02566477"/>
    <w:rsid w:val="02E55772"/>
    <w:rsid w:val="035B210B"/>
    <w:rsid w:val="050D5A7B"/>
    <w:rsid w:val="059E320E"/>
    <w:rsid w:val="06E43ADD"/>
    <w:rsid w:val="073A6D23"/>
    <w:rsid w:val="089F7BFF"/>
    <w:rsid w:val="09611F7E"/>
    <w:rsid w:val="0A5A755B"/>
    <w:rsid w:val="0AD81AC5"/>
    <w:rsid w:val="0BD242C2"/>
    <w:rsid w:val="0CEA0E4E"/>
    <w:rsid w:val="0D6B4812"/>
    <w:rsid w:val="0DE84416"/>
    <w:rsid w:val="122B2C8A"/>
    <w:rsid w:val="154B3714"/>
    <w:rsid w:val="15743600"/>
    <w:rsid w:val="184E0C7D"/>
    <w:rsid w:val="19BD6DFC"/>
    <w:rsid w:val="1AC11DCF"/>
    <w:rsid w:val="1CCC278B"/>
    <w:rsid w:val="22CC1B26"/>
    <w:rsid w:val="294E0BB9"/>
    <w:rsid w:val="2B8A594C"/>
    <w:rsid w:val="2C1876E5"/>
    <w:rsid w:val="2E4A7AE6"/>
    <w:rsid w:val="2EBC38A4"/>
    <w:rsid w:val="2F917CA1"/>
    <w:rsid w:val="2FCA25E6"/>
    <w:rsid w:val="30875684"/>
    <w:rsid w:val="30E85ACF"/>
    <w:rsid w:val="31A0328F"/>
    <w:rsid w:val="31A84F59"/>
    <w:rsid w:val="331B6170"/>
    <w:rsid w:val="376D2893"/>
    <w:rsid w:val="38907EC6"/>
    <w:rsid w:val="39491574"/>
    <w:rsid w:val="3B5C448B"/>
    <w:rsid w:val="3C20457D"/>
    <w:rsid w:val="3D1F64FB"/>
    <w:rsid w:val="3FAE7029"/>
    <w:rsid w:val="3FDA5456"/>
    <w:rsid w:val="41A01FC6"/>
    <w:rsid w:val="41C66F52"/>
    <w:rsid w:val="42D71530"/>
    <w:rsid w:val="44C134CC"/>
    <w:rsid w:val="487877F8"/>
    <w:rsid w:val="48EA6CFB"/>
    <w:rsid w:val="49916BC6"/>
    <w:rsid w:val="4ABC2B61"/>
    <w:rsid w:val="4C604884"/>
    <w:rsid w:val="4FE70515"/>
    <w:rsid w:val="50125D6D"/>
    <w:rsid w:val="51844B18"/>
    <w:rsid w:val="530D4EE6"/>
    <w:rsid w:val="53EB044A"/>
    <w:rsid w:val="54206A02"/>
    <w:rsid w:val="5979197A"/>
    <w:rsid w:val="59D05B71"/>
    <w:rsid w:val="5A9F0F41"/>
    <w:rsid w:val="5EDB355A"/>
    <w:rsid w:val="5F084242"/>
    <w:rsid w:val="60F3223E"/>
    <w:rsid w:val="663F3E5F"/>
    <w:rsid w:val="68B91743"/>
    <w:rsid w:val="6A027C6C"/>
    <w:rsid w:val="6D854EFE"/>
    <w:rsid w:val="72353423"/>
    <w:rsid w:val="73226D4A"/>
    <w:rsid w:val="74BE40FE"/>
    <w:rsid w:val="77E64412"/>
    <w:rsid w:val="7AF27BA1"/>
    <w:rsid w:val="7C4674E4"/>
    <w:rsid w:val="7EC4381B"/>
    <w:rsid w:val="7ECB1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BC55"/>
  <w15:docId w15:val="{0BE7FD42-15BF-438F-93CC-03C269A2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unhideWhenUsed/>
    <w:qFormat/>
    <w:pPr>
      <w:tabs>
        <w:tab w:val="center" w:pos="4153"/>
        <w:tab w:val="right" w:pos="8306"/>
      </w:tabs>
      <w:snapToGrid w:val="0"/>
    </w:pPr>
    <w:rPr>
      <w:sz w:val="18"/>
    </w:rPr>
  </w:style>
  <w:style w:type="paragraph" w:styleId="a8">
    <w:name w:val="header"/>
    <w:basedOn w:val="a"/>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annotation subject"/>
    <w:basedOn w:val="a3"/>
    <w:next w:val="a3"/>
    <w:link w:val="aa"/>
    <w:semiHidden/>
    <w:unhideWhenUsed/>
    <w:qFormat/>
    <w:rPr>
      <w:b/>
      <w:bCs/>
    </w:rPr>
  </w:style>
  <w:style w:type="table" w:styleId="ab">
    <w:name w:val="Table Grid"/>
    <w:basedOn w:val="a1"/>
    <w:uiPriority w:val="39"/>
    <w:qFormat/>
    <w:rPr>
      <w:rFonts w:asciiTheme="minorHAnsi" w:hAnsiTheme="minorHAnsi" w:cstheme="minorBidi"/>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Hyperlink"/>
    <w:basedOn w:val="a0"/>
    <w:unhideWhenUsed/>
    <w:qFormat/>
    <w:rPr>
      <w:color w:val="0000FF"/>
      <w:u w:val="single"/>
    </w:rPr>
  </w:style>
  <w:style w:type="character" w:styleId="ae">
    <w:name w:val="annotation reference"/>
    <w:basedOn w:val="a0"/>
    <w:semiHidden/>
    <w:unhideWhenUsed/>
    <w:qFormat/>
    <w:rPr>
      <w:sz w:val="21"/>
      <w:szCs w:val="21"/>
    </w:rPr>
  </w:style>
  <w:style w:type="character" w:customStyle="1" w:styleId="a6">
    <w:name w:val="批注框文本 字符"/>
    <w:basedOn w:val="a0"/>
    <w:link w:val="a5"/>
    <w:qFormat/>
    <w:rPr>
      <w:rFonts w:eastAsiaTheme="minorEastAsia"/>
      <w:sz w:val="18"/>
      <w:szCs w:val="18"/>
      <w:lang w:eastAsia="en-US"/>
    </w:rPr>
  </w:style>
  <w:style w:type="character" w:customStyle="1" w:styleId="a4">
    <w:name w:val="批注文字 字符"/>
    <w:basedOn w:val="a0"/>
    <w:link w:val="a3"/>
    <w:semiHidden/>
    <w:qFormat/>
    <w:rPr>
      <w:rFonts w:eastAsiaTheme="minorEastAsia"/>
      <w:sz w:val="24"/>
      <w:szCs w:val="24"/>
      <w:lang w:eastAsia="en-US"/>
    </w:rPr>
  </w:style>
  <w:style w:type="character" w:customStyle="1" w:styleId="aa">
    <w:name w:val="批注主题 字符"/>
    <w:basedOn w:val="a4"/>
    <w:link w:val="a9"/>
    <w:semiHidden/>
    <w:qFormat/>
    <w:rPr>
      <w:rFonts w:eastAsiaTheme="minorEastAsia"/>
      <w:b/>
      <w:bCs/>
      <w:sz w:val="24"/>
      <w:szCs w:val="24"/>
      <w:lang w:eastAsia="en-US"/>
    </w:rPr>
  </w:style>
  <w:style w:type="paragraph" w:styleId="af">
    <w:name w:val="Revision"/>
    <w:hidden/>
    <w:uiPriority w:val="99"/>
    <w:semiHidden/>
    <w:rsid w:val="00946923"/>
    <w:rPr>
      <w:rFonts w:eastAsiaTheme="minorEastAsia"/>
      <w:sz w:val="24"/>
      <w:szCs w:val="24"/>
      <w:lang w:eastAsia="en-US"/>
    </w:rPr>
  </w:style>
  <w:style w:type="character" w:styleId="af0">
    <w:name w:val="Unresolved Mention"/>
    <w:basedOn w:val="a0"/>
    <w:uiPriority w:val="99"/>
    <w:semiHidden/>
    <w:unhideWhenUsed/>
    <w:rsid w:val="00EA3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71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32/11889.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5886</Words>
  <Characters>33554</Characters>
  <Application>Microsoft Office Word</Application>
  <DocSecurity>0</DocSecurity>
  <Lines>279</Lines>
  <Paragraphs>78</Paragraphs>
  <ScaleCrop>false</ScaleCrop>
  <Company>微软中国</Company>
  <LinksUpToDate>false</LinksUpToDate>
  <CharactersWithSpaces>39362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Li Jia-Hui</cp:lastModifiedBy>
  <cp:revision>42</cp:revision>
  <dcterms:created xsi:type="dcterms:W3CDTF">2022-09-14T06:26:00Z</dcterms:created>
  <dcterms:modified xsi:type="dcterms:W3CDTF">2022-11-07T09:35:00Z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2114ADD674E844D3970F6472C46FB0C9</vt:lpwstr>
  </property>
</Properties>
</file>