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78" w:rsidRPr="00861808" w:rsidRDefault="00380878" w:rsidP="000E76F5">
      <w:pPr>
        <w:spacing w:line="360" w:lineRule="auto"/>
        <w:rPr>
          <w:rFonts w:ascii="Book Antiqua" w:hAnsi="Book Antiqua"/>
          <w:b/>
          <w:sz w:val="24"/>
        </w:rPr>
      </w:pPr>
      <w:bookmarkStart w:id="0" w:name="_GoBack"/>
      <w:bookmarkEnd w:id="0"/>
      <w:r w:rsidRPr="00861808">
        <w:rPr>
          <w:rFonts w:ascii="Book Antiqua" w:hAnsi="Book Antiqua" w:cs="Tahoma"/>
          <w:b/>
          <w:color w:val="0000FF"/>
          <w:sz w:val="24"/>
        </w:rPr>
        <w:t xml:space="preserve">Name of journal: </w:t>
      </w:r>
      <w:r w:rsidRPr="00861808">
        <w:rPr>
          <w:rFonts w:ascii="Book Antiqua" w:hAnsi="Book Antiqua"/>
          <w:b/>
          <w:sz w:val="24"/>
        </w:rPr>
        <w:t>World Journal of Gastroenterology</w:t>
      </w:r>
    </w:p>
    <w:p w:rsidR="00380878" w:rsidRPr="00861808" w:rsidRDefault="00380878" w:rsidP="000E76F5">
      <w:pPr>
        <w:spacing w:line="360" w:lineRule="auto"/>
        <w:rPr>
          <w:rFonts w:ascii="Book Antiqua" w:hAnsi="Book Antiqua" w:cs="Arial"/>
          <w:b/>
          <w:sz w:val="24"/>
        </w:rPr>
      </w:pPr>
      <w:r w:rsidRPr="00861808">
        <w:rPr>
          <w:rFonts w:ascii="Book Antiqua" w:hAnsi="Book Antiqua" w:cs="Arial"/>
          <w:b/>
          <w:sz w:val="24"/>
        </w:rPr>
        <w:t>ESPS Manuscript NO: 7906</w:t>
      </w:r>
    </w:p>
    <w:p w:rsidR="00380878" w:rsidRPr="00861808" w:rsidRDefault="00380878" w:rsidP="00571FFD">
      <w:pPr>
        <w:spacing w:line="360" w:lineRule="auto"/>
        <w:rPr>
          <w:rFonts w:ascii="Book Antiqua" w:hAnsi="Book Antiqua"/>
          <w:b/>
          <w:color w:val="000000"/>
          <w:sz w:val="24"/>
        </w:rPr>
      </w:pPr>
      <w:r w:rsidRPr="00861808">
        <w:rPr>
          <w:rFonts w:ascii="Book Antiqua" w:hAnsi="Book Antiqua" w:cs="Tahoma"/>
          <w:b/>
          <w:color w:val="0000FF"/>
          <w:sz w:val="24"/>
        </w:rPr>
        <w:t xml:space="preserve">Columns: </w:t>
      </w:r>
      <w:r w:rsidRPr="00861808">
        <w:rPr>
          <w:rFonts w:ascii="Book Antiqua" w:hAnsi="Book Antiqua"/>
          <w:b/>
          <w:color w:val="000000"/>
          <w:sz w:val="24"/>
        </w:rPr>
        <w:t>CLINICAL TRIALS STUDY</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jc w:val="left"/>
        <w:rPr>
          <w:rFonts w:ascii="Book Antiqua" w:hAnsi="Book Antiqua"/>
          <w:sz w:val="24"/>
        </w:rPr>
      </w:pPr>
      <w:r w:rsidRPr="00861808">
        <w:rPr>
          <w:rFonts w:ascii="Book Antiqua" w:hAnsi="Book Antiqua"/>
          <w:sz w:val="24"/>
        </w:rPr>
        <w:t>New index to predict esophageal variceal bleeding in cirrhotic patients</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sz w:val="24"/>
        </w:rPr>
      </w:pPr>
      <w:r w:rsidRPr="00861808">
        <w:rPr>
          <w:rFonts w:ascii="Book Antiqua" w:hAnsi="Book Antiqua"/>
          <w:sz w:val="24"/>
        </w:rPr>
        <w:t xml:space="preserve">Xu XD </w:t>
      </w:r>
      <w:r w:rsidRPr="00861808">
        <w:rPr>
          <w:rFonts w:ascii="Book Antiqua" w:hAnsi="Book Antiqua"/>
          <w:i/>
          <w:sz w:val="24"/>
        </w:rPr>
        <w:t>et al</w:t>
      </w:r>
      <w:r w:rsidRPr="00861808">
        <w:rPr>
          <w:rFonts w:ascii="Book Antiqua" w:hAnsi="Book Antiqua"/>
          <w:sz w:val="24"/>
        </w:rPr>
        <w:t>. Ultrasonography and decompensated cirrhosis</w:t>
      </w:r>
    </w:p>
    <w:p w:rsidR="00380878" w:rsidRPr="00861808" w:rsidRDefault="00380878" w:rsidP="000E76F5">
      <w:pPr>
        <w:spacing w:line="360" w:lineRule="auto"/>
        <w:jc w:val="center"/>
        <w:rPr>
          <w:rFonts w:ascii="Book Antiqua" w:hAnsi="Book Antiqua"/>
          <w:b/>
          <w:sz w:val="24"/>
        </w:rPr>
      </w:pPr>
    </w:p>
    <w:p w:rsidR="00380878" w:rsidRPr="00861808" w:rsidRDefault="00380878" w:rsidP="000E76F5">
      <w:pPr>
        <w:spacing w:line="360" w:lineRule="auto"/>
        <w:rPr>
          <w:rStyle w:val="longtext1"/>
          <w:rFonts w:ascii="Book Antiqua" w:hAnsi="Book Antiqua"/>
          <w:sz w:val="24"/>
        </w:rPr>
      </w:pPr>
      <w:bookmarkStart w:id="1" w:name="OLE_LINK25"/>
      <w:r w:rsidRPr="00861808">
        <w:rPr>
          <w:rStyle w:val="longtext1"/>
          <w:rFonts w:ascii="Book Antiqua" w:hAnsi="Book Antiqua"/>
          <w:sz w:val="24"/>
        </w:rPr>
        <w:t>Xiao-Dan Xu, Jian-Jun Dai, Jian-Qing Qian,</w:t>
      </w:r>
      <w:bookmarkStart w:id="2" w:name="OLE_LINK5"/>
      <w:bookmarkStart w:id="3" w:name="OLE_LINK6"/>
      <w:r w:rsidRPr="00861808">
        <w:rPr>
          <w:rStyle w:val="longtext1"/>
          <w:rFonts w:ascii="Book Antiqua" w:hAnsi="Book Antiqua"/>
          <w:sz w:val="24"/>
        </w:rPr>
        <w:t xml:space="preserve"> Xun Pin, </w:t>
      </w:r>
      <w:bookmarkEnd w:id="2"/>
      <w:bookmarkEnd w:id="3"/>
      <w:r w:rsidRPr="00861808">
        <w:rPr>
          <w:rStyle w:val="longtext1"/>
          <w:rFonts w:ascii="Book Antiqua" w:hAnsi="Book Antiqua"/>
          <w:sz w:val="24"/>
        </w:rPr>
        <w:t>Wei-Jun Wang</w:t>
      </w:r>
    </w:p>
    <w:bookmarkEnd w:id="1"/>
    <w:p w:rsidR="00380878" w:rsidRPr="00861808" w:rsidRDefault="00B826D7" w:rsidP="000E76F5">
      <w:pPr>
        <w:spacing w:line="360" w:lineRule="auto"/>
        <w:rPr>
          <w:rFonts w:ascii="Book Antiqua" w:hAnsi="Book Antiqua"/>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100965</wp:posOffset>
                </wp:positionV>
                <wp:extent cx="5708015" cy="40640"/>
                <wp:effectExtent l="19050" t="19050" r="6985" b="355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8015" cy="4064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95pt" to="45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" strokecolor="gray" strokeweight="3pt"/>
            </w:pict>
          </mc:Fallback>
        </mc:AlternateContent>
      </w:r>
    </w:p>
    <w:p w:rsidR="00380878" w:rsidRPr="00861808" w:rsidRDefault="00380878" w:rsidP="000E76F5">
      <w:pPr>
        <w:spacing w:line="360" w:lineRule="auto"/>
        <w:rPr>
          <w:rStyle w:val="longtext1"/>
          <w:rFonts w:ascii="Book Antiqua" w:hAnsi="Book Antiqua"/>
          <w:sz w:val="24"/>
        </w:rPr>
      </w:pPr>
      <w:r w:rsidRPr="00861808">
        <w:rPr>
          <w:rStyle w:val="longtext1"/>
          <w:rFonts w:ascii="Book Antiqua" w:hAnsi="Book Antiqua"/>
          <w:b/>
          <w:sz w:val="24"/>
        </w:rPr>
        <w:t>Xiao-Dan Xu, Jian-Jun Dai, Jian-Qing Qian, Xun Pin, Wei-Jun Wang</w:t>
      </w:r>
      <w:bookmarkStart w:id="4" w:name="OLE_LINK12"/>
      <w:bookmarkStart w:id="5" w:name="OLE_LINK13"/>
      <w:r w:rsidRPr="00861808">
        <w:rPr>
          <w:rStyle w:val="longtext1"/>
          <w:rFonts w:ascii="Book Antiqua" w:hAnsi="Book Antiqua"/>
          <w:b/>
          <w:sz w:val="24"/>
        </w:rPr>
        <w:t xml:space="preserve">, </w:t>
      </w:r>
      <w:r w:rsidRPr="00861808">
        <w:rPr>
          <w:rStyle w:val="longtext1"/>
          <w:rFonts w:ascii="Book Antiqua" w:hAnsi="Book Antiqua"/>
          <w:sz w:val="24"/>
        </w:rPr>
        <w:t>Department of Gastroenterology</w:t>
      </w:r>
      <w:bookmarkEnd w:id="4"/>
      <w:bookmarkEnd w:id="5"/>
      <w:r w:rsidRPr="00861808">
        <w:rPr>
          <w:rStyle w:val="longtext1"/>
          <w:rFonts w:ascii="Book Antiqua" w:hAnsi="Book Antiqua"/>
          <w:sz w:val="24"/>
        </w:rPr>
        <w:t>,</w:t>
      </w:r>
      <w:bookmarkStart w:id="6" w:name="OLE_LINK14"/>
      <w:bookmarkStart w:id="7" w:name="OLE_LINK9"/>
      <w:r w:rsidRPr="00861808">
        <w:rPr>
          <w:rStyle w:val="longtext1"/>
          <w:rFonts w:ascii="Book Antiqua" w:hAnsi="Book Antiqua"/>
          <w:sz w:val="24"/>
        </w:rPr>
        <w:t xml:space="preserve"> Changshu Affiliated Hospital of Suzhou University</w:t>
      </w:r>
      <w:bookmarkEnd w:id="6"/>
      <w:r w:rsidRPr="00861808">
        <w:rPr>
          <w:rStyle w:val="longtext1"/>
          <w:rFonts w:ascii="Book Antiqua" w:hAnsi="Book Antiqua"/>
          <w:sz w:val="24"/>
        </w:rPr>
        <w:t>, Changshu 215500, Jiangsu Province, China</w:t>
      </w:r>
      <w:bookmarkEnd w:id="7"/>
    </w:p>
    <w:p w:rsidR="00380878" w:rsidRPr="00861808" w:rsidRDefault="00380878" w:rsidP="000E76F5">
      <w:pPr>
        <w:spacing w:line="360" w:lineRule="auto"/>
        <w:rPr>
          <w:rStyle w:val="longtext1"/>
          <w:rFonts w:ascii="Book Antiqua" w:hAnsi="Book Antiqua"/>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t xml:space="preserve">Author contributions: </w:t>
      </w:r>
      <w:r w:rsidRPr="00861808">
        <w:rPr>
          <w:rFonts w:ascii="Book Antiqua" w:hAnsi="Book Antiqua"/>
          <w:sz w:val="24"/>
        </w:rPr>
        <w:t>Xu XD and Qian JQ conceived of and designed the study; Dai JJ collected the clinical data</w:t>
      </w:r>
      <w:bookmarkStart w:id="8" w:name="OLE_LINK28"/>
      <w:r w:rsidRPr="00861808">
        <w:rPr>
          <w:rFonts w:ascii="Book Antiqua" w:hAnsi="Book Antiqua"/>
          <w:sz w:val="24"/>
        </w:rPr>
        <w:t>; Pin X</w:t>
      </w:r>
      <w:bookmarkEnd w:id="8"/>
      <w:r w:rsidRPr="00861808">
        <w:rPr>
          <w:rFonts w:ascii="Book Antiqua" w:hAnsi="Book Antiqua"/>
          <w:sz w:val="24"/>
        </w:rPr>
        <w:t xml:space="preserve"> contributed tools for data analysis; Xu XD, Dai JJ, Qian JQ, Pin X and Wang WJ performed the study; Xu XD and Pin X analyzed and interpreted the data, and wrote the paper.</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sz w:val="24"/>
        </w:rPr>
      </w:pPr>
      <w:r w:rsidRPr="00861808">
        <w:rPr>
          <w:rFonts w:ascii="Book Antiqua" w:hAnsi="Book Antiqua"/>
          <w:b/>
          <w:sz w:val="24"/>
        </w:rPr>
        <w:t xml:space="preserve">Supported by </w:t>
      </w:r>
      <w:r w:rsidRPr="00861808">
        <w:rPr>
          <w:rFonts w:ascii="Book Antiqua" w:hAnsi="Book Antiqua"/>
          <w:sz w:val="24"/>
        </w:rPr>
        <w:t>Funding from the Changshu Health Department, No. 201204</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t xml:space="preserve">Correspondence to: </w:t>
      </w:r>
      <w:r w:rsidRPr="00861808">
        <w:rPr>
          <w:rStyle w:val="longtext1"/>
          <w:rFonts w:ascii="Book Antiqua" w:hAnsi="Book Antiqua"/>
          <w:b/>
          <w:sz w:val="24"/>
        </w:rPr>
        <w:t>Xiao-Dan Xu,</w:t>
      </w:r>
      <w:r w:rsidRPr="00861808">
        <w:rPr>
          <w:rStyle w:val="longtext1"/>
          <w:rFonts w:ascii="Book Antiqua" w:hAnsi="Book Antiqua"/>
          <w:sz w:val="24"/>
        </w:rPr>
        <w:t xml:space="preserve"> </w:t>
      </w:r>
      <w:r w:rsidRPr="00861808">
        <w:rPr>
          <w:rStyle w:val="longtext1"/>
          <w:rFonts w:ascii="Book Antiqua" w:hAnsi="Book Antiqua"/>
          <w:b/>
          <w:sz w:val="24"/>
        </w:rPr>
        <w:t>MD,</w:t>
      </w:r>
      <w:r w:rsidRPr="00861808">
        <w:rPr>
          <w:rStyle w:val="longtext1"/>
          <w:rFonts w:ascii="Book Antiqua" w:hAnsi="Book Antiqua"/>
          <w:sz w:val="24"/>
        </w:rPr>
        <w:t xml:space="preserve"> Department of Gastroenterology, Changshu Affiliated Hospital of Suzhou University, College Street, Changshu 215500, Jiangsu Province, China.</w:t>
      </w:r>
      <w:r w:rsidRPr="00861808">
        <w:rPr>
          <w:rFonts w:ascii="Book Antiqua" w:hAnsi="Book Antiqua"/>
          <w:sz w:val="24"/>
        </w:rPr>
        <w:t xml:space="preserve"> xxd20@163.com</w:t>
      </w:r>
    </w:p>
    <w:p w:rsidR="00380878" w:rsidRPr="00861808" w:rsidRDefault="00380878" w:rsidP="000E76F5">
      <w:pPr>
        <w:spacing w:line="360" w:lineRule="auto"/>
        <w:rPr>
          <w:rFonts w:ascii="Book Antiqua" w:hAnsi="Book Antiqua"/>
          <w:sz w:val="24"/>
        </w:rPr>
      </w:pPr>
      <w:r w:rsidRPr="00861808">
        <w:rPr>
          <w:rFonts w:ascii="Book Antiqua" w:hAnsi="Book Antiqua"/>
          <w:b/>
          <w:sz w:val="24"/>
        </w:rPr>
        <w:t xml:space="preserve">Telephone: </w:t>
      </w:r>
      <w:r w:rsidRPr="00861808">
        <w:rPr>
          <w:rFonts w:ascii="Book Antiqua" w:hAnsi="Book Antiqua"/>
          <w:sz w:val="24"/>
        </w:rPr>
        <w:t xml:space="preserve">+86-512-52706583        </w:t>
      </w:r>
      <w:r w:rsidRPr="00861808">
        <w:rPr>
          <w:rFonts w:ascii="Book Antiqua" w:hAnsi="Book Antiqua"/>
          <w:b/>
          <w:sz w:val="24"/>
        </w:rPr>
        <w:t xml:space="preserve">Fax: </w:t>
      </w:r>
      <w:r w:rsidRPr="00861808">
        <w:rPr>
          <w:rFonts w:ascii="Book Antiqua" w:hAnsi="Book Antiqua"/>
          <w:sz w:val="24"/>
        </w:rPr>
        <w:t>+86-512-52706583</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sz w:val="24"/>
        </w:rPr>
      </w:pPr>
      <w:r w:rsidRPr="00861808">
        <w:rPr>
          <w:rFonts w:ascii="Book Antiqua" w:hAnsi="Book Antiqua"/>
          <w:b/>
          <w:sz w:val="24"/>
        </w:rPr>
        <w:t xml:space="preserve">Received: </w:t>
      </w:r>
      <w:r w:rsidRPr="00861808">
        <w:rPr>
          <w:rFonts w:ascii="Book Antiqua" w:hAnsi="Book Antiqua"/>
          <w:sz w:val="24"/>
        </w:rPr>
        <w:t xml:space="preserve">December 5, 2013          </w:t>
      </w:r>
      <w:r w:rsidRPr="00861808">
        <w:rPr>
          <w:rFonts w:ascii="Book Antiqua" w:hAnsi="Book Antiqua"/>
          <w:b/>
          <w:sz w:val="24"/>
        </w:rPr>
        <w:t xml:space="preserve">Revised: </w:t>
      </w:r>
      <w:bookmarkStart w:id="9" w:name="OLE_LINK59"/>
      <w:bookmarkStart w:id="10" w:name="OLE_LINK60"/>
      <w:bookmarkStart w:id="11" w:name="OLE_LINK81"/>
      <w:bookmarkStart w:id="12" w:name="OLE_LINK106"/>
      <w:r w:rsidRPr="00861808">
        <w:rPr>
          <w:rFonts w:ascii="Book Antiqua" w:hAnsi="Book Antiqua"/>
          <w:sz w:val="24"/>
        </w:rPr>
        <w:t>February</w:t>
      </w:r>
      <w:bookmarkEnd w:id="9"/>
      <w:bookmarkEnd w:id="10"/>
      <w:bookmarkEnd w:id="11"/>
      <w:bookmarkEnd w:id="12"/>
      <w:r w:rsidRPr="00861808">
        <w:rPr>
          <w:rFonts w:ascii="Book Antiqua" w:hAnsi="Book Antiqua"/>
          <w:sz w:val="24"/>
        </w:rPr>
        <w:t xml:space="preserve"> 7, 2014</w:t>
      </w:r>
    </w:p>
    <w:p w:rsidR="006479FC" w:rsidRPr="006479FC" w:rsidRDefault="00380878" w:rsidP="006479FC">
      <w:pPr>
        <w:rPr>
          <w:rFonts w:ascii="Book Antiqua" w:hAnsi="Book Antiqua"/>
          <w:color w:val="000000"/>
          <w:sz w:val="24"/>
        </w:rPr>
      </w:pPr>
      <w:r w:rsidRPr="00861808">
        <w:rPr>
          <w:rFonts w:ascii="Book Antiqua" w:hAnsi="Book Antiqua"/>
          <w:b/>
          <w:sz w:val="24"/>
        </w:rPr>
        <w:t>Accepted:</w:t>
      </w:r>
      <w:bookmarkStart w:id="13" w:name="OLE_LINK1"/>
      <w:bookmarkStart w:id="14" w:name="OLE_LINK2"/>
      <w:r w:rsidR="006479FC" w:rsidRPr="002849A1">
        <w:rPr>
          <w:rFonts w:ascii="Book Antiqua" w:hAnsi="Book Antiqua"/>
          <w:color w:val="000000"/>
          <w:sz w:val="24"/>
        </w:rPr>
        <w:t xml:space="preserve"> </w:t>
      </w:r>
      <w:r w:rsidR="006479FC" w:rsidRPr="006479FC">
        <w:rPr>
          <w:rFonts w:ascii="Book Antiqua" w:hAnsi="Book Antiqua"/>
          <w:color w:val="000000"/>
          <w:sz w:val="24"/>
        </w:rPr>
        <w:t>March 12, 2014</w:t>
      </w:r>
    </w:p>
    <w:bookmarkEnd w:id="13"/>
    <w:bookmarkEnd w:id="14"/>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t>Published online:</w:t>
      </w: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br w:type="page"/>
      </w:r>
      <w:r w:rsidRPr="00861808">
        <w:rPr>
          <w:rFonts w:ascii="Book Antiqua" w:hAnsi="Book Antiqua"/>
          <w:b/>
          <w:sz w:val="24"/>
        </w:rPr>
        <w:lastRenderedPageBreak/>
        <w:t>Abstract</w:t>
      </w:r>
    </w:p>
    <w:p w:rsidR="00380878" w:rsidRPr="00861808" w:rsidRDefault="00380878" w:rsidP="000E76F5">
      <w:pPr>
        <w:spacing w:line="360" w:lineRule="auto"/>
        <w:rPr>
          <w:rFonts w:ascii="Book Antiqua" w:hAnsi="Book Antiqua"/>
          <w:sz w:val="24"/>
        </w:rPr>
      </w:pPr>
      <w:bookmarkStart w:id="15" w:name="OLE_LINK7"/>
      <w:bookmarkStart w:id="16" w:name="OLE_LINK15"/>
      <w:r w:rsidRPr="00861808">
        <w:rPr>
          <w:rFonts w:ascii="Book Antiqua" w:hAnsi="Book Antiqua"/>
          <w:b/>
          <w:sz w:val="24"/>
        </w:rPr>
        <w:t>AIM:</w:t>
      </w:r>
      <w:r w:rsidRPr="00861808">
        <w:rPr>
          <w:rFonts w:ascii="Book Antiqua" w:hAnsi="Book Antiqua"/>
          <w:sz w:val="24"/>
        </w:rPr>
        <w:t xml:space="preserve"> To develop a safe, simple, noninvasive and affordable system to predict esophageal variceal bleeding (EVB) in decompensated cirrhosis patients.</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sz w:val="24"/>
        </w:rPr>
      </w:pPr>
      <w:r w:rsidRPr="00861808">
        <w:rPr>
          <w:rFonts w:ascii="Book Antiqua" w:hAnsi="Book Antiqua"/>
          <w:b/>
          <w:sz w:val="24"/>
        </w:rPr>
        <w:t xml:space="preserve">METHODS: </w:t>
      </w:r>
      <w:r w:rsidRPr="00861808">
        <w:rPr>
          <w:rFonts w:ascii="Book Antiqua" w:hAnsi="Book Antiqua"/>
          <w:sz w:val="24"/>
        </w:rPr>
        <w:t xml:space="preserve">Four hundred and eighty-six patients with decompensated cirrhosis (238 males, 248 females), with a mean age of 63.1 ± 11.2 years, were admitted to </w:t>
      </w:r>
      <w:r w:rsidRPr="00861808">
        <w:rPr>
          <w:rStyle w:val="longtext1"/>
          <w:rFonts w:ascii="Book Antiqua" w:hAnsi="Book Antiqua"/>
          <w:sz w:val="24"/>
        </w:rPr>
        <w:t>Changshu Affiliated Hospital of Suzhou University</w:t>
      </w:r>
      <w:r w:rsidRPr="00861808" w:rsidDel="00220EEA">
        <w:rPr>
          <w:rFonts w:ascii="Book Antiqua" w:hAnsi="Book Antiqua"/>
          <w:sz w:val="24"/>
        </w:rPr>
        <w:t xml:space="preserve"> </w:t>
      </w:r>
      <w:r w:rsidRPr="00861808">
        <w:rPr>
          <w:rFonts w:ascii="Book Antiqua" w:hAnsi="Book Antiqua"/>
          <w:sz w:val="24"/>
        </w:rPr>
        <w:t>between May 2008 and March 2011. Patients enrolled in this study underwent ultrasound-Doppler (US-Doppler) to assess left gastric vein (LGV) blood flow velocity (LGVV) and blood flow direction (LGVBFD), and were evaluated by the Model For End-Stage Liver Disease (MELD) scoring system. All patients received follow-up evaluations every three months. The resulting data were entered into a database after each time point collection.</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sz w:val="24"/>
        </w:rPr>
      </w:pPr>
      <w:r w:rsidRPr="00861808">
        <w:rPr>
          <w:rFonts w:ascii="Book Antiqua" w:hAnsi="Book Antiqua"/>
          <w:b/>
          <w:sz w:val="24"/>
        </w:rPr>
        <w:t>RESULTS:</w:t>
      </w:r>
      <w:r w:rsidRPr="00861808">
        <w:rPr>
          <w:rFonts w:ascii="Book Antiqua" w:hAnsi="Book Antiqua"/>
          <w:sz w:val="24"/>
        </w:rPr>
        <w:t xml:space="preserve"> Four hundred and sixteen patients completed follow-up evaluations for an average of 31.6 mo (range: 12 to 47 mo). Fifty-one patients (12.3% incidence) experienced EVB. The change in the MELD score over three months (Δ</w:t>
      </w:r>
      <w:r w:rsidRPr="00861808">
        <w:rPr>
          <w:rFonts w:ascii="Book Antiqua" w:hAnsi="Book Antiqua" w:cs="Cambria Math"/>
          <w:sz w:val="24"/>
        </w:rPr>
        <w:t>MELD</w:t>
      </w:r>
      <w:r w:rsidRPr="00861808">
        <w:rPr>
          <w:rFonts w:ascii="Book Antiqua" w:hAnsi="Book Antiqua"/>
          <w:sz w:val="24"/>
        </w:rPr>
        <w:t xml:space="preserve">), LGVV and LGVBFD were independently associated with EVB occurrence. A new index was developed, the MELD-US-Doppler Index (MUI), and calculated using the following logistic regression equation: MUI = Logit (P) = 1.667(ΔMELD) + 2.096(LGVV) - 3.245(LGVBFD) - 1.697. The area under the </w:t>
      </w:r>
      <w:r w:rsidRPr="00861808">
        <w:rPr>
          <w:rFonts w:ascii="Book Antiqua" w:hAnsi="Book Antiqua"/>
          <w:iCs/>
          <w:sz w:val="24"/>
        </w:rPr>
        <w:t>receiver operating characteristic</w:t>
      </w:r>
      <w:r w:rsidRPr="00861808" w:rsidDel="007F455C">
        <w:rPr>
          <w:rFonts w:ascii="Book Antiqua" w:hAnsi="Book Antiqua"/>
          <w:sz w:val="24"/>
        </w:rPr>
        <w:t xml:space="preserve"> </w:t>
      </w:r>
      <w:r w:rsidRPr="00861808">
        <w:rPr>
          <w:rFonts w:ascii="Book Antiqua" w:hAnsi="Book Antiqua"/>
          <w:sz w:val="24"/>
        </w:rPr>
        <w:t xml:space="preserve">curve for prediction of EVB occurrence was significantly higher for the MUI [0.858 (95%CI: 0.774-0.920)] than for ΔMELD [0.734 (95%CI: 0.636 to 0.817); </w:t>
      </w:r>
      <w:r w:rsidRPr="00861808">
        <w:rPr>
          <w:rFonts w:ascii="Book Antiqua" w:hAnsi="Book Antiqua"/>
          <w:i/>
          <w:sz w:val="24"/>
        </w:rPr>
        <w:t>P</w:t>
      </w:r>
      <w:r w:rsidRPr="00861808">
        <w:rPr>
          <w:rFonts w:ascii="Book Antiqua" w:hAnsi="Book Antiqua"/>
          <w:sz w:val="24"/>
        </w:rPr>
        <w:t xml:space="preserve"> &lt; 0.05], LGVV [0.679 (95%CI: 0.578-0.769); </w:t>
      </w:r>
      <w:r w:rsidRPr="00861808">
        <w:rPr>
          <w:rFonts w:ascii="Book Antiqua" w:hAnsi="Book Antiqua"/>
          <w:i/>
          <w:sz w:val="24"/>
        </w:rPr>
        <w:t>P</w:t>
      </w:r>
      <w:r w:rsidRPr="00861808">
        <w:rPr>
          <w:rFonts w:ascii="Book Antiqua" w:hAnsi="Book Antiqua"/>
          <w:sz w:val="24"/>
        </w:rPr>
        <w:t xml:space="preserve"> &lt; 0.05] or LGVBFD [0.726 (95%CI: 0.627-0.810); </w:t>
      </w:r>
      <w:r w:rsidRPr="00861808">
        <w:rPr>
          <w:rFonts w:ascii="Book Antiqua" w:hAnsi="Book Antiqua"/>
          <w:i/>
          <w:sz w:val="24"/>
        </w:rPr>
        <w:t>P</w:t>
      </w:r>
      <w:r w:rsidRPr="00861808">
        <w:rPr>
          <w:rFonts w:ascii="Book Antiqua" w:hAnsi="Book Antiqua"/>
          <w:sz w:val="24"/>
        </w:rPr>
        <w:t xml:space="preserve"> &lt; 0.05] alone. When the MUI was set at 46, the index had high diagnostic accuracy (85.8%), with high specificity (80%) and sensitivity (87.27%).</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sz w:val="24"/>
        </w:rPr>
      </w:pPr>
      <w:r w:rsidRPr="00861808">
        <w:rPr>
          <w:rFonts w:ascii="Book Antiqua" w:hAnsi="Book Antiqua"/>
          <w:b/>
          <w:sz w:val="24"/>
        </w:rPr>
        <w:t>CONCLUSION:</w:t>
      </w:r>
      <w:r w:rsidRPr="00861808">
        <w:rPr>
          <w:rFonts w:ascii="Book Antiqua" w:hAnsi="Book Antiqua"/>
          <w:sz w:val="24"/>
        </w:rPr>
        <w:t xml:space="preserve"> The MUI, a noninvasive and affordable index, can predict EVB occurrence in decompensated cirrhotic patients and serve as an alternative when conventional endoscopic screening is declined.</w:t>
      </w:r>
    </w:p>
    <w:bookmarkEnd w:id="15"/>
    <w:bookmarkEnd w:id="16"/>
    <w:p w:rsidR="00380878" w:rsidRPr="00861808" w:rsidRDefault="00380878" w:rsidP="000E76F5">
      <w:pPr>
        <w:spacing w:line="360" w:lineRule="auto"/>
        <w:rPr>
          <w:rFonts w:ascii="Book Antiqua" w:hAnsi="Book Antiqua"/>
          <w:sz w:val="24"/>
        </w:rPr>
      </w:pPr>
    </w:p>
    <w:p w:rsidR="00380878" w:rsidRPr="00861808" w:rsidRDefault="00380878" w:rsidP="00547398">
      <w:pPr>
        <w:rPr>
          <w:rFonts w:ascii="Book Antiqua" w:hAnsi="Book Antiqua"/>
          <w:sz w:val="24"/>
        </w:rPr>
      </w:pPr>
      <w:r w:rsidRPr="00861808">
        <w:rPr>
          <w:rFonts w:ascii="Book Antiqua" w:hAnsi="Book Antiqua"/>
          <w:sz w:val="24"/>
        </w:rPr>
        <w:lastRenderedPageBreak/>
        <w:t>© 2014 Baishideng Publishing Group Co., Limited. All rights reserved.</w:t>
      </w:r>
    </w:p>
    <w:p w:rsidR="00380878" w:rsidRPr="00861808" w:rsidRDefault="00380878" w:rsidP="000E76F5">
      <w:pPr>
        <w:spacing w:line="360" w:lineRule="auto"/>
        <w:rPr>
          <w:rFonts w:ascii="Book Antiqua" w:hAnsi="Book Antiqua"/>
          <w:sz w:val="24"/>
        </w:rPr>
      </w:pPr>
    </w:p>
    <w:p w:rsidR="00380878" w:rsidRPr="00861808" w:rsidRDefault="00380878" w:rsidP="000E76F5">
      <w:pPr>
        <w:spacing w:line="360" w:lineRule="auto"/>
        <w:jc w:val="left"/>
        <w:rPr>
          <w:rFonts w:ascii="Book Antiqua" w:hAnsi="Book Antiqua"/>
          <w:sz w:val="24"/>
        </w:rPr>
      </w:pPr>
      <w:r w:rsidRPr="00861808">
        <w:rPr>
          <w:rFonts w:ascii="Book Antiqua" w:hAnsi="Book Antiqua"/>
          <w:b/>
          <w:sz w:val="24"/>
        </w:rPr>
        <w:t xml:space="preserve">Key words: </w:t>
      </w:r>
      <w:bookmarkStart w:id="17" w:name="OLE_LINK8"/>
      <w:r w:rsidRPr="00861808">
        <w:rPr>
          <w:rFonts w:ascii="Book Antiqua" w:hAnsi="Book Antiqua"/>
          <w:sz w:val="24"/>
        </w:rPr>
        <w:t>Portal hypertension; Ultrasound-Doppler; Esophageal variceal bleeding; Decompensated cirrhosis; Endoscopy</w:t>
      </w:r>
    </w:p>
    <w:p w:rsidR="00380878" w:rsidRPr="00861808" w:rsidRDefault="00380878" w:rsidP="000E76F5">
      <w:pPr>
        <w:spacing w:line="360" w:lineRule="auto"/>
        <w:rPr>
          <w:rFonts w:ascii="Book Antiqua" w:hAnsi="Book Antiqua"/>
          <w:sz w:val="24"/>
        </w:rPr>
      </w:pPr>
    </w:p>
    <w:p w:rsidR="00380878" w:rsidRPr="00861808" w:rsidRDefault="00380878" w:rsidP="000E76F5">
      <w:pPr>
        <w:spacing w:line="360" w:lineRule="auto"/>
        <w:rPr>
          <w:rFonts w:ascii="Book Antiqua" w:hAnsi="Book Antiqua"/>
          <w:sz w:val="24"/>
        </w:rPr>
      </w:pPr>
      <w:r w:rsidRPr="00861808">
        <w:rPr>
          <w:rFonts w:ascii="Book Antiqua" w:eastAsia="Arial Unicode MS" w:hAnsi="Book Antiqua" w:cs="Arial Unicode MS"/>
          <w:b/>
          <w:sz w:val="24"/>
        </w:rPr>
        <w:t>Core tip:</w:t>
      </w:r>
      <w:r w:rsidRPr="00861808">
        <w:rPr>
          <w:rFonts w:ascii="Book Antiqua" w:hAnsi="Book Antiqua"/>
          <w:sz w:val="24"/>
        </w:rPr>
        <w:t xml:space="preserve"> Bleeding is a common occurrence in cirrhotic patients with portal hypertension and establishing indicators of risk is critical. Although screening by endoscopy is the recommended approach for patients with decompensated cirrhosis, it is an invasive, uncomfortable and costly procedure. In the present study, a new index that combin</w:t>
      </w:r>
      <w:bookmarkEnd w:id="17"/>
      <w:r w:rsidRPr="00861808">
        <w:rPr>
          <w:rFonts w:ascii="Book Antiqua" w:hAnsi="Book Antiqua"/>
          <w:sz w:val="24"/>
        </w:rPr>
        <w:t>es ultrasound-Doppler and the Model For End-Stage Liver Disease was evaluated as a suitable alternative. This MUI represents a noninvasive, low-cost and convenient method for assessing the risk of esophageal variceal bleeding in decompensated cirrhotic patients.</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b/>
          <w:i/>
          <w:sz w:val="24"/>
        </w:rPr>
      </w:pPr>
      <w:r w:rsidRPr="00861808">
        <w:rPr>
          <w:rStyle w:val="longtext1"/>
          <w:rFonts w:ascii="Book Antiqua" w:hAnsi="Book Antiqua"/>
          <w:sz w:val="24"/>
        </w:rPr>
        <w:t xml:space="preserve">Xu XD, Dai JJ, Qian JQ, Pin X, Wang WJ. </w:t>
      </w:r>
      <w:r w:rsidRPr="00861808">
        <w:rPr>
          <w:rFonts w:ascii="Book Antiqua" w:hAnsi="Book Antiqua"/>
          <w:sz w:val="24"/>
        </w:rPr>
        <w:t xml:space="preserve">New index to predict esophageal variceal bleeding in cirrhotic patients. </w:t>
      </w:r>
    </w:p>
    <w:p w:rsidR="00380878" w:rsidRPr="00861808" w:rsidRDefault="00380878" w:rsidP="000E76F5">
      <w:pPr>
        <w:spacing w:line="360" w:lineRule="auto"/>
        <w:rPr>
          <w:rStyle w:val="longtext1"/>
          <w:rFonts w:ascii="Book Antiqua" w:hAnsi="Book Antiqua"/>
          <w:sz w:val="24"/>
        </w:rPr>
      </w:pPr>
    </w:p>
    <w:p w:rsidR="00380878" w:rsidRPr="00861808" w:rsidRDefault="00380878" w:rsidP="000E76F5">
      <w:pPr>
        <w:pStyle w:val="p0"/>
        <w:adjustRightInd w:val="0"/>
        <w:snapToGrid w:val="0"/>
        <w:spacing w:line="360" w:lineRule="auto"/>
        <w:jc w:val="both"/>
        <w:rPr>
          <w:rFonts w:ascii="Book Antiqua" w:hAnsi="Book Antiqua"/>
          <w:sz w:val="24"/>
          <w:szCs w:val="24"/>
        </w:rPr>
      </w:pPr>
      <w:r w:rsidRPr="00861808">
        <w:rPr>
          <w:rFonts w:ascii="Book Antiqua" w:hAnsi="Book Antiqua"/>
          <w:b/>
          <w:bCs/>
          <w:sz w:val="24"/>
          <w:szCs w:val="24"/>
        </w:rPr>
        <w:t xml:space="preserve">Available from: </w:t>
      </w:r>
    </w:p>
    <w:p w:rsidR="00380878" w:rsidRPr="00861808" w:rsidRDefault="00380878" w:rsidP="000E76F5">
      <w:pPr>
        <w:pStyle w:val="p0"/>
        <w:adjustRightInd w:val="0"/>
        <w:snapToGrid w:val="0"/>
        <w:spacing w:line="360" w:lineRule="auto"/>
        <w:jc w:val="both"/>
        <w:rPr>
          <w:rFonts w:ascii="Book Antiqua" w:hAnsi="Book Antiqua"/>
          <w:kern w:val="2"/>
          <w:sz w:val="24"/>
          <w:szCs w:val="24"/>
        </w:rPr>
      </w:pPr>
      <w:r w:rsidRPr="00861808">
        <w:rPr>
          <w:rFonts w:ascii="Book Antiqua" w:hAnsi="Book Antiqua"/>
          <w:b/>
          <w:kern w:val="2"/>
          <w:sz w:val="24"/>
          <w:szCs w:val="24"/>
        </w:rPr>
        <w:t>DOI:</w:t>
      </w:r>
      <w:r w:rsidRPr="00861808">
        <w:rPr>
          <w:rFonts w:ascii="Book Antiqua" w:hAnsi="Book Antiqua"/>
          <w:kern w:val="2"/>
          <w:sz w:val="24"/>
          <w:szCs w:val="24"/>
        </w:rPr>
        <w:t xml:space="preserve"> </w:t>
      </w: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br w:type="page"/>
      </w:r>
      <w:r w:rsidRPr="00861808">
        <w:rPr>
          <w:rFonts w:ascii="Book Antiqua" w:hAnsi="Book Antiqua"/>
          <w:b/>
          <w:sz w:val="24"/>
        </w:rPr>
        <w:lastRenderedPageBreak/>
        <w:t>INTRODUCTION</w:t>
      </w:r>
    </w:p>
    <w:p w:rsidR="00380878" w:rsidRPr="00861808" w:rsidRDefault="00380878" w:rsidP="000E76F5">
      <w:pPr>
        <w:spacing w:line="360" w:lineRule="auto"/>
        <w:rPr>
          <w:rFonts w:ascii="Book Antiqua" w:hAnsi="Book Antiqua"/>
          <w:sz w:val="24"/>
        </w:rPr>
      </w:pPr>
      <w:r w:rsidRPr="00861808">
        <w:rPr>
          <w:rFonts w:ascii="Book Antiqua" w:hAnsi="Book Antiqua"/>
          <w:sz w:val="24"/>
        </w:rPr>
        <w:t>In patients with cirrhosis, esophageal varices are commonly observed, with an estimated prevalence of 50%</w:t>
      </w:r>
      <w:r w:rsidRPr="00861808">
        <w:rPr>
          <w:rFonts w:ascii="Book Antiqua" w:hAnsi="Book Antiqua"/>
          <w:color w:val="0000FF"/>
          <w:sz w:val="24"/>
          <w:vertAlign w:val="superscript"/>
        </w:rPr>
        <w:t>[1]</w:t>
      </w:r>
      <w:r w:rsidRPr="00861808">
        <w:rPr>
          <w:rFonts w:ascii="Book Antiqua" w:hAnsi="Book Antiqua"/>
          <w:sz w:val="24"/>
        </w:rPr>
        <w:t>. After esophageal varices have formed, the annual risk for bleeding can range from 10% to 30%</w:t>
      </w:r>
      <w:r w:rsidRPr="00861808">
        <w:rPr>
          <w:rFonts w:ascii="Book Antiqua" w:hAnsi="Book Antiqua"/>
          <w:color w:val="0000FF"/>
          <w:sz w:val="24"/>
          <w:vertAlign w:val="superscript"/>
        </w:rPr>
        <w:t>[2,3]</w:t>
      </w:r>
      <w:r w:rsidRPr="00861808">
        <w:rPr>
          <w:rFonts w:ascii="Book Antiqua" w:hAnsi="Book Antiqua"/>
          <w:sz w:val="24"/>
        </w:rPr>
        <w:t>.</w:t>
      </w:r>
      <w:bookmarkStart w:id="18" w:name="OLE_LINK35"/>
      <w:r w:rsidRPr="00861808">
        <w:rPr>
          <w:rFonts w:ascii="Book Antiqua" w:hAnsi="Book Antiqua"/>
          <w:sz w:val="24"/>
        </w:rPr>
        <w:t xml:space="preserve"> In patients with decompensated cirrhosis, acute esophageal variceal bleeding (EVB) represents a predominant cause for morbidity and mortality. </w:t>
      </w:r>
      <w:bookmarkEnd w:id="18"/>
      <w:r w:rsidRPr="00861808">
        <w:rPr>
          <w:rFonts w:ascii="Book Antiqua" w:hAnsi="Book Antiqua"/>
          <w:sz w:val="24"/>
        </w:rPr>
        <w:t xml:space="preserve">Due to the increased risk of fatality in cirrhosis patients with EVB, the risk status in patients must be routinely evaluated such that the appropriate prophylactic therapy is administered to prevent variceal bleeding events. Typically, the EVB risk is assessed through endoscopic screening to assign a grade to the varices and determine if red signs are present, which </w:t>
      </w:r>
      <w:bookmarkStart w:id="19" w:name="OLE_LINK10"/>
      <w:bookmarkStart w:id="20" w:name="OLE_LINK11"/>
      <w:r w:rsidRPr="00861808">
        <w:rPr>
          <w:rFonts w:ascii="Book Antiqua" w:hAnsi="Book Antiqua"/>
          <w:sz w:val="24"/>
        </w:rPr>
        <w:t>is currently recommended for all patients with diagnosed cirrhosis</w:t>
      </w:r>
      <w:bookmarkEnd w:id="19"/>
      <w:bookmarkEnd w:id="20"/>
      <w:r w:rsidRPr="00861808">
        <w:rPr>
          <w:rFonts w:ascii="Book Antiqua" w:hAnsi="Book Antiqua"/>
          <w:color w:val="0000FF"/>
          <w:sz w:val="24"/>
          <w:vertAlign w:val="superscript"/>
        </w:rPr>
        <w:t>[4-6]</w:t>
      </w:r>
      <w:r w:rsidRPr="00861808">
        <w:rPr>
          <w:rFonts w:ascii="Book Antiqua" w:hAnsi="Book Antiqua"/>
          <w:sz w:val="24"/>
        </w:rPr>
        <w:t>. Endoscopy, however, is invasive, painful and costly, especially to those in developing countries, which ultimately limits the frequency of examinations.</w:t>
      </w:r>
    </w:p>
    <w:p w:rsidR="00380878" w:rsidRPr="00861808" w:rsidRDefault="00380878" w:rsidP="00571FFD">
      <w:pPr>
        <w:spacing w:line="360" w:lineRule="auto"/>
        <w:ind w:firstLineChars="196" w:firstLine="470"/>
        <w:rPr>
          <w:rFonts w:ascii="Book Antiqua" w:hAnsi="Book Antiqua"/>
          <w:sz w:val="24"/>
        </w:rPr>
      </w:pPr>
      <w:r w:rsidRPr="00861808">
        <w:rPr>
          <w:rFonts w:ascii="Book Antiqua" w:hAnsi="Book Antiqua"/>
          <w:sz w:val="24"/>
        </w:rPr>
        <w:t>One way to overcome the obstacle of frequent endoscopies is to develop a safe, noninvasive and affordable system to better predict the risk of variceal hemorrhage in cirrhotic patients. An ultrasound approach that includes duplex ultrasonography and color Doppler is a simple, precise, noninvasive and affordable imaging method that is predominantly used to diagnose and stage cirrhotic portal hypertension. The Model for End-stage Liver Disease (MELD) prognostic scoring system, which has an equal or better predictive ability than the traditional Child-Pugh system, is another method to evaluate portal hypertension for short- or intermediate-term outcome</w:t>
      </w:r>
      <w:r w:rsidRPr="00861808">
        <w:rPr>
          <w:rFonts w:ascii="Book Antiqua" w:hAnsi="Book Antiqua"/>
          <w:color w:val="0000FF"/>
          <w:sz w:val="24"/>
          <w:vertAlign w:val="superscript"/>
        </w:rPr>
        <w:t>[7-9]</w:t>
      </w:r>
      <w:r w:rsidRPr="00861808">
        <w:rPr>
          <w:rFonts w:ascii="Book Antiqua" w:hAnsi="Book Antiqua"/>
          <w:sz w:val="24"/>
        </w:rPr>
        <w:t>. Monitoring changes in the MELD score over time (ΔMELD) has also been proposed as another way to estimate the risk for complications</w:t>
      </w:r>
      <w:r w:rsidRPr="00861808">
        <w:rPr>
          <w:rFonts w:ascii="Book Antiqua" w:hAnsi="Book Antiqua"/>
          <w:color w:val="0000FF"/>
          <w:sz w:val="24"/>
          <w:vertAlign w:val="superscript"/>
        </w:rPr>
        <w:t>[10]</w:t>
      </w:r>
      <w:r w:rsidRPr="00861808">
        <w:rPr>
          <w:rFonts w:ascii="Book Antiqua" w:hAnsi="Book Antiqua"/>
          <w:sz w:val="24"/>
        </w:rPr>
        <w:t>. Patients with a rapidly worsening ΔMELD score are at risk for more severe liver disease and complications such as EVB, which ultimately increase the risk of mortality.</w:t>
      </w:r>
    </w:p>
    <w:p w:rsidR="00380878" w:rsidRPr="00861808" w:rsidRDefault="00380878" w:rsidP="00571FFD">
      <w:pPr>
        <w:spacing w:line="360" w:lineRule="auto"/>
        <w:ind w:firstLineChars="196" w:firstLine="470"/>
        <w:rPr>
          <w:rFonts w:ascii="Book Antiqua" w:hAnsi="Book Antiqua"/>
          <w:sz w:val="24"/>
        </w:rPr>
      </w:pPr>
      <w:bookmarkStart w:id="21" w:name="OLE_LINK3"/>
      <w:r w:rsidRPr="00861808">
        <w:rPr>
          <w:rFonts w:ascii="Book Antiqua" w:hAnsi="Book Antiqua"/>
          <w:sz w:val="24"/>
        </w:rPr>
        <w:t xml:space="preserve">The objective, noninvasive and affordable natures of the MELD score and color ultrasound-Doppler (US-Doppler) </w:t>
      </w:r>
      <w:bookmarkEnd w:id="21"/>
      <w:r w:rsidRPr="00861808">
        <w:rPr>
          <w:rFonts w:ascii="Book Antiqua" w:hAnsi="Book Antiqua"/>
          <w:sz w:val="24"/>
        </w:rPr>
        <w:t xml:space="preserve">allow data to be obtained quickly. The predictive capability of a combined approach using the MELD scoring system and US-Doppler to predict EVB has not yet been described. In the present study, the predictive capability of a new index, the MELD-US-Doppler Index (MUI), was evaluated in a </w:t>
      </w:r>
      <w:r w:rsidRPr="00861808">
        <w:rPr>
          <w:rFonts w:ascii="Book Antiqua" w:hAnsi="Book Antiqua"/>
          <w:sz w:val="24"/>
        </w:rPr>
        <w:lastRenderedPageBreak/>
        <w:t>cohort of cirrhotic patients.</w:t>
      </w:r>
    </w:p>
    <w:p w:rsidR="00380878" w:rsidRPr="00861808" w:rsidRDefault="00380878" w:rsidP="00571FFD">
      <w:pPr>
        <w:spacing w:line="360" w:lineRule="auto"/>
        <w:ind w:firstLineChars="196" w:firstLine="470"/>
        <w:rPr>
          <w:rFonts w:ascii="Book Antiqua" w:hAnsi="Book Antiqua"/>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t>MATERIALS AND METHODS</w:t>
      </w: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Patients</w:t>
      </w:r>
    </w:p>
    <w:p w:rsidR="00380878" w:rsidRPr="00861808" w:rsidRDefault="00380878" w:rsidP="000E76F5">
      <w:pPr>
        <w:spacing w:line="360" w:lineRule="auto"/>
        <w:rPr>
          <w:rFonts w:ascii="Book Antiqua" w:hAnsi="Book Antiqua"/>
          <w:sz w:val="24"/>
        </w:rPr>
      </w:pPr>
      <w:r w:rsidRPr="00861808">
        <w:rPr>
          <w:rFonts w:ascii="Book Antiqua" w:hAnsi="Book Antiqua"/>
          <w:sz w:val="24"/>
        </w:rPr>
        <w:t>This study was approved by the ethical committee of Changshu Hospital, a Suzhou University affiliate. All patients provided informed consent prior to study enrollment. The following exclusion criteria were applied: (1) patients who declined the evaluation schedule; (2) patients with hepatocellular carcinoma; (3) patients who frequently took medicines such as proton pump inhibitors, propranolol or antivirals; and (4) patients who underwent a splenectomy, received transjugular intrahepatic portosystemic shunts (TIPS), sclerotherapy, or band ligation endoscopic treatments before or after enrollment in this study. A total of</w:t>
      </w:r>
      <w:bookmarkStart w:id="22" w:name="OLE_LINK4"/>
      <w:r w:rsidRPr="00861808">
        <w:rPr>
          <w:rFonts w:ascii="Book Antiqua" w:hAnsi="Book Antiqua"/>
          <w:sz w:val="24"/>
        </w:rPr>
        <w:t xml:space="preserve"> 486 decompensated cirrhotic patients</w:t>
      </w:r>
      <w:bookmarkEnd w:id="22"/>
      <w:r w:rsidRPr="00861808">
        <w:rPr>
          <w:rFonts w:ascii="Book Antiqua" w:hAnsi="Book Antiqua"/>
          <w:sz w:val="24"/>
        </w:rPr>
        <w:t xml:space="preserve"> (238 males, 248 females), with an average age of 63.1 ± 11.2 years, were enrolled in the study</w:t>
      </w:r>
      <w:r w:rsidRPr="00861808">
        <w:rPr>
          <w:rFonts w:ascii="Book Antiqua" w:hAnsi="Book Antiqua"/>
          <w:b/>
          <w:sz w:val="24"/>
        </w:rPr>
        <w:t xml:space="preserve"> </w:t>
      </w:r>
      <w:r w:rsidRPr="00861808">
        <w:rPr>
          <w:rFonts w:ascii="Book Antiqua" w:hAnsi="Book Antiqua"/>
          <w:sz w:val="24"/>
        </w:rPr>
        <w:t xml:space="preserve">between May 2008 and March 2011 at the Gastroenterologic Clinic of the </w:t>
      </w:r>
      <w:r w:rsidRPr="00861808">
        <w:rPr>
          <w:rStyle w:val="longtext1"/>
          <w:rFonts w:ascii="Book Antiqua" w:hAnsi="Book Antiqua"/>
          <w:sz w:val="24"/>
        </w:rPr>
        <w:t>Changshu Affiliated Hospital of Suzhou.</w:t>
      </w:r>
      <w:r w:rsidRPr="00861808">
        <w:rPr>
          <w:rFonts w:ascii="Book Antiqua" w:hAnsi="Book Antiqua"/>
          <w:sz w:val="24"/>
        </w:rPr>
        <w:t xml:space="preserve"> A diagnosis of decompensated cirrhosis was made after analyzing a combination of physical, laboratory and radiological examination results. A diagnosis of EVB was confirmed when esophageal varices with stigmata from recent bleeding (</w:t>
      </w:r>
      <w:r w:rsidRPr="00861808">
        <w:rPr>
          <w:rFonts w:ascii="Book Antiqua" w:hAnsi="Book Antiqua"/>
          <w:i/>
          <w:sz w:val="24"/>
        </w:rPr>
        <w:t>e.g.,</w:t>
      </w:r>
      <w:r w:rsidRPr="00861808">
        <w:rPr>
          <w:rFonts w:ascii="Book Antiqua" w:hAnsi="Book Antiqua"/>
          <w:sz w:val="24"/>
        </w:rPr>
        <w:t xml:space="preserve"> fibrin plug on the varix, adhered blood clot, </w:t>
      </w:r>
      <w:r w:rsidRPr="00861808">
        <w:rPr>
          <w:rFonts w:ascii="Book Antiqua" w:hAnsi="Book Antiqua"/>
          <w:i/>
          <w:sz w:val="24"/>
        </w:rPr>
        <w:t>etc.</w:t>
      </w:r>
      <w:r w:rsidRPr="00861808">
        <w:rPr>
          <w:rFonts w:ascii="Book Antiqua" w:hAnsi="Book Antiqua"/>
          <w:sz w:val="24"/>
        </w:rPr>
        <w:t>) or active bleeding (</w:t>
      </w:r>
      <w:r w:rsidRPr="00861808">
        <w:rPr>
          <w:rFonts w:ascii="Book Antiqua" w:hAnsi="Book Antiqua"/>
          <w:i/>
          <w:sz w:val="24"/>
        </w:rPr>
        <w:t>e.g.,</w:t>
      </w:r>
      <w:r w:rsidRPr="00861808">
        <w:rPr>
          <w:rFonts w:ascii="Book Antiqua" w:hAnsi="Book Antiqua"/>
          <w:sz w:val="24"/>
        </w:rPr>
        <w:t xml:space="preserve"> oozing or spurting blood) were observed by endoscopy.</w:t>
      </w:r>
    </w:p>
    <w:p w:rsidR="00380878" w:rsidRPr="00861808" w:rsidRDefault="00380878" w:rsidP="00571FFD">
      <w:pPr>
        <w:spacing w:line="360" w:lineRule="auto"/>
        <w:ind w:firstLineChars="200" w:firstLine="480"/>
        <w:rPr>
          <w:rFonts w:ascii="Book Antiqua" w:hAnsi="Book Antiqua"/>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i/>
          <w:sz w:val="24"/>
        </w:rPr>
        <w:t>Patient follow-up</w:t>
      </w:r>
    </w:p>
    <w:p w:rsidR="00380878" w:rsidRPr="00861808" w:rsidRDefault="00380878" w:rsidP="000E76F5">
      <w:pPr>
        <w:spacing w:line="360" w:lineRule="auto"/>
        <w:rPr>
          <w:rFonts w:ascii="Book Antiqua" w:hAnsi="Book Antiqua"/>
          <w:sz w:val="24"/>
        </w:rPr>
      </w:pPr>
      <w:r w:rsidRPr="00861808">
        <w:rPr>
          <w:rFonts w:ascii="Book Antiqua" w:hAnsi="Book Antiqua"/>
          <w:sz w:val="24"/>
        </w:rPr>
        <w:t>Patients enrolled in this study were subjected to US-Doppler and MELD evaluations every three months. After each patient evaluation, the database was updated with the newly obtained data. The occurrence of EVB served as the end-point for patient follow-up. Patients who died for reasons unrelated to cirrhosis or were unable to be reached for follow-up were excluded from the trial.</w:t>
      </w:r>
    </w:p>
    <w:p w:rsidR="00380878" w:rsidRPr="00861808" w:rsidRDefault="00380878" w:rsidP="00571FFD">
      <w:pPr>
        <w:spacing w:line="360" w:lineRule="auto"/>
        <w:ind w:firstLineChars="200" w:firstLine="480"/>
        <w:rPr>
          <w:rFonts w:ascii="Book Antiqua" w:hAnsi="Book Antiqua"/>
          <w:sz w:val="24"/>
        </w:rPr>
      </w:pP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MELD score and ΔMELD</w:t>
      </w:r>
    </w:p>
    <w:p w:rsidR="00380878" w:rsidRPr="00861808" w:rsidRDefault="00380878" w:rsidP="000E76F5">
      <w:pPr>
        <w:spacing w:line="360" w:lineRule="auto"/>
        <w:rPr>
          <w:rFonts w:ascii="Book Antiqua" w:hAnsi="Book Antiqua"/>
          <w:sz w:val="24"/>
        </w:rPr>
      </w:pPr>
      <w:r w:rsidRPr="00861808">
        <w:rPr>
          <w:rFonts w:ascii="Book Antiqua" w:hAnsi="Book Antiqua"/>
          <w:sz w:val="24"/>
        </w:rPr>
        <w:t xml:space="preserve">MELD scores were calculated as specified by the United Network of Organ Sharing </w:t>
      </w:r>
      <w:r w:rsidRPr="00861808">
        <w:rPr>
          <w:rFonts w:ascii="Book Antiqua" w:hAnsi="Book Antiqua"/>
          <w:sz w:val="24"/>
        </w:rPr>
        <w:lastRenderedPageBreak/>
        <w:t>(UNOS) database using the following equation: MELD = 9.57[Ln creatinine (mg/dL)] + 3.78[Ln bilirubin (mg/dL)] + 11.2(Ln international normalized ratio) + 6.43(constant for liver disease etiology). For calculations, the minimum values were set to 1. The maximum serum creatinine level applied to the MELD score equation was 4.0 mg/dL. The change in the MELD score over a three month period was represented as ΔMELD.</w:t>
      </w:r>
    </w:p>
    <w:p w:rsidR="00380878" w:rsidRPr="00861808" w:rsidRDefault="00380878" w:rsidP="000E76F5">
      <w:pPr>
        <w:spacing w:line="360" w:lineRule="auto"/>
        <w:rPr>
          <w:rFonts w:ascii="Book Antiqua" w:hAnsi="Book Antiqua"/>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i/>
          <w:sz w:val="24"/>
        </w:rPr>
        <w:t xml:space="preserve">Color US-Doppler </w:t>
      </w:r>
    </w:p>
    <w:p w:rsidR="00380878" w:rsidRPr="00861808" w:rsidRDefault="00380878" w:rsidP="000E76F5">
      <w:pPr>
        <w:spacing w:line="360" w:lineRule="auto"/>
        <w:rPr>
          <w:rFonts w:ascii="Book Antiqua" w:hAnsi="Book Antiqua"/>
          <w:sz w:val="24"/>
        </w:rPr>
      </w:pPr>
      <w:r w:rsidRPr="00861808">
        <w:rPr>
          <w:rFonts w:ascii="Book Antiqua" w:hAnsi="Book Antiqua"/>
          <w:sz w:val="24"/>
        </w:rPr>
        <w:t xml:space="preserve">One of two sonographers (WMF and YYG, each with over 20 years of experience), who were blinded to the clinical data for the study duration, performed all examinations using an Aplio color US-Doppler unit (Toshiba, Tokyo, Japan) and a 3.75 MHz phased array curved electronic probe. All patients were imaged while resting (&gt; 15 min) in a supine position the morning following an overnight fast. Quantitative measurements were obtained during a brief inspiratory apnea. To obtain images, the transducer was oriented along the longitudinal axis of the portal vein (PV) and splenic vein (SV), and Doppler traces were obtained at an insonation angle &lt; 60°. The Doppler signal for the PV was obtained at the halfway point between the convergence of the splenic and superior mesenteric veins, and the PV hilar split. For the SV, the Doppler signal was obtained halfway between the spleen and the PV, prior to the left gastric vein (LGV). The LGV appears as a tubular structure within the gastrohepatic ligament near the esophagogastric junction, emanating from the SV or PV with blood flowing towards the head. The maximum diameter of the LGV was measured from long-axis sonograms taken in the sagittal or transverse oblique plane, depending on the orientation of the vein. The direction of the LGV blood flow was assessed with respect to the portal system (hepatopetal </w:t>
      </w:r>
      <w:r w:rsidRPr="00861808">
        <w:rPr>
          <w:rFonts w:ascii="Book Antiqua" w:hAnsi="Book Antiqua"/>
          <w:i/>
          <w:sz w:val="24"/>
        </w:rPr>
        <w:t>vs</w:t>
      </w:r>
      <w:r w:rsidRPr="00861808">
        <w:rPr>
          <w:rFonts w:ascii="Book Antiqua" w:hAnsi="Book Antiqua"/>
          <w:sz w:val="24"/>
        </w:rPr>
        <w:t xml:space="preserve"> hepatofugal). Software associated with the US unit was used to calculate velocity and flow for each vessel.</w:t>
      </w:r>
    </w:p>
    <w:p w:rsidR="00380878" w:rsidRPr="00861808" w:rsidRDefault="00380878" w:rsidP="00571FFD">
      <w:pPr>
        <w:spacing w:line="360" w:lineRule="auto"/>
        <w:ind w:firstLineChars="200" w:firstLine="480"/>
        <w:rPr>
          <w:rFonts w:ascii="Book Antiqua" w:hAnsi="Book Antiqua"/>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i/>
          <w:sz w:val="24"/>
        </w:rPr>
        <w:t>Statistical analyses</w:t>
      </w:r>
    </w:p>
    <w:p w:rsidR="00380878" w:rsidRPr="00861808" w:rsidRDefault="00380878" w:rsidP="000E76F5">
      <w:pPr>
        <w:spacing w:line="360" w:lineRule="auto"/>
        <w:rPr>
          <w:rFonts w:ascii="Book Antiqua" w:hAnsi="Book Antiqua"/>
          <w:sz w:val="24"/>
        </w:rPr>
      </w:pPr>
      <w:r w:rsidRPr="00861808">
        <w:rPr>
          <w:rFonts w:ascii="Book Antiqua" w:hAnsi="Book Antiqua"/>
          <w:sz w:val="24"/>
        </w:rPr>
        <w:t xml:space="preserve">All statistical analyses were performed with SPSS 13.0 (IBM, Chicago, IL, </w:t>
      </w:r>
      <w:bookmarkStart w:id="23" w:name="OLE_LINK144"/>
      <w:bookmarkStart w:id="24" w:name="OLE_LINK145"/>
      <w:bookmarkStart w:id="25" w:name="OLE_LINK31"/>
      <w:r w:rsidRPr="00861808">
        <w:rPr>
          <w:rFonts w:ascii="Book Antiqua" w:hAnsi="Book Antiqua" w:cs="Garamond"/>
          <w:kern w:val="0"/>
          <w:sz w:val="24"/>
        </w:rPr>
        <w:t xml:space="preserve">United </w:t>
      </w:r>
      <w:r w:rsidRPr="00861808">
        <w:rPr>
          <w:rFonts w:ascii="Book Antiqua" w:hAnsi="Book Antiqua" w:cs="Garamond"/>
          <w:kern w:val="0"/>
          <w:sz w:val="24"/>
        </w:rPr>
        <w:lastRenderedPageBreak/>
        <w:t>States</w:t>
      </w:r>
      <w:bookmarkEnd w:id="23"/>
      <w:bookmarkEnd w:id="24"/>
      <w:bookmarkEnd w:id="25"/>
      <w:r w:rsidRPr="00861808">
        <w:rPr>
          <w:rFonts w:ascii="Book Antiqua" w:hAnsi="Book Antiqua"/>
          <w:sz w:val="24"/>
        </w:rPr>
        <w:t xml:space="preserve">) and MedCalc 12.7.0.0 (MedCalc Software, Ostend, Belgium). For analysis of categorical data, a </w:t>
      </w:r>
      <w:bookmarkStart w:id="26" w:name="OLE_LINK42"/>
      <w:r w:rsidRPr="00861808">
        <w:rPr>
          <w:rFonts w:ascii="Book Antiqua" w:hAnsi="Book Antiqua"/>
          <w:i/>
          <w:sz w:val="24"/>
        </w:rPr>
        <w:sym w:font="SymbolPS" w:char="F063"/>
      </w:r>
      <w:r w:rsidRPr="00861808">
        <w:rPr>
          <w:rFonts w:ascii="Book Antiqua" w:hAnsi="Book Antiqua"/>
          <w:sz w:val="24"/>
          <w:vertAlign w:val="superscript"/>
        </w:rPr>
        <w:t>2</w:t>
      </w:r>
      <w:bookmarkEnd w:id="26"/>
      <w:r w:rsidRPr="00861808">
        <w:rPr>
          <w:rFonts w:ascii="Book Antiqua" w:hAnsi="Book Antiqua"/>
          <w:sz w:val="24"/>
        </w:rPr>
        <w:t xml:space="preserve"> test or Fisher’s exact test (two-tailed) was used, while an independent samples </w:t>
      </w:r>
      <w:r w:rsidRPr="00861808">
        <w:rPr>
          <w:rFonts w:ascii="Book Antiqua" w:hAnsi="Book Antiqua"/>
          <w:i/>
          <w:sz w:val="24"/>
        </w:rPr>
        <w:t>t</w:t>
      </w:r>
      <w:r w:rsidRPr="00861808">
        <w:rPr>
          <w:rFonts w:ascii="Book Antiqua" w:hAnsi="Book Antiqua"/>
          <w:sz w:val="24"/>
        </w:rPr>
        <w:t xml:space="preserve">-test was used to analyze continuous data. A normality test was applied to continuous data to ensure that a </w:t>
      </w:r>
      <w:r w:rsidRPr="00861808">
        <w:rPr>
          <w:rFonts w:ascii="Book Antiqua" w:hAnsi="Book Antiqua"/>
          <w:i/>
          <w:sz w:val="24"/>
        </w:rPr>
        <w:t>t</w:t>
      </w:r>
      <w:r w:rsidRPr="00861808">
        <w:rPr>
          <w:rFonts w:ascii="Book Antiqua" w:hAnsi="Book Antiqua"/>
          <w:sz w:val="24"/>
        </w:rPr>
        <w:t xml:space="preserve">-test was the most appropriate to use. All patient characteristics were expressed as the mean ± SD or as percentages when appropriate. A multivariate logistic regression analysis with the Wald test was used to analyze MELD scores. The ΔMELD and US parameters were analyzed to identify the independent factors that were predictive of EVB risk. Variables from the univariate analysis with a </w:t>
      </w:r>
      <w:r w:rsidRPr="00861808">
        <w:rPr>
          <w:rFonts w:ascii="Book Antiqua" w:hAnsi="Book Antiqua"/>
          <w:i/>
          <w:sz w:val="24"/>
        </w:rPr>
        <w:t xml:space="preserve">P </w:t>
      </w:r>
      <w:r w:rsidRPr="00861808">
        <w:rPr>
          <w:rFonts w:ascii="Book Antiqua" w:hAnsi="Book Antiqua"/>
          <w:sz w:val="24"/>
        </w:rPr>
        <w:t xml:space="preserve">value &lt; 0.20 were analyzed by multivariate logistic regression analysis to identify independent predictive factors. Receiver operating characteristic (ROC) curves were constructed for the independent predictive factors, and the </w:t>
      </w:r>
      <w:bookmarkStart w:id="27" w:name="OLE_LINK21"/>
      <w:r w:rsidRPr="00861808">
        <w:rPr>
          <w:rFonts w:ascii="Book Antiqua" w:hAnsi="Book Antiqua"/>
          <w:sz w:val="24"/>
        </w:rPr>
        <w:t>area under the curve (AUC)</w:t>
      </w:r>
      <w:bookmarkEnd w:id="27"/>
      <w:r w:rsidRPr="00861808">
        <w:rPr>
          <w:rFonts w:ascii="Book Antiqua" w:hAnsi="Book Antiqua"/>
          <w:sz w:val="24"/>
        </w:rPr>
        <w:t xml:space="preserve"> was then determined. To define the best discriminating probability threshold, sensitivity, specificity and predictive values were calculated and compared for diagnostic accuracy. All statistical tests were two-tailed and the threshold for statistical significance was set at </w:t>
      </w:r>
      <w:r w:rsidRPr="00861808">
        <w:rPr>
          <w:rFonts w:ascii="Book Antiqua" w:hAnsi="Book Antiqua"/>
          <w:i/>
          <w:sz w:val="24"/>
        </w:rPr>
        <w:t>P</w:t>
      </w:r>
      <w:r w:rsidRPr="00861808">
        <w:rPr>
          <w:rFonts w:ascii="Book Antiqua" w:hAnsi="Book Antiqua"/>
          <w:sz w:val="24"/>
        </w:rPr>
        <w:t xml:space="preserve"> &lt; 0.05.</w:t>
      </w:r>
    </w:p>
    <w:p w:rsidR="00380878" w:rsidRPr="00861808" w:rsidRDefault="00380878" w:rsidP="00571FFD">
      <w:pPr>
        <w:spacing w:line="360" w:lineRule="auto"/>
        <w:ind w:firstLineChars="200" w:firstLine="480"/>
        <w:rPr>
          <w:rFonts w:ascii="Book Antiqua" w:hAnsi="Book Antiqua"/>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t>RESULTS</w:t>
      </w:r>
    </w:p>
    <w:p w:rsidR="00380878" w:rsidRPr="00861808" w:rsidRDefault="00380878" w:rsidP="000E76F5">
      <w:pPr>
        <w:spacing w:line="360" w:lineRule="auto"/>
        <w:rPr>
          <w:rFonts w:ascii="Book Antiqua" w:hAnsi="Book Antiqua"/>
          <w:sz w:val="24"/>
        </w:rPr>
      </w:pPr>
      <w:r w:rsidRPr="00861808">
        <w:rPr>
          <w:rFonts w:ascii="Book Antiqua" w:hAnsi="Book Antiqua"/>
          <w:sz w:val="24"/>
        </w:rPr>
        <w:t>Seventy of the original 486 patients were excluded from the trial. Of these, 43 patients declined to undergo US-Doppler or MELD evaluation during the first three-month follow-up, 12 patients had been medicated with proton pump inhibitors, propranolol or antivirals, eight patients underwent a splenectomy and seven patients received other endoscopic procedures after study enrollment. A total of 416 patients were followed-up until March 2012, with a mean follow-up period of 31.6 mo (range: 12 - 47 mo). Fifty-one patients had an EVB episode (EVB+ group), while the remaining 365 patients did not (EVB- group), resulting in an incidence of 12.3%. The characteristics and results for the EVB+ and EVB- groups are displayed in Table 1.</w:t>
      </w:r>
    </w:p>
    <w:p w:rsidR="00380878" w:rsidRPr="00861808" w:rsidRDefault="00380878" w:rsidP="00571FFD">
      <w:pPr>
        <w:spacing w:line="360" w:lineRule="auto"/>
        <w:ind w:firstLineChars="200" w:firstLine="480"/>
        <w:rPr>
          <w:rFonts w:ascii="Book Antiqua" w:hAnsi="Book Antiqua"/>
          <w:sz w:val="24"/>
        </w:rPr>
      </w:pP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 xml:space="preserve">EVB prediction by univariate and </w:t>
      </w:r>
      <w:bookmarkStart w:id="28" w:name="OLE_LINK20"/>
      <w:r w:rsidRPr="00861808">
        <w:rPr>
          <w:rFonts w:ascii="Book Antiqua" w:hAnsi="Book Antiqua"/>
          <w:b/>
          <w:i/>
          <w:sz w:val="24"/>
        </w:rPr>
        <w:t xml:space="preserve">multivariate logistic regression </w:t>
      </w:r>
      <w:bookmarkEnd w:id="28"/>
      <w:r w:rsidRPr="00861808">
        <w:rPr>
          <w:rFonts w:ascii="Book Antiqua" w:hAnsi="Book Antiqua"/>
          <w:b/>
          <w:i/>
          <w:sz w:val="24"/>
        </w:rPr>
        <w:t>analyses</w:t>
      </w:r>
    </w:p>
    <w:p w:rsidR="00380878" w:rsidRPr="00861808" w:rsidRDefault="00380878" w:rsidP="000E76F5">
      <w:pPr>
        <w:spacing w:line="360" w:lineRule="auto"/>
        <w:rPr>
          <w:rFonts w:ascii="Book Antiqua" w:hAnsi="Book Antiqua"/>
          <w:sz w:val="24"/>
        </w:rPr>
      </w:pPr>
      <w:r w:rsidRPr="00861808">
        <w:rPr>
          <w:rFonts w:ascii="Book Antiqua" w:hAnsi="Book Antiqua"/>
          <w:sz w:val="24"/>
        </w:rPr>
        <w:t xml:space="preserve">Patients in the EVB+ group were significantly older than in the EVB- group (67.5 ± 13.4 </w:t>
      </w:r>
      <w:r w:rsidRPr="00861808">
        <w:rPr>
          <w:rFonts w:ascii="Book Antiqua" w:hAnsi="Book Antiqua"/>
          <w:i/>
          <w:sz w:val="24"/>
        </w:rPr>
        <w:t>vs</w:t>
      </w:r>
      <w:r w:rsidRPr="00861808">
        <w:rPr>
          <w:rFonts w:ascii="Book Antiqua" w:hAnsi="Book Antiqua"/>
          <w:sz w:val="24"/>
        </w:rPr>
        <w:t xml:space="preserve"> 62.3 ± 11.8 years; </w:t>
      </w:r>
      <w:r w:rsidRPr="00861808">
        <w:rPr>
          <w:rFonts w:ascii="Book Antiqua" w:hAnsi="Book Antiqua"/>
          <w:i/>
          <w:sz w:val="24"/>
        </w:rPr>
        <w:t xml:space="preserve">P </w:t>
      </w:r>
      <w:r w:rsidRPr="00861808">
        <w:rPr>
          <w:rFonts w:ascii="Book Antiqua" w:hAnsi="Book Antiqua"/>
          <w:sz w:val="24"/>
        </w:rPr>
        <w:t xml:space="preserve">&lt; 0.05) and had significantly higher MELD (26.5 ± 9.8 </w:t>
      </w:r>
      <w:r w:rsidRPr="00861808">
        <w:rPr>
          <w:rFonts w:ascii="Book Antiqua" w:hAnsi="Book Antiqua"/>
          <w:i/>
          <w:sz w:val="24"/>
        </w:rPr>
        <w:t>vs</w:t>
      </w:r>
      <w:r w:rsidRPr="00861808">
        <w:rPr>
          <w:rFonts w:ascii="Book Antiqua" w:hAnsi="Book Antiqua"/>
          <w:sz w:val="24"/>
        </w:rPr>
        <w:t xml:space="preserve"> </w:t>
      </w:r>
      <w:r w:rsidRPr="00861808">
        <w:rPr>
          <w:rFonts w:ascii="Book Antiqua" w:hAnsi="Book Antiqua"/>
          <w:sz w:val="24"/>
        </w:rPr>
        <w:lastRenderedPageBreak/>
        <w:t xml:space="preserve">18.9 ± 10.3; </w:t>
      </w:r>
      <w:r w:rsidRPr="00861808">
        <w:rPr>
          <w:rFonts w:ascii="Book Antiqua" w:hAnsi="Book Antiqua"/>
          <w:i/>
          <w:sz w:val="24"/>
        </w:rPr>
        <w:t xml:space="preserve">P </w:t>
      </w:r>
      <w:r w:rsidRPr="00861808">
        <w:rPr>
          <w:rFonts w:ascii="Book Antiqua" w:hAnsi="Book Antiqua"/>
          <w:sz w:val="24"/>
        </w:rPr>
        <w:t xml:space="preserve">&lt; 0.05) and ΔMELD (1.89 ± 1.23 </w:t>
      </w:r>
      <w:r w:rsidRPr="00861808">
        <w:rPr>
          <w:rFonts w:ascii="Book Antiqua" w:hAnsi="Book Antiqua"/>
          <w:i/>
          <w:sz w:val="24"/>
        </w:rPr>
        <w:t>vs</w:t>
      </w:r>
      <w:r w:rsidRPr="00861808">
        <w:rPr>
          <w:rFonts w:ascii="Book Antiqua" w:hAnsi="Book Antiqua"/>
          <w:sz w:val="24"/>
        </w:rPr>
        <w:t xml:space="preserve"> 0.66 ± 0.47; </w:t>
      </w:r>
      <w:r w:rsidRPr="00861808">
        <w:rPr>
          <w:rFonts w:ascii="Book Antiqua" w:hAnsi="Book Antiqua"/>
          <w:i/>
          <w:sz w:val="24"/>
        </w:rPr>
        <w:t xml:space="preserve">P </w:t>
      </w:r>
      <w:r w:rsidRPr="00861808">
        <w:rPr>
          <w:rFonts w:ascii="Book Antiqua" w:hAnsi="Book Antiqua"/>
          <w:sz w:val="24"/>
        </w:rPr>
        <w:t xml:space="preserve">&lt; 0.05) scores. EVB+ patients also had significantly larger diameters of the SV (1.23 ± 0.45 </w:t>
      </w:r>
      <w:r w:rsidRPr="00861808">
        <w:rPr>
          <w:rFonts w:ascii="Book Antiqua" w:hAnsi="Book Antiqua"/>
          <w:i/>
          <w:sz w:val="24"/>
        </w:rPr>
        <w:t>vs</w:t>
      </w:r>
      <w:r w:rsidRPr="00861808">
        <w:rPr>
          <w:rFonts w:ascii="Book Antiqua" w:hAnsi="Book Antiqua"/>
          <w:sz w:val="24"/>
        </w:rPr>
        <w:t xml:space="preserve"> 1.01 ± 0.23 cm; </w:t>
      </w:r>
      <w:r w:rsidRPr="00861808">
        <w:rPr>
          <w:rFonts w:ascii="Book Antiqua" w:hAnsi="Book Antiqua"/>
          <w:i/>
          <w:sz w:val="24"/>
        </w:rPr>
        <w:t xml:space="preserve">P </w:t>
      </w:r>
      <w:r w:rsidRPr="00861808">
        <w:rPr>
          <w:rFonts w:ascii="Book Antiqua" w:hAnsi="Book Antiqua"/>
          <w:sz w:val="24"/>
        </w:rPr>
        <w:t xml:space="preserve">&lt; 0.05) and LGV (0.73 ± 0.33 </w:t>
      </w:r>
      <w:r w:rsidRPr="00861808">
        <w:rPr>
          <w:rFonts w:ascii="Book Antiqua" w:hAnsi="Book Antiqua"/>
          <w:i/>
          <w:sz w:val="24"/>
        </w:rPr>
        <w:t>vs</w:t>
      </w:r>
      <w:r w:rsidRPr="00861808">
        <w:rPr>
          <w:rFonts w:ascii="Book Antiqua" w:hAnsi="Book Antiqua"/>
          <w:sz w:val="24"/>
        </w:rPr>
        <w:t xml:space="preserve"> 0.61 ± 0.21 cm; </w:t>
      </w:r>
      <w:r w:rsidRPr="00861808">
        <w:rPr>
          <w:rFonts w:ascii="Book Antiqua" w:hAnsi="Book Antiqua"/>
          <w:i/>
          <w:sz w:val="24"/>
        </w:rPr>
        <w:t xml:space="preserve">P </w:t>
      </w:r>
      <w:r w:rsidRPr="00861808">
        <w:rPr>
          <w:rFonts w:ascii="Book Antiqua" w:hAnsi="Book Antiqua"/>
          <w:sz w:val="24"/>
        </w:rPr>
        <w:t xml:space="preserve">&lt; 0.05), and a significantly higher SV blood flow (1124 ± 412 </w:t>
      </w:r>
      <w:r w:rsidRPr="00861808">
        <w:rPr>
          <w:rFonts w:ascii="Book Antiqua" w:hAnsi="Book Antiqua"/>
          <w:i/>
          <w:sz w:val="24"/>
        </w:rPr>
        <w:t>vs</w:t>
      </w:r>
      <w:r w:rsidRPr="00861808">
        <w:rPr>
          <w:rFonts w:ascii="Book Antiqua" w:hAnsi="Book Antiqua"/>
          <w:sz w:val="24"/>
        </w:rPr>
        <w:t xml:space="preserve"> 896 ± 331 mL/min; </w:t>
      </w:r>
      <w:r w:rsidRPr="00861808">
        <w:rPr>
          <w:rFonts w:ascii="Book Antiqua" w:hAnsi="Book Antiqua"/>
          <w:i/>
          <w:sz w:val="24"/>
        </w:rPr>
        <w:t xml:space="preserve">P </w:t>
      </w:r>
      <w:r w:rsidRPr="00861808">
        <w:rPr>
          <w:rFonts w:ascii="Book Antiqua" w:hAnsi="Book Antiqua"/>
          <w:sz w:val="24"/>
        </w:rPr>
        <w:t xml:space="preserve">&lt; 0.05). Moreover, the EVB+ group demonstrated a significantly higher proportion of patients with hepatofugal LGV blood flow (49/51 </w:t>
      </w:r>
      <w:r w:rsidRPr="00861808">
        <w:rPr>
          <w:rFonts w:ascii="Book Antiqua" w:hAnsi="Book Antiqua"/>
          <w:i/>
          <w:sz w:val="24"/>
        </w:rPr>
        <w:t>vs</w:t>
      </w:r>
      <w:r w:rsidRPr="00861808">
        <w:rPr>
          <w:rFonts w:ascii="Book Antiqua" w:hAnsi="Book Antiqua"/>
          <w:sz w:val="24"/>
        </w:rPr>
        <w:t xml:space="preserve"> 73/365 patients; </w:t>
      </w:r>
      <w:r w:rsidRPr="00861808">
        <w:rPr>
          <w:rFonts w:ascii="Book Antiqua" w:hAnsi="Book Antiqua"/>
          <w:i/>
          <w:sz w:val="24"/>
        </w:rPr>
        <w:t xml:space="preserve">P </w:t>
      </w:r>
      <w:r w:rsidRPr="00861808">
        <w:rPr>
          <w:rFonts w:ascii="Book Antiqua" w:hAnsi="Book Antiqua"/>
          <w:sz w:val="24"/>
        </w:rPr>
        <w:t xml:space="preserve">&lt; 0.05) and with a higher velocity (21.1 ± 8.1 </w:t>
      </w:r>
      <w:r w:rsidRPr="00861808">
        <w:rPr>
          <w:rFonts w:ascii="Book Antiqua" w:hAnsi="Book Antiqua"/>
          <w:i/>
          <w:sz w:val="24"/>
        </w:rPr>
        <w:t>vs</w:t>
      </w:r>
      <w:r w:rsidRPr="00861808">
        <w:rPr>
          <w:rFonts w:ascii="Book Antiqua" w:hAnsi="Book Antiqua"/>
          <w:sz w:val="24"/>
        </w:rPr>
        <w:t xml:space="preserve"> 14.1 ± 6.9 cm/s; </w:t>
      </w:r>
      <w:r w:rsidRPr="00861808">
        <w:rPr>
          <w:rFonts w:ascii="Book Antiqua" w:hAnsi="Book Antiqua"/>
          <w:i/>
          <w:sz w:val="24"/>
        </w:rPr>
        <w:t xml:space="preserve">P </w:t>
      </w:r>
      <w:r w:rsidRPr="00861808">
        <w:rPr>
          <w:rFonts w:ascii="Book Antiqua" w:hAnsi="Book Antiqua"/>
          <w:sz w:val="24"/>
        </w:rPr>
        <w:t xml:space="preserve">&lt; 0.05), while the velocity of the PV was significantly lower (16.9 ± 10.1 </w:t>
      </w:r>
      <w:r w:rsidRPr="00861808">
        <w:rPr>
          <w:rFonts w:ascii="Book Antiqua" w:hAnsi="Book Antiqua"/>
          <w:i/>
          <w:sz w:val="24"/>
        </w:rPr>
        <w:t>vs</w:t>
      </w:r>
      <w:r w:rsidRPr="00861808">
        <w:rPr>
          <w:rFonts w:ascii="Book Antiqua" w:hAnsi="Book Antiqua"/>
          <w:sz w:val="24"/>
        </w:rPr>
        <w:t xml:space="preserve"> 19.9 ± 8.4 cm/s; </w:t>
      </w:r>
      <w:r w:rsidRPr="00861808">
        <w:rPr>
          <w:rFonts w:ascii="Book Antiqua" w:hAnsi="Book Antiqua"/>
          <w:i/>
          <w:sz w:val="24"/>
        </w:rPr>
        <w:t xml:space="preserve">P </w:t>
      </w:r>
      <w:r w:rsidRPr="00861808">
        <w:rPr>
          <w:rFonts w:ascii="Book Antiqua" w:hAnsi="Book Antiqua"/>
          <w:sz w:val="24"/>
        </w:rPr>
        <w:t>&lt; 0.05). Furthermore, multivariate analyses identified ΔMELD, LGVV and LGV blood flow direction (LGVBFD) as being independently associated with EVB occurrence (Table 2). Hepatopetal LGVBFD results in an LGVBFD of 1 and a negative value for the LGVV. Hepatofugal blood flow results in an LGVBFD of -1 and a positive value for the LGVV.</w:t>
      </w:r>
    </w:p>
    <w:p w:rsidR="00380878" w:rsidRPr="00861808" w:rsidRDefault="00380878" w:rsidP="00571FFD">
      <w:pPr>
        <w:spacing w:line="360" w:lineRule="auto"/>
        <w:ind w:firstLineChars="200" w:firstLine="480"/>
        <w:rPr>
          <w:rFonts w:ascii="Book Antiqua" w:hAnsi="Book Antiqua"/>
          <w:sz w:val="24"/>
        </w:rPr>
      </w:pP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Diagnostic accuracy for EVB occurrence</w:t>
      </w:r>
    </w:p>
    <w:p w:rsidR="00380878" w:rsidRPr="00861808" w:rsidRDefault="00380878" w:rsidP="000E76F5">
      <w:pPr>
        <w:spacing w:line="360" w:lineRule="auto"/>
        <w:rPr>
          <w:rFonts w:ascii="Book Antiqua" w:hAnsi="Book Antiqua"/>
          <w:sz w:val="24"/>
        </w:rPr>
      </w:pPr>
      <w:r w:rsidRPr="00861808">
        <w:rPr>
          <w:rFonts w:ascii="Book Antiqua" w:hAnsi="Book Antiqua"/>
          <w:sz w:val="24"/>
        </w:rPr>
        <w:t>As indicated by the logistic regression model, the predicted probability of EVB occurrence in cirrhotic patients was due to an increase in ΔMELD and LGVV and a decrease in the hepatopetal LGV blood flow. Thus a new index was proposed, the MELD-US-Doppler index (MUI), which includes ΔMELD, LGVV and LGVBFD in order to strengthen the diagnostic accuracy: MUI = Logit (P) = 1.667(ΔMELD) + 2.096(LGVV) - 3.245(LGVBFD) - 1.697. The AUCs for prediction of EVB occurrence were substantially higher for the MUI compared to the ΔMELD, LGVV or LGVBFD alone (Figure 1). The highest diagnostic accuracy (85.8%) was demonstrated with a MUI of 46, with a specificity of 80% (95%CI: 65.4-90.4) and a sensitivity of 87.27% (95%CI: 75.5-94.7).</w:t>
      </w:r>
    </w:p>
    <w:p w:rsidR="00380878" w:rsidRPr="00861808" w:rsidRDefault="00380878" w:rsidP="00571FFD">
      <w:pPr>
        <w:spacing w:line="360" w:lineRule="auto"/>
        <w:ind w:firstLineChars="200" w:firstLine="480"/>
        <w:rPr>
          <w:rFonts w:ascii="Book Antiqua" w:hAnsi="Book Antiqua"/>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t>DISCUSSION</w:t>
      </w:r>
    </w:p>
    <w:p w:rsidR="00380878" w:rsidRPr="00861808" w:rsidRDefault="00380878" w:rsidP="000E76F5">
      <w:pPr>
        <w:spacing w:line="360" w:lineRule="auto"/>
        <w:rPr>
          <w:rFonts w:ascii="Book Antiqua" w:hAnsi="Book Antiqua"/>
          <w:sz w:val="24"/>
        </w:rPr>
      </w:pPr>
      <w:r w:rsidRPr="00861808">
        <w:rPr>
          <w:rFonts w:ascii="Book Antiqua" w:hAnsi="Book Antiqua"/>
          <w:sz w:val="24"/>
        </w:rPr>
        <w:t xml:space="preserve">In cirrhotic patients, esophageal varices are a common complication, occurring in 35 to 80% of individuals. Approximately one-third of patients with esophageal varices will go on to develop EVB, </w:t>
      </w:r>
      <w:bookmarkStart w:id="29" w:name="OLE_LINK40"/>
      <w:bookmarkStart w:id="30" w:name="OLE_LINK41"/>
      <w:r w:rsidRPr="00861808">
        <w:rPr>
          <w:rFonts w:ascii="Book Antiqua" w:hAnsi="Book Antiqua"/>
          <w:sz w:val="24"/>
        </w:rPr>
        <w:t>a potentially fatal complication</w:t>
      </w:r>
      <w:bookmarkEnd w:id="29"/>
      <w:bookmarkEnd w:id="30"/>
      <w:r w:rsidRPr="00861808">
        <w:rPr>
          <w:rFonts w:ascii="Book Antiqua" w:hAnsi="Book Antiqua"/>
          <w:color w:val="0000FF"/>
          <w:sz w:val="24"/>
          <w:vertAlign w:val="superscript"/>
        </w:rPr>
        <w:t>[11-14]</w:t>
      </w:r>
      <w:r w:rsidRPr="00861808">
        <w:rPr>
          <w:rFonts w:ascii="Book Antiqua" w:hAnsi="Book Antiqua"/>
          <w:sz w:val="24"/>
        </w:rPr>
        <w:t>, with 70% of these at risk for additional bleeding episodes</w:t>
      </w:r>
      <w:r w:rsidRPr="00861808">
        <w:rPr>
          <w:rFonts w:ascii="Book Antiqua" w:hAnsi="Book Antiqua"/>
          <w:color w:val="0000FF"/>
          <w:sz w:val="24"/>
          <w:vertAlign w:val="superscript"/>
        </w:rPr>
        <w:t>[15]</w:t>
      </w:r>
      <w:r w:rsidRPr="00861808">
        <w:rPr>
          <w:rFonts w:ascii="Book Antiqua" w:hAnsi="Book Antiqua"/>
          <w:sz w:val="24"/>
        </w:rPr>
        <w:t xml:space="preserve">. Prophylactic therapies such as endoscopic </w:t>
      </w:r>
      <w:r w:rsidRPr="00861808">
        <w:rPr>
          <w:rFonts w:ascii="Book Antiqua" w:hAnsi="Book Antiqua"/>
          <w:sz w:val="24"/>
        </w:rPr>
        <w:lastRenderedPageBreak/>
        <w:t>variceal ligation, sclerotherapy or surgery should be offered to patients at high risk for EVB. The serious nature of EVB and its complications necessitates the development of a reliable system to predict the risk of bleeding in patients. Although screening by endoscopy is currently recommended for all cirrhotic patients</w:t>
      </w:r>
      <w:r w:rsidRPr="00861808">
        <w:rPr>
          <w:rFonts w:ascii="Book Antiqua" w:hAnsi="Book Antiqua"/>
          <w:color w:val="0000FF"/>
          <w:sz w:val="24"/>
          <w:vertAlign w:val="superscript"/>
        </w:rPr>
        <w:t>[1-5]</w:t>
      </w:r>
      <w:r w:rsidRPr="00861808">
        <w:rPr>
          <w:rFonts w:ascii="Book Antiqua" w:hAnsi="Book Antiqua"/>
          <w:sz w:val="24"/>
        </w:rPr>
        <w:t>, can identify esophageal varices and provide information on variceal severity, the procedure is difficult to implement in developing countries due to the high cost, inconvenience and potential complications.</w:t>
      </w:r>
    </w:p>
    <w:p w:rsidR="00380878" w:rsidRPr="00861808" w:rsidRDefault="00380878" w:rsidP="00571FFD">
      <w:pPr>
        <w:spacing w:line="360" w:lineRule="auto"/>
        <w:ind w:firstLineChars="200" w:firstLine="480"/>
        <w:rPr>
          <w:rFonts w:ascii="Book Antiqua" w:hAnsi="Book Antiqua"/>
          <w:sz w:val="24"/>
        </w:rPr>
      </w:pPr>
      <w:r w:rsidRPr="00861808">
        <w:rPr>
          <w:rFonts w:ascii="Book Antiqua" w:hAnsi="Book Antiqua"/>
          <w:sz w:val="24"/>
        </w:rPr>
        <w:t>The MELD system, initially developed to assess mortality risk in patients receiving TIPS</w:t>
      </w:r>
      <w:r w:rsidRPr="00861808">
        <w:rPr>
          <w:rFonts w:ascii="Book Antiqua" w:hAnsi="Book Antiqua"/>
          <w:color w:val="0000FF"/>
          <w:sz w:val="24"/>
          <w:vertAlign w:val="superscript"/>
        </w:rPr>
        <w:t>[16]</w:t>
      </w:r>
      <w:r w:rsidRPr="00861808">
        <w:rPr>
          <w:rFonts w:ascii="Book Antiqua" w:hAnsi="Book Antiqua"/>
          <w:sz w:val="24"/>
        </w:rPr>
        <w:t>,</w:t>
      </w:r>
      <w:r w:rsidRPr="00861808">
        <w:rPr>
          <w:rFonts w:ascii="Book Antiqua" w:hAnsi="Book Antiqua"/>
          <w:sz w:val="24"/>
          <w:vertAlign w:val="superscript"/>
        </w:rPr>
        <w:t xml:space="preserve"> </w:t>
      </w:r>
      <w:r w:rsidRPr="00861808">
        <w:rPr>
          <w:rFonts w:ascii="Book Antiqua" w:hAnsi="Book Antiqua"/>
          <w:sz w:val="24"/>
        </w:rPr>
        <w:t>was based on a highly selective subgroup of cirrhotic patients. Despite this caveat, the MELD score provides a reliable short-term survival estimate for a broad spectrum of liver diseases</w:t>
      </w:r>
      <w:r w:rsidRPr="00861808">
        <w:rPr>
          <w:rFonts w:ascii="Book Antiqua" w:hAnsi="Book Antiqua"/>
          <w:color w:val="0000FF"/>
          <w:sz w:val="24"/>
          <w:vertAlign w:val="superscript"/>
        </w:rPr>
        <w:t>[17]</w:t>
      </w:r>
      <w:r w:rsidRPr="00861808">
        <w:rPr>
          <w:rFonts w:ascii="Book Antiqua" w:hAnsi="Book Antiqua"/>
          <w:sz w:val="24"/>
        </w:rPr>
        <w:t xml:space="preserve">. The MELD scoring system was then adopted by UNOS in February 2002 as a way to prioritize livers for transplantation. A </w:t>
      </w:r>
      <w:r w:rsidRPr="00861808">
        <w:rPr>
          <w:rFonts w:ascii="Book Antiqua" w:hAnsi="Book Antiqua"/>
          <w:kern w:val="0"/>
          <w:sz w:val="24"/>
        </w:rPr>
        <w:t>more recent study performed by</w:t>
      </w:r>
      <w:r w:rsidRPr="00861808">
        <w:rPr>
          <w:rFonts w:ascii="Book Antiqua" w:hAnsi="Book Antiqua"/>
          <w:sz w:val="24"/>
        </w:rPr>
        <w:t xml:space="preserve"> Merion </w:t>
      </w:r>
      <w:r w:rsidRPr="00861808">
        <w:rPr>
          <w:rFonts w:ascii="Book Antiqua" w:hAnsi="Book Antiqua"/>
          <w:i/>
          <w:sz w:val="24"/>
        </w:rPr>
        <w:t>et al</w:t>
      </w:r>
      <w:r w:rsidRPr="00861808">
        <w:rPr>
          <w:rFonts w:ascii="Book Antiqua" w:hAnsi="Book Antiqua"/>
          <w:color w:val="0000FF"/>
          <w:sz w:val="24"/>
          <w:vertAlign w:val="superscript"/>
        </w:rPr>
        <w:t>[10]</w:t>
      </w:r>
      <w:r w:rsidRPr="00861808">
        <w:rPr>
          <w:rFonts w:ascii="Book Antiqua" w:hAnsi="Book Antiqua"/>
          <w:sz w:val="24"/>
        </w:rPr>
        <w:t xml:space="preserve"> analyzing the utility of MELD in assessing survival of patients awaiting liver transplantation, showed that a change in the MELD over a 30-day period was a better predictor of mortality than a one-time MELD score. The alterations in prothrombin time and serum bilirubin and creatinine levels are factors known to perturb the MELD score. Increased MELD scores are indicative of more severe liver disease and may signify the presence of complications, such as EVB, which ultimately increase the risk for patient mortality.</w:t>
      </w:r>
    </w:p>
    <w:p w:rsidR="00380878" w:rsidRPr="00861808" w:rsidRDefault="00380878" w:rsidP="000E76F5">
      <w:pPr>
        <w:autoSpaceDE w:val="0"/>
        <w:autoSpaceDN w:val="0"/>
        <w:adjustRightInd w:val="0"/>
        <w:spacing w:line="360" w:lineRule="auto"/>
        <w:ind w:firstLine="400"/>
        <w:rPr>
          <w:rFonts w:ascii="Book Antiqua" w:hAnsi="Book Antiqua"/>
          <w:sz w:val="24"/>
        </w:rPr>
      </w:pPr>
      <w:r w:rsidRPr="00861808">
        <w:rPr>
          <w:rFonts w:ascii="Book Antiqua" w:hAnsi="Book Antiqua"/>
          <w:kern w:val="0"/>
          <w:sz w:val="24"/>
        </w:rPr>
        <w:t>The results of this prospective study further demonstrate the prognostic value of the MELD score in prediction of EVB risk in cirrhotic patients. The change in MELD score over time provides a more dynamic profile of disease severity that may be indicative of cirrhotic complications. Previously, most studies have calculated a change in the MELD score over a one-month time interval</w:t>
      </w:r>
      <w:r w:rsidRPr="00861808">
        <w:rPr>
          <w:rFonts w:ascii="Book Antiqua" w:hAnsi="Book Antiqua"/>
          <w:color w:val="0000FF"/>
          <w:kern w:val="0"/>
          <w:sz w:val="24"/>
          <w:vertAlign w:val="superscript"/>
        </w:rPr>
        <w:t>[18,19]</w:t>
      </w:r>
      <w:r w:rsidRPr="00861808">
        <w:rPr>
          <w:rFonts w:ascii="Book Antiqua" w:hAnsi="Book Antiqua"/>
          <w:kern w:val="0"/>
          <w:sz w:val="24"/>
        </w:rPr>
        <w:t xml:space="preserve">, which is insufficient for an accurate estimate of the dynamically occurring changes. Moreover, the frequency of MELD score evaluations may incite patient resistance to follow-up visits. To overcome this obstacle, the follow-up interval in this study was lengthened to three months. </w:t>
      </w:r>
      <w:r w:rsidRPr="00861808">
        <w:rPr>
          <w:rFonts w:ascii="Book Antiqua" w:hAnsi="Book Antiqua"/>
          <w:sz w:val="24"/>
        </w:rPr>
        <w:t>A multivariate logistic regression analysis demonstrated that the</w:t>
      </w:r>
      <w:r w:rsidRPr="00861808">
        <w:rPr>
          <w:rFonts w:ascii="Book Antiqua" w:hAnsi="Book Antiqua"/>
          <w:i/>
          <w:sz w:val="24"/>
        </w:rPr>
        <w:t xml:space="preserve"> </w:t>
      </w:r>
      <w:r w:rsidRPr="00861808">
        <w:rPr>
          <w:rFonts w:ascii="Book Antiqua" w:hAnsi="Book Antiqua"/>
          <w:sz w:val="24"/>
        </w:rPr>
        <w:t>ΔMELD score was an independent predictive factor for EVB risk, indicating that</w:t>
      </w:r>
      <w:r w:rsidRPr="00861808">
        <w:rPr>
          <w:rFonts w:ascii="Book Antiqua" w:hAnsi="Book Antiqua" w:cs="Cambria Math"/>
          <w:sz w:val="24"/>
        </w:rPr>
        <w:t xml:space="preserve"> patients with a rapid deterioration in liver function, and thus a higher </w:t>
      </w:r>
      <w:r w:rsidRPr="00861808">
        <w:rPr>
          <w:rFonts w:ascii="Book Antiqua" w:hAnsi="Book Antiqua"/>
          <w:sz w:val="24"/>
        </w:rPr>
        <w:t xml:space="preserve">ΔMELD, are at </w:t>
      </w:r>
      <w:r w:rsidRPr="00861808">
        <w:rPr>
          <w:rFonts w:ascii="Book Antiqua" w:hAnsi="Book Antiqua"/>
          <w:sz w:val="24"/>
        </w:rPr>
        <w:lastRenderedPageBreak/>
        <w:t>a higher risk for EVB.</w:t>
      </w:r>
    </w:p>
    <w:p w:rsidR="00380878" w:rsidRPr="00861808" w:rsidRDefault="00380878" w:rsidP="00571FFD">
      <w:pPr>
        <w:spacing w:line="360" w:lineRule="auto"/>
        <w:ind w:firstLineChars="200" w:firstLine="480"/>
        <w:rPr>
          <w:rFonts w:ascii="Book Antiqua" w:hAnsi="Book Antiqua"/>
          <w:kern w:val="0"/>
          <w:sz w:val="24"/>
        </w:rPr>
      </w:pPr>
      <w:r w:rsidRPr="00861808">
        <w:rPr>
          <w:rFonts w:ascii="Book Antiqua" w:hAnsi="Book Antiqua"/>
          <w:kern w:val="0"/>
          <w:sz w:val="24"/>
        </w:rPr>
        <w:t xml:space="preserve">Portal hypertension, characterized by an increase in PV pressure, is caused by a blockage in blood flow through the liver. This increase in PV pressure results in the development of varices in the stomach and esophagus in an effort to bypass the blockage. These enlarged vessels are fragile and bleed more easily. Noninvasive, rapid, highly sensitive and specific ultrasound approaches such as </w:t>
      </w:r>
      <w:r w:rsidRPr="00861808">
        <w:rPr>
          <w:rFonts w:ascii="Book Antiqua" w:hAnsi="Book Antiqua"/>
          <w:sz w:val="24"/>
        </w:rPr>
        <w:t xml:space="preserve">duplex ultrasonography or color US-Doppler are the modalities of choice to examine patients for bleeds. Although attention has been predominantly focused on measurement of PV and SV size, dilation of the LGV can also occur as a result of portal hypertension. LGV blood flow direction and velocity within its trunk and branches may affect blood flow to </w:t>
      </w:r>
      <w:r w:rsidRPr="00861808">
        <w:rPr>
          <w:rFonts w:ascii="Book Antiqua" w:hAnsi="Book Antiqua"/>
          <w:kern w:val="0"/>
          <w:sz w:val="24"/>
        </w:rPr>
        <w:t xml:space="preserve">esophageal </w:t>
      </w:r>
      <w:r w:rsidRPr="00861808">
        <w:rPr>
          <w:rFonts w:ascii="Book Antiqua" w:hAnsi="Book Antiqua"/>
          <w:sz w:val="24"/>
        </w:rPr>
        <w:t xml:space="preserve">varices or contribute to their development. </w:t>
      </w:r>
      <w:r w:rsidRPr="00861808">
        <w:rPr>
          <w:rFonts w:ascii="Book Antiqua" w:hAnsi="Book Antiqua"/>
          <w:kern w:val="0"/>
          <w:sz w:val="24"/>
        </w:rPr>
        <w:t xml:space="preserve">To support this idea, previous </w:t>
      </w:r>
      <w:r w:rsidRPr="00861808">
        <w:rPr>
          <w:rFonts w:ascii="Book Antiqua" w:hAnsi="Book Antiqua"/>
          <w:sz w:val="24"/>
        </w:rPr>
        <w:t>s</w:t>
      </w:r>
      <w:r w:rsidRPr="00861808">
        <w:rPr>
          <w:rFonts w:ascii="Book Antiqua" w:hAnsi="Book Antiqua"/>
          <w:kern w:val="0"/>
          <w:sz w:val="24"/>
        </w:rPr>
        <w:t xml:space="preserve">tudies have demonstrated a </w:t>
      </w:r>
      <w:r w:rsidRPr="00861808">
        <w:rPr>
          <w:rFonts w:ascii="Book Antiqua" w:hAnsi="Book Antiqua"/>
          <w:sz w:val="24"/>
        </w:rPr>
        <w:t xml:space="preserve">strong </w:t>
      </w:r>
      <w:r w:rsidRPr="00861808">
        <w:rPr>
          <w:rFonts w:ascii="Book Antiqua" w:hAnsi="Book Antiqua"/>
          <w:kern w:val="0"/>
          <w:sz w:val="24"/>
        </w:rPr>
        <w:t>correlation between LGV hepatofugal blood flow velocity and EVB</w:t>
      </w:r>
      <w:r w:rsidRPr="00861808">
        <w:rPr>
          <w:rFonts w:ascii="Book Antiqua" w:hAnsi="Book Antiqua"/>
          <w:color w:val="0000FF"/>
          <w:sz w:val="24"/>
          <w:vertAlign w:val="superscript"/>
        </w:rPr>
        <w:t>[20-23]</w:t>
      </w:r>
      <w:r w:rsidRPr="00861808">
        <w:rPr>
          <w:rFonts w:ascii="Book Antiqua" w:hAnsi="Book Antiqua"/>
          <w:kern w:val="0"/>
          <w:sz w:val="24"/>
        </w:rPr>
        <w:t xml:space="preserve">. To this end, Wachsberg </w:t>
      </w:r>
      <w:r w:rsidRPr="00861808">
        <w:rPr>
          <w:rFonts w:ascii="Book Antiqua" w:hAnsi="Book Antiqua"/>
          <w:i/>
          <w:kern w:val="0"/>
          <w:sz w:val="24"/>
        </w:rPr>
        <w:t>et al</w:t>
      </w:r>
      <w:r w:rsidRPr="00861808">
        <w:rPr>
          <w:rFonts w:ascii="Book Antiqua" w:hAnsi="Book Antiqua"/>
          <w:color w:val="0000FF"/>
          <w:sz w:val="24"/>
          <w:vertAlign w:val="superscript"/>
        </w:rPr>
        <w:t>[22]</w:t>
      </w:r>
      <w:r w:rsidRPr="00861808">
        <w:rPr>
          <w:rFonts w:ascii="Book Antiqua" w:hAnsi="Book Antiqua"/>
          <w:sz w:val="24"/>
          <w:vertAlign w:val="superscript"/>
        </w:rPr>
        <w:t xml:space="preserve"> </w:t>
      </w:r>
      <w:r w:rsidRPr="00861808">
        <w:rPr>
          <w:rFonts w:ascii="Book Antiqua" w:hAnsi="Book Antiqua"/>
          <w:kern w:val="0"/>
          <w:sz w:val="24"/>
        </w:rPr>
        <w:t>showed that portal hypertension patients with preserved hepatopetal LGV flow were at a lower risk for bleeding. In the present study, the</w:t>
      </w:r>
      <w:r w:rsidRPr="00861808">
        <w:rPr>
          <w:rFonts w:ascii="Book Antiqua" w:hAnsi="Book Antiqua"/>
          <w:sz w:val="24"/>
        </w:rPr>
        <w:t xml:space="preserve"> EVB+ group had a significantly higher </w:t>
      </w:r>
      <w:r w:rsidRPr="00861808">
        <w:rPr>
          <w:rStyle w:val="keyword"/>
          <w:rFonts w:ascii="Book Antiqua" w:hAnsi="Book Antiqua"/>
          <w:sz w:val="24"/>
        </w:rPr>
        <w:t>proportion</w:t>
      </w:r>
      <w:r w:rsidRPr="00861808">
        <w:rPr>
          <w:rFonts w:ascii="Book Antiqua" w:hAnsi="Book Antiqua"/>
          <w:sz w:val="24"/>
        </w:rPr>
        <w:t xml:space="preserve"> of patients with hepatofugal LGV blood flow and significantly larger LGV diameters. However, a multivariate logistic regression analysis</w:t>
      </w:r>
      <w:r w:rsidRPr="00861808" w:rsidDel="00730691">
        <w:rPr>
          <w:rFonts w:ascii="Book Antiqua" w:hAnsi="Book Antiqua"/>
          <w:sz w:val="24"/>
        </w:rPr>
        <w:t xml:space="preserve"> </w:t>
      </w:r>
      <w:r w:rsidRPr="00861808">
        <w:rPr>
          <w:rFonts w:ascii="Book Antiqua" w:hAnsi="Book Antiqua"/>
          <w:sz w:val="24"/>
        </w:rPr>
        <w:t>showed that hepatofugual LGV blood flow and an enlarged LGV diameter were not independent predictive factors for EVB. Rather, the results indicate that both the LGVV and the LGVBFD were independently associated with incidences of EVB.</w:t>
      </w:r>
    </w:p>
    <w:p w:rsidR="00380878" w:rsidRPr="00861808" w:rsidRDefault="00380878" w:rsidP="00571FFD">
      <w:pPr>
        <w:autoSpaceDE w:val="0"/>
        <w:autoSpaceDN w:val="0"/>
        <w:adjustRightInd w:val="0"/>
        <w:spacing w:line="360" w:lineRule="auto"/>
        <w:ind w:firstLineChars="200" w:firstLine="480"/>
        <w:rPr>
          <w:rFonts w:ascii="Book Antiqua" w:hAnsi="Book Antiqua"/>
          <w:kern w:val="0"/>
          <w:sz w:val="24"/>
        </w:rPr>
      </w:pPr>
      <w:r w:rsidRPr="00861808">
        <w:rPr>
          <w:rFonts w:ascii="Book Antiqua" w:hAnsi="Book Antiqua"/>
          <w:sz w:val="24"/>
        </w:rPr>
        <w:t xml:space="preserve">An ROC analysis demonstrated that the ΔMELD, LGVV, or LGVBFD alone were insufficient in providing diagnostic accuracy for EVB prediction. When the three independent factors were combined to form the MUI, however, a significant diagnostic accuracy was achieved, with a high AUC. Moreover, a MUI of 46 provides high sensitivity, specificity and positive and negative predictive value for the study population. By establishing the above cutoff value, a correct prediction for EVB would have been obtained in 85.8% of patients, without the need for an invasive endoscopy. Thus, the MUI represents a low-cost, convenient and noninvasive index to predict EVB occurrence during a short time-period (three months). The </w:t>
      </w:r>
      <w:r w:rsidRPr="00861808">
        <w:rPr>
          <w:rFonts w:ascii="Book Antiqua" w:hAnsi="Book Antiqua"/>
          <w:sz w:val="24"/>
        </w:rPr>
        <w:lastRenderedPageBreak/>
        <w:t>combination of a rapid increase in the MELD score, indicating liver function deterioration, with an increase in hepatofugal LGV blood flow leads to portal hypertension, ultimately causing varices to become fragile and more prone to bleeding.</w:t>
      </w:r>
    </w:p>
    <w:p w:rsidR="00380878" w:rsidRPr="00861808" w:rsidRDefault="00380878" w:rsidP="00571FFD">
      <w:pPr>
        <w:spacing w:line="360" w:lineRule="auto"/>
        <w:ind w:firstLineChars="200" w:firstLine="480"/>
        <w:rPr>
          <w:rFonts w:ascii="Book Antiqua" w:hAnsi="Book Antiqua"/>
          <w:kern w:val="0"/>
          <w:sz w:val="24"/>
        </w:rPr>
      </w:pPr>
      <w:r w:rsidRPr="00861808">
        <w:rPr>
          <w:rFonts w:ascii="Book Antiqua" w:hAnsi="Book Antiqua"/>
          <w:sz w:val="24"/>
        </w:rPr>
        <w:t>Although this study demonstrates that a newly developed MUI results in an improved diagnostic accuracy for EVB prediction, there are still some limitations of this study. First, the results suggest that a small percentage of high-risk patients could be improperly diagnosed with EVB, which can have serious consequences for the patient. For example, seven patients in the EVB+ group would have been misdiagnosed. Second, because a majority of the patients were unwilling to undergo frequent screening endoscopies, a side-by-side comparison of the predicative ability of the MUI versus endoscopy was impossible. Third, the current study was a single-center study, and independent external validation in other patient populations is required to validate the predictive ability of the MUI.</w:t>
      </w:r>
      <w:r w:rsidRPr="00861808">
        <w:rPr>
          <w:rFonts w:ascii="Book Antiqua" w:hAnsi="Book Antiqua"/>
          <w:kern w:val="0"/>
          <w:sz w:val="24"/>
        </w:rPr>
        <w:t xml:space="preserve"> Fourth, as MELD scores are particularly effective in predicting one-year patient survival</w:t>
      </w:r>
      <w:r w:rsidRPr="00861808">
        <w:rPr>
          <w:rFonts w:ascii="Book Antiqua" w:hAnsi="Book Antiqua"/>
          <w:color w:val="0000FF"/>
          <w:kern w:val="0"/>
          <w:sz w:val="24"/>
          <w:vertAlign w:val="superscript"/>
        </w:rPr>
        <w:t>[24,25]</w:t>
      </w:r>
      <w:r w:rsidRPr="00861808">
        <w:rPr>
          <w:rFonts w:ascii="Book Antiqua" w:hAnsi="Book Antiqua"/>
          <w:kern w:val="0"/>
          <w:sz w:val="24"/>
        </w:rPr>
        <w:t xml:space="preserve">, an investigation of the </w:t>
      </w:r>
      <w:r w:rsidRPr="00861808">
        <w:rPr>
          <w:rFonts w:ascii="Book Antiqua" w:hAnsi="Book Antiqua"/>
          <w:sz w:val="24"/>
        </w:rPr>
        <w:t>predictive ability</w:t>
      </w:r>
      <w:r w:rsidRPr="00861808">
        <w:rPr>
          <w:rFonts w:ascii="Book Antiqua" w:hAnsi="Book Antiqua"/>
          <w:kern w:val="0"/>
          <w:sz w:val="24"/>
        </w:rPr>
        <w:t xml:space="preserve"> for the MUI in an intermediate-term is needed.</w:t>
      </w:r>
    </w:p>
    <w:p w:rsidR="00380878" w:rsidRPr="00861808" w:rsidRDefault="00380878" w:rsidP="000E76F5">
      <w:pPr>
        <w:spacing w:line="360" w:lineRule="auto"/>
        <w:ind w:firstLine="400"/>
        <w:rPr>
          <w:rFonts w:ascii="Book Antiqua" w:hAnsi="Book Antiqua"/>
          <w:sz w:val="24"/>
        </w:rPr>
      </w:pPr>
      <w:r w:rsidRPr="00861808">
        <w:rPr>
          <w:rFonts w:ascii="Book Antiqua" w:hAnsi="Book Antiqua"/>
          <w:sz w:val="24"/>
        </w:rPr>
        <w:t>In conclusion, the newly developed MUI presented here is a noninvasive, affordable and convenient index to assess EVB risk in decompensated cirrhosis patients. It is a suitable alternative for patients who have declined regular screening via endoscopy. It is currently unclear whether the MUI can reduce the requirement for screening endoscopies, and future prospective studies are warranted to further validate the clinical strength of this index.</w:t>
      </w:r>
    </w:p>
    <w:p w:rsidR="00380878" w:rsidRPr="00861808" w:rsidRDefault="00380878" w:rsidP="00571FFD">
      <w:pPr>
        <w:spacing w:line="360" w:lineRule="auto"/>
        <w:ind w:firstLineChars="150" w:firstLine="360"/>
        <w:rPr>
          <w:rFonts w:ascii="Book Antiqua" w:hAnsi="Book Antiqua"/>
          <w:sz w:val="24"/>
        </w:rPr>
      </w:pPr>
      <w:r w:rsidRPr="00861808">
        <w:rPr>
          <w:rFonts w:ascii="Book Antiqua" w:hAnsi="Book Antiqua"/>
          <w:sz w:val="24"/>
        </w:rPr>
        <w:br w:type="page"/>
      </w: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t>COMMENTS</w:t>
      </w: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Background</w:t>
      </w:r>
    </w:p>
    <w:p w:rsidR="00380878" w:rsidRPr="00861808" w:rsidRDefault="00380878" w:rsidP="000E76F5">
      <w:pPr>
        <w:spacing w:line="360" w:lineRule="auto"/>
        <w:rPr>
          <w:rFonts w:ascii="Book Antiqua" w:hAnsi="Book Antiqua"/>
          <w:sz w:val="24"/>
        </w:rPr>
      </w:pPr>
      <w:r w:rsidRPr="00861808">
        <w:rPr>
          <w:rFonts w:ascii="Book Antiqua" w:hAnsi="Book Antiqua"/>
          <w:sz w:val="24"/>
        </w:rPr>
        <w:t>A predominant cause of morbidity and mortality in decompensated cirrhosis patients is acute esophageal variceal bleeding (EVB). To determine whether a cirrhotic patient is at risk for EVB, they must undergo screening endoscopies to grade the varices and look for the presence of red signs. However, screening endoscopies are invasive, uncomfortable and expensive to those in developing nations, thus the frequency of endoscopic examination is often quite limited.</w:t>
      </w:r>
    </w:p>
    <w:p w:rsidR="00380878" w:rsidRPr="00861808" w:rsidRDefault="00380878" w:rsidP="000E76F5">
      <w:pPr>
        <w:spacing w:line="360" w:lineRule="auto"/>
        <w:rPr>
          <w:rFonts w:ascii="Book Antiqua" w:hAnsi="Book Antiqua"/>
          <w:b/>
          <w:sz w:val="24"/>
        </w:rPr>
      </w:pP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Research frontiers</w:t>
      </w:r>
    </w:p>
    <w:p w:rsidR="00380878" w:rsidRPr="00861808" w:rsidRDefault="00380878" w:rsidP="000E76F5">
      <w:pPr>
        <w:spacing w:line="360" w:lineRule="auto"/>
        <w:rPr>
          <w:rFonts w:ascii="Book Antiqua" w:hAnsi="Book Antiqua"/>
          <w:sz w:val="24"/>
        </w:rPr>
      </w:pPr>
      <w:r w:rsidRPr="00861808">
        <w:rPr>
          <w:rFonts w:ascii="Book Antiqua" w:hAnsi="Book Antiqua"/>
          <w:sz w:val="24"/>
        </w:rPr>
        <w:t xml:space="preserve">The Model for End-stage Liver Disease (MELD) score is widely used in western countries to evaluate the status of cirrhotic patients, and has been adopted by the United Network of Organ Sharing (UNOS) to prioritize patients awaiting a liver transplant from a deceased donor. Increased MELD scores are indicative of more severe liver disease and may signify the presence of complications such as EVB, which ultimately increase the risk for patient mortality. Analysis of the patient’s liver through an ultrasound approach using duplex ultrasonography and color Doppler is a noninvasive, affordable and simple method to diagnose and stage cirrhotic portal hypertension. </w:t>
      </w:r>
    </w:p>
    <w:p w:rsidR="00380878" w:rsidRPr="00861808" w:rsidRDefault="00380878" w:rsidP="000E76F5">
      <w:pPr>
        <w:spacing w:line="360" w:lineRule="auto"/>
        <w:rPr>
          <w:rFonts w:ascii="Book Antiqua" w:hAnsi="Book Antiqua"/>
          <w:b/>
          <w:i/>
          <w:sz w:val="24"/>
        </w:rPr>
      </w:pP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Innovations and breakthroughs</w:t>
      </w:r>
    </w:p>
    <w:p w:rsidR="00380878" w:rsidRPr="00861808" w:rsidRDefault="00380878" w:rsidP="000E76F5">
      <w:pPr>
        <w:spacing w:line="360" w:lineRule="auto"/>
        <w:rPr>
          <w:rFonts w:ascii="Book Antiqua" w:hAnsi="Book Antiqua"/>
          <w:b/>
          <w:sz w:val="24"/>
        </w:rPr>
      </w:pPr>
      <w:r w:rsidRPr="00861808">
        <w:rPr>
          <w:rFonts w:ascii="Book Antiqua" w:hAnsi="Book Antiqua"/>
          <w:sz w:val="24"/>
        </w:rPr>
        <w:t>This study demonstrates the use of a new index combining the MELD score and ultrasound-Doppler, the MUI, to predict EVB in a cohort of cirrhotic patients.</w:t>
      </w:r>
    </w:p>
    <w:p w:rsidR="00380878" w:rsidRPr="00861808" w:rsidRDefault="00380878" w:rsidP="000E76F5">
      <w:pPr>
        <w:spacing w:line="360" w:lineRule="auto"/>
        <w:rPr>
          <w:rFonts w:ascii="Book Antiqua" w:hAnsi="Book Antiqua"/>
          <w:b/>
          <w:i/>
          <w:sz w:val="24"/>
        </w:rPr>
      </w:pP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Applications</w:t>
      </w:r>
    </w:p>
    <w:p w:rsidR="00380878" w:rsidRPr="00861808" w:rsidRDefault="00380878" w:rsidP="000E76F5">
      <w:pPr>
        <w:spacing w:line="360" w:lineRule="auto"/>
        <w:rPr>
          <w:rFonts w:ascii="Book Antiqua" w:hAnsi="Book Antiqua"/>
          <w:b/>
          <w:i/>
          <w:sz w:val="24"/>
        </w:rPr>
      </w:pPr>
      <w:r w:rsidRPr="00861808">
        <w:rPr>
          <w:rFonts w:ascii="Book Antiqua" w:hAnsi="Book Antiqua"/>
          <w:sz w:val="24"/>
        </w:rPr>
        <w:t xml:space="preserve">The MUI is a noninvasive, affordable and convenient index to assess EVB risk in decompensated cirrhosis patients, and is a suitable alternative for patients who have declined regular endoscopic screening. However, it is currently unclear whether the MUI can reduce the requirement for screening endoscopies, and future prospective </w:t>
      </w:r>
      <w:r w:rsidRPr="00861808">
        <w:rPr>
          <w:rFonts w:ascii="Book Antiqua" w:hAnsi="Book Antiqua"/>
          <w:sz w:val="24"/>
        </w:rPr>
        <w:lastRenderedPageBreak/>
        <w:t>studies are warranted to further validate the clinical strength of this index.</w:t>
      </w:r>
    </w:p>
    <w:p w:rsidR="00380878" w:rsidRPr="00861808" w:rsidRDefault="00380878" w:rsidP="000E76F5">
      <w:pPr>
        <w:spacing w:line="360" w:lineRule="auto"/>
        <w:rPr>
          <w:rFonts w:ascii="Book Antiqua" w:hAnsi="Book Antiqua"/>
          <w:b/>
          <w:i/>
          <w:sz w:val="24"/>
        </w:rPr>
      </w:pP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Terminology</w:t>
      </w:r>
    </w:p>
    <w:p w:rsidR="00380878" w:rsidRPr="00861808" w:rsidRDefault="00380878" w:rsidP="000E76F5">
      <w:pPr>
        <w:spacing w:line="360" w:lineRule="auto"/>
        <w:rPr>
          <w:rFonts w:ascii="Book Antiqua" w:hAnsi="Book Antiqua"/>
          <w:sz w:val="24"/>
        </w:rPr>
      </w:pPr>
      <w:r w:rsidRPr="00861808">
        <w:rPr>
          <w:rFonts w:ascii="Book Antiqua" w:hAnsi="Book Antiqua"/>
          <w:sz w:val="24"/>
        </w:rPr>
        <w:t>MELD score is a widely used index to evaluate the status of cirrhotic patients and is based on the following objective parameters: total bilirubin, prothrombin time, international normalized ratio and serum creatinine. Portal hypertension, when portal pressure rises above 12 mmHg, is a feature associated with several disease conditions, though cirrhosis is the most common cause. Portal hypertension can promote the formation of esophageal varices, or enlarged vessels, which can lead to massive gastrointestinal hemorrhage.</w:t>
      </w:r>
    </w:p>
    <w:p w:rsidR="00380878" w:rsidRPr="00861808" w:rsidRDefault="00380878" w:rsidP="000E76F5">
      <w:pPr>
        <w:spacing w:line="360" w:lineRule="auto"/>
        <w:rPr>
          <w:rFonts w:ascii="Book Antiqua" w:hAnsi="Book Antiqua"/>
          <w:b/>
          <w:i/>
          <w:sz w:val="24"/>
        </w:rPr>
      </w:pPr>
    </w:p>
    <w:p w:rsidR="00380878" w:rsidRPr="00861808" w:rsidRDefault="00380878" w:rsidP="000E76F5">
      <w:pPr>
        <w:spacing w:line="360" w:lineRule="auto"/>
        <w:rPr>
          <w:rFonts w:ascii="Book Antiqua" w:hAnsi="Book Antiqua"/>
          <w:b/>
          <w:i/>
          <w:sz w:val="24"/>
        </w:rPr>
      </w:pPr>
      <w:r w:rsidRPr="00861808">
        <w:rPr>
          <w:rFonts w:ascii="Book Antiqua" w:hAnsi="Book Antiqua"/>
          <w:b/>
          <w:i/>
          <w:sz w:val="24"/>
        </w:rPr>
        <w:t>Peer review</w:t>
      </w:r>
    </w:p>
    <w:p w:rsidR="00380878" w:rsidRPr="00861808" w:rsidRDefault="00380878" w:rsidP="000E76F5">
      <w:pPr>
        <w:spacing w:line="360" w:lineRule="auto"/>
        <w:rPr>
          <w:rFonts w:ascii="Book Antiqua" w:hAnsi="Book Antiqua"/>
          <w:sz w:val="24"/>
        </w:rPr>
      </w:pPr>
      <w:r w:rsidRPr="00861808">
        <w:rPr>
          <w:rFonts w:ascii="Book Antiqua" w:hAnsi="Book Antiqua"/>
          <w:sz w:val="24"/>
        </w:rPr>
        <w:t>The study presented here is a useful and clinically relevant study on a newly developed index, the MUI, to evaluate the risk of esophageal variceal bleeding in cirrhotic patients. The MUI represents a suitable alternative for patients that have declined screening by endoscopy.</w:t>
      </w:r>
    </w:p>
    <w:p w:rsidR="00380878" w:rsidRPr="00861808" w:rsidRDefault="00380878" w:rsidP="000E76F5">
      <w:pPr>
        <w:spacing w:line="360" w:lineRule="auto"/>
        <w:rPr>
          <w:rFonts w:ascii="Book Antiqua" w:hAnsi="Book Antiqua"/>
          <w:sz w:val="24"/>
        </w:rPr>
      </w:pP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br w:type="page"/>
      </w:r>
      <w:r w:rsidRPr="00861808">
        <w:rPr>
          <w:rFonts w:ascii="Book Antiqua" w:hAnsi="Book Antiqua"/>
          <w:b/>
          <w:sz w:val="24"/>
        </w:rPr>
        <w:lastRenderedPageBreak/>
        <w:t>REFRENCES</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1 </w:t>
      </w:r>
      <w:r w:rsidRPr="00861808">
        <w:rPr>
          <w:rFonts w:ascii="Book Antiqua" w:hAnsi="Book Antiqua" w:cs="宋体"/>
          <w:b/>
          <w:bCs/>
          <w:color w:val="000000"/>
          <w:kern w:val="0"/>
          <w:sz w:val="24"/>
        </w:rPr>
        <w:t>Garcia-Tsao G</w:t>
      </w:r>
      <w:r w:rsidRPr="00861808">
        <w:rPr>
          <w:rFonts w:ascii="Book Antiqua" w:hAnsi="Book Antiqua" w:cs="宋体"/>
          <w:color w:val="000000"/>
          <w:kern w:val="0"/>
          <w:sz w:val="24"/>
        </w:rPr>
        <w:t>. Current management of the complications of cirrhosis and portal hypertension: variceal hemorrhage, ascites, and spontaneous bacterial peritonitis. </w:t>
      </w:r>
      <w:r w:rsidRPr="00861808">
        <w:rPr>
          <w:rFonts w:ascii="Book Antiqua" w:hAnsi="Book Antiqua" w:cs="宋体"/>
          <w:i/>
          <w:iCs/>
          <w:color w:val="000000"/>
          <w:kern w:val="0"/>
          <w:sz w:val="24"/>
        </w:rPr>
        <w:t>Gastroenterology</w:t>
      </w:r>
      <w:r w:rsidRPr="00861808">
        <w:rPr>
          <w:rFonts w:ascii="Book Antiqua" w:hAnsi="Book Antiqua" w:cs="宋体"/>
          <w:color w:val="000000"/>
          <w:kern w:val="0"/>
          <w:sz w:val="24"/>
        </w:rPr>
        <w:t> 2001; </w:t>
      </w:r>
      <w:r w:rsidRPr="00861808">
        <w:rPr>
          <w:rFonts w:ascii="Book Antiqua" w:hAnsi="Book Antiqua" w:cs="宋体"/>
          <w:b/>
          <w:bCs/>
          <w:color w:val="000000"/>
          <w:kern w:val="0"/>
          <w:sz w:val="24"/>
        </w:rPr>
        <w:t>120</w:t>
      </w:r>
      <w:r w:rsidRPr="00861808">
        <w:rPr>
          <w:rFonts w:ascii="Book Antiqua" w:hAnsi="Book Antiqua" w:cs="宋体"/>
          <w:color w:val="000000"/>
          <w:kern w:val="0"/>
          <w:sz w:val="24"/>
        </w:rPr>
        <w:t>: 726-748 [PMID: 11179247 DOI: 10.1053/gast.2001.22580]</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2 </w:t>
      </w:r>
      <w:r w:rsidRPr="00861808">
        <w:rPr>
          <w:rFonts w:ascii="Book Antiqua" w:hAnsi="Book Antiqua" w:cs="宋体"/>
          <w:b/>
          <w:bCs/>
          <w:color w:val="000000"/>
          <w:kern w:val="0"/>
          <w:sz w:val="24"/>
        </w:rPr>
        <w:t>D'Amico G</w:t>
      </w:r>
      <w:r w:rsidRPr="00861808">
        <w:rPr>
          <w:rFonts w:ascii="Book Antiqua" w:hAnsi="Book Antiqua" w:cs="宋体"/>
          <w:color w:val="000000"/>
          <w:kern w:val="0"/>
          <w:sz w:val="24"/>
        </w:rPr>
        <w:t>, Pagliaro L, Bosch J. The treatment of portal hypertension: a meta-analytic review. </w:t>
      </w:r>
      <w:r w:rsidRPr="00861808">
        <w:rPr>
          <w:rFonts w:ascii="Book Antiqua" w:hAnsi="Book Antiqua" w:cs="宋体"/>
          <w:i/>
          <w:iCs/>
          <w:color w:val="000000"/>
          <w:kern w:val="0"/>
          <w:sz w:val="24"/>
        </w:rPr>
        <w:t>Hepatology</w:t>
      </w:r>
      <w:r w:rsidRPr="00861808">
        <w:rPr>
          <w:rFonts w:ascii="Book Antiqua" w:hAnsi="Book Antiqua" w:cs="宋体"/>
          <w:color w:val="000000"/>
          <w:kern w:val="0"/>
          <w:sz w:val="24"/>
        </w:rPr>
        <w:t> 1995; </w:t>
      </w:r>
      <w:r w:rsidRPr="00861808">
        <w:rPr>
          <w:rFonts w:ascii="Book Antiqua" w:hAnsi="Book Antiqua" w:cs="宋体"/>
          <w:b/>
          <w:bCs/>
          <w:color w:val="000000"/>
          <w:kern w:val="0"/>
          <w:sz w:val="24"/>
        </w:rPr>
        <w:t>22</w:t>
      </w:r>
      <w:r w:rsidRPr="00861808">
        <w:rPr>
          <w:rFonts w:ascii="Book Antiqua" w:hAnsi="Book Antiqua" w:cs="宋体"/>
          <w:color w:val="000000"/>
          <w:kern w:val="0"/>
          <w:sz w:val="24"/>
        </w:rPr>
        <w:t>: 332-354 [PMID: 7601427 DOI: 10.1002/hep.1840220145]</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3 </w:t>
      </w:r>
      <w:r w:rsidRPr="00861808">
        <w:rPr>
          <w:rFonts w:ascii="Book Antiqua" w:hAnsi="Book Antiqua" w:cs="宋体"/>
          <w:b/>
          <w:bCs/>
          <w:color w:val="000000"/>
          <w:kern w:val="0"/>
          <w:sz w:val="24"/>
        </w:rPr>
        <w:t>Pagliaro L</w:t>
      </w:r>
      <w:r w:rsidRPr="00861808">
        <w:rPr>
          <w:rFonts w:ascii="Book Antiqua" w:hAnsi="Book Antiqua" w:cs="宋体"/>
          <w:color w:val="000000"/>
          <w:kern w:val="0"/>
          <w:sz w:val="24"/>
        </w:rPr>
        <w:t>, D'Amico G, Sörensen TI, Lebrec D, Burroughs AK, Morabito A, Tiné F, Politi F, Traina M. Prevention of first bleeding in cirrhosis. A meta-analysis of randomized trials of nonsurgical treatment. </w:t>
      </w:r>
      <w:r w:rsidRPr="00861808">
        <w:rPr>
          <w:rFonts w:ascii="Book Antiqua" w:hAnsi="Book Antiqua" w:cs="宋体"/>
          <w:i/>
          <w:iCs/>
          <w:color w:val="000000"/>
          <w:kern w:val="0"/>
          <w:sz w:val="24"/>
        </w:rPr>
        <w:t>Ann Intern Med</w:t>
      </w:r>
      <w:r w:rsidRPr="00861808">
        <w:rPr>
          <w:rFonts w:ascii="Book Antiqua" w:hAnsi="Book Antiqua" w:cs="宋体"/>
          <w:color w:val="000000"/>
          <w:kern w:val="0"/>
          <w:sz w:val="24"/>
        </w:rPr>
        <w:t> 1992; </w:t>
      </w:r>
      <w:r w:rsidRPr="00861808">
        <w:rPr>
          <w:rFonts w:ascii="Book Antiqua" w:hAnsi="Book Antiqua" w:cs="宋体"/>
          <w:b/>
          <w:bCs/>
          <w:color w:val="000000"/>
          <w:kern w:val="0"/>
          <w:sz w:val="24"/>
        </w:rPr>
        <w:t>117</w:t>
      </w:r>
      <w:r w:rsidRPr="00861808">
        <w:rPr>
          <w:rFonts w:ascii="Book Antiqua" w:hAnsi="Book Antiqua" w:cs="宋体"/>
          <w:color w:val="000000"/>
          <w:kern w:val="0"/>
          <w:sz w:val="24"/>
        </w:rPr>
        <w:t>: 59-70 [PMID: 1350716 DOI: 10.7326/0003-4819-117-1-59]</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4 </w:t>
      </w:r>
      <w:r w:rsidRPr="00861808">
        <w:rPr>
          <w:rFonts w:ascii="Book Antiqua" w:hAnsi="Book Antiqua" w:cs="宋体"/>
          <w:b/>
          <w:bCs/>
          <w:color w:val="000000"/>
          <w:kern w:val="0"/>
          <w:sz w:val="24"/>
        </w:rPr>
        <w:t>de Franchis R</w:t>
      </w:r>
      <w:r w:rsidRPr="00861808">
        <w:rPr>
          <w:rFonts w:ascii="Book Antiqua" w:hAnsi="Book Antiqua" w:cs="宋体"/>
          <w:color w:val="000000"/>
          <w:kern w:val="0"/>
          <w:sz w:val="24"/>
        </w:rPr>
        <w:t>. Evolving consensus in portal hypertension. Report of the Baveno IV consensus workshop on methodology of diagnosis and therapy in portal hypertension. </w:t>
      </w:r>
      <w:r w:rsidRPr="00861808">
        <w:rPr>
          <w:rFonts w:ascii="Book Antiqua" w:hAnsi="Book Antiqua" w:cs="宋体"/>
          <w:i/>
          <w:iCs/>
          <w:color w:val="000000"/>
          <w:kern w:val="0"/>
          <w:sz w:val="24"/>
        </w:rPr>
        <w:t>J Hepatol</w:t>
      </w:r>
      <w:r w:rsidRPr="00861808">
        <w:rPr>
          <w:rFonts w:ascii="Book Antiqua" w:hAnsi="Book Antiqua" w:cs="宋体"/>
          <w:color w:val="000000"/>
          <w:kern w:val="0"/>
          <w:sz w:val="24"/>
        </w:rPr>
        <w:t> 2005; </w:t>
      </w:r>
      <w:r w:rsidRPr="00861808">
        <w:rPr>
          <w:rFonts w:ascii="Book Antiqua" w:hAnsi="Book Antiqua" w:cs="宋体"/>
          <w:b/>
          <w:bCs/>
          <w:color w:val="000000"/>
          <w:kern w:val="0"/>
          <w:sz w:val="24"/>
        </w:rPr>
        <w:t>43</w:t>
      </w:r>
      <w:r w:rsidRPr="00861808">
        <w:rPr>
          <w:rFonts w:ascii="Book Antiqua" w:hAnsi="Book Antiqua" w:cs="宋体"/>
          <w:color w:val="000000"/>
          <w:kern w:val="0"/>
          <w:sz w:val="24"/>
        </w:rPr>
        <w:t>: 167-176 [PMID: 15925423 DOI: 10.1016/j.jhep.2005.05.009]</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5 </w:t>
      </w:r>
      <w:r w:rsidRPr="00861808">
        <w:rPr>
          <w:rFonts w:ascii="Book Antiqua" w:hAnsi="Book Antiqua" w:cs="宋体"/>
          <w:b/>
          <w:bCs/>
          <w:color w:val="000000"/>
          <w:kern w:val="0"/>
          <w:sz w:val="24"/>
        </w:rPr>
        <w:t>Grace ND</w:t>
      </w:r>
      <w:r w:rsidRPr="00861808">
        <w:rPr>
          <w:rFonts w:ascii="Book Antiqua" w:hAnsi="Book Antiqua" w:cs="宋体"/>
          <w:color w:val="000000"/>
          <w:kern w:val="0"/>
          <w:sz w:val="24"/>
        </w:rPr>
        <w:t>. Diagnosis and treatment of gastrointestinal bleeding secondary to portal hypertension. American College of Gastroenterology Practice Parameters Committee. </w:t>
      </w:r>
      <w:r w:rsidRPr="00861808">
        <w:rPr>
          <w:rFonts w:ascii="Book Antiqua" w:hAnsi="Book Antiqua" w:cs="宋体"/>
          <w:i/>
          <w:iCs/>
          <w:color w:val="000000"/>
          <w:kern w:val="0"/>
          <w:sz w:val="24"/>
        </w:rPr>
        <w:t>Am J Gastroenterol</w:t>
      </w:r>
      <w:r w:rsidRPr="00861808">
        <w:rPr>
          <w:rFonts w:ascii="Book Antiqua" w:hAnsi="Book Antiqua" w:cs="宋体"/>
          <w:color w:val="000000"/>
          <w:kern w:val="0"/>
          <w:sz w:val="24"/>
        </w:rPr>
        <w:t> 1997; </w:t>
      </w:r>
      <w:r w:rsidRPr="00861808">
        <w:rPr>
          <w:rFonts w:ascii="Book Antiqua" w:hAnsi="Book Antiqua" w:cs="宋体"/>
          <w:b/>
          <w:bCs/>
          <w:color w:val="000000"/>
          <w:kern w:val="0"/>
          <w:sz w:val="24"/>
        </w:rPr>
        <w:t>92</w:t>
      </w:r>
      <w:r w:rsidRPr="00861808">
        <w:rPr>
          <w:rFonts w:ascii="Book Antiqua" w:hAnsi="Book Antiqua" w:cs="宋体"/>
          <w:color w:val="000000"/>
          <w:kern w:val="0"/>
          <w:sz w:val="24"/>
        </w:rPr>
        <w:t>: 1081-1091 [PMID: 9219775]</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6 </w:t>
      </w:r>
      <w:r w:rsidRPr="00861808">
        <w:rPr>
          <w:rFonts w:ascii="Book Antiqua" w:hAnsi="Book Antiqua" w:cs="宋体"/>
          <w:b/>
          <w:bCs/>
          <w:color w:val="000000"/>
          <w:kern w:val="0"/>
          <w:sz w:val="24"/>
        </w:rPr>
        <w:t>Grace ND</w:t>
      </w:r>
      <w:r w:rsidRPr="00861808">
        <w:rPr>
          <w:rFonts w:ascii="Book Antiqua" w:hAnsi="Book Antiqua" w:cs="宋体"/>
          <w:color w:val="000000"/>
          <w:kern w:val="0"/>
          <w:sz w:val="24"/>
        </w:rPr>
        <w:t>, Groszmann RJ, Garcia-Tsao G, Burroughs AK, Pagliaro L, Makuch RW, Bosch J, Stiegmann GV, Henderson JM, de Franchis R, Wagner JL, Conn HO, Rodes J. Portal hypertension and variceal bleeding: an AASLD single topic symposium. </w:t>
      </w:r>
      <w:r w:rsidRPr="00861808">
        <w:rPr>
          <w:rFonts w:ascii="Book Antiqua" w:hAnsi="Book Antiqua" w:cs="宋体"/>
          <w:i/>
          <w:iCs/>
          <w:color w:val="000000"/>
          <w:kern w:val="0"/>
          <w:sz w:val="24"/>
        </w:rPr>
        <w:t>Hepatology</w:t>
      </w:r>
      <w:r w:rsidRPr="00861808">
        <w:rPr>
          <w:rFonts w:ascii="Book Antiqua" w:hAnsi="Book Antiqua" w:cs="宋体"/>
          <w:color w:val="000000"/>
          <w:kern w:val="0"/>
          <w:sz w:val="24"/>
        </w:rPr>
        <w:t> 1998; </w:t>
      </w:r>
      <w:r w:rsidRPr="00861808">
        <w:rPr>
          <w:rFonts w:ascii="Book Antiqua" w:hAnsi="Book Antiqua" w:cs="宋体"/>
          <w:b/>
          <w:bCs/>
          <w:color w:val="000000"/>
          <w:kern w:val="0"/>
          <w:sz w:val="24"/>
        </w:rPr>
        <w:t>28</w:t>
      </w:r>
      <w:r w:rsidRPr="00861808">
        <w:rPr>
          <w:rFonts w:ascii="Book Antiqua" w:hAnsi="Book Antiqua" w:cs="宋体"/>
          <w:color w:val="000000"/>
          <w:kern w:val="0"/>
          <w:sz w:val="24"/>
        </w:rPr>
        <w:t>: 868-880 [PMID: 9731585 DOI: 10.1002/hep.510280339]</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7 </w:t>
      </w:r>
      <w:r w:rsidRPr="00861808">
        <w:rPr>
          <w:rFonts w:ascii="Book Antiqua" w:hAnsi="Book Antiqua" w:cs="宋体"/>
          <w:b/>
          <w:bCs/>
          <w:color w:val="000000"/>
          <w:kern w:val="0"/>
          <w:sz w:val="24"/>
        </w:rPr>
        <w:t>Wiesner R</w:t>
      </w:r>
      <w:r w:rsidRPr="00861808">
        <w:rPr>
          <w:rFonts w:ascii="Book Antiqua" w:hAnsi="Book Antiqua" w:cs="宋体"/>
          <w:color w:val="000000"/>
          <w:kern w:val="0"/>
          <w:sz w:val="24"/>
        </w:rPr>
        <w:t>, Edwards E, Freeman R, Harper A, Kim R, Kamath P, Kremers W, Lake J, Howard T, Merion RM, Wolfe RA, Krom R. Model for end-stage liver disease (MELD) and allocation of donor livers. </w:t>
      </w:r>
      <w:r w:rsidRPr="00861808">
        <w:rPr>
          <w:rFonts w:ascii="Book Antiqua" w:hAnsi="Book Antiqua" w:cs="宋体"/>
          <w:i/>
          <w:iCs/>
          <w:color w:val="000000"/>
          <w:kern w:val="0"/>
          <w:sz w:val="24"/>
        </w:rPr>
        <w:t>Gastroenterology</w:t>
      </w:r>
      <w:r w:rsidRPr="00861808">
        <w:rPr>
          <w:rFonts w:ascii="Book Antiqua" w:hAnsi="Book Antiqua" w:cs="宋体"/>
          <w:color w:val="000000"/>
          <w:kern w:val="0"/>
          <w:sz w:val="24"/>
        </w:rPr>
        <w:t> 2003; </w:t>
      </w:r>
      <w:r w:rsidRPr="00861808">
        <w:rPr>
          <w:rFonts w:ascii="Book Antiqua" w:hAnsi="Book Antiqua" w:cs="宋体"/>
          <w:b/>
          <w:bCs/>
          <w:color w:val="000000"/>
          <w:kern w:val="0"/>
          <w:sz w:val="24"/>
        </w:rPr>
        <w:t>124</w:t>
      </w:r>
      <w:r w:rsidRPr="00861808">
        <w:rPr>
          <w:rFonts w:ascii="Book Antiqua" w:hAnsi="Book Antiqua" w:cs="宋体"/>
          <w:color w:val="000000"/>
          <w:kern w:val="0"/>
          <w:sz w:val="24"/>
        </w:rPr>
        <w:t>: 91-96 [PMID: 12512033 DOI: 10.1053/gast.2003.50016]</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8 </w:t>
      </w:r>
      <w:r w:rsidRPr="00861808">
        <w:rPr>
          <w:rFonts w:ascii="Book Antiqua" w:hAnsi="Book Antiqua" w:cs="宋体"/>
          <w:b/>
          <w:bCs/>
          <w:color w:val="000000"/>
          <w:kern w:val="0"/>
          <w:sz w:val="24"/>
        </w:rPr>
        <w:t>Botta F</w:t>
      </w:r>
      <w:r w:rsidRPr="00861808">
        <w:rPr>
          <w:rFonts w:ascii="Book Antiqua" w:hAnsi="Book Antiqua" w:cs="宋体"/>
          <w:color w:val="000000"/>
          <w:kern w:val="0"/>
          <w:sz w:val="24"/>
        </w:rPr>
        <w:t xml:space="preserve">, Giannini E, Romagnoli P, Fasoli A, Malfatti F, Chiarbonello B, Testa E, Risso D, Colla G, Testa R. MELD scoring system is useful for predicting prognosis in </w:t>
      </w:r>
      <w:r w:rsidRPr="00861808">
        <w:rPr>
          <w:rFonts w:ascii="Book Antiqua" w:hAnsi="Book Antiqua" w:cs="宋体"/>
          <w:color w:val="000000"/>
          <w:kern w:val="0"/>
          <w:sz w:val="24"/>
        </w:rPr>
        <w:lastRenderedPageBreak/>
        <w:t>patients with liver cirrhosis and is correlated with residual liver function: a European study. </w:t>
      </w:r>
      <w:r w:rsidRPr="00861808">
        <w:rPr>
          <w:rFonts w:ascii="Book Antiqua" w:hAnsi="Book Antiqua" w:cs="宋体"/>
          <w:i/>
          <w:iCs/>
          <w:color w:val="000000"/>
          <w:kern w:val="0"/>
          <w:sz w:val="24"/>
        </w:rPr>
        <w:t>Gut</w:t>
      </w:r>
      <w:r w:rsidRPr="00861808">
        <w:rPr>
          <w:rFonts w:ascii="Book Antiqua" w:hAnsi="Book Antiqua" w:cs="宋体"/>
          <w:color w:val="000000"/>
          <w:kern w:val="0"/>
          <w:sz w:val="24"/>
        </w:rPr>
        <w:t> 2003; </w:t>
      </w:r>
      <w:r w:rsidRPr="00861808">
        <w:rPr>
          <w:rFonts w:ascii="Book Antiqua" w:hAnsi="Book Antiqua" w:cs="宋体"/>
          <w:b/>
          <w:bCs/>
          <w:color w:val="000000"/>
          <w:kern w:val="0"/>
          <w:sz w:val="24"/>
        </w:rPr>
        <w:t>52</w:t>
      </w:r>
      <w:r w:rsidRPr="00861808">
        <w:rPr>
          <w:rFonts w:ascii="Book Antiqua" w:hAnsi="Book Antiqua" w:cs="宋体"/>
          <w:color w:val="000000"/>
          <w:kern w:val="0"/>
          <w:sz w:val="24"/>
        </w:rPr>
        <w:t>: 134-139 [PMID: 12477775 DOI: 10.1136/gut.52.1.134]</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9 </w:t>
      </w:r>
      <w:r w:rsidRPr="00861808">
        <w:rPr>
          <w:rFonts w:ascii="Book Antiqua" w:hAnsi="Book Antiqua" w:cs="宋体"/>
          <w:b/>
          <w:bCs/>
          <w:color w:val="000000"/>
          <w:kern w:val="0"/>
          <w:sz w:val="24"/>
        </w:rPr>
        <w:t>Salerno F</w:t>
      </w:r>
      <w:r w:rsidRPr="00861808">
        <w:rPr>
          <w:rFonts w:ascii="Book Antiqua" w:hAnsi="Book Antiqua" w:cs="宋体"/>
          <w:color w:val="000000"/>
          <w:kern w:val="0"/>
          <w:sz w:val="24"/>
        </w:rPr>
        <w:t>, Merli M, Cazzaniga M, Valeriano V, Rossi P, Lovaria A, Meregaglia D, Nicolini A, Lubatti L, Riggio O. MELD score is better than Child-Pugh score in predicting 3-month survival of patients undergoing transjugular intrahepatic portosystemic shunt. </w:t>
      </w:r>
      <w:r w:rsidRPr="00861808">
        <w:rPr>
          <w:rFonts w:ascii="Book Antiqua" w:hAnsi="Book Antiqua" w:cs="宋体"/>
          <w:i/>
          <w:iCs/>
          <w:color w:val="000000"/>
          <w:kern w:val="0"/>
          <w:sz w:val="24"/>
        </w:rPr>
        <w:t>J Hepatol</w:t>
      </w:r>
      <w:r w:rsidRPr="00861808">
        <w:rPr>
          <w:rFonts w:ascii="Book Antiqua" w:hAnsi="Book Antiqua" w:cs="宋体"/>
          <w:color w:val="000000"/>
          <w:kern w:val="0"/>
          <w:sz w:val="24"/>
        </w:rPr>
        <w:t> 2002; </w:t>
      </w:r>
      <w:r w:rsidRPr="00861808">
        <w:rPr>
          <w:rFonts w:ascii="Book Antiqua" w:hAnsi="Book Antiqua" w:cs="宋体"/>
          <w:b/>
          <w:bCs/>
          <w:color w:val="000000"/>
          <w:kern w:val="0"/>
          <w:sz w:val="24"/>
        </w:rPr>
        <w:t>36</w:t>
      </w:r>
      <w:r w:rsidRPr="00861808">
        <w:rPr>
          <w:rFonts w:ascii="Book Antiqua" w:hAnsi="Book Antiqua" w:cs="宋体"/>
          <w:color w:val="000000"/>
          <w:kern w:val="0"/>
          <w:sz w:val="24"/>
        </w:rPr>
        <w:t>: 494-500 [PMID: 11943420 DOI: 10.1016/S0168-8278(01)00309-9]</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10 </w:t>
      </w:r>
      <w:r w:rsidRPr="00861808">
        <w:rPr>
          <w:rFonts w:ascii="Book Antiqua" w:hAnsi="Book Antiqua" w:cs="宋体"/>
          <w:b/>
          <w:bCs/>
          <w:color w:val="000000"/>
          <w:kern w:val="0"/>
          <w:sz w:val="24"/>
        </w:rPr>
        <w:t>Merion RM</w:t>
      </w:r>
      <w:r w:rsidRPr="00861808">
        <w:rPr>
          <w:rFonts w:ascii="Book Antiqua" w:hAnsi="Book Antiqua" w:cs="宋体"/>
          <w:color w:val="000000"/>
          <w:kern w:val="0"/>
          <w:sz w:val="24"/>
        </w:rPr>
        <w:t>, Wolfe RA, Dykstra DM, Leichtman AB, Gillespie B, Held PJ. Longitudinal assessment of mortality risk among candidates for liver transplantation. </w:t>
      </w:r>
      <w:r w:rsidRPr="00861808">
        <w:rPr>
          <w:rFonts w:ascii="Book Antiqua" w:hAnsi="Book Antiqua" w:cs="宋体"/>
          <w:i/>
          <w:iCs/>
          <w:color w:val="000000"/>
          <w:kern w:val="0"/>
          <w:sz w:val="24"/>
        </w:rPr>
        <w:t>Liver Transpl</w:t>
      </w:r>
      <w:r w:rsidRPr="00861808">
        <w:rPr>
          <w:rFonts w:ascii="Book Antiqua" w:hAnsi="Book Antiqua" w:cs="宋体"/>
          <w:color w:val="000000"/>
          <w:kern w:val="0"/>
          <w:sz w:val="24"/>
        </w:rPr>
        <w:t> 2003; </w:t>
      </w:r>
      <w:r w:rsidRPr="00861808">
        <w:rPr>
          <w:rFonts w:ascii="Book Antiqua" w:hAnsi="Book Antiqua" w:cs="宋体"/>
          <w:b/>
          <w:bCs/>
          <w:color w:val="000000"/>
          <w:kern w:val="0"/>
          <w:sz w:val="24"/>
        </w:rPr>
        <w:t>9</w:t>
      </w:r>
      <w:r w:rsidRPr="00861808">
        <w:rPr>
          <w:rFonts w:ascii="Book Antiqua" w:hAnsi="Book Antiqua" w:cs="宋体"/>
          <w:color w:val="000000"/>
          <w:kern w:val="0"/>
          <w:sz w:val="24"/>
        </w:rPr>
        <w:t>: 12-18 [PMID: 12514767 DOI: 10.1053/jlts.2003.50009]</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11 </w:t>
      </w:r>
      <w:r w:rsidRPr="00861808">
        <w:rPr>
          <w:rFonts w:ascii="Book Antiqua" w:hAnsi="Book Antiqua" w:cs="宋体"/>
          <w:b/>
          <w:bCs/>
          <w:color w:val="000000"/>
          <w:kern w:val="0"/>
          <w:sz w:val="24"/>
        </w:rPr>
        <w:t>Brandenburger LA</w:t>
      </w:r>
      <w:r w:rsidRPr="00861808">
        <w:rPr>
          <w:rFonts w:ascii="Book Antiqua" w:hAnsi="Book Antiqua" w:cs="宋体"/>
          <w:color w:val="000000"/>
          <w:kern w:val="0"/>
          <w:sz w:val="24"/>
        </w:rPr>
        <w:t>, Regenstein FG. Variceal Hemorrhage. </w:t>
      </w:r>
      <w:r w:rsidRPr="00861808">
        <w:rPr>
          <w:rFonts w:ascii="Book Antiqua" w:hAnsi="Book Antiqua" w:cs="宋体"/>
          <w:i/>
          <w:iCs/>
          <w:color w:val="000000"/>
          <w:kern w:val="0"/>
          <w:sz w:val="24"/>
        </w:rPr>
        <w:t>Curr Treat Options Gastroenterol</w:t>
      </w:r>
      <w:r w:rsidRPr="00861808">
        <w:rPr>
          <w:rFonts w:ascii="Book Antiqua" w:hAnsi="Book Antiqua" w:cs="宋体"/>
          <w:color w:val="000000"/>
          <w:kern w:val="0"/>
          <w:sz w:val="24"/>
        </w:rPr>
        <w:t> 2002; </w:t>
      </w:r>
      <w:r w:rsidRPr="00861808">
        <w:rPr>
          <w:rFonts w:ascii="Book Antiqua" w:hAnsi="Book Antiqua" w:cs="宋体"/>
          <w:b/>
          <w:bCs/>
          <w:color w:val="000000"/>
          <w:kern w:val="0"/>
          <w:sz w:val="24"/>
        </w:rPr>
        <w:t>5</w:t>
      </w:r>
      <w:r w:rsidRPr="00861808">
        <w:rPr>
          <w:rFonts w:ascii="Book Antiqua" w:hAnsi="Book Antiqua" w:cs="宋体"/>
          <w:color w:val="000000"/>
          <w:kern w:val="0"/>
          <w:sz w:val="24"/>
        </w:rPr>
        <w:t>: 73-80 [PMID: 11792240 DOI: 10.1007/s11938-002-0009-y]</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12 </w:t>
      </w:r>
      <w:r w:rsidRPr="00861808">
        <w:rPr>
          <w:rFonts w:ascii="Book Antiqua" w:hAnsi="Book Antiqua" w:cs="宋体"/>
          <w:b/>
          <w:bCs/>
          <w:color w:val="000000"/>
          <w:kern w:val="0"/>
          <w:sz w:val="24"/>
        </w:rPr>
        <w:t>Seewald S</w:t>
      </w:r>
      <w:r w:rsidRPr="00861808">
        <w:rPr>
          <w:rFonts w:ascii="Book Antiqua" w:hAnsi="Book Antiqua" w:cs="宋体"/>
          <w:color w:val="000000"/>
          <w:kern w:val="0"/>
          <w:sz w:val="24"/>
        </w:rPr>
        <w:t>, Seitz U, Yang AM, Soehendra N. Variceal bleeding and portal hypertension: still a therapeutic challenge? </w:t>
      </w:r>
      <w:r w:rsidRPr="00861808">
        <w:rPr>
          <w:rFonts w:ascii="Book Antiqua" w:hAnsi="Book Antiqua" w:cs="宋体"/>
          <w:i/>
          <w:iCs/>
          <w:color w:val="000000"/>
          <w:kern w:val="0"/>
          <w:sz w:val="24"/>
        </w:rPr>
        <w:t>Endoscopy</w:t>
      </w:r>
      <w:r w:rsidRPr="00861808">
        <w:rPr>
          <w:rFonts w:ascii="Book Antiqua" w:hAnsi="Book Antiqua" w:cs="宋体"/>
          <w:color w:val="000000"/>
          <w:kern w:val="0"/>
          <w:sz w:val="24"/>
        </w:rPr>
        <w:t> 2001; </w:t>
      </w:r>
      <w:r w:rsidRPr="00861808">
        <w:rPr>
          <w:rFonts w:ascii="Book Antiqua" w:hAnsi="Book Antiqua" w:cs="宋体"/>
          <w:b/>
          <w:bCs/>
          <w:color w:val="000000"/>
          <w:kern w:val="0"/>
          <w:sz w:val="24"/>
        </w:rPr>
        <w:t>33</w:t>
      </w:r>
      <w:r w:rsidRPr="00861808">
        <w:rPr>
          <w:rFonts w:ascii="Book Antiqua" w:hAnsi="Book Antiqua" w:cs="宋体"/>
          <w:color w:val="000000"/>
          <w:kern w:val="0"/>
          <w:sz w:val="24"/>
        </w:rPr>
        <w:t>: 126-139 [PMID: 11272215 DOI: 10.1055/s-2001-11666]</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13 </w:t>
      </w:r>
      <w:r w:rsidRPr="00861808">
        <w:rPr>
          <w:rFonts w:ascii="Book Antiqua" w:hAnsi="Book Antiqua" w:cs="宋体"/>
          <w:b/>
          <w:bCs/>
          <w:color w:val="000000"/>
          <w:kern w:val="0"/>
          <w:sz w:val="24"/>
        </w:rPr>
        <w:t>Bratovic I</w:t>
      </w:r>
      <w:r w:rsidRPr="00861808">
        <w:rPr>
          <w:rFonts w:ascii="Book Antiqua" w:hAnsi="Book Antiqua" w:cs="宋体"/>
          <w:color w:val="000000"/>
          <w:kern w:val="0"/>
          <w:sz w:val="24"/>
        </w:rPr>
        <w:t>, Lacevic N. Management of esophageal varices. </w:t>
      </w:r>
      <w:r w:rsidRPr="00861808">
        <w:rPr>
          <w:rFonts w:ascii="Book Antiqua" w:hAnsi="Book Antiqua" w:cs="宋体"/>
          <w:i/>
          <w:iCs/>
          <w:color w:val="000000"/>
          <w:kern w:val="0"/>
          <w:sz w:val="24"/>
        </w:rPr>
        <w:t>Med Arh</w:t>
      </w:r>
      <w:r w:rsidRPr="00861808">
        <w:rPr>
          <w:rFonts w:ascii="Book Antiqua" w:hAnsi="Book Antiqua" w:cs="宋体"/>
          <w:color w:val="000000"/>
          <w:kern w:val="0"/>
          <w:sz w:val="24"/>
        </w:rPr>
        <w:t> 2002; </w:t>
      </w:r>
      <w:r w:rsidRPr="00861808">
        <w:rPr>
          <w:rFonts w:ascii="Book Antiqua" w:hAnsi="Book Antiqua" w:cs="宋体"/>
          <w:b/>
          <w:bCs/>
          <w:color w:val="000000"/>
          <w:kern w:val="0"/>
          <w:sz w:val="24"/>
        </w:rPr>
        <w:t>56</w:t>
      </w:r>
      <w:r w:rsidRPr="00861808">
        <w:rPr>
          <w:rFonts w:ascii="Book Antiqua" w:hAnsi="Book Antiqua" w:cs="宋体"/>
          <w:color w:val="000000"/>
          <w:kern w:val="0"/>
          <w:sz w:val="24"/>
        </w:rPr>
        <w:t>: 11-12 [PMID: 12055714]</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14 </w:t>
      </w:r>
      <w:r w:rsidRPr="00861808">
        <w:rPr>
          <w:rFonts w:ascii="Book Antiqua" w:hAnsi="Book Antiqua" w:cs="宋体"/>
          <w:b/>
          <w:bCs/>
          <w:color w:val="000000"/>
          <w:kern w:val="0"/>
          <w:sz w:val="24"/>
        </w:rPr>
        <w:t>Bhasin DK</w:t>
      </w:r>
      <w:r w:rsidRPr="00861808">
        <w:rPr>
          <w:rFonts w:ascii="Book Antiqua" w:hAnsi="Book Antiqua" w:cs="宋体"/>
          <w:color w:val="000000"/>
          <w:kern w:val="0"/>
          <w:sz w:val="24"/>
        </w:rPr>
        <w:t>, Malhi NJ. Variceal bleeding and portal hypertension: much to learn, much to explore. </w:t>
      </w:r>
      <w:r w:rsidRPr="00861808">
        <w:rPr>
          <w:rFonts w:ascii="Book Antiqua" w:hAnsi="Book Antiqua" w:cs="宋体"/>
          <w:i/>
          <w:iCs/>
          <w:color w:val="000000"/>
          <w:kern w:val="0"/>
          <w:sz w:val="24"/>
        </w:rPr>
        <w:t>Endoscopy</w:t>
      </w:r>
      <w:r w:rsidRPr="00861808">
        <w:rPr>
          <w:rFonts w:ascii="Book Antiqua" w:hAnsi="Book Antiqua" w:cs="宋体"/>
          <w:color w:val="000000"/>
          <w:kern w:val="0"/>
          <w:sz w:val="24"/>
        </w:rPr>
        <w:t> 2002; </w:t>
      </w:r>
      <w:r w:rsidRPr="00861808">
        <w:rPr>
          <w:rFonts w:ascii="Book Antiqua" w:hAnsi="Book Antiqua" w:cs="宋体"/>
          <w:b/>
          <w:bCs/>
          <w:color w:val="000000"/>
          <w:kern w:val="0"/>
          <w:sz w:val="24"/>
        </w:rPr>
        <w:t>34</w:t>
      </w:r>
      <w:r w:rsidRPr="00861808">
        <w:rPr>
          <w:rFonts w:ascii="Book Antiqua" w:hAnsi="Book Antiqua" w:cs="宋体"/>
          <w:color w:val="000000"/>
          <w:kern w:val="0"/>
          <w:sz w:val="24"/>
        </w:rPr>
        <w:t>: 119-128 [PMID: 11822007]</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15 </w:t>
      </w:r>
      <w:r w:rsidRPr="00861808">
        <w:rPr>
          <w:rFonts w:ascii="Book Antiqua" w:hAnsi="Book Antiqua" w:cs="宋体"/>
          <w:b/>
          <w:bCs/>
          <w:color w:val="000000"/>
          <w:kern w:val="0"/>
          <w:sz w:val="24"/>
        </w:rPr>
        <w:t>Tsokos M</w:t>
      </w:r>
      <w:r w:rsidRPr="00861808">
        <w:rPr>
          <w:rFonts w:ascii="Book Antiqua" w:hAnsi="Book Antiqua" w:cs="宋体"/>
          <w:color w:val="000000"/>
          <w:kern w:val="0"/>
          <w:sz w:val="24"/>
        </w:rPr>
        <w:t>, Türk EE. Esophageal variceal hemorrhage presenting as sudden death in outpatients. </w:t>
      </w:r>
      <w:r w:rsidRPr="00861808">
        <w:rPr>
          <w:rFonts w:ascii="Book Antiqua" w:hAnsi="Book Antiqua" w:cs="宋体"/>
          <w:i/>
          <w:iCs/>
          <w:color w:val="000000"/>
          <w:kern w:val="0"/>
          <w:sz w:val="24"/>
        </w:rPr>
        <w:t>Arch Pathol Lab Med</w:t>
      </w:r>
      <w:r w:rsidRPr="00861808">
        <w:rPr>
          <w:rFonts w:ascii="Book Antiqua" w:hAnsi="Book Antiqua" w:cs="宋体"/>
          <w:color w:val="000000"/>
          <w:kern w:val="0"/>
          <w:sz w:val="24"/>
        </w:rPr>
        <w:t> 2002; </w:t>
      </w:r>
      <w:r w:rsidRPr="00861808">
        <w:rPr>
          <w:rFonts w:ascii="Book Antiqua" w:hAnsi="Book Antiqua" w:cs="宋体"/>
          <w:b/>
          <w:bCs/>
          <w:color w:val="000000"/>
          <w:kern w:val="0"/>
          <w:sz w:val="24"/>
        </w:rPr>
        <w:t>126</w:t>
      </w:r>
      <w:r w:rsidRPr="00861808">
        <w:rPr>
          <w:rFonts w:ascii="Book Antiqua" w:hAnsi="Book Antiqua" w:cs="宋体"/>
          <w:color w:val="000000"/>
          <w:kern w:val="0"/>
          <w:sz w:val="24"/>
        </w:rPr>
        <w:t>: 1197-1200 [PMID: 12296758]</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16 </w:t>
      </w:r>
      <w:r w:rsidRPr="00861808">
        <w:rPr>
          <w:rFonts w:ascii="Book Antiqua" w:hAnsi="Book Antiqua" w:cs="宋体"/>
          <w:b/>
          <w:bCs/>
          <w:color w:val="000000"/>
          <w:kern w:val="0"/>
          <w:sz w:val="24"/>
        </w:rPr>
        <w:t>Malinchoc M</w:t>
      </w:r>
      <w:r w:rsidRPr="00861808">
        <w:rPr>
          <w:rFonts w:ascii="Book Antiqua" w:hAnsi="Book Antiqua" w:cs="宋体"/>
          <w:color w:val="000000"/>
          <w:kern w:val="0"/>
          <w:sz w:val="24"/>
        </w:rPr>
        <w:t>, Kamath PS, Gordon FD, Peine CJ, Rank J, ter Borg PC. A model to predict poor survival in patients undergoing transjugular intrahepatic portosystemic shunts. </w:t>
      </w:r>
      <w:r w:rsidRPr="00861808">
        <w:rPr>
          <w:rFonts w:ascii="Book Antiqua" w:hAnsi="Book Antiqua" w:cs="宋体"/>
          <w:i/>
          <w:iCs/>
          <w:color w:val="000000"/>
          <w:kern w:val="0"/>
          <w:sz w:val="24"/>
        </w:rPr>
        <w:t>Hepatology</w:t>
      </w:r>
      <w:r w:rsidRPr="00861808">
        <w:rPr>
          <w:rFonts w:ascii="Book Antiqua" w:hAnsi="Book Antiqua" w:cs="宋体"/>
          <w:color w:val="000000"/>
          <w:kern w:val="0"/>
          <w:sz w:val="24"/>
        </w:rPr>
        <w:t> 2000; </w:t>
      </w:r>
      <w:r w:rsidRPr="00861808">
        <w:rPr>
          <w:rFonts w:ascii="Book Antiqua" w:hAnsi="Book Antiqua" w:cs="宋体"/>
          <w:b/>
          <w:bCs/>
          <w:color w:val="000000"/>
          <w:kern w:val="0"/>
          <w:sz w:val="24"/>
        </w:rPr>
        <w:t>31</w:t>
      </w:r>
      <w:r w:rsidRPr="00861808">
        <w:rPr>
          <w:rFonts w:ascii="Book Antiqua" w:hAnsi="Book Antiqua" w:cs="宋体"/>
          <w:color w:val="000000"/>
          <w:kern w:val="0"/>
          <w:sz w:val="24"/>
        </w:rPr>
        <w:t>: 864-871 [PMID: 10733541 DOI: 10.1053/he.2000.5852]</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17 </w:t>
      </w:r>
      <w:r w:rsidRPr="00861808">
        <w:rPr>
          <w:rFonts w:ascii="Book Antiqua" w:hAnsi="Book Antiqua" w:cs="宋体"/>
          <w:b/>
          <w:bCs/>
          <w:color w:val="000000"/>
          <w:kern w:val="0"/>
          <w:sz w:val="24"/>
        </w:rPr>
        <w:t>Kamath PS</w:t>
      </w:r>
      <w:r w:rsidRPr="00861808">
        <w:rPr>
          <w:rFonts w:ascii="Book Antiqua" w:hAnsi="Book Antiqua" w:cs="宋体"/>
          <w:color w:val="000000"/>
          <w:kern w:val="0"/>
          <w:sz w:val="24"/>
        </w:rPr>
        <w:t>, Wiesner RH, Malinchoc M, Kremers W, Therneau TM, Kosberg CL, D'Amico G, Dickson ER, Kim WR. A model to predict survival in patients with end-stage liver disease. </w:t>
      </w:r>
      <w:r w:rsidRPr="00861808">
        <w:rPr>
          <w:rFonts w:ascii="Book Antiqua" w:hAnsi="Book Antiqua" w:cs="宋体"/>
          <w:i/>
          <w:iCs/>
          <w:color w:val="000000"/>
          <w:kern w:val="0"/>
          <w:sz w:val="24"/>
        </w:rPr>
        <w:t>Hepatology</w:t>
      </w:r>
      <w:r w:rsidRPr="00861808">
        <w:rPr>
          <w:rFonts w:ascii="Book Antiqua" w:hAnsi="Book Antiqua" w:cs="宋体"/>
          <w:color w:val="000000"/>
          <w:kern w:val="0"/>
          <w:sz w:val="24"/>
        </w:rPr>
        <w:t> 2001; </w:t>
      </w:r>
      <w:r w:rsidRPr="00861808">
        <w:rPr>
          <w:rFonts w:ascii="Book Antiqua" w:hAnsi="Book Antiqua" w:cs="宋体"/>
          <w:b/>
          <w:bCs/>
          <w:color w:val="000000"/>
          <w:kern w:val="0"/>
          <w:sz w:val="24"/>
        </w:rPr>
        <w:t>33</w:t>
      </w:r>
      <w:r w:rsidRPr="00861808">
        <w:rPr>
          <w:rFonts w:ascii="Book Antiqua" w:hAnsi="Book Antiqua" w:cs="宋体"/>
          <w:color w:val="000000"/>
          <w:kern w:val="0"/>
          <w:sz w:val="24"/>
        </w:rPr>
        <w:t>: 464-470 [PMID: 11172350 DOI: 10.1053/jhep.2001.22172]</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18 </w:t>
      </w:r>
      <w:r w:rsidRPr="00861808">
        <w:rPr>
          <w:rFonts w:ascii="Book Antiqua" w:hAnsi="Book Antiqua" w:cs="宋体"/>
          <w:b/>
          <w:bCs/>
          <w:color w:val="000000"/>
          <w:kern w:val="0"/>
          <w:sz w:val="24"/>
        </w:rPr>
        <w:t>Huo TI</w:t>
      </w:r>
      <w:r w:rsidRPr="00861808">
        <w:rPr>
          <w:rFonts w:ascii="Book Antiqua" w:hAnsi="Book Antiqua" w:cs="宋体"/>
          <w:color w:val="000000"/>
          <w:kern w:val="0"/>
          <w:sz w:val="24"/>
        </w:rPr>
        <w:t xml:space="preserve">, Wu JC, Lin HC, Lee FY, Hou MC, Lee PC, Chang FY, Lee SD. Evaluation </w:t>
      </w:r>
      <w:r w:rsidRPr="00861808">
        <w:rPr>
          <w:rFonts w:ascii="Book Antiqua" w:hAnsi="Book Antiqua" w:cs="宋体"/>
          <w:color w:val="000000"/>
          <w:kern w:val="0"/>
          <w:sz w:val="24"/>
        </w:rPr>
        <w:lastRenderedPageBreak/>
        <w:t>of the increase in model for end-stage liver disease (DeltaMELD) score over time as a prognostic predictor in patients with advanced cirrhosis: risk factor analysis and comparison with initial MELD and Child-Turcotte-Pugh score. </w:t>
      </w:r>
      <w:r w:rsidRPr="00861808">
        <w:rPr>
          <w:rFonts w:ascii="Book Antiqua" w:hAnsi="Book Antiqua" w:cs="宋体"/>
          <w:i/>
          <w:iCs/>
          <w:color w:val="000000"/>
          <w:kern w:val="0"/>
          <w:sz w:val="24"/>
        </w:rPr>
        <w:t>J Hepatol</w:t>
      </w:r>
      <w:r w:rsidRPr="00861808">
        <w:rPr>
          <w:rFonts w:ascii="Book Antiqua" w:hAnsi="Book Antiqua" w:cs="宋体"/>
          <w:color w:val="000000"/>
          <w:kern w:val="0"/>
          <w:sz w:val="24"/>
        </w:rPr>
        <w:t> 2005; </w:t>
      </w:r>
      <w:r w:rsidRPr="00861808">
        <w:rPr>
          <w:rFonts w:ascii="Book Antiqua" w:hAnsi="Book Antiqua" w:cs="宋体"/>
          <w:b/>
          <w:bCs/>
          <w:color w:val="000000"/>
          <w:kern w:val="0"/>
          <w:sz w:val="24"/>
        </w:rPr>
        <w:t>42</w:t>
      </w:r>
      <w:r w:rsidRPr="00861808">
        <w:rPr>
          <w:rFonts w:ascii="Book Antiqua" w:hAnsi="Book Antiqua" w:cs="宋体"/>
          <w:color w:val="000000"/>
          <w:kern w:val="0"/>
          <w:sz w:val="24"/>
        </w:rPr>
        <w:t>: 826-832 [PMID: 15885353 DOI: 10.1016/j.jhep.2005.01.019]</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19 </w:t>
      </w:r>
      <w:r w:rsidRPr="00861808">
        <w:rPr>
          <w:rFonts w:ascii="Book Antiqua" w:hAnsi="Book Antiqua" w:cs="宋体"/>
          <w:b/>
          <w:bCs/>
          <w:color w:val="000000"/>
          <w:kern w:val="0"/>
          <w:sz w:val="24"/>
        </w:rPr>
        <w:t>Bae WK</w:t>
      </w:r>
      <w:r w:rsidRPr="00861808">
        <w:rPr>
          <w:rFonts w:ascii="Book Antiqua" w:hAnsi="Book Antiqua" w:cs="宋体"/>
          <w:color w:val="000000"/>
          <w:kern w:val="0"/>
          <w:sz w:val="24"/>
        </w:rPr>
        <w:t>, Lee JS, Kim NH, Kim KA, Moon YS, Oh MK. [Usefulness of DeltaMELD/month for prediction of the mortality in the first episode of variceal bleeding patients with liver cirrhosis: comparison with CTP, MELD score and DeltaCTP/month]. </w:t>
      </w:r>
      <w:r w:rsidRPr="00861808">
        <w:rPr>
          <w:rFonts w:ascii="Book Antiqua" w:hAnsi="Book Antiqua" w:cs="宋体"/>
          <w:i/>
          <w:iCs/>
          <w:color w:val="000000"/>
          <w:kern w:val="0"/>
          <w:sz w:val="24"/>
        </w:rPr>
        <w:t>Korean J Hepatol</w:t>
      </w:r>
      <w:r w:rsidRPr="00861808">
        <w:rPr>
          <w:rFonts w:ascii="Book Antiqua" w:hAnsi="Book Antiqua" w:cs="宋体"/>
          <w:color w:val="000000"/>
          <w:kern w:val="0"/>
          <w:sz w:val="24"/>
        </w:rPr>
        <w:t> 2007; </w:t>
      </w:r>
      <w:r w:rsidRPr="00861808">
        <w:rPr>
          <w:rFonts w:ascii="Book Antiqua" w:hAnsi="Book Antiqua" w:cs="宋体"/>
          <w:b/>
          <w:bCs/>
          <w:color w:val="000000"/>
          <w:kern w:val="0"/>
          <w:sz w:val="24"/>
        </w:rPr>
        <w:t>13</w:t>
      </w:r>
      <w:r w:rsidRPr="00861808">
        <w:rPr>
          <w:rFonts w:ascii="Book Antiqua" w:hAnsi="Book Antiqua" w:cs="宋体"/>
          <w:color w:val="000000"/>
          <w:kern w:val="0"/>
          <w:sz w:val="24"/>
        </w:rPr>
        <w:t>: 51-60 [PMID: 17380075]</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20 </w:t>
      </w:r>
      <w:r w:rsidRPr="00861808">
        <w:rPr>
          <w:rFonts w:ascii="Book Antiqua" w:hAnsi="Book Antiqua" w:cs="宋体"/>
          <w:b/>
          <w:bCs/>
          <w:color w:val="000000"/>
          <w:kern w:val="0"/>
          <w:sz w:val="24"/>
        </w:rPr>
        <w:t>Li FH</w:t>
      </w:r>
      <w:r w:rsidRPr="00861808">
        <w:rPr>
          <w:rFonts w:ascii="Book Antiqua" w:hAnsi="Book Antiqua" w:cs="宋体"/>
          <w:color w:val="000000"/>
          <w:kern w:val="0"/>
          <w:sz w:val="24"/>
        </w:rPr>
        <w:t>, Hao J, Xia JG, Li HL, Fang H. Hemodynamic analysis of esophageal varices in patients with liver cirrhosis using color Doppler ultrasound. </w:t>
      </w:r>
      <w:r w:rsidRPr="00861808">
        <w:rPr>
          <w:rFonts w:ascii="Book Antiqua" w:hAnsi="Book Antiqua" w:cs="宋体"/>
          <w:i/>
          <w:iCs/>
          <w:color w:val="000000"/>
          <w:kern w:val="0"/>
          <w:sz w:val="24"/>
        </w:rPr>
        <w:t>World J Gastroenterol</w:t>
      </w:r>
      <w:r w:rsidRPr="00861808">
        <w:rPr>
          <w:rFonts w:ascii="Book Antiqua" w:hAnsi="Book Antiqua" w:cs="宋体"/>
          <w:color w:val="000000"/>
          <w:kern w:val="0"/>
          <w:sz w:val="24"/>
        </w:rPr>
        <w:t> 2005; </w:t>
      </w:r>
      <w:r w:rsidRPr="00861808">
        <w:rPr>
          <w:rFonts w:ascii="Book Antiqua" w:hAnsi="Book Antiqua" w:cs="宋体"/>
          <w:b/>
          <w:bCs/>
          <w:color w:val="000000"/>
          <w:kern w:val="0"/>
          <w:sz w:val="24"/>
        </w:rPr>
        <w:t>11</w:t>
      </w:r>
      <w:r w:rsidRPr="00861808">
        <w:rPr>
          <w:rFonts w:ascii="Book Antiqua" w:hAnsi="Book Antiqua" w:cs="宋体"/>
          <w:color w:val="000000"/>
          <w:kern w:val="0"/>
          <w:sz w:val="24"/>
        </w:rPr>
        <w:t>: 4560-4565 [PMID: 16052688]</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21 </w:t>
      </w:r>
      <w:r w:rsidRPr="00861808">
        <w:rPr>
          <w:rFonts w:ascii="Book Antiqua" w:hAnsi="Book Antiqua" w:cs="宋体"/>
          <w:b/>
          <w:bCs/>
          <w:color w:val="000000"/>
          <w:kern w:val="0"/>
          <w:sz w:val="24"/>
        </w:rPr>
        <w:t>Matsutani S</w:t>
      </w:r>
      <w:r w:rsidRPr="00861808">
        <w:rPr>
          <w:rFonts w:ascii="Book Antiqua" w:hAnsi="Book Antiqua" w:cs="宋体"/>
          <w:color w:val="000000"/>
          <w:kern w:val="0"/>
          <w:sz w:val="24"/>
        </w:rPr>
        <w:t>, Furuse J, Ishii H, Mizumoto H, Kimura K, Ohto M. Hemodynamics of the left gastric vein in portal hypertension. </w:t>
      </w:r>
      <w:r w:rsidRPr="00861808">
        <w:rPr>
          <w:rFonts w:ascii="Book Antiqua" w:hAnsi="Book Antiqua" w:cs="宋体"/>
          <w:i/>
          <w:iCs/>
          <w:color w:val="000000"/>
          <w:kern w:val="0"/>
          <w:sz w:val="24"/>
        </w:rPr>
        <w:t>Gastroenterology</w:t>
      </w:r>
      <w:r w:rsidRPr="00861808">
        <w:rPr>
          <w:rFonts w:ascii="Book Antiqua" w:hAnsi="Book Antiqua" w:cs="宋体"/>
          <w:color w:val="000000"/>
          <w:kern w:val="0"/>
          <w:sz w:val="24"/>
        </w:rPr>
        <w:t> 1993; </w:t>
      </w:r>
      <w:r w:rsidRPr="00861808">
        <w:rPr>
          <w:rFonts w:ascii="Book Antiqua" w:hAnsi="Book Antiqua" w:cs="宋体"/>
          <w:b/>
          <w:bCs/>
          <w:color w:val="000000"/>
          <w:kern w:val="0"/>
          <w:sz w:val="24"/>
        </w:rPr>
        <w:t>105</w:t>
      </w:r>
      <w:r w:rsidRPr="00861808">
        <w:rPr>
          <w:rFonts w:ascii="Book Antiqua" w:hAnsi="Book Antiqua" w:cs="宋体"/>
          <w:color w:val="000000"/>
          <w:kern w:val="0"/>
          <w:sz w:val="24"/>
        </w:rPr>
        <w:t>: 513-518 [PMID: 8335205]</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22 </w:t>
      </w:r>
      <w:r w:rsidRPr="00861808">
        <w:rPr>
          <w:rFonts w:ascii="Book Antiqua" w:hAnsi="Book Antiqua" w:cs="宋体"/>
          <w:b/>
          <w:bCs/>
          <w:color w:val="000000"/>
          <w:kern w:val="0"/>
          <w:sz w:val="24"/>
        </w:rPr>
        <w:t>Wachsberg RH</w:t>
      </w:r>
      <w:r w:rsidRPr="00861808">
        <w:rPr>
          <w:rFonts w:ascii="Book Antiqua" w:hAnsi="Book Antiqua" w:cs="宋体"/>
          <w:color w:val="000000"/>
          <w:kern w:val="0"/>
          <w:sz w:val="24"/>
        </w:rPr>
        <w:t>, Simmons MZ. Coronary vein diameter and flow direction in patients with portal hypertension: evaluation with duplex sonography and correlation with variceal bleeding. </w:t>
      </w:r>
      <w:r w:rsidRPr="00861808">
        <w:rPr>
          <w:rFonts w:ascii="Book Antiqua" w:hAnsi="Book Antiqua" w:cs="宋体"/>
          <w:i/>
          <w:iCs/>
          <w:color w:val="000000"/>
          <w:kern w:val="0"/>
          <w:sz w:val="24"/>
        </w:rPr>
        <w:t>AJR Am J Roentgenol</w:t>
      </w:r>
      <w:r w:rsidRPr="00861808">
        <w:rPr>
          <w:rFonts w:ascii="Book Antiqua" w:hAnsi="Book Antiqua" w:cs="宋体"/>
          <w:color w:val="000000"/>
          <w:kern w:val="0"/>
          <w:sz w:val="24"/>
        </w:rPr>
        <w:t> 1994; </w:t>
      </w:r>
      <w:r w:rsidRPr="00861808">
        <w:rPr>
          <w:rFonts w:ascii="Book Antiqua" w:hAnsi="Book Antiqua" w:cs="宋体"/>
          <w:b/>
          <w:bCs/>
          <w:color w:val="000000"/>
          <w:kern w:val="0"/>
          <w:sz w:val="24"/>
        </w:rPr>
        <w:t>162</w:t>
      </w:r>
      <w:r w:rsidRPr="00861808">
        <w:rPr>
          <w:rFonts w:ascii="Book Antiqua" w:hAnsi="Book Antiqua" w:cs="宋体"/>
          <w:color w:val="000000"/>
          <w:kern w:val="0"/>
          <w:sz w:val="24"/>
        </w:rPr>
        <w:t>: 637-641 [PMID: 8109512 DOI: 10.2214/ajr.162.3.8109512]</w:t>
      </w:r>
    </w:p>
    <w:p w:rsidR="00380878" w:rsidRPr="00131F95" w:rsidRDefault="00380878" w:rsidP="003E1518">
      <w:pPr>
        <w:spacing w:line="360" w:lineRule="auto"/>
        <w:rPr>
          <w:rFonts w:ascii="Book Antiqua" w:hAnsi="Book Antiqua" w:cs="宋体"/>
          <w:color w:val="000000"/>
          <w:kern w:val="0"/>
          <w:sz w:val="24"/>
          <w:lang w:val="es-ES"/>
        </w:rPr>
      </w:pPr>
      <w:r w:rsidRPr="00861808">
        <w:rPr>
          <w:rFonts w:ascii="Book Antiqua" w:hAnsi="Book Antiqua" w:cs="宋体"/>
          <w:color w:val="000000"/>
          <w:kern w:val="0"/>
          <w:sz w:val="24"/>
        </w:rPr>
        <w:t>23 </w:t>
      </w:r>
      <w:r w:rsidRPr="00861808">
        <w:rPr>
          <w:rFonts w:ascii="Book Antiqua" w:hAnsi="Book Antiqua" w:cs="宋体"/>
          <w:b/>
          <w:bCs/>
          <w:color w:val="000000"/>
          <w:kern w:val="0"/>
          <w:sz w:val="24"/>
        </w:rPr>
        <w:t>Hino S</w:t>
      </w:r>
      <w:r w:rsidRPr="00861808">
        <w:rPr>
          <w:rFonts w:ascii="Book Antiqua" w:hAnsi="Book Antiqua" w:cs="宋体"/>
          <w:color w:val="000000"/>
          <w:kern w:val="0"/>
          <w:sz w:val="24"/>
        </w:rPr>
        <w:t>, Kakutani H, Ikeda K, Uchiyama Y, Sumiyama K, Kuramochi A, Kitamura Y, Matsuda K, Arakawa H, Kawamura M, Masuda K, Suzuki H. Hemodynamic assessment of the left gastric vein in patients with esophageal varices with color Doppler EUS: factors affecting development of esophageal varices. </w:t>
      </w:r>
      <w:r w:rsidRPr="00131F95">
        <w:rPr>
          <w:rFonts w:ascii="Book Antiqua" w:hAnsi="Book Antiqua" w:cs="宋体"/>
          <w:i/>
          <w:iCs/>
          <w:color w:val="000000"/>
          <w:kern w:val="0"/>
          <w:sz w:val="24"/>
          <w:lang w:val="es-ES"/>
        </w:rPr>
        <w:t>Gastrointest Endosc</w:t>
      </w:r>
      <w:r w:rsidRPr="00131F95">
        <w:rPr>
          <w:rFonts w:ascii="Book Antiqua" w:hAnsi="Book Antiqua" w:cs="宋体"/>
          <w:color w:val="000000"/>
          <w:kern w:val="0"/>
          <w:sz w:val="24"/>
          <w:lang w:val="es-ES"/>
        </w:rPr>
        <w:t> 2002; </w:t>
      </w:r>
      <w:r w:rsidRPr="00131F95">
        <w:rPr>
          <w:rFonts w:ascii="Book Antiqua" w:hAnsi="Book Antiqua" w:cs="宋体"/>
          <w:b/>
          <w:bCs/>
          <w:color w:val="000000"/>
          <w:kern w:val="0"/>
          <w:sz w:val="24"/>
          <w:lang w:val="es-ES"/>
        </w:rPr>
        <w:t>55</w:t>
      </w:r>
      <w:r w:rsidRPr="00131F95">
        <w:rPr>
          <w:rFonts w:ascii="Book Antiqua" w:hAnsi="Book Antiqua" w:cs="宋体"/>
          <w:color w:val="000000"/>
          <w:kern w:val="0"/>
          <w:sz w:val="24"/>
          <w:lang w:val="es-ES"/>
        </w:rPr>
        <w:t>: 512-517 [PMID: 11923763 DOI: 10.1067/mge.2002.122333]</w:t>
      </w:r>
    </w:p>
    <w:p w:rsidR="00380878" w:rsidRPr="00861808" w:rsidRDefault="00380878" w:rsidP="003E1518">
      <w:pPr>
        <w:spacing w:line="360" w:lineRule="auto"/>
        <w:rPr>
          <w:rFonts w:ascii="Book Antiqua" w:hAnsi="Book Antiqua" w:cs="宋体"/>
          <w:color w:val="000000"/>
          <w:kern w:val="0"/>
          <w:sz w:val="24"/>
        </w:rPr>
      </w:pPr>
      <w:r w:rsidRPr="00131F95">
        <w:rPr>
          <w:rFonts w:ascii="Book Antiqua" w:hAnsi="Book Antiqua" w:cs="宋体"/>
          <w:color w:val="000000"/>
          <w:kern w:val="0"/>
          <w:sz w:val="24"/>
          <w:lang w:val="es-ES"/>
        </w:rPr>
        <w:t>24 </w:t>
      </w:r>
      <w:r w:rsidRPr="00131F95">
        <w:rPr>
          <w:rFonts w:ascii="Book Antiqua" w:hAnsi="Book Antiqua" w:cs="宋体"/>
          <w:b/>
          <w:bCs/>
          <w:color w:val="000000"/>
          <w:kern w:val="0"/>
          <w:sz w:val="24"/>
          <w:lang w:val="es-ES"/>
        </w:rPr>
        <w:t>Papatheodoridis GV</w:t>
      </w:r>
      <w:r w:rsidRPr="00131F95">
        <w:rPr>
          <w:rFonts w:ascii="Book Antiqua" w:hAnsi="Book Antiqua" w:cs="宋体"/>
          <w:color w:val="000000"/>
          <w:kern w:val="0"/>
          <w:sz w:val="24"/>
          <w:lang w:val="es-ES"/>
        </w:rPr>
        <w:t xml:space="preserve">, Cholongitas E, Dimitriadou E, Touloumi G, Sevastianos V, Archimandritis AJ. </w:t>
      </w:r>
      <w:r w:rsidRPr="00861808">
        <w:rPr>
          <w:rFonts w:ascii="Book Antiqua" w:hAnsi="Book Antiqua" w:cs="宋体"/>
          <w:color w:val="000000"/>
          <w:kern w:val="0"/>
          <w:sz w:val="24"/>
        </w:rPr>
        <w:t>MELD vs Child-Pugh and creatinine-modified Child-Pugh score for predicting survival in patients with decompensated cirrhosis. </w:t>
      </w:r>
      <w:r w:rsidRPr="00861808">
        <w:rPr>
          <w:rFonts w:ascii="Book Antiqua" w:hAnsi="Book Antiqua" w:cs="宋体"/>
          <w:i/>
          <w:iCs/>
          <w:color w:val="000000"/>
          <w:kern w:val="0"/>
          <w:sz w:val="24"/>
        </w:rPr>
        <w:t>World J Gastroenterol</w:t>
      </w:r>
      <w:r w:rsidRPr="00861808">
        <w:rPr>
          <w:rFonts w:ascii="Book Antiqua" w:hAnsi="Book Antiqua" w:cs="宋体"/>
          <w:color w:val="000000"/>
          <w:kern w:val="0"/>
          <w:sz w:val="24"/>
        </w:rPr>
        <w:t> 2005; </w:t>
      </w:r>
      <w:r w:rsidRPr="00861808">
        <w:rPr>
          <w:rFonts w:ascii="Book Antiqua" w:hAnsi="Book Antiqua" w:cs="宋体"/>
          <w:b/>
          <w:bCs/>
          <w:color w:val="000000"/>
          <w:kern w:val="0"/>
          <w:sz w:val="24"/>
        </w:rPr>
        <w:t>11</w:t>
      </w:r>
      <w:r w:rsidRPr="00861808">
        <w:rPr>
          <w:rFonts w:ascii="Book Antiqua" w:hAnsi="Book Antiqua" w:cs="宋体"/>
          <w:color w:val="000000"/>
          <w:kern w:val="0"/>
          <w:sz w:val="24"/>
        </w:rPr>
        <w:t>: 3099-3104 [PMID: 15918197]</w:t>
      </w:r>
    </w:p>
    <w:p w:rsidR="00380878" w:rsidRPr="00861808" w:rsidRDefault="00380878" w:rsidP="003E1518">
      <w:pPr>
        <w:spacing w:line="360" w:lineRule="auto"/>
        <w:rPr>
          <w:rFonts w:ascii="Book Antiqua" w:hAnsi="Book Antiqua" w:cs="宋体"/>
          <w:color w:val="000000"/>
          <w:kern w:val="0"/>
          <w:sz w:val="24"/>
        </w:rPr>
      </w:pPr>
      <w:r w:rsidRPr="00861808">
        <w:rPr>
          <w:rFonts w:ascii="Book Antiqua" w:hAnsi="Book Antiqua" w:cs="宋体"/>
          <w:color w:val="000000"/>
          <w:kern w:val="0"/>
          <w:sz w:val="24"/>
        </w:rPr>
        <w:t>25 </w:t>
      </w:r>
      <w:r w:rsidRPr="00861808">
        <w:rPr>
          <w:rFonts w:ascii="Book Antiqua" w:hAnsi="Book Antiqua" w:cs="宋体"/>
          <w:b/>
          <w:bCs/>
          <w:color w:val="000000"/>
          <w:kern w:val="0"/>
          <w:sz w:val="24"/>
        </w:rPr>
        <w:t>Gheorghe L</w:t>
      </w:r>
      <w:r w:rsidRPr="00861808">
        <w:rPr>
          <w:rFonts w:ascii="Book Antiqua" w:hAnsi="Book Antiqua" w:cs="宋体"/>
          <w:color w:val="000000"/>
          <w:kern w:val="0"/>
          <w:sz w:val="24"/>
        </w:rPr>
        <w:t>, Popescu I, Iacob R, Iacob S, Gheorghe C. Predictors of death on the waiting list for liver transplantation characterized by a long waiting time. </w:t>
      </w:r>
      <w:r w:rsidRPr="00861808">
        <w:rPr>
          <w:rFonts w:ascii="Book Antiqua" w:hAnsi="Book Antiqua" w:cs="宋体"/>
          <w:i/>
          <w:iCs/>
          <w:color w:val="000000"/>
          <w:kern w:val="0"/>
          <w:sz w:val="24"/>
        </w:rPr>
        <w:t>Transpl Int</w:t>
      </w:r>
      <w:r w:rsidRPr="00861808">
        <w:rPr>
          <w:rFonts w:ascii="Book Antiqua" w:hAnsi="Book Antiqua" w:cs="宋体"/>
          <w:color w:val="000000"/>
          <w:kern w:val="0"/>
          <w:sz w:val="24"/>
        </w:rPr>
        <w:t> 2005; </w:t>
      </w:r>
      <w:r w:rsidRPr="00861808">
        <w:rPr>
          <w:rFonts w:ascii="Book Antiqua" w:hAnsi="Book Antiqua" w:cs="宋体"/>
          <w:b/>
          <w:bCs/>
          <w:color w:val="000000"/>
          <w:kern w:val="0"/>
          <w:sz w:val="24"/>
        </w:rPr>
        <w:t>18</w:t>
      </w:r>
      <w:r w:rsidRPr="00861808">
        <w:rPr>
          <w:rFonts w:ascii="Book Antiqua" w:hAnsi="Book Antiqua" w:cs="宋体"/>
          <w:color w:val="000000"/>
          <w:kern w:val="0"/>
          <w:sz w:val="24"/>
        </w:rPr>
        <w:t>: 572-576 [PMID: 15819806 DOI: 10.1111/j.1432-2277.2005.00090.x]</w:t>
      </w:r>
    </w:p>
    <w:p w:rsidR="00380878" w:rsidRPr="00861808" w:rsidRDefault="00380878" w:rsidP="003E1518">
      <w:pPr>
        <w:spacing w:line="360" w:lineRule="auto"/>
        <w:rPr>
          <w:rFonts w:ascii="Book Antiqua" w:hAnsi="Book Antiqua"/>
          <w:sz w:val="24"/>
        </w:rPr>
      </w:pPr>
    </w:p>
    <w:p w:rsidR="00380878" w:rsidRPr="00861808" w:rsidRDefault="00380878" w:rsidP="003E1518">
      <w:pPr>
        <w:spacing w:line="360" w:lineRule="auto"/>
        <w:jc w:val="right"/>
        <w:rPr>
          <w:rFonts w:ascii="Book Antiqua" w:hAnsi="Book Antiqua"/>
          <w:b/>
          <w:bCs/>
          <w:color w:val="000000"/>
          <w:sz w:val="24"/>
        </w:rPr>
      </w:pPr>
      <w:bookmarkStart w:id="31" w:name="OLE_LINK37"/>
      <w:bookmarkStart w:id="32" w:name="OLE_LINK80"/>
      <w:bookmarkStart w:id="33" w:name="OLE_LINK85"/>
      <w:bookmarkStart w:id="34" w:name="OLE_LINK194"/>
      <w:bookmarkStart w:id="35" w:name="OLE_LINK118"/>
      <w:bookmarkStart w:id="36" w:name="OLE_LINK159"/>
      <w:r w:rsidRPr="00861808">
        <w:rPr>
          <w:rStyle w:val="af"/>
          <w:rFonts w:ascii="Book Antiqua" w:hAnsi="Book Antiqua"/>
          <w:bCs/>
          <w:noProof/>
          <w:color w:val="000000"/>
          <w:sz w:val="24"/>
        </w:rPr>
        <w:t>P-Reviewer:</w:t>
      </w:r>
      <w:r w:rsidRPr="00861808">
        <w:rPr>
          <w:rFonts w:ascii="Book Antiqua" w:hAnsi="Book Antiqua"/>
          <w:b/>
          <w:bCs/>
          <w:color w:val="000000"/>
          <w:sz w:val="24"/>
        </w:rPr>
        <w:t xml:space="preserve"> </w:t>
      </w:r>
      <w:r w:rsidRPr="00861808">
        <w:rPr>
          <w:rFonts w:ascii="Book Antiqua" w:hAnsi="Book Antiqua"/>
          <w:bCs/>
          <w:color w:val="000000"/>
          <w:sz w:val="24"/>
        </w:rPr>
        <w:t>Liaskou</w:t>
      </w:r>
      <w:r w:rsidRPr="00861808">
        <w:rPr>
          <w:rFonts w:ascii="Book Antiqua" w:hAnsi="Book Antiqua"/>
          <w:b/>
          <w:bCs/>
          <w:color w:val="000000"/>
          <w:sz w:val="24"/>
        </w:rPr>
        <w:t xml:space="preserve"> </w:t>
      </w:r>
      <w:r w:rsidRPr="00861808">
        <w:rPr>
          <w:rFonts w:ascii="Book Antiqua" w:hAnsi="Book Antiqua"/>
          <w:bCs/>
          <w:color w:val="000000"/>
          <w:sz w:val="24"/>
        </w:rPr>
        <w:t xml:space="preserve">E </w:t>
      </w:r>
      <w:r w:rsidRPr="00861808">
        <w:rPr>
          <w:rFonts w:ascii="Book Antiqua" w:hAnsi="Book Antiqua"/>
          <w:b/>
          <w:bCs/>
          <w:color w:val="000000"/>
          <w:sz w:val="24"/>
        </w:rPr>
        <w:t xml:space="preserve">       S-Editor: </w:t>
      </w:r>
      <w:r w:rsidRPr="00861808">
        <w:rPr>
          <w:rFonts w:ascii="Book Antiqua" w:hAnsi="Book Antiqua"/>
          <w:bCs/>
          <w:color w:val="000000"/>
          <w:sz w:val="24"/>
        </w:rPr>
        <w:t xml:space="preserve">Wen LL  </w:t>
      </w:r>
      <w:r w:rsidRPr="00861808">
        <w:rPr>
          <w:rFonts w:ascii="Book Antiqua" w:hAnsi="Book Antiqua"/>
          <w:b/>
          <w:bCs/>
          <w:color w:val="000000"/>
          <w:sz w:val="24"/>
        </w:rPr>
        <w:t xml:space="preserve">         </w:t>
      </w:r>
      <w:r w:rsidRPr="00861808">
        <w:rPr>
          <w:rFonts w:ascii="Book Antiqua" w:hAnsi="Book Antiqua"/>
          <w:color w:val="000000"/>
          <w:sz w:val="24"/>
        </w:rPr>
        <w:t xml:space="preserve">  </w:t>
      </w:r>
      <w:r w:rsidRPr="00861808">
        <w:rPr>
          <w:rFonts w:ascii="Book Antiqua" w:hAnsi="Book Antiqua"/>
          <w:b/>
          <w:bCs/>
          <w:color w:val="000000"/>
          <w:sz w:val="24"/>
        </w:rPr>
        <w:t xml:space="preserve">L-Editor:                </w:t>
      </w:r>
      <w:r w:rsidRPr="00861808">
        <w:rPr>
          <w:rFonts w:ascii="Book Antiqua" w:hAnsi="Book Antiqua"/>
          <w:color w:val="000000"/>
          <w:sz w:val="24"/>
        </w:rPr>
        <w:t xml:space="preserve">  </w:t>
      </w:r>
      <w:r w:rsidRPr="00861808">
        <w:rPr>
          <w:rFonts w:ascii="Book Antiqua" w:hAnsi="Book Antiqua"/>
          <w:b/>
          <w:bCs/>
          <w:color w:val="000000"/>
          <w:sz w:val="24"/>
        </w:rPr>
        <w:t>E-Editor:</w:t>
      </w:r>
    </w:p>
    <w:bookmarkEnd w:id="31"/>
    <w:bookmarkEnd w:id="32"/>
    <w:bookmarkEnd w:id="33"/>
    <w:bookmarkEnd w:id="34"/>
    <w:bookmarkEnd w:id="35"/>
    <w:bookmarkEnd w:id="36"/>
    <w:p w:rsidR="00380878" w:rsidRPr="00861808" w:rsidRDefault="00380878" w:rsidP="003E1518">
      <w:pPr>
        <w:spacing w:line="360" w:lineRule="auto"/>
        <w:jc w:val="right"/>
        <w:rPr>
          <w:rFonts w:ascii="Book Antiqua" w:hAnsi="Book Antiqua"/>
          <w:b/>
          <w:sz w:val="24"/>
        </w:rPr>
      </w:pPr>
    </w:p>
    <w:p w:rsidR="00380878" w:rsidRPr="00861808" w:rsidRDefault="00380878" w:rsidP="000E76F5">
      <w:pPr>
        <w:spacing w:line="360" w:lineRule="auto"/>
        <w:rPr>
          <w:rFonts w:ascii="Book Antiqua" w:hAnsi="Book Antiqua"/>
          <w:sz w:val="24"/>
        </w:rPr>
      </w:pPr>
      <w:r w:rsidRPr="00861808">
        <w:rPr>
          <w:rFonts w:ascii="Book Antiqua" w:hAnsi="Book Antiqua"/>
          <w:sz w:val="24"/>
        </w:rPr>
        <w:br w:type="page"/>
      </w:r>
    </w:p>
    <w:p w:rsidR="00380878" w:rsidRPr="00861808" w:rsidRDefault="00B826D7" w:rsidP="000E76F5">
      <w:pPr>
        <w:spacing w:line="360" w:lineRule="auto"/>
        <w:rPr>
          <w:rFonts w:ascii="Book Antiqua" w:hAnsi="Book Antiqua"/>
          <w:sz w:val="24"/>
        </w:rPr>
      </w:pPr>
      <w:r>
        <w:rPr>
          <w:noProof/>
        </w:rPr>
        <w:drawing>
          <wp:anchor distT="0" distB="0" distL="114300" distR="114300" simplePos="0" relativeHeight="251658240" behindDoc="0" locked="0" layoutInCell="1" allowOverlap="1">
            <wp:simplePos x="0" y="0"/>
            <wp:positionH relativeFrom="column">
              <wp:posOffset>303530</wp:posOffset>
            </wp:positionH>
            <wp:positionV relativeFrom="paragraph">
              <wp:posOffset>906780</wp:posOffset>
            </wp:positionV>
            <wp:extent cx="5280660" cy="3954780"/>
            <wp:effectExtent l="0" t="0" r="0" b="7620"/>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660" cy="3954780"/>
                    </a:xfrm>
                    <a:prstGeom prst="rect">
                      <a:avLst/>
                    </a:prstGeom>
                    <a:noFill/>
                  </pic:spPr>
                </pic:pic>
              </a:graphicData>
            </a:graphic>
            <wp14:sizeRelH relativeFrom="page">
              <wp14:pctWidth>0</wp14:pctWidth>
            </wp14:sizeRelH>
            <wp14:sizeRelV relativeFrom="page">
              <wp14:pctHeight>0</wp14:pctHeight>
            </wp14:sizeRelV>
          </wp:anchor>
        </w:drawing>
      </w:r>
    </w:p>
    <w:p w:rsidR="00380878" w:rsidRPr="00861808" w:rsidRDefault="00380878" w:rsidP="000E76F5">
      <w:pPr>
        <w:spacing w:line="360" w:lineRule="auto"/>
        <w:rPr>
          <w:rFonts w:ascii="Book Antiqua" w:hAnsi="Book Antiqua"/>
          <w:sz w:val="24"/>
        </w:rPr>
      </w:pPr>
    </w:p>
    <w:p w:rsidR="00380878" w:rsidRPr="00861808" w:rsidRDefault="00380878" w:rsidP="000E76F5">
      <w:pPr>
        <w:spacing w:line="360" w:lineRule="auto"/>
        <w:rPr>
          <w:rFonts w:ascii="Book Antiqua" w:hAnsi="Book Antiqua"/>
          <w:sz w:val="24"/>
        </w:rPr>
      </w:pPr>
    </w:p>
    <w:p w:rsidR="00380878" w:rsidRPr="00861808" w:rsidRDefault="00380878" w:rsidP="000E76F5">
      <w:pPr>
        <w:spacing w:line="360" w:lineRule="auto"/>
        <w:rPr>
          <w:rFonts w:ascii="Book Antiqua" w:hAnsi="Book Antiqua"/>
          <w:sz w:val="24"/>
        </w:rPr>
      </w:pPr>
      <w:r w:rsidRPr="00861808">
        <w:rPr>
          <w:rFonts w:ascii="Book Antiqua" w:hAnsi="Book Antiqua"/>
          <w:b/>
          <w:sz w:val="24"/>
        </w:rPr>
        <w:t>Figure 1 Comparison of the Model For End-Stage Liver Disease-ultrasound-Doppler index to the ΔModel For End-Stage Liver Disease, left gastric vein blood flow velocity and left gastric vein blood flow direction for diagnostic accuracy.</w:t>
      </w:r>
      <w:r w:rsidRPr="00861808">
        <w:rPr>
          <w:rFonts w:ascii="Book Antiqua" w:hAnsi="Book Antiqua"/>
          <w:sz w:val="24"/>
        </w:rPr>
        <w:t xml:space="preserve"> The MUI (blue dotted line) had a significantly higher AUC compared to the ΔMELD alone (red dotted line) [0.858 (95%CI:</w:t>
      </w:r>
      <w:r w:rsidRPr="00861808">
        <w:rPr>
          <w:rFonts w:ascii="Book Antiqua" w:hAnsi="Book Antiqua"/>
          <w:kern w:val="0"/>
          <w:sz w:val="24"/>
        </w:rPr>
        <w:t xml:space="preserve"> 0.774-0.920</w:t>
      </w:r>
      <w:r w:rsidRPr="00861808">
        <w:rPr>
          <w:rFonts w:ascii="Book Antiqua" w:hAnsi="Book Antiqua"/>
          <w:sz w:val="24"/>
        </w:rPr>
        <w:t xml:space="preserve">) </w:t>
      </w:r>
      <w:r w:rsidRPr="00861808">
        <w:rPr>
          <w:rFonts w:ascii="Book Antiqua" w:hAnsi="Book Antiqua"/>
          <w:i/>
          <w:sz w:val="24"/>
        </w:rPr>
        <w:t>vs</w:t>
      </w:r>
      <w:r w:rsidRPr="00861808">
        <w:rPr>
          <w:rFonts w:ascii="Book Antiqua" w:hAnsi="Book Antiqua"/>
          <w:sz w:val="24"/>
        </w:rPr>
        <w:t xml:space="preserve"> 0.734 (95%CI:</w:t>
      </w:r>
      <w:r w:rsidRPr="00861808">
        <w:rPr>
          <w:rStyle w:val="def"/>
          <w:rFonts w:ascii="Book Antiqua" w:hAnsi="Book Antiqua"/>
          <w:sz w:val="24"/>
        </w:rPr>
        <w:t xml:space="preserve"> </w:t>
      </w:r>
      <w:r w:rsidRPr="00861808">
        <w:rPr>
          <w:rFonts w:ascii="Book Antiqua" w:hAnsi="Book Antiqua"/>
          <w:kern w:val="0"/>
          <w:sz w:val="24"/>
        </w:rPr>
        <w:t>0.636-0.817</w:t>
      </w:r>
      <w:r w:rsidRPr="00861808">
        <w:rPr>
          <w:rFonts w:ascii="Book Antiqua" w:hAnsi="Book Antiqua"/>
          <w:sz w:val="24"/>
        </w:rPr>
        <w:t>);</w:t>
      </w:r>
      <w:r w:rsidRPr="00861808">
        <w:rPr>
          <w:rFonts w:ascii="Book Antiqua" w:hAnsi="Book Antiqua"/>
          <w:i/>
          <w:sz w:val="24"/>
        </w:rPr>
        <w:t xml:space="preserve"> P </w:t>
      </w:r>
      <w:r w:rsidRPr="00861808">
        <w:rPr>
          <w:rFonts w:ascii="Book Antiqua" w:hAnsi="Book Antiqua"/>
          <w:sz w:val="24"/>
        </w:rPr>
        <w:t>&lt; 0.05]. Additionally, the AUC for the MUI was significantly higher than for to the LGVBFD alone (orange dotted line) [0.726 (95%CI:</w:t>
      </w:r>
      <w:r w:rsidRPr="00861808">
        <w:rPr>
          <w:rStyle w:val="def"/>
          <w:rFonts w:ascii="Book Antiqua" w:hAnsi="Book Antiqua"/>
          <w:sz w:val="24"/>
        </w:rPr>
        <w:t xml:space="preserve"> </w:t>
      </w:r>
      <w:r w:rsidRPr="00861808">
        <w:rPr>
          <w:rFonts w:ascii="Book Antiqua" w:hAnsi="Book Antiqua"/>
          <w:kern w:val="0"/>
          <w:sz w:val="24"/>
        </w:rPr>
        <w:t>0.627-0.810</w:t>
      </w:r>
      <w:r w:rsidRPr="00861808">
        <w:rPr>
          <w:rFonts w:ascii="Book Antiqua" w:hAnsi="Book Antiqua"/>
          <w:sz w:val="24"/>
        </w:rPr>
        <w:t>);</w:t>
      </w:r>
      <w:r w:rsidRPr="00861808">
        <w:rPr>
          <w:rFonts w:ascii="Book Antiqua" w:hAnsi="Book Antiqua"/>
          <w:i/>
          <w:sz w:val="24"/>
        </w:rPr>
        <w:t xml:space="preserve"> P </w:t>
      </w:r>
      <w:r w:rsidRPr="00861808">
        <w:rPr>
          <w:rFonts w:ascii="Book Antiqua" w:hAnsi="Book Antiqua"/>
          <w:sz w:val="24"/>
        </w:rPr>
        <w:t>&lt; 0.05] and the LGVV alone (green dotted line) [0.679 (95%CI:</w:t>
      </w:r>
      <w:r w:rsidRPr="00861808">
        <w:rPr>
          <w:rStyle w:val="def"/>
          <w:rFonts w:ascii="Book Antiqua" w:hAnsi="Book Antiqua"/>
          <w:sz w:val="24"/>
        </w:rPr>
        <w:t xml:space="preserve"> </w:t>
      </w:r>
      <w:r w:rsidRPr="00861808">
        <w:rPr>
          <w:rFonts w:ascii="Book Antiqua" w:hAnsi="Book Antiqua"/>
          <w:kern w:val="0"/>
          <w:sz w:val="24"/>
        </w:rPr>
        <w:t>0.578 - 0.769</w:t>
      </w:r>
      <w:r w:rsidRPr="00861808">
        <w:rPr>
          <w:rFonts w:ascii="Book Antiqua" w:hAnsi="Book Antiqua"/>
          <w:sz w:val="24"/>
        </w:rPr>
        <w:t>);</w:t>
      </w:r>
      <w:r w:rsidRPr="00861808">
        <w:rPr>
          <w:rFonts w:ascii="Book Antiqua" w:hAnsi="Book Antiqua"/>
          <w:i/>
          <w:sz w:val="24"/>
        </w:rPr>
        <w:t xml:space="preserve"> P </w:t>
      </w:r>
      <w:r w:rsidRPr="00861808">
        <w:rPr>
          <w:rFonts w:ascii="Book Antiqua" w:hAnsi="Book Antiqua"/>
          <w:sz w:val="24"/>
        </w:rPr>
        <w:t>&lt; 0.05]. AUC: Area under the receiver operating characteristic curve; ΔMELD: The change in the MELD score over a period of three months; LGVBFD: Left gastric vein blood flow direction; LGVV: Left gastric vein blood flow velocity.</w:t>
      </w:r>
    </w:p>
    <w:p w:rsidR="00380878" w:rsidRPr="00861808" w:rsidRDefault="00380878" w:rsidP="000E76F5">
      <w:pPr>
        <w:spacing w:line="360" w:lineRule="auto"/>
        <w:rPr>
          <w:rFonts w:ascii="Book Antiqua" w:hAnsi="Book Antiqua"/>
          <w:sz w:val="24"/>
        </w:rPr>
      </w:pPr>
      <w:r w:rsidRPr="00861808">
        <w:rPr>
          <w:rFonts w:ascii="Book Antiqua" w:hAnsi="Book Antiqua"/>
          <w:sz w:val="24"/>
        </w:rPr>
        <w:br w:type="page"/>
      </w:r>
    </w:p>
    <w:p w:rsidR="00380878" w:rsidRPr="00861808" w:rsidRDefault="00380878" w:rsidP="000E76F5">
      <w:pPr>
        <w:spacing w:line="360" w:lineRule="auto"/>
        <w:rPr>
          <w:rFonts w:ascii="Book Antiqua" w:hAnsi="Book Antiqua"/>
          <w:b/>
          <w:sz w:val="24"/>
        </w:rPr>
      </w:pPr>
      <w:r w:rsidRPr="00861808">
        <w:rPr>
          <w:rFonts w:ascii="Book Antiqua" w:hAnsi="Book Antiqua"/>
          <w:b/>
          <w:sz w:val="24"/>
        </w:rPr>
        <w:t>Table 1 Patient characteristics and results</w:t>
      </w:r>
    </w:p>
    <w:tbl>
      <w:tblPr>
        <w:tblW w:w="9283" w:type="dxa"/>
        <w:tblInd w:w="108" w:type="dxa"/>
        <w:tblLook w:val="01E0" w:firstRow="1" w:lastRow="1" w:firstColumn="1" w:lastColumn="1" w:noHBand="0" w:noVBand="0"/>
      </w:tblPr>
      <w:tblGrid>
        <w:gridCol w:w="5103"/>
        <w:gridCol w:w="1800"/>
        <w:gridCol w:w="1260"/>
        <w:gridCol w:w="1080"/>
        <w:gridCol w:w="40"/>
      </w:tblGrid>
      <w:tr w:rsidR="00380878" w:rsidRPr="00861808" w:rsidTr="00CF2845">
        <w:trPr>
          <w:gridAfter w:val="1"/>
          <w:wAfter w:w="40" w:type="dxa"/>
        </w:trPr>
        <w:tc>
          <w:tcPr>
            <w:tcW w:w="5103" w:type="dxa"/>
            <w:tcBorders>
              <w:top w:val="single" w:sz="4" w:space="0" w:color="auto"/>
            </w:tcBorders>
          </w:tcPr>
          <w:p w:rsidR="00380878" w:rsidRPr="00861808" w:rsidRDefault="00380878" w:rsidP="00CF2845">
            <w:pPr>
              <w:spacing w:line="360" w:lineRule="auto"/>
              <w:rPr>
                <w:rFonts w:ascii="Book Antiqua" w:hAnsi="Book Antiqua"/>
                <w:b/>
                <w:sz w:val="24"/>
              </w:rPr>
            </w:pPr>
            <w:r w:rsidRPr="00861808">
              <w:rPr>
                <w:rStyle w:val="keyword"/>
                <w:rFonts w:ascii="Book Antiqua" w:hAnsi="Book Antiqua"/>
                <w:b/>
                <w:sz w:val="24"/>
              </w:rPr>
              <w:t>Variables</w:t>
            </w:r>
          </w:p>
        </w:tc>
        <w:tc>
          <w:tcPr>
            <w:tcW w:w="1800" w:type="dxa"/>
            <w:tcBorders>
              <w:top w:val="single" w:sz="4" w:space="0" w:color="auto"/>
            </w:tcBorders>
          </w:tcPr>
          <w:p w:rsidR="00380878" w:rsidRPr="00861808" w:rsidRDefault="00380878" w:rsidP="00CF2845">
            <w:pPr>
              <w:spacing w:line="360" w:lineRule="auto"/>
              <w:jc w:val="center"/>
              <w:rPr>
                <w:rFonts w:ascii="Book Antiqua" w:hAnsi="Book Antiqua"/>
                <w:b/>
                <w:sz w:val="24"/>
              </w:rPr>
            </w:pPr>
            <w:r w:rsidRPr="00861808">
              <w:rPr>
                <w:rFonts w:ascii="Book Antiqua" w:hAnsi="Book Antiqua"/>
                <w:b/>
                <w:sz w:val="24"/>
              </w:rPr>
              <w:t>EVB+</w:t>
            </w:r>
          </w:p>
        </w:tc>
        <w:tc>
          <w:tcPr>
            <w:tcW w:w="1260" w:type="dxa"/>
            <w:tcBorders>
              <w:top w:val="single" w:sz="4" w:space="0" w:color="auto"/>
            </w:tcBorders>
          </w:tcPr>
          <w:p w:rsidR="00380878" w:rsidRPr="00861808" w:rsidRDefault="00380878" w:rsidP="00CF2845">
            <w:pPr>
              <w:spacing w:line="360" w:lineRule="auto"/>
              <w:jc w:val="center"/>
              <w:rPr>
                <w:rFonts w:ascii="Book Antiqua" w:hAnsi="Book Antiqua"/>
                <w:b/>
                <w:sz w:val="24"/>
              </w:rPr>
            </w:pPr>
            <w:r w:rsidRPr="00861808">
              <w:rPr>
                <w:rFonts w:ascii="Book Antiqua" w:hAnsi="Book Antiqua"/>
                <w:b/>
                <w:sz w:val="24"/>
              </w:rPr>
              <w:t>EVB-</w:t>
            </w:r>
          </w:p>
        </w:tc>
        <w:tc>
          <w:tcPr>
            <w:tcW w:w="1080" w:type="dxa"/>
            <w:tcBorders>
              <w:top w:val="single" w:sz="4" w:space="0" w:color="auto"/>
            </w:tcBorders>
          </w:tcPr>
          <w:p w:rsidR="00380878" w:rsidRPr="00861808" w:rsidRDefault="00380878" w:rsidP="00CF2845">
            <w:pPr>
              <w:spacing w:line="360" w:lineRule="auto"/>
              <w:jc w:val="center"/>
              <w:rPr>
                <w:rFonts w:ascii="Book Antiqua" w:hAnsi="Book Antiqua"/>
                <w:b/>
                <w:sz w:val="24"/>
              </w:rPr>
            </w:pPr>
            <w:r w:rsidRPr="00861808">
              <w:rPr>
                <w:rFonts w:ascii="Book Antiqua" w:hAnsi="Book Antiqua"/>
                <w:b/>
                <w:i/>
                <w:sz w:val="24"/>
              </w:rPr>
              <w:t>P</w:t>
            </w:r>
            <w:r w:rsidRPr="00861808">
              <w:rPr>
                <w:rFonts w:ascii="Book Antiqua" w:hAnsi="Book Antiqua"/>
                <w:b/>
                <w:sz w:val="24"/>
              </w:rPr>
              <w:t xml:space="preserve"> value</w:t>
            </w:r>
          </w:p>
        </w:tc>
      </w:tr>
      <w:tr w:rsidR="00380878" w:rsidRPr="00861808" w:rsidTr="00CF2845">
        <w:trPr>
          <w:gridAfter w:val="1"/>
          <w:wAfter w:w="40" w:type="dxa"/>
        </w:trPr>
        <w:tc>
          <w:tcPr>
            <w:tcW w:w="5103" w:type="dxa"/>
            <w:tcBorders>
              <w:bottom w:val="single" w:sz="4" w:space="0" w:color="auto"/>
            </w:tcBorders>
          </w:tcPr>
          <w:p w:rsidR="00380878" w:rsidRPr="00861808" w:rsidRDefault="00380878" w:rsidP="00CF2845">
            <w:pPr>
              <w:spacing w:line="360" w:lineRule="auto"/>
              <w:rPr>
                <w:rFonts w:ascii="Book Antiqua" w:hAnsi="Book Antiqua"/>
                <w:b/>
                <w:sz w:val="24"/>
              </w:rPr>
            </w:pPr>
          </w:p>
        </w:tc>
        <w:tc>
          <w:tcPr>
            <w:tcW w:w="1800" w:type="dxa"/>
            <w:tcBorders>
              <w:bottom w:val="single" w:sz="4" w:space="0" w:color="auto"/>
            </w:tcBorders>
          </w:tcPr>
          <w:p w:rsidR="00380878" w:rsidRPr="00861808" w:rsidRDefault="00380878" w:rsidP="00CF2845">
            <w:pPr>
              <w:spacing w:line="360" w:lineRule="auto"/>
              <w:jc w:val="center"/>
              <w:rPr>
                <w:rFonts w:ascii="Book Antiqua" w:hAnsi="Book Antiqua"/>
                <w:b/>
                <w:sz w:val="24"/>
              </w:rPr>
            </w:pPr>
            <w:r w:rsidRPr="00861808">
              <w:rPr>
                <w:rFonts w:ascii="Book Antiqua" w:hAnsi="Book Antiqua"/>
                <w:b/>
                <w:sz w:val="24"/>
              </w:rPr>
              <w:t>(</w:t>
            </w:r>
            <w:r w:rsidRPr="00861808">
              <w:rPr>
                <w:rFonts w:ascii="Book Antiqua" w:hAnsi="Book Antiqua"/>
                <w:b/>
                <w:i/>
                <w:sz w:val="24"/>
              </w:rPr>
              <w:t>n</w:t>
            </w:r>
            <w:r w:rsidRPr="00861808">
              <w:rPr>
                <w:rFonts w:ascii="Book Antiqua" w:hAnsi="Book Antiqua"/>
                <w:b/>
                <w:sz w:val="24"/>
              </w:rPr>
              <w:t xml:space="preserve"> = 51)</w:t>
            </w:r>
          </w:p>
        </w:tc>
        <w:tc>
          <w:tcPr>
            <w:tcW w:w="1260" w:type="dxa"/>
            <w:tcBorders>
              <w:bottom w:val="single" w:sz="4" w:space="0" w:color="auto"/>
            </w:tcBorders>
          </w:tcPr>
          <w:p w:rsidR="00380878" w:rsidRPr="00861808" w:rsidRDefault="00380878" w:rsidP="00CF2845">
            <w:pPr>
              <w:spacing w:line="360" w:lineRule="auto"/>
              <w:jc w:val="center"/>
              <w:rPr>
                <w:rFonts w:ascii="Book Antiqua" w:hAnsi="Book Antiqua"/>
                <w:b/>
                <w:sz w:val="24"/>
              </w:rPr>
            </w:pPr>
            <w:r w:rsidRPr="00861808">
              <w:rPr>
                <w:rFonts w:ascii="Book Antiqua" w:hAnsi="Book Antiqua"/>
                <w:b/>
                <w:sz w:val="24"/>
              </w:rPr>
              <w:t>(</w:t>
            </w:r>
            <w:r w:rsidRPr="00861808">
              <w:rPr>
                <w:rFonts w:ascii="Book Antiqua" w:hAnsi="Book Antiqua"/>
                <w:b/>
                <w:i/>
                <w:sz w:val="24"/>
              </w:rPr>
              <w:t>n</w:t>
            </w:r>
            <w:r w:rsidRPr="00861808">
              <w:rPr>
                <w:rFonts w:ascii="Book Antiqua" w:hAnsi="Book Antiqua"/>
                <w:b/>
                <w:sz w:val="24"/>
              </w:rPr>
              <w:t xml:space="preserve"> = 365)</w:t>
            </w:r>
          </w:p>
        </w:tc>
        <w:tc>
          <w:tcPr>
            <w:tcW w:w="1080" w:type="dxa"/>
            <w:tcBorders>
              <w:bottom w:val="single" w:sz="4" w:space="0" w:color="auto"/>
            </w:tcBorders>
          </w:tcPr>
          <w:p w:rsidR="00380878" w:rsidRPr="00861808" w:rsidRDefault="00380878" w:rsidP="00CF2845">
            <w:pPr>
              <w:spacing w:line="360" w:lineRule="auto"/>
              <w:jc w:val="center"/>
              <w:rPr>
                <w:rFonts w:ascii="Book Antiqua" w:hAnsi="Book Antiqua"/>
                <w:b/>
                <w:sz w:val="24"/>
              </w:rPr>
            </w:pPr>
          </w:p>
        </w:tc>
      </w:tr>
      <w:tr w:rsidR="00380878" w:rsidRPr="00861808" w:rsidTr="00CF2845">
        <w:trPr>
          <w:gridAfter w:val="1"/>
          <w:wAfter w:w="40" w:type="dxa"/>
        </w:trPr>
        <w:tc>
          <w:tcPr>
            <w:tcW w:w="5103" w:type="dxa"/>
            <w:tcBorders>
              <w:top w:val="single" w:sz="4" w:space="0" w:color="auto"/>
            </w:tcBorders>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Age (yr)</w:t>
            </w:r>
          </w:p>
        </w:tc>
        <w:tc>
          <w:tcPr>
            <w:tcW w:w="1800" w:type="dxa"/>
            <w:tcBorders>
              <w:top w:val="single" w:sz="4" w:space="0" w:color="auto"/>
            </w:tcBorders>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67.5</w:t>
            </w:r>
            <w:bookmarkStart w:id="37" w:name="OLE_LINK16"/>
            <w:bookmarkStart w:id="38" w:name="OLE_LINK27"/>
            <w:bookmarkStart w:id="39" w:name="OLE_LINK34"/>
            <w:r w:rsidRPr="00861808">
              <w:rPr>
                <w:rFonts w:ascii="Book Antiqua" w:hAnsi="Book Antiqua"/>
                <w:sz w:val="24"/>
              </w:rPr>
              <w:t xml:space="preserve"> ±</w:t>
            </w:r>
            <w:bookmarkEnd w:id="37"/>
            <w:bookmarkEnd w:id="38"/>
            <w:bookmarkEnd w:id="39"/>
            <w:r w:rsidRPr="00861808">
              <w:rPr>
                <w:rFonts w:ascii="Book Antiqua" w:hAnsi="Book Antiqua"/>
                <w:sz w:val="24"/>
              </w:rPr>
              <w:t xml:space="preserve"> 13.4</w:t>
            </w:r>
          </w:p>
        </w:tc>
        <w:tc>
          <w:tcPr>
            <w:tcW w:w="1260" w:type="dxa"/>
            <w:tcBorders>
              <w:top w:val="single" w:sz="4" w:space="0" w:color="auto"/>
            </w:tcBorders>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62.3 ± 11.8</w:t>
            </w:r>
          </w:p>
        </w:tc>
        <w:tc>
          <w:tcPr>
            <w:tcW w:w="1080" w:type="dxa"/>
            <w:tcBorders>
              <w:top w:val="single" w:sz="4" w:space="0" w:color="auto"/>
            </w:tcBorders>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0.0085</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Sex (male/female)</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27/24</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201/164</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0.7749</w:t>
            </w:r>
          </w:p>
        </w:tc>
      </w:tr>
      <w:tr w:rsidR="00380878" w:rsidRPr="00861808" w:rsidTr="00CF2845">
        <w:tc>
          <w:tcPr>
            <w:tcW w:w="9283" w:type="dxa"/>
            <w:gridSpan w:val="5"/>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Etiology of liver disease</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 xml:space="preserve">  Hepatitis B virus</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36</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255</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0.9157</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 xml:space="preserve">  Primary biliary cirrhosis or primary sclerosing cholangitis</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2</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0.5962</w:t>
            </w:r>
          </w:p>
        </w:tc>
      </w:tr>
      <w:tr w:rsidR="00380878" w:rsidRPr="00861808" w:rsidTr="00CF2845">
        <w:trPr>
          <w:gridAfter w:val="1"/>
          <w:wAfter w:w="40" w:type="dxa"/>
        </w:trPr>
        <w:tc>
          <w:tcPr>
            <w:tcW w:w="5103" w:type="dxa"/>
          </w:tcPr>
          <w:p w:rsidR="00380878" w:rsidRPr="00861808" w:rsidRDefault="00380878" w:rsidP="00571FFD">
            <w:pPr>
              <w:spacing w:line="360" w:lineRule="auto"/>
              <w:ind w:firstLineChars="100" w:firstLine="240"/>
              <w:jc w:val="left"/>
              <w:rPr>
                <w:rFonts w:ascii="Book Antiqua" w:hAnsi="Book Antiqua"/>
                <w:sz w:val="24"/>
              </w:rPr>
            </w:pPr>
            <w:r w:rsidRPr="00861808">
              <w:rPr>
                <w:rFonts w:ascii="Book Antiqua" w:hAnsi="Book Antiqua"/>
                <w:sz w:val="24"/>
              </w:rPr>
              <w:t>Alcohol-related liver disease</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4</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0.5955</w:t>
            </w:r>
          </w:p>
        </w:tc>
      </w:tr>
      <w:tr w:rsidR="00380878" w:rsidRPr="00861808" w:rsidTr="00CF2845">
        <w:trPr>
          <w:gridAfter w:val="1"/>
          <w:wAfter w:w="40" w:type="dxa"/>
        </w:trPr>
        <w:tc>
          <w:tcPr>
            <w:tcW w:w="5103" w:type="dxa"/>
          </w:tcPr>
          <w:p w:rsidR="00380878" w:rsidRPr="00861808" w:rsidRDefault="00380878" w:rsidP="00571FFD">
            <w:pPr>
              <w:spacing w:line="360" w:lineRule="auto"/>
              <w:ind w:firstLineChars="100" w:firstLine="240"/>
              <w:jc w:val="left"/>
              <w:rPr>
                <w:rFonts w:ascii="Book Antiqua" w:hAnsi="Book Antiqua"/>
                <w:sz w:val="24"/>
              </w:rPr>
            </w:pPr>
            <w:r w:rsidRPr="00861808">
              <w:rPr>
                <w:rFonts w:ascii="Book Antiqua" w:hAnsi="Book Antiqua"/>
                <w:sz w:val="24"/>
              </w:rPr>
              <w:t>Schistosomiasis-associated liver disease</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14</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104</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0.8771</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MELD score</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26.5</w:t>
            </w:r>
            <w:bookmarkStart w:id="40" w:name="OLE_LINK32"/>
            <w:bookmarkStart w:id="41" w:name="OLE_LINK33"/>
            <w:r w:rsidRPr="00861808">
              <w:rPr>
                <w:rFonts w:ascii="Book Antiqua" w:hAnsi="Book Antiqua"/>
                <w:sz w:val="24"/>
              </w:rPr>
              <w:t xml:space="preserve"> ±</w:t>
            </w:r>
            <w:bookmarkEnd w:id="40"/>
            <w:bookmarkEnd w:id="41"/>
            <w:r w:rsidRPr="00861808">
              <w:rPr>
                <w:rFonts w:ascii="Book Antiqua" w:hAnsi="Book Antiqua"/>
                <w:sz w:val="24"/>
              </w:rPr>
              <w:t xml:space="preserve"> 9.8</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18.9 ± 10.3</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0.0000</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ΔMELD score</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1.89 ± 1.23</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0.66 ± 0.47</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0.0001</w:t>
            </w:r>
          </w:p>
        </w:tc>
      </w:tr>
      <w:tr w:rsidR="00380878" w:rsidRPr="00861808" w:rsidTr="00CF2845">
        <w:tc>
          <w:tcPr>
            <w:tcW w:w="9283" w:type="dxa"/>
            <w:gridSpan w:val="5"/>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US parameters</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bookmarkStart w:id="42" w:name="_Hlk377031129"/>
            <w:r w:rsidRPr="00861808">
              <w:rPr>
                <w:rFonts w:ascii="Book Antiqua" w:hAnsi="Book Antiqua"/>
                <w:sz w:val="24"/>
              </w:rPr>
              <w:t xml:space="preserve">  PV diameter (cm)</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1.37</w:t>
            </w:r>
            <w:bookmarkStart w:id="43" w:name="OLE_LINK36"/>
            <w:r w:rsidRPr="00861808">
              <w:rPr>
                <w:rFonts w:ascii="Book Antiqua" w:hAnsi="Book Antiqua"/>
                <w:sz w:val="24"/>
              </w:rPr>
              <w:t xml:space="preserve"> ±</w:t>
            </w:r>
            <w:bookmarkEnd w:id="43"/>
            <w:r w:rsidRPr="00861808">
              <w:rPr>
                <w:rFonts w:ascii="Book Antiqua" w:hAnsi="Book Antiqua"/>
                <w:sz w:val="24"/>
              </w:rPr>
              <w:t xml:space="preserve"> 0.25</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1.31 ± 0.18</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0.0979</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 xml:space="preserve">  PV velocity (cm/s)</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16.9 ± 10.1</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19.9 ± 8.4</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0.0428</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 xml:space="preserve">  PV flow (mL/min)</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809 ± 396</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776 ± 412</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0.5907</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 xml:space="preserve">  SV diameter (cm)</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1.23 ± 0.45</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1.01 ± 0.23</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0.0006</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 xml:space="preserve">  SV velocity (cm/s)</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27.1 ± 11.3</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29.1 ± 12.0</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0.2623</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 xml:space="preserve">  SV flow (mL/min)</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1124 ± 412</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896 ± 331</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0.0002</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 xml:space="preserve">  LGV diameter (cm)</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0.73 ± 0.33</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0.61 ± 0.21</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0.0115</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lastRenderedPageBreak/>
              <w:t xml:space="preserve">  LGV velocity (hepatopetal) (cm/s)</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-21.1 ± 8.1</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14.1 ± 6.9</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0.0002</w:t>
            </w:r>
          </w:p>
        </w:tc>
      </w:tr>
      <w:tr w:rsidR="00380878" w:rsidRPr="00861808" w:rsidTr="00CF2845">
        <w:trPr>
          <w:gridAfter w:val="1"/>
          <w:wAfter w:w="40" w:type="dxa"/>
        </w:trPr>
        <w:tc>
          <w:tcPr>
            <w:tcW w:w="5103" w:type="dxa"/>
          </w:tcPr>
          <w:p w:rsidR="00380878" w:rsidRPr="00861808" w:rsidRDefault="00380878" w:rsidP="00CF2845">
            <w:pPr>
              <w:spacing w:line="360" w:lineRule="auto"/>
              <w:jc w:val="left"/>
              <w:rPr>
                <w:rFonts w:ascii="Book Antiqua" w:hAnsi="Book Antiqua"/>
                <w:sz w:val="24"/>
              </w:rPr>
            </w:pPr>
            <w:r w:rsidRPr="00861808">
              <w:rPr>
                <w:rFonts w:ascii="Book Antiqua" w:hAnsi="Book Antiqua"/>
                <w:sz w:val="24"/>
              </w:rPr>
              <w:t xml:space="preserve">  LGVBFD (hepatofugal)</w:t>
            </w:r>
          </w:p>
        </w:tc>
        <w:tc>
          <w:tcPr>
            <w:tcW w:w="180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49</w:t>
            </w:r>
          </w:p>
        </w:tc>
        <w:tc>
          <w:tcPr>
            <w:tcW w:w="126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73</w:t>
            </w:r>
          </w:p>
        </w:tc>
        <w:tc>
          <w:tcPr>
            <w:tcW w:w="1080" w:type="dxa"/>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0.0000</w:t>
            </w:r>
          </w:p>
        </w:tc>
      </w:tr>
      <w:tr w:rsidR="00380878" w:rsidRPr="00861808" w:rsidTr="00CF2845">
        <w:trPr>
          <w:gridAfter w:val="1"/>
          <w:wAfter w:w="40" w:type="dxa"/>
        </w:trPr>
        <w:tc>
          <w:tcPr>
            <w:tcW w:w="5103" w:type="dxa"/>
            <w:tcBorders>
              <w:bottom w:val="single" w:sz="4" w:space="0" w:color="auto"/>
            </w:tcBorders>
          </w:tcPr>
          <w:p w:rsidR="00380878" w:rsidRPr="00861808" w:rsidRDefault="00380878" w:rsidP="00571FFD">
            <w:pPr>
              <w:spacing w:line="360" w:lineRule="auto"/>
              <w:ind w:firstLineChars="100" w:firstLine="240"/>
              <w:jc w:val="left"/>
              <w:rPr>
                <w:rFonts w:ascii="Book Antiqua" w:hAnsi="Book Antiqua"/>
                <w:sz w:val="24"/>
              </w:rPr>
            </w:pPr>
            <w:r w:rsidRPr="00861808">
              <w:rPr>
                <w:rFonts w:ascii="Book Antiqua" w:hAnsi="Book Antiqua"/>
                <w:sz w:val="24"/>
              </w:rPr>
              <w:t>Spleen longitudinal diameter (cm)</w:t>
            </w:r>
          </w:p>
        </w:tc>
        <w:tc>
          <w:tcPr>
            <w:tcW w:w="1800" w:type="dxa"/>
            <w:tcBorders>
              <w:bottom w:val="single" w:sz="4" w:space="0" w:color="auto"/>
            </w:tcBorders>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20.7 ± 4.1</w:t>
            </w:r>
          </w:p>
        </w:tc>
        <w:tc>
          <w:tcPr>
            <w:tcW w:w="1260" w:type="dxa"/>
            <w:tcBorders>
              <w:bottom w:val="single" w:sz="4" w:space="0" w:color="auto"/>
            </w:tcBorders>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18.6 ± 3.6</w:t>
            </w:r>
          </w:p>
        </w:tc>
        <w:tc>
          <w:tcPr>
            <w:tcW w:w="1080" w:type="dxa"/>
            <w:tcBorders>
              <w:bottom w:val="single" w:sz="4" w:space="0" w:color="auto"/>
            </w:tcBorders>
          </w:tcPr>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0.3356</w:t>
            </w:r>
          </w:p>
        </w:tc>
      </w:tr>
    </w:tbl>
    <w:bookmarkEnd w:id="42"/>
    <w:p w:rsidR="00380878" w:rsidRPr="00861808" w:rsidRDefault="00380878" w:rsidP="000E76F5">
      <w:pPr>
        <w:spacing w:line="360" w:lineRule="auto"/>
        <w:rPr>
          <w:rFonts w:ascii="Book Antiqua" w:hAnsi="Book Antiqua"/>
          <w:sz w:val="24"/>
        </w:rPr>
      </w:pPr>
      <w:r w:rsidRPr="00861808">
        <w:rPr>
          <w:rFonts w:ascii="Book Antiqua" w:hAnsi="Book Antiqua"/>
          <w:sz w:val="24"/>
        </w:rPr>
        <w:t>EVB+: Patients with esophageal variceal</w:t>
      </w:r>
      <w:r w:rsidRPr="00861808">
        <w:rPr>
          <w:rFonts w:ascii="Book Antiqua" w:hAnsi="Book Antiqua"/>
          <w:b/>
          <w:sz w:val="24"/>
        </w:rPr>
        <w:t xml:space="preserve"> </w:t>
      </w:r>
      <w:r w:rsidRPr="00861808">
        <w:rPr>
          <w:rFonts w:ascii="Book Antiqua" w:hAnsi="Book Antiqua"/>
          <w:sz w:val="24"/>
        </w:rPr>
        <w:t>bleeding; EVB-: Patients without esophageal variceal</w:t>
      </w:r>
      <w:r w:rsidRPr="00861808">
        <w:rPr>
          <w:rFonts w:ascii="Book Antiqua" w:hAnsi="Book Antiqua"/>
          <w:b/>
          <w:sz w:val="24"/>
        </w:rPr>
        <w:t xml:space="preserve"> </w:t>
      </w:r>
      <w:r w:rsidRPr="00861808">
        <w:rPr>
          <w:rFonts w:ascii="Book Antiqua" w:hAnsi="Book Antiqua"/>
          <w:sz w:val="24"/>
        </w:rPr>
        <w:t>bleeding; LGV: Left gastric vein; LGVBFD: LGV blood flow direction; MELD: Model for End-stage Liver Disease; PV: Portal vein; SV: Splenic vein; US: Ultrasound.</w:t>
      </w:r>
    </w:p>
    <w:p w:rsidR="00380878" w:rsidRPr="00861808" w:rsidRDefault="00380878" w:rsidP="000E76F5">
      <w:pPr>
        <w:spacing w:line="360" w:lineRule="auto"/>
        <w:rPr>
          <w:rFonts w:ascii="Book Antiqua" w:hAnsi="Book Antiqua"/>
          <w:b/>
          <w:sz w:val="24"/>
        </w:rPr>
      </w:pPr>
      <w:r w:rsidRPr="00861808">
        <w:rPr>
          <w:rFonts w:ascii="Book Antiqua" w:hAnsi="Book Antiqua"/>
          <w:sz w:val="24"/>
        </w:rPr>
        <w:br w:type="page"/>
      </w:r>
      <w:r w:rsidRPr="00861808">
        <w:rPr>
          <w:rFonts w:ascii="Book Antiqua" w:hAnsi="Book Antiqua"/>
          <w:b/>
          <w:sz w:val="24"/>
        </w:rPr>
        <w:lastRenderedPageBreak/>
        <w:t>Table 2 Multivariate logistic regression analysis</w:t>
      </w:r>
    </w:p>
    <w:tbl>
      <w:tblPr>
        <w:tblW w:w="5000" w:type="pct"/>
        <w:tblInd w:w="108" w:type="dxa"/>
        <w:tblBorders>
          <w:top w:val="single" w:sz="8" w:space="0" w:color="000000"/>
          <w:bottom w:val="single" w:sz="8" w:space="0" w:color="000000"/>
        </w:tblBorders>
        <w:tblLayout w:type="fixed"/>
        <w:tblLook w:val="0060" w:firstRow="1" w:lastRow="1" w:firstColumn="0" w:lastColumn="0" w:noHBand="0" w:noVBand="0"/>
      </w:tblPr>
      <w:tblGrid>
        <w:gridCol w:w="1228"/>
        <w:gridCol w:w="1439"/>
        <w:gridCol w:w="1475"/>
        <w:gridCol w:w="1259"/>
        <w:gridCol w:w="1259"/>
        <w:gridCol w:w="2626"/>
      </w:tblGrid>
      <w:tr w:rsidR="00380878" w:rsidRPr="00861808" w:rsidTr="00CF2845">
        <w:tc>
          <w:tcPr>
            <w:tcW w:w="661" w:type="pct"/>
            <w:tcBorders>
              <w:top w:val="single" w:sz="8" w:space="0" w:color="000000"/>
              <w:left w:val="nil"/>
              <w:bottom w:val="single" w:sz="8" w:space="0" w:color="000000"/>
              <w:right w:val="nil"/>
            </w:tcBorders>
            <w:noWrap/>
          </w:tcPr>
          <w:p w:rsidR="00380878" w:rsidRPr="00861808" w:rsidRDefault="00380878" w:rsidP="00CF2845">
            <w:pPr>
              <w:spacing w:line="360" w:lineRule="auto"/>
              <w:jc w:val="center"/>
              <w:rPr>
                <w:rFonts w:ascii="Book Antiqua" w:hAnsi="Book Antiqua"/>
                <w:b/>
                <w:bCs/>
                <w:sz w:val="24"/>
                <w:lang w:val="zh-CN"/>
              </w:rPr>
            </w:pPr>
            <w:r w:rsidRPr="00861808">
              <w:rPr>
                <w:rFonts w:ascii="Book Antiqua" w:hAnsi="Book Antiqua"/>
                <w:b/>
                <w:bCs/>
                <w:sz w:val="24"/>
                <w:lang w:val="zh-CN"/>
              </w:rPr>
              <w:t>Variables</w:t>
            </w:r>
          </w:p>
        </w:tc>
        <w:tc>
          <w:tcPr>
            <w:tcW w:w="775" w:type="pct"/>
            <w:tcBorders>
              <w:top w:val="single" w:sz="8" w:space="0" w:color="000000"/>
              <w:left w:val="nil"/>
              <w:bottom w:val="single" w:sz="8" w:space="0" w:color="000000"/>
              <w:right w:val="nil"/>
            </w:tcBorders>
          </w:tcPr>
          <w:p w:rsidR="00380878" w:rsidRPr="00861808" w:rsidRDefault="00380878" w:rsidP="00CF2845">
            <w:pPr>
              <w:spacing w:line="360" w:lineRule="auto"/>
              <w:jc w:val="center"/>
              <w:rPr>
                <w:rFonts w:ascii="Book Antiqua" w:hAnsi="Book Antiqua"/>
                <w:b/>
                <w:bCs/>
                <w:sz w:val="24"/>
                <w:lang w:val="zh-CN"/>
              </w:rPr>
            </w:pPr>
            <w:r w:rsidRPr="00861808">
              <w:rPr>
                <w:rFonts w:ascii="Book Antiqua" w:hAnsi="Book Antiqua"/>
                <w:b/>
                <w:bCs/>
                <w:sz w:val="24"/>
                <w:lang w:val="zh-CN"/>
              </w:rPr>
              <w:t>Coefficient</w:t>
            </w:r>
          </w:p>
        </w:tc>
        <w:tc>
          <w:tcPr>
            <w:tcW w:w="794" w:type="pct"/>
            <w:tcBorders>
              <w:top w:val="single" w:sz="8" w:space="0" w:color="000000"/>
              <w:left w:val="nil"/>
              <w:bottom w:val="single" w:sz="8" w:space="0" w:color="000000"/>
              <w:right w:val="nil"/>
            </w:tcBorders>
          </w:tcPr>
          <w:p w:rsidR="00380878" w:rsidRPr="00861808" w:rsidRDefault="00380878" w:rsidP="00571FFD">
            <w:pPr>
              <w:spacing w:line="360" w:lineRule="auto"/>
              <w:ind w:firstLineChars="100" w:firstLine="241"/>
              <w:jc w:val="center"/>
              <w:rPr>
                <w:rFonts w:ascii="Book Antiqua" w:hAnsi="Book Antiqua"/>
                <w:b/>
                <w:bCs/>
                <w:i/>
                <w:sz w:val="24"/>
                <w:lang w:val="zh-CN"/>
              </w:rPr>
            </w:pPr>
            <w:r w:rsidRPr="00861808">
              <w:rPr>
                <w:rStyle w:val="HTML"/>
                <w:rFonts w:ascii="Book Antiqua" w:hAnsi="Book Antiqua"/>
                <w:b/>
                <w:sz w:val="24"/>
              </w:rPr>
              <w:t>SE</w:t>
            </w:r>
          </w:p>
        </w:tc>
        <w:tc>
          <w:tcPr>
            <w:tcW w:w="678" w:type="pct"/>
            <w:tcBorders>
              <w:top w:val="single" w:sz="8" w:space="0" w:color="000000"/>
              <w:left w:val="nil"/>
              <w:bottom w:val="single" w:sz="8" w:space="0" w:color="000000"/>
              <w:right w:val="nil"/>
            </w:tcBorders>
          </w:tcPr>
          <w:p w:rsidR="00380878" w:rsidRPr="00861808" w:rsidRDefault="00380878" w:rsidP="00571FFD">
            <w:pPr>
              <w:spacing w:line="360" w:lineRule="auto"/>
              <w:ind w:firstLineChars="50" w:firstLine="120"/>
              <w:jc w:val="center"/>
              <w:rPr>
                <w:rFonts w:ascii="Book Antiqua" w:hAnsi="Book Antiqua"/>
                <w:b/>
                <w:bCs/>
                <w:sz w:val="24"/>
                <w:lang w:val="zh-CN"/>
              </w:rPr>
            </w:pPr>
            <w:r w:rsidRPr="00861808">
              <w:rPr>
                <w:rFonts w:ascii="Book Antiqua" w:hAnsi="Book Antiqua"/>
                <w:b/>
                <w:bCs/>
                <w:sz w:val="24"/>
                <w:lang w:val="zh-CN"/>
              </w:rPr>
              <w:t>Wald</w:t>
            </w:r>
          </w:p>
        </w:tc>
        <w:tc>
          <w:tcPr>
            <w:tcW w:w="678" w:type="pct"/>
            <w:tcBorders>
              <w:top w:val="single" w:sz="8" w:space="0" w:color="000000"/>
              <w:left w:val="nil"/>
              <w:bottom w:val="single" w:sz="8" w:space="0" w:color="000000"/>
              <w:right w:val="nil"/>
            </w:tcBorders>
          </w:tcPr>
          <w:p w:rsidR="00380878" w:rsidRPr="00861808" w:rsidRDefault="00380878" w:rsidP="00571FFD">
            <w:pPr>
              <w:spacing w:line="360" w:lineRule="auto"/>
              <w:ind w:firstLineChars="50" w:firstLine="120"/>
              <w:jc w:val="center"/>
              <w:rPr>
                <w:rFonts w:ascii="Book Antiqua" w:hAnsi="Book Antiqua"/>
                <w:b/>
                <w:bCs/>
                <w:i/>
                <w:sz w:val="24"/>
                <w:lang w:val="zh-CN"/>
              </w:rPr>
            </w:pPr>
            <w:r w:rsidRPr="00861808">
              <w:rPr>
                <w:rFonts w:ascii="Book Antiqua" w:hAnsi="Book Antiqua"/>
                <w:b/>
                <w:i/>
                <w:sz w:val="24"/>
              </w:rPr>
              <w:t xml:space="preserve">P </w:t>
            </w:r>
            <w:r w:rsidRPr="00861808">
              <w:rPr>
                <w:rFonts w:ascii="Book Antiqua" w:hAnsi="Book Antiqua"/>
                <w:b/>
                <w:sz w:val="24"/>
              </w:rPr>
              <w:t>value</w:t>
            </w:r>
          </w:p>
        </w:tc>
        <w:tc>
          <w:tcPr>
            <w:tcW w:w="1414" w:type="pct"/>
            <w:tcBorders>
              <w:top w:val="single" w:sz="8" w:space="0" w:color="000000"/>
              <w:left w:val="nil"/>
              <w:bottom w:val="single" w:sz="8" w:space="0" w:color="000000"/>
              <w:right w:val="nil"/>
            </w:tcBorders>
          </w:tcPr>
          <w:p w:rsidR="00380878" w:rsidRPr="00861808" w:rsidRDefault="00380878" w:rsidP="00CF2845">
            <w:pPr>
              <w:spacing w:line="360" w:lineRule="auto"/>
              <w:jc w:val="center"/>
              <w:rPr>
                <w:rFonts w:ascii="Book Antiqua" w:hAnsi="Book Antiqua"/>
                <w:b/>
                <w:bCs/>
                <w:sz w:val="24"/>
                <w:lang w:val="zh-CN"/>
              </w:rPr>
            </w:pPr>
            <w:r w:rsidRPr="00861808">
              <w:rPr>
                <w:rFonts w:ascii="Book Antiqua" w:hAnsi="Book Antiqua"/>
                <w:b/>
                <w:bCs/>
                <w:sz w:val="24"/>
                <w:lang w:val="zh-CN"/>
              </w:rPr>
              <w:t>OR (95%CI)</w:t>
            </w:r>
          </w:p>
        </w:tc>
      </w:tr>
      <w:tr w:rsidR="00380878" w:rsidRPr="00861808" w:rsidTr="00CF2845">
        <w:trPr>
          <w:trHeight w:val="1382"/>
        </w:trPr>
        <w:tc>
          <w:tcPr>
            <w:tcW w:w="661" w:type="pct"/>
            <w:tcBorders>
              <w:top w:val="single" w:sz="8" w:space="0" w:color="000000"/>
              <w:left w:val="nil"/>
              <w:bottom w:val="single" w:sz="8" w:space="0" w:color="000000"/>
              <w:right w:val="nil"/>
            </w:tcBorders>
            <w:noWrap/>
          </w:tcPr>
          <w:p w:rsidR="00380878" w:rsidRPr="00861808" w:rsidRDefault="00380878" w:rsidP="00CF2845">
            <w:pPr>
              <w:spacing w:line="360" w:lineRule="auto"/>
              <w:jc w:val="center"/>
              <w:rPr>
                <w:rFonts w:ascii="Book Antiqua" w:hAnsi="Book Antiqua"/>
                <w:sz w:val="24"/>
              </w:rPr>
            </w:pPr>
            <w:bookmarkStart w:id="44" w:name="OLE_LINK24"/>
            <w:bookmarkStart w:id="45" w:name="OLE_LINK26"/>
            <w:r w:rsidRPr="00861808">
              <w:rPr>
                <w:rFonts w:ascii="Book Antiqua" w:hAnsi="Book Antiqua"/>
                <w:sz w:val="24"/>
              </w:rPr>
              <w:t>ΔMELD</w:t>
            </w:r>
          </w:p>
          <w:bookmarkEnd w:id="44"/>
          <w:bookmarkEnd w:id="45"/>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LGVV</w:t>
            </w:r>
          </w:p>
          <w:p w:rsidR="00380878" w:rsidRPr="00861808" w:rsidRDefault="00380878" w:rsidP="00CF2845">
            <w:pPr>
              <w:spacing w:line="360" w:lineRule="auto"/>
              <w:jc w:val="center"/>
              <w:rPr>
                <w:rFonts w:ascii="Book Antiqua" w:hAnsi="Book Antiqua"/>
                <w:sz w:val="24"/>
              </w:rPr>
            </w:pPr>
            <w:r w:rsidRPr="00861808">
              <w:rPr>
                <w:rFonts w:ascii="Book Antiqua" w:hAnsi="Book Antiqua"/>
                <w:sz w:val="24"/>
              </w:rPr>
              <w:t>LGVBFD</w:t>
            </w:r>
          </w:p>
          <w:p w:rsidR="00380878" w:rsidRPr="00861808" w:rsidRDefault="000C2AEB" w:rsidP="00CF2845">
            <w:pPr>
              <w:spacing w:line="360" w:lineRule="auto"/>
              <w:jc w:val="center"/>
              <w:rPr>
                <w:rFonts w:ascii="Book Antiqua" w:hAnsi="Book Antiqua"/>
                <w:bCs/>
                <w:sz w:val="24"/>
              </w:rPr>
            </w:pPr>
            <w:hyperlink r:id="rId9" w:history="1">
              <w:r w:rsidR="00380878" w:rsidRPr="00861808">
                <w:rPr>
                  <w:rStyle w:val="a5"/>
                  <w:rFonts w:ascii="Book Antiqua" w:hAnsi="Book Antiqua"/>
                  <w:color w:val="auto"/>
                  <w:sz w:val="24"/>
                  <w:u w:val="none"/>
                </w:rPr>
                <w:t>Constant</w:t>
              </w:r>
            </w:hyperlink>
          </w:p>
        </w:tc>
        <w:tc>
          <w:tcPr>
            <w:tcW w:w="775" w:type="pct"/>
            <w:tcBorders>
              <w:top w:val="single" w:sz="8" w:space="0" w:color="000000"/>
              <w:left w:val="nil"/>
              <w:bottom w:val="single" w:sz="8" w:space="0" w:color="000000"/>
              <w:right w:val="nil"/>
            </w:tcBorders>
          </w:tcPr>
          <w:p w:rsidR="00380878" w:rsidRPr="00861808" w:rsidRDefault="00380878" w:rsidP="00CF2845">
            <w:pPr>
              <w:spacing w:line="360" w:lineRule="auto"/>
              <w:jc w:val="center"/>
              <w:rPr>
                <w:rFonts w:ascii="Book Antiqua" w:hAnsi="Book Antiqua"/>
                <w:bCs/>
                <w:sz w:val="24"/>
                <w:lang w:val="zh-CN"/>
              </w:rPr>
            </w:pPr>
            <w:r w:rsidRPr="00861808">
              <w:rPr>
                <w:rFonts w:ascii="Book Antiqua" w:hAnsi="Book Antiqua"/>
                <w:bCs/>
                <w:sz w:val="24"/>
                <w:lang w:val="zh-CN"/>
              </w:rPr>
              <w:t>1.667</w:t>
            </w:r>
          </w:p>
          <w:p w:rsidR="00380878" w:rsidRPr="00861808" w:rsidRDefault="00380878" w:rsidP="00CF2845">
            <w:pPr>
              <w:spacing w:line="360" w:lineRule="auto"/>
              <w:jc w:val="center"/>
              <w:rPr>
                <w:rFonts w:ascii="Book Antiqua" w:hAnsi="Book Antiqua"/>
                <w:bCs/>
                <w:sz w:val="24"/>
                <w:lang w:val="zh-CN"/>
              </w:rPr>
            </w:pPr>
            <w:r w:rsidRPr="00861808">
              <w:rPr>
                <w:rFonts w:ascii="Book Antiqua" w:hAnsi="Book Antiqua"/>
                <w:bCs/>
                <w:sz w:val="24"/>
                <w:lang w:val="zh-CN"/>
              </w:rPr>
              <w:t>2.096</w:t>
            </w:r>
          </w:p>
          <w:p w:rsidR="00380878" w:rsidRPr="00861808" w:rsidRDefault="00380878" w:rsidP="00CF2845">
            <w:pPr>
              <w:spacing w:line="360" w:lineRule="auto"/>
              <w:jc w:val="center"/>
              <w:rPr>
                <w:rFonts w:ascii="Book Antiqua" w:hAnsi="Book Antiqua"/>
                <w:bCs/>
                <w:sz w:val="24"/>
                <w:lang w:val="zh-CN"/>
              </w:rPr>
            </w:pPr>
            <w:bookmarkStart w:id="46" w:name="OLE_LINK22"/>
            <w:bookmarkStart w:id="47" w:name="OLE_LINK23"/>
            <w:r w:rsidRPr="00861808">
              <w:rPr>
                <w:rFonts w:ascii="Book Antiqua" w:hAnsi="Book Antiqua"/>
                <w:bCs/>
                <w:sz w:val="24"/>
                <w:lang w:val="zh-CN"/>
              </w:rPr>
              <w:t>-3.245</w:t>
            </w:r>
          </w:p>
          <w:bookmarkEnd w:id="46"/>
          <w:bookmarkEnd w:id="47"/>
          <w:p w:rsidR="00380878" w:rsidRPr="00861808" w:rsidRDefault="00380878" w:rsidP="00CF2845">
            <w:pPr>
              <w:spacing w:line="360" w:lineRule="auto"/>
              <w:jc w:val="center"/>
              <w:rPr>
                <w:rFonts w:ascii="Book Antiqua" w:hAnsi="Book Antiqua"/>
                <w:bCs/>
                <w:sz w:val="24"/>
                <w:lang w:val="zh-CN"/>
              </w:rPr>
            </w:pPr>
            <w:r w:rsidRPr="00861808">
              <w:rPr>
                <w:rFonts w:ascii="Book Antiqua" w:hAnsi="Book Antiqua"/>
                <w:bCs/>
                <w:sz w:val="24"/>
                <w:lang w:val="zh-CN"/>
              </w:rPr>
              <w:t>-1.697</w:t>
            </w:r>
          </w:p>
        </w:tc>
        <w:tc>
          <w:tcPr>
            <w:tcW w:w="794" w:type="pct"/>
            <w:tcBorders>
              <w:top w:val="single" w:sz="8" w:space="0" w:color="000000"/>
              <w:left w:val="nil"/>
              <w:bottom w:val="single" w:sz="8" w:space="0" w:color="000000"/>
              <w:right w:val="nil"/>
            </w:tcBorders>
          </w:tcPr>
          <w:p w:rsidR="00380878" w:rsidRPr="00861808" w:rsidRDefault="00380878" w:rsidP="00571FFD">
            <w:pPr>
              <w:spacing w:line="360" w:lineRule="auto"/>
              <w:ind w:firstLineChars="100" w:firstLine="240"/>
              <w:jc w:val="center"/>
              <w:rPr>
                <w:rFonts w:ascii="Book Antiqua" w:hAnsi="Book Antiqua"/>
                <w:bCs/>
                <w:sz w:val="24"/>
                <w:lang w:val="zh-CN"/>
              </w:rPr>
            </w:pPr>
            <w:r w:rsidRPr="00861808">
              <w:rPr>
                <w:rFonts w:ascii="Book Antiqua" w:hAnsi="Book Antiqua"/>
                <w:bCs/>
                <w:sz w:val="24"/>
                <w:lang w:val="zh-CN"/>
              </w:rPr>
              <w:t>0.781</w:t>
            </w:r>
          </w:p>
          <w:p w:rsidR="00380878" w:rsidRPr="00861808" w:rsidRDefault="00380878" w:rsidP="00571FFD">
            <w:pPr>
              <w:spacing w:line="360" w:lineRule="auto"/>
              <w:ind w:firstLineChars="100" w:firstLine="240"/>
              <w:jc w:val="center"/>
              <w:rPr>
                <w:rFonts w:ascii="Book Antiqua" w:hAnsi="Book Antiqua"/>
                <w:bCs/>
                <w:sz w:val="24"/>
                <w:lang w:val="zh-CN"/>
              </w:rPr>
            </w:pPr>
            <w:r w:rsidRPr="00861808">
              <w:rPr>
                <w:rFonts w:ascii="Book Antiqua" w:hAnsi="Book Antiqua"/>
                <w:bCs/>
                <w:sz w:val="24"/>
                <w:lang w:val="zh-CN"/>
              </w:rPr>
              <w:t>0.658</w:t>
            </w:r>
          </w:p>
          <w:p w:rsidR="00380878" w:rsidRPr="00861808" w:rsidRDefault="00380878" w:rsidP="00571FFD">
            <w:pPr>
              <w:spacing w:line="360" w:lineRule="auto"/>
              <w:ind w:firstLineChars="100" w:firstLine="240"/>
              <w:jc w:val="center"/>
              <w:rPr>
                <w:rFonts w:ascii="Book Antiqua" w:hAnsi="Book Antiqua"/>
                <w:bCs/>
                <w:sz w:val="24"/>
                <w:lang w:val="zh-CN"/>
              </w:rPr>
            </w:pPr>
            <w:r w:rsidRPr="00861808">
              <w:rPr>
                <w:rFonts w:ascii="Book Antiqua" w:hAnsi="Book Antiqua"/>
                <w:bCs/>
                <w:sz w:val="24"/>
                <w:lang w:val="zh-CN"/>
              </w:rPr>
              <w:t>1.271</w:t>
            </w:r>
          </w:p>
          <w:p w:rsidR="00380878" w:rsidRPr="00861808" w:rsidRDefault="00380878" w:rsidP="00571FFD">
            <w:pPr>
              <w:spacing w:line="360" w:lineRule="auto"/>
              <w:ind w:firstLineChars="100" w:firstLine="240"/>
              <w:jc w:val="center"/>
              <w:rPr>
                <w:rFonts w:ascii="Book Antiqua" w:hAnsi="Book Antiqua"/>
                <w:bCs/>
                <w:sz w:val="24"/>
                <w:lang w:val="zh-CN"/>
              </w:rPr>
            </w:pPr>
            <w:r w:rsidRPr="00861808">
              <w:rPr>
                <w:rFonts w:ascii="Book Antiqua" w:hAnsi="Book Antiqua"/>
                <w:bCs/>
                <w:sz w:val="24"/>
                <w:lang w:val="zh-CN"/>
              </w:rPr>
              <w:t>0.659</w:t>
            </w:r>
          </w:p>
        </w:tc>
        <w:tc>
          <w:tcPr>
            <w:tcW w:w="678" w:type="pct"/>
            <w:tcBorders>
              <w:top w:val="single" w:sz="8" w:space="0" w:color="000000"/>
              <w:left w:val="nil"/>
              <w:bottom w:val="single" w:sz="8" w:space="0" w:color="000000"/>
              <w:right w:val="nil"/>
            </w:tcBorders>
          </w:tcPr>
          <w:p w:rsidR="00380878" w:rsidRPr="00861808" w:rsidRDefault="00380878" w:rsidP="00571FFD">
            <w:pPr>
              <w:spacing w:line="360" w:lineRule="auto"/>
              <w:ind w:firstLineChars="50" w:firstLine="120"/>
              <w:jc w:val="center"/>
              <w:rPr>
                <w:rFonts w:ascii="Book Antiqua" w:hAnsi="Book Antiqua"/>
                <w:bCs/>
                <w:sz w:val="24"/>
                <w:lang w:val="zh-CN"/>
              </w:rPr>
            </w:pPr>
            <w:r w:rsidRPr="00861808">
              <w:rPr>
                <w:rFonts w:ascii="Book Antiqua" w:hAnsi="Book Antiqua"/>
                <w:bCs/>
                <w:sz w:val="24"/>
                <w:lang w:val="zh-CN"/>
              </w:rPr>
              <w:t>4.719</w:t>
            </w:r>
          </w:p>
          <w:p w:rsidR="00380878" w:rsidRPr="00861808" w:rsidRDefault="00380878" w:rsidP="00571FFD">
            <w:pPr>
              <w:spacing w:line="360" w:lineRule="auto"/>
              <w:ind w:firstLineChars="50" w:firstLine="120"/>
              <w:jc w:val="center"/>
              <w:rPr>
                <w:rFonts w:ascii="Book Antiqua" w:hAnsi="Book Antiqua"/>
                <w:bCs/>
                <w:sz w:val="24"/>
                <w:lang w:val="zh-CN"/>
              </w:rPr>
            </w:pPr>
            <w:r w:rsidRPr="00861808">
              <w:rPr>
                <w:rFonts w:ascii="Book Antiqua" w:hAnsi="Book Antiqua"/>
                <w:bCs/>
                <w:sz w:val="24"/>
                <w:lang w:val="zh-CN"/>
              </w:rPr>
              <w:t>13.116</w:t>
            </w:r>
          </w:p>
          <w:p w:rsidR="00380878" w:rsidRPr="00861808" w:rsidRDefault="00380878" w:rsidP="00571FFD">
            <w:pPr>
              <w:spacing w:line="360" w:lineRule="auto"/>
              <w:ind w:firstLineChars="50" w:firstLine="120"/>
              <w:jc w:val="center"/>
              <w:rPr>
                <w:rFonts w:ascii="Book Antiqua" w:hAnsi="Book Antiqua"/>
                <w:bCs/>
                <w:sz w:val="24"/>
                <w:lang w:val="zh-CN"/>
              </w:rPr>
            </w:pPr>
            <w:r w:rsidRPr="00861808">
              <w:rPr>
                <w:rFonts w:ascii="Book Antiqua" w:hAnsi="Book Antiqua"/>
                <w:bCs/>
                <w:sz w:val="24"/>
                <w:lang w:val="zh-CN"/>
              </w:rPr>
              <w:t>7.001</w:t>
            </w:r>
          </w:p>
          <w:p w:rsidR="00380878" w:rsidRPr="00861808" w:rsidRDefault="00380878" w:rsidP="00571FFD">
            <w:pPr>
              <w:spacing w:line="360" w:lineRule="auto"/>
              <w:ind w:firstLineChars="50" w:firstLine="120"/>
              <w:jc w:val="center"/>
              <w:rPr>
                <w:rFonts w:ascii="Book Antiqua" w:hAnsi="Book Antiqua"/>
                <w:bCs/>
                <w:sz w:val="24"/>
                <w:lang w:val="zh-CN"/>
              </w:rPr>
            </w:pPr>
            <w:r w:rsidRPr="00861808">
              <w:rPr>
                <w:rFonts w:ascii="Book Antiqua" w:hAnsi="Book Antiqua"/>
                <w:bCs/>
                <w:sz w:val="24"/>
                <w:lang w:val="zh-CN"/>
              </w:rPr>
              <w:t>6.635</w:t>
            </w:r>
          </w:p>
        </w:tc>
        <w:tc>
          <w:tcPr>
            <w:tcW w:w="678" w:type="pct"/>
            <w:tcBorders>
              <w:top w:val="single" w:sz="8" w:space="0" w:color="000000"/>
              <w:left w:val="nil"/>
              <w:bottom w:val="single" w:sz="8" w:space="0" w:color="000000"/>
              <w:right w:val="nil"/>
            </w:tcBorders>
          </w:tcPr>
          <w:p w:rsidR="00380878" w:rsidRPr="00861808" w:rsidRDefault="00380878" w:rsidP="00571FFD">
            <w:pPr>
              <w:spacing w:line="360" w:lineRule="auto"/>
              <w:ind w:firstLineChars="50" w:firstLine="120"/>
              <w:jc w:val="center"/>
              <w:rPr>
                <w:rFonts w:ascii="Book Antiqua" w:hAnsi="Book Antiqua"/>
                <w:bCs/>
                <w:sz w:val="24"/>
                <w:lang w:val="zh-CN"/>
              </w:rPr>
            </w:pPr>
            <w:r w:rsidRPr="00861808">
              <w:rPr>
                <w:rFonts w:ascii="Book Antiqua" w:hAnsi="Book Antiqua"/>
                <w:bCs/>
                <w:sz w:val="24"/>
                <w:lang w:val="zh-CN"/>
              </w:rPr>
              <w:t>0.023</w:t>
            </w:r>
          </w:p>
          <w:p w:rsidR="00380878" w:rsidRPr="00861808" w:rsidRDefault="00380878" w:rsidP="00571FFD">
            <w:pPr>
              <w:spacing w:line="360" w:lineRule="auto"/>
              <w:ind w:firstLineChars="50" w:firstLine="120"/>
              <w:jc w:val="center"/>
              <w:rPr>
                <w:rFonts w:ascii="Book Antiqua" w:hAnsi="Book Antiqua"/>
                <w:bCs/>
                <w:sz w:val="24"/>
                <w:lang w:val="zh-CN"/>
              </w:rPr>
            </w:pPr>
            <w:r w:rsidRPr="00861808">
              <w:rPr>
                <w:rFonts w:ascii="Book Antiqua" w:hAnsi="Book Antiqua"/>
                <w:bCs/>
                <w:sz w:val="24"/>
                <w:lang w:val="zh-CN"/>
              </w:rPr>
              <w:t>0.001</w:t>
            </w:r>
          </w:p>
          <w:p w:rsidR="00380878" w:rsidRPr="00861808" w:rsidRDefault="00380878" w:rsidP="00571FFD">
            <w:pPr>
              <w:spacing w:line="360" w:lineRule="auto"/>
              <w:ind w:firstLineChars="50" w:firstLine="120"/>
              <w:jc w:val="center"/>
              <w:rPr>
                <w:rFonts w:ascii="Book Antiqua" w:hAnsi="Book Antiqua"/>
                <w:bCs/>
                <w:sz w:val="24"/>
                <w:lang w:val="zh-CN"/>
              </w:rPr>
            </w:pPr>
            <w:r w:rsidRPr="00861808">
              <w:rPr>
                <w:rFonts w:ascii="Book Antiqua" w:hAnsi="Book Antiqua"/>
                <w:bCs/>
                <w:sz w:val="24"/>
                <w:lang w:val="zh-CN"/>
              </w:rPr>
              <w:t>0.006</w:t>
            </w:r>
          </w:p>
          <w:p w:rsidR="00380878" w:rsidRPr="00861808" w:rsidRDefault="00380878" w:rsidP="00571FFD">
            <w:pPr>
              <w:spacing w:line="360" w:lineRule="auto"/>
              <w:ind w:firstLineChars="50" w:firstLine="120"/>
              <w:jc w:val="center"/>
              <w:rPr>
                <w:rFonts w:ascii="Book Antiqua" w:hAnsi="Book Antiqua"/>
                <w:bCs/>
                <w:sz w:val="24"/>
                <w:lang w:val="zh-CN"/>
              </w:rPr>
            </w:pPr>
            <w:r w:rsidRPr="00861808">
              <w:rPr>
                <w:rFonts w:ascii="Book Antiqua" w:hAnsi="Book Antiqua"/>
                <w:bCs/>
                <w:sz w:val="24"/>
                <w:lang w:val="zh-CN"/>
              </w:rPr>
              <w:t>0.01</w:t>
            </w:r>
          </w:p>
        </w:tc>
        <w:tc>
          <w:tcPr>
            <w:tcW w:w="1414" w:type="pct"/>
            <w:tcBorders>
              <w:top w:val="single" w:sz="8" w:space="0" w:color="000000"/>
              <w:left w:val="nil"/>
              <w:bottom w:val="single" w:sz="8" w:space="0" w:color="000000"/>
              <w:right w:val="nil"/>
            </w:tcBorders>
          </w:tcPr>
          <w:p w:rsidR="00380878" w:rsidRPr="00861808" w:rsidRDefault="00380878" w:rsidP="00CF2845">
            <w:pPr>
              <w:spacing w:line="360" w:lineRule="auto"/>
              <w:jc w:val="center"/>
              <w:rPr>
                <w:rFonts w:ascii="Book Antiqua" w:hAnsi="Book Antiqua"/>
                <w:bCs/>
                <w:sz w:val="24"/>
                <w:lang w:val="zh-CN"/>
              </w:rPr>
            </w:pPr>
            <w:r w:rsidRPr="00861808">
              <w:rPr>
                <w:rFonts w:ascii="Book Antiqua" w:hAnsi="Book Antiqua"/>
                <w:bCs/>
                <w:sz w:val="24"/>
                <w:lang w:val="zh-CN"/>
              </w:rPr>
              <w:t>6.195 (1.193 - 22.624)</w:t>
            </w:r>
          </w:p>
          <w:p w:rsidR="00380878" w:rsidRPr="00861808" w:rsidRDefault="00380878" w:rsidP="00CF2845">
            <w:pPr>
              <w:spacing w:line="360" w:lineRule="auto"/>
              <w:jc w:val="center"/>
              <w:rPr>
                <w:rFonts w:ascii="Book Antiqua" w:hAnsi="Book Antiqua"/>
                <w:bCs/>
                <w:sz w:val="24"/>
                <w:lang w:val="zh-CN"/>
              </w:rPr>
            </w:pPr>
            <w:r w:rsidRPr="00861808">
              <w:rPr>
                <w:rFonts w:ascii="Book Antiqua" w:hAnsi="Book Antiqua"/>
                <w:bCs/>
                <w:sz w:val="24"/>
                <w:lang w:val="zh-CN"/>
              </w:rPr>
              <w:t>7.129 (2.725 - 24.256)</w:t>
            </w:r>
          </w:p>
          <w:p w:rsidR="00380878" w:rsidRPr="00861808" w:rsidRDefault="00380878" w:rsidP="00CF2845">
            <w:pPr>
              <w:spacing w:line="360" w:lineRule="auto"/>
              <w:jc w:val="center"/>
              <w:rPr>
                <w:rFonts w:ascii="Book Antiqua" w:hAnsi="Book Antiqua"/>
                <w:bCs/>
                <w:sz w:val="24"/>
                <w:lang w:val="zh-CN"/>
              </w:rPr>
            </w:pPr>
            <w:r w:rsidRPr="00861808">
              <w:rPr>
                <w:rFonts w:ascii="Book Antiqua" w:hAnsi="Book Antiqua"/>
                <w:bCs/>
                <w:sz w:val="24"/>
                <w:lang w:val="zh-CN"/>
              </w:rPr>
              <w:t>23.306 (2.376 - 337.186)</w:t>
            </w:r>
          </w:p>
          <w:p w:rsidR="00380878" w:rsidRPr="00861808" w:rsidRDefault="00380878" w:rsidP="00CF2845">
            <w:pPr>
              <w:spacing w:line="360" w:lineRule="auto"/>
              <w:jc w:val="center"/>
              <w:rPr>
                <w:rFonts w:ascii="Book Antiqua" w:hAnsi="Book Antiqua"/>
                <w:bCs/>
                <w:sz w:val="24"/>
                <w:lang w:val="zh-CN"/>
              </w:rPr>
            </w:pPr>
            <w:r w:rsidRPr="00861808">
              <w:rPr>
                <w:rFonts w:ascii="Book Antiqua" w:hAnsi="Book Antiqua"/>
                <w:bCs/>
                <w:sz w:val="24"/>
                <w:lang w:val="zh-CN"/>
              </w:rPr>
              <w:t>0.183</w:t>
            </w:r>
          </w:p>
        </w:tc>
      </w:tr>
    </w:tbl>
    <w:p w:rsidR="00380878" w:rsidRPr="00861808" w:rsidRDefault="00380878" w:rsidP="000E76F5">
      <w:pPr>
        <w:spacing w:line="360" w:lineRule="auto"/>
        <w:rPr>
          <w:rFonts w:ascii="Book Antiqua" w:hAnsi="Book Antiqua"/>
          <w:sz w:val="24"/>
        </w:rPr>
      </w:pPr>
      <w:r w:rsidRPr="00861808">
        <w:rPr>
          <w:rFonts w:ascii="Book Antiqua" w:hAnsi="Book Antiqua"/>
          <w:sz w:val="24"/>
        </w:rPr>
        <w:t>ΔMELD: Change in the Model for End-stage Liver Disease score over a period of three months; LGVBFD: Left gastric vein blood flow direction; LGVV: Left gastric vein blood flow velocity.</w:t>
      </w:r>
    </w:p>
    <w:p w:rsidR="00380878" w:rsidRPr="00861808" w:rsidRDefault="00380878">
      <w:pPr>
        <w:rPr>
          <w:rFonts w:ascii="Book Antiqua" w:hAnsi="Book Antiqua"/>
          <w:sz w:val="24"/>
        </w:rPr>
      </w:pPr>
    </w:p>
    <w:sectPr w:rsidR="00380878" w:rsidRPr="00861808" w:rsidSect="00B33C80">
      <w:footerReference w:type="even" r:id="rId10"/>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EB" w:rsidRDefault="000C2AEB" w:rsidP="000E76F5">
      <w:r>
        <w:separator/>
      </w:r>
    </w:p>
  </w:endnote>
  <w:endnote w:type="continuationSeparator" w:id="0">
    <w:p w:rsidR="000C2AEB" w:rsidRDefault="000C2AEB" w:rsidP="000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7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ymbolPS">
    <w:altName w:val="Symbol"/>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78" w:rsidRDefault="00380878" w:rsidP="00FF66D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80878" w:rsidRDefault="003808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EB" w:rsidRDefault="000C2AEB" w:rsidP="000E76F5">
      <w:r>
        <w:separator/>
      </w:r>
    </w:p>
  </w:footnote>
  <w:footnote w:type="continuationSeparator" w:id="0">
    <w:p w:rsidR="000C2AEB" w:rsidRDefault="000C2AEB" w:rsidP="000E7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A84E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6D5686"/>
    <w:multiLevelType w:val="multilevel"/>
    <w:tmpl w:val="402A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1F03C0C"/>
    <w:multiLevelType w:val="multilevel"/>
    <w:tmpl w:val="40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77652"/>
    <w:multiLevelType w:val="hybridMultilevel"/>
    <w:tmpl w:val="F1E4684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62"/>
    <w:rsid w:val="00027A33"/>
    <w:rsid w:val="000333E4"/>
    <w:rsid w:val="00064DB5"/>
    <w:rsid w:val="00073B3C"/>
    <w:rsid w:val="000C2AEB"/>
    <w:rsid w:val="000E76F5"/>
    <w:rsid w:val="000F4964"/>
    <w:rsid w:val="000F6BE2"/>
    <w:rsid w:val="00131F95"/>
    <w:rsid w:val="00175369"/>
    <w:rsid w:val="001C7270"/>
    <w:rsid w:val="001D0D65"/>
    <w:rsid w:val="00220EEA"/>
    <w:rsid w:val="002756E4"/>
    <w:rsid w:val="002849A1"/>
    <w:rsid w:val="00292A7D"/>
    <w:rsid w:val="002A0B4C"/>
    <w:rsid w:val="002C1D95"/>
    <w:rsid w:val="002C4157"/>
    <w:rsid w:val="00333C98"/>
    <w:rsid w:val="003422FF"/>
    <w:rsid w:val="00366C1B"/>
    <w:rsid w:val="00380878"/>
    <w:rsid w:val="00387253"/>
    <w:rsid w:val="003B5CCC"/>
    <w:rsid w:val="003E1518"/>
    <w:rsid w:val="00472EA2"/>
    <w:rsid w:val="004736E0"/>
    <w:rsid w:val="004D40BC"/>
    <w:rsid w:val="00515C3C"/>
    <w:rsid w:val="00517E3C"/>
    <w:rsid w:val="00547398"/>
    <w:rsid w:val="005473C5"/>
    <w:rsid w:val="00571FFD"/>
    <w:rsid w:val="00574CCE"/>
    <w:rsid w:val="005A6BE5"/>
    <w:rsid w:val="005B06E3"/>
    <w:rsid w:val="005B2267"/>
    <w:rsid w:val="005B6DD3"/>
    <w:rsid w:val="005C4E17"/>
    <w:rsid w:val="006309AF"/>
    <w:rsid w:val="00640427"/>
    <w:rsid w:val="006479FC"/>
    <w:rsid w:val="0065669E"/>
    <w:rsid w:val="00675C0C"/>
    <w:rsid w:val="006B0C56"/>
    <w:rsid w:val="006C2BF0"/>
    <w:rsid w:val="006C5C3C"/>
    <w:rsid w:val="006F6556"/>
    <w:rsid w:val="007130BE"/>
    <w:rsid w:val="0072033F"/>
    <w:rsid w:val="00723BF9"/>
    <w:rsid w:val="00724D64"/>
    <w:rsid w:val="00730691"/>
    <w:rsid w:val="007338D4"/>
    <w:rsid w:val="00774578"/>
    <w:rsid w:val="007F455C"/>
    <w:rsid w:val="008420F8"/>
    <w:rsid w:val="00861808"/>
    <w:rsid w:val="0086499D"/>
    <w:rsid w:val="008A61FE"/>
    <w:rsid w:val="00910E5E"/>
    <w:rsid w:val="00915626"/>
    <w:rsid w:val="00994AB3"/>
    <w:rsid w:val="009D4DE6"/>
    <w:rsid w:val="00A10DF8"/>
    <w:rsid w:val="00A51630"/>
    <w:rsid w:val="00A618F8"/>
    <w:rsid w:val="00A73922"/>
    <w:rsid w:val="00AA0159"/>
    <w:rsid w:val="00AA7BEA"/>
    <w:rsid w:val="00AF1992"/>
    <w:rsid w:val="00AF5DCF"/>
    <w:rsid w:val="00B12185"/>
    <w:rsid w:val="00B33C80"/>
    <w:rsid w:val="00B449FB"/>
    <w:rsid w:val="00B826D7"/>
    <w:rsid w:val="00BA789E"/>
    <w:rsid w:val="00BA7B52"/>
    <w:rsid w:val="00BB1227"/>
    <w:rsid w:val="00BC4BAA"/>
    <w:rsid w:val="00C20DA3"/>
    <w:rsid w:val="00C605E9"/>
    <w:rsid w:val="00CA45C4"/>
    <w:rsid w:val="00CD3761"/>
    <w:rsid w:val="00CF2845"/>
    <w:rsid w:val="00D55804"/>
    <w:rsid w:val="00D92D2F"/>
    <w:rsid w:val="00D9577B"/>
    <w:rsid w:val="00D96CA5"/>
    <w:rsid w:val="00D9781D"/>
    <w:rsid w:val="00DA4055"/>
    <w:rsid w:val="00DB0FAD"/>
    <w:rsid w:val="00DB3262"/>
    <w:rsid w:val="00DD0419"/>
    <w:rsid w:val="00E07CBB"/>
    <w:rsid w:val="00E129A6"/>
    <w:rsid w:val="00E96520"/>
    <w:rsid w:val="00EA59EE"/>
    <w:rsid w:val="00F00E8E"/>
    <w:rsid w:val="00F65015"/>
    <w:rsid w:val="00F915E5"/>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6F5"/>
    <w:pPr>
      <w:widowControl w:val="0"/>
      <w:jc w:val="both"/>
    </w:pPr>
    <w:rPr>
      <w:rFonts w:ascii="Times New Roman" w:hAnsi="Times New Roman"/>
      <w:kern w:val="2"/>
      <w:sz w:val="21"/>
      <w:szCs w:val="24"/>
    </w:rPr>
  </w:style>
  <w:style w:type="paragraph" w:styleId="2">
    <w:name w:val="heading 2"/>
    <w:basedOn w:val="a"/>
    <w:link w:val="2Char"/>
    <w:uiPriority w:val="99"/>
    <w:qFormat/>
    <w:rsid w:val="000E76F5"/>
    <w:pPr>
      <w:widowControl/>
      <w:ind w:left="120"/>
      <w:jc w:val="left"/>
      <w:outlineLvl w:val="1"/>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0E76F5"/>
    <w:rPr>
      <w:rFonts w:ascii="宋体" w:eastAsia="宋体" w:hAnsi="宋体" w:cs="宋体"/>
      <w:b/>
      <w:bCs/>
      <w:kern w:val="0"/>
      <w:sz w:val="24"/>
      <w:szCs w:val="24"/>
    </w:rPr>
  </w:style>
  <w:style w:type="paragraph" w:styleId="a3">
    <w:name w:val="header"/>
    <w:basedOn w:val="a"/>
    <w:link w:val="Char"/>
    <w:uiPriority w:val="99"/>
    <w:rsid w:val="000E76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E76F5"/>
    <w:rPr>
      <w:rFonts w:cs="Times New Roman"/>
      <w:sz w:val="18"/>
      <w:szCs w:val="18"/>
    </w:rPr>
  </w:style>
  <w:style w:type="paragraph" w:styleId="a4">
    <w:name w:val="footer"/>
    <w:basedOn w:val="a"/>
    <w:link w:val="Char0"/>
    <w:uiPriority w:val="99"/>
    <w:rsid w:val="000E76F5"/>
    <w:pPr>
      <w:tabs>
        <w:tab w:val="center" w:pos="4153"/>
        <w:tab w:val="right" w:pos="8306"/>
      </w:tabs>
      <w:snapToGrid w:val="0"/>
    </w:pPr>
    <w:rPr>
      <w:sz w:val="18"/>
      <w:szCs w:val="18"/>
    </w:rPr>
  </w:style>
  <w:style w:type="character" w:customStyle="1" w:styleId="Char0">
    <w:name w:val="页脚 Char"/>
    <w:link w:val="a4"/>
    <w:uiPriority w:val="99"/>
    <w:locked/>
    <w:rsid w:val="000E76F5"/>
    <w:rPr>
      <w:rFonts w:cs="Times New Roman"/>
      <w:sz w:val="18"/>
      <w:szCs w:val="18"/>
    </w:rPr>
  </w:style>
  <w:style w:type="character" w:styleId="a5">
    <w:name w:val="Hyperlink"/>
    <w:uiPriority w:val="99"/>
    <w:rsid w:val="000E76F5"/>
    <w:rPr>
      <w:rFonts w:cs="Times New Roman"/>
      <w:color w:val="35A1D4"/>
      <w:u w:val="single"/>
    </w:rPr>
  </w:style>
  <w:style w:type="character" w:customStyle="1" w:styleId="def">
    <w:name w:val="def"/>
    <w:uiPriority w:val="99"/>
    <w:rsid w:val="000E76F5"/>
    <w:rPr>
      <w:rFonts w:cs="Times New Roman"/>
    </w:rPr>
  </w:style>
  <w:style w:type="character" w:customStyle="1" w:styleId="highlight1">
    <w:name w:val="highlight1"/>
    <w:uiPriority w:val="99"/>
    <w:rsid w:val="000E76F5"/>
    <w:rPr>
      <w:shd w:val="clear" w:color="auto" w:fill="D6EBF9"/>
    </w:rPr>
  </w:style>
  <w:style w:type="character" w:customStyle="1" w:styleId="st1">
    <w:name w:val="st1"/>
    <w:uiPriority w:val="99"/>
    <w:rsid w:val="000E76F5"/>
    <w:rPr>
      <w:rFonts w:cs="Times New Roman"/>
    </w:rPr>
  </w:style>
  <w:style w:type="character" w:customStyle="1" w:styleId="keyword">
    <w:name w:val="keyword"/>
    <w:uiPriority w:val="99"/>
    <w:rsid w:val="000E76F5"/>
    <w:rPr>
      <w:rFonts w:cs="Times New Roman"/>
    </w:rPr>
  </w:style>
  <w:style w:type="table" w:styleId="a6">
    <w:name w:val="Table Grid"/>
    <w:basedOn w:val="a1"/>
    <w:uiPriority w:val="99"/>
    <w:rsid w:val="000E76F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uiPriority w:val="99"/>
    <w:rsid w:val="000E76F5"/>
    <w:rPr>
      <w:rFonts w:cs="Times New Roman"/>
    </w:rPr>
  </w:style>
  <w:style w:type="character" w:customStyle="1" w:styleId="normal1">
    <w:name w:val="normal1"/>
    <w:uiPriority w:val="99"/>
    <w:rsid w:val="000E76F5"/>
    <w:rPr>
      <w:rFonts w:ascii="Arial" w:hAnsi="Arial"/>
      <w:color w:val="000000"/>
      <w:sz w:val="20"/>
    </w:rPr>
  </w:style>
  <w:style w:type="character" w:customStyle="1" w:styleId="result">
    <w:name w:val="result"/>
    <w:uiPriority w:val="99"/>
    <w:rsid w:val="000E76F5"/>
    <w:rPr>
      <w:color w:val="000080"/>
    </w:rPr>
  </w:style>
  <w:style w:type="character" w:customStyle="1" w:styleId="1">
    <w:name w:val="正文1"/>
    <w:uiPriority w:val="99"/>
    <w:rsid w:val="000E76F5"/>
    <w:rPr>
      <w:rFonts w:cs="Times New Roman"/>
    </w:rPr>
  </w:style>
  <w:style w:type="character" w:customStyle="1" w:styleId="web-item2">
    <w:name w:val="web-item2"/>
    <w:uiPriority w:val="99"/>
    <w:rsid w:val="000E76F5"/>
    <w:rPr>
      <w:sz w:val="18"/>
    </w:rPr>
  </w:style>
  <w:style w:type="paragraph" w:styleId="a7">
    <w:name w:val="Normal (Web)"/>
    <w:basedOn w:val="a"/>
    <w:uiPriority w:val="99"/>
    <w:rsid w:val="000E76F5"/>
    <w:pPr>
      <w:widowControl/>
      <w:jc w:val="left"/>
    </w:pPr>
    <w:rPr>
      <w:rFonts w:ascii="Arial" w:hAnsi="Arial" w:cs="Arial"/>
      <w:kern w:val="0"/>
      <w:sz w:val="20"/>
      <w:szCs w:val="20"/>
    </w:rPr>
  </w:style>
  <w:style w:type="paragraph" w:customStyle="1" w:styleId="small">
    <w:name w:val="small"/>
    <w:basedOn w:val="a"/>
    <w:uiPriority w:val="99"/>
    <w:rsid w:val="000E76F5"/>
    <w:pPr>
      <w:widowControl/>
      <w:jc w:val="left"/>
    </w:pPr>
    <w:rPr>
      <w:rFonts w:ascii="Arial" w:hAnsi="Arial" w:cs="Arial"/>
      <w:kern w:val="0"/>
      <w:sz w:val="19"/>
      <w:szCs w:val="19"/>
    </w:rPr>
  </w:style>
  <w:style w:type="paragraph" w:customStyle="1" w:styleId="10">
    <w:name w:val="页眉1"/>
    <w:basedOn w:val="a"/>
    <w:uiPriority w:val="99"/>
    <w:rsid w:val="000E76F5"/>
    <w:pPr>
      <w:widowControl/>
      <w:spacing w:after="180"/>
      <w:jc w:val="left"/>
    </w:pPr>
    <w:rPr>
      <w:rFonts w:ascii="Arial" w:hAnsi="Arial" w:cs="Arial"/>
      <w:b/>
      <w:bCs/>
      <w:kern w:val="0"/>
      <w:sz w:val="22"/>
      <w:szCs w:val="22"/>
    </w:rPr>
  </w:style>
  <w:style w:type="character" w:customStyle="1" w:styleId="longtext1">
    <w:name w:val="long_text1"/>
    <w:uiPriority w:val="99"/>
    <w:rsid w:val="000E76F5"/>
    <w:rPr>
      <w:sz w:val="20"/>
    </w:rPr>
  </w:style>
  <w:style w:type="paragraph" w:styleId="a8">
    <w:name w:val="footnote text"/>
    <w:basedOn w:val="a"/>
    <w:link w:val="Char1"/>
    <w:uiPriority w:val="99"/>
    <w:semiHidden/>
    <w:rsid w:val="000E76F5"/>
    <w:pPr>
      <w:snapToGrid w:val="0"/>
      <w:jc w:val="left"/>
    </w:pPr>
    <w:rPr>
      <w:sz w:val="18"/>
      <w:szCs w:val="18"/>
    </w:rPr>
  </w:style>
  <w:style w:type="character" w:customStyle="1" w:styleId="Char1">
    <w:name w:val="脚注文本 Char"/>
    <w:link w:val="a8"/>
    <w:uiPriority w:val="99"/>
    <w:semiHidden/>
    <w:locked/>
    <w:rsid w:val="000E76F5"/>
    <w:rPr>
      <w:rFonts w:ascii="Times New Roman" w:eastAsia="宋体" w:hAnsi="Times New Roman" w:cs="Times New Roman"/>
      <w:sz w:val="18"/>
      <w:szCs w:val="18"/>
    </w:rPr>
  </w:style>
  <w:style w:type="character" w:styleId="a9">
    <w:name w:val="footnote reference"/>
    <w:uiPriority w:val="99"/>
    <w:semiHidden/>
    <w:rsid w:val="000E76F5"/>
    <w:rPr>
      <w:rFonts w:cs="Times New Roman"/>
      <w:vertAlign w:val="superscript"/>
    </w:rPr>
  </w:style>
  <w:style w:type="character" w:styleId="aa">
    <w:name w:val="page number"/>
    <w:uiPriority w:val="99"/>
    <w:rsid w:val="000E76F5"/>
    <w:rPr>
      <w:rFonts w:cs="Times New Roman"/>
    </w:rPr>
  </w:style>
  <w:style w:type="paragraph" w:styleId="ab">
    <w:name w:val="Balloon Text"/>
    <w:basedOn w:val="a"/>
    <w:link w:val="Char2"/>
    <w:uiPriority w:val="99"/>
    <w:rsid w:val="000E76F5"/>
    <w:rPr>
      <w:rFonts w:ascii="Lucida Grande" w:hAnsi="Lucida Grande" w:cs="Lucida Grande"/>
      <w:sz w:val="18"/>
      <w:szCs w:val="18"/>
    </w:rPr>
  </w:style>
  <w:style w:type="character" w:customStyle="1" w:styleId="Char2">
    <w:name w:val="批注框文本 Char"/>
    <w:link w:val="ab"/>
    <w:uiPriority w:val="99"/>
    <w:locked/>
    <w:rsid w:val="000E76F5"/>
    <w:rPr>
      <w:rFonts w:ascii="Lucida Grande" w:eastAsia="宋体" w:hAnsi="Lucida Grande" w:cs="Lucida Grande"/>
      <w:sz w:val="18"/>
      <w:szCs w:val="18"/>
    </w:rPr>
  </w:style>
  <w:style w:type="character" w:styleId="ac">
    <w:name w:val="annotation reference"/>
    <w:uiPriority w:val="99"/>
    <w:rsid w:val="000E76F5"/>
    <w:rPr>
      <w:rFonts w:cs="Times New Roman"/>
      <w:sz w:val="18"/>
    </w:rPr>
  </w:style>
  <w:style w:type="paragraph" w:styleId="ad">
    <w:name w:val="annotation text"/>
    <w:basedOn w:val="a"/>
    <w:link w:val="Char3"/>
    <w:uiPriority w:val="99"/>
    <w:rsid w:val="000E76F5"/>
    <w:rPr>
      <w:sz w:val="24"/>
    </w:rPr>
  </w:style>
  <w:style w:type="character" w:customStyle="1" w:styleId="Char3">
    <w:name w:val="批注文字 Char"/>
    <w:link w:val="ad"/>
    <w:uiPriority w:val="99"/>
    <w:locked/>
    <w:rsid w:val="000E76F5"/>
    <w:rPr>
      <w:rFonts w:ascii="Times New Roman" w:eastAsia="宋体" w:hAnsi="Times New Roman" w:cs="Times New Roman"/>
      <w:sz w:val="24"/>
      <w:szCs w:val="24"/>
    </w:rPr>
  </w:style>
  <w:style w:type="paragraph" w:styleId="ae">
    <w:name w:val="annotation subject"/>
    <w:basedOn w:val="ad"/>
    <w:next w:val="ad"/>
    <w:link w:val="Char4"/>
    <w:uiPriority w:val="99"/>
    <w:rsid w:val="000E76F5"/>
    <w:rPr>
      <w:b/>
      <w:bCs/>
      <w:sz w:val="20"/>
      <w:szCs w:val="20"/>
    </w:rPr>
  </w:style>
  <w:style w:type="character" w:customStyle="1" w:styleId="Char4">
    <w:name w:val="批注主题 Char"/>
    <w:link w:val="ae"/>
    <w:uiPriority w:val="99"/>
    <w:locked/>
    <w:rsid w:val="000E76F5"/>
    <w:rPr>
      <w:rFonts w:ascii="Times New Roman" w:eastAsia="宋体" w:hAnsi="Times New Roman" w:cs="Times New Roman"/>
      <w:b/>
      <w:bCs/>
      <w:sz w:val="20"/>
      <w:szCs w:val="20"/>
    </w:rPr>
  </w:style>
  <w:style w:type="paragraph" w:customStyle="1" w:styleId="p0">
    <w:name w:val="p0"/>
    <w:basedOn w:val="a"/>
    <w:uiPriority w:val="99"/>
    <w:rsid w:val="000E76F5"/>
    <w:pPr>
      <w:widowControl/>
      <w:spacing w:line="240" w:lineRule="atLeast"/>
      <w:jc w:val="left"/>
    </w:pPr>
    <w:rPr>
      <w:rFonts w:ascii="Century" w:hAnsi="Century" w:cs="宋体"/>
      <w:kern w:val="0"/>
      <w:szCs w:val="21"/>
    </w:rPr>
  </w:style>
  <w:style w:type="character" w:styleId="af">
    <w:name w:val="Strong"/>
    <w:uiPriority w:val="99"/>
    <w:qFormat/>
    <w:rsid w:val="003E151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6F5"/>
    <w:pPr>
      <w:widowControl w:val="0"/>
      <w:jc w:val="both"/>
    </w:pPr>
    <w:rPr>
      <w:rFonts w:ascii="Times New Roman" w:hAnsi="Times New Roman"/>
      <w:kern w:val="2"/>
      <w:sz w:val="21"/>
      <w:szCs w:val="24"/>
    </w:rPr>
  </w:style>
  <w:style w:type="paragraph" w:styleId="2">
    <w:name w:val="heading 2"/>
    <w:basedOn w:val="a"/>
    <w:link w:val="2Char"/>
    <w:uiPriority w:val="99"/>
    <w:qFormat/>
    <w:rsid w:val="000E76F5"/>
    <w:pPr>
      <w:widowControl/>
      <w:ind w:left="120"/>
      <w:jc w:val="left"/>
      <w:outlineLvl w:val="1"/>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0E76F5"/>
    <w:rPr>
      <w:rFonts w:ascii="宋体" w:eastAsia="宋体" w:hAnsi="宋体" w:cs="宋体"/>
      <w:b/>
      <w:bCs/>
      <w:kern w:val="0"/>
      <w:sz w:val="24"/>
      <w:szCs w:val="24"/>
    </w:rPr>
  </w:style>
  <w:style w:type="paragraph" w:styleId="a3">
    <w:name w:val="header"/>
    <w:basedOn w:val="a"/>
    <w:link w:val="Char"/>
    <w:uiPriority w:val="99"/>
    <w:rsid w:val="000E76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E76F5"/>
    <w:rPr>
      <w:rFonts w:cs="Times New Roman"/>
      <w:sz w:val="18"/>
      <w:szCs w:val="18"/>
    </w:rPr>
  </w:style>
  <w:style w:type="paragraph" w:styleId="a4">
    <w:name w:val="footer"/>
    <w:basedOn w:val="a"/>
    <w:link w:val="Char0"/>
    <w:uiPriority w:val="99"/>
    <w:rsid w:val="000E76F5"/>
    <w:pPr>
      <w:tabs>
        <w:tab w:val="center" w:pos="4153"/>
        <w:tab w:val="right" w:pos="8306"/>
      </w:tabs>
      <w:snapToGrid w:val="0"/>
    </w:pPr>
    <w:rPr>
      <w:sz w:val="18"/>
      <w:szCs w:val="18"/>
    </w:rPr>
  </w:style>
  <w:style w:type="character" w:customStyle="1" w:styleId="Char0">
    <w:name w:val="页脚 Char"/>
    <w:link w:val="a4"/>
    <w:uiPriority w:val="99"/>
    <w:locked/>
    <w:rsid w:val="000E76F5"/>
    <w:rPr>
      <w:rFonts w:cs="Times New Roman"/>
      <w:sz w:val="18"/>
      <w:szCs w:val="18"/>
    </w:rPr>
  </w:style>
  <w:style w:type="character" w:styleId="a5">
    <w:name w:val="Hyperlink"/>
    <w:uiPriority w:val="99"/>
    <w:rsid w:val="000E76F5"/>
    <w:rPr>
      <w:rFonts w:cs="Times New Roman"/>
      <w:color w:val="35A1D4"/>
      <w:u w:val="single"/>
    </w:rPr>
  </w:style>
  <w:style w:type="character" w:customStyle="1" w:styleId="def">
    <w:name w:val="def"/>
    <w:uiPriority w:val="99"/>
    <w:rsid w:val="000E76F5"/>
    <w:rPr>
      <w:rFonts w:cs="Times New Roman"/>
    </w:rPr>
  </w:style>
  <w:style w:type="character" w:customStyle="1" w:styleId="highlight1">
    <w:name w:val="highlight1"/>
    <w:uiPriority w:val="99"/>
    <w:rsid w:val="000E76F5"/>
    <w:rPr>
      <w:shd w:val="clear" w:color="auto" w:fill="D6EBF9"/>
    </w:rPr>
  </w:style>
  <w:style w:type="character" w:customStyle="1" w:styleId="st1">
    <w:name w:val="st1"/>
    <w:uiPriority w:val="99"/>
    <w:rsid w:val="000E76F5"/>
    <w:rPr>
      <w:rFonts w:cs="Times New Roman"/>
    </w:rPr>
  </w:style>
  <w:style w:type="character" w:customStyle="1" w:styleId="keyword">
    <w:name w:val="keyword"/>
    <w:uiPriority w:val="99"/>
    <w:rsid w:val="000E76F5"/>
    <w:rPr>
      <w:rFonts w:cs="Times New Roman"/>
    </w:rPr>
  </w:style>
  <w:style w:type="table" w:styleId="a6">
    <w:name w:val="Table Grid"/>
    <w:basedOn w:val="a1"/>
    <w:uiPriority w:val="99"/>
    <w:rsid w:val="000E76F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uiPriority w:val="99"/>
    <w:rsid w:val="000E76F5"/>
    <w:rPr>
      <w:rFonts w:cs="Times New Roman"/>
    </w:rPr>
  </w:style>
  <w:style w:type="character" w:customStyle="1" w:styleId="normal1">
    <w:name w:val="normal1"/>
    <w:uiPriority w:val="99"/>
    <w:rsid w:val="000E76F5"/>
    <w:rPr>
      <w:rFonts w:ascii="Arial" w:hAnsi="Arial"/>
      <w:color w:val="000000"/>
      <w:sz w:val="20"/>
    </w:rPr>
  </w:style>
  <w:style w:type="character" w:customStyle="1" w:styleId="result">
    <w:name w:val="result"/>
    <w:uiPriority w:val="99"/>
    <w:rsid w:val="000E76F5"/>
    <w:rPr>
      <w:color w:val="000080"/>
    </w:rPr>
  </w:style>
  <w:style w:type="character" w:customStyle="1" w:styleId="1">
    <w:name w:val="正文1"/>
    <w:uiPriority w:val="99"/>
    <w:rsid w:val="000E76F5"/>
    <w:rPr>
      <w:rFonts w:cs="Times New Roman"/>
    </w:rPr>
  </w:style>
  <w:style w:type="character" w:customStyle="1" w:styleId="web-item2">
    <w:name w:val="web-item2"/>
    <w:uiPriority w:val="99"/>
    <w:rsid w:val="000E76F5"/>
    <w:rPr>
      <w:sz w:val="18"/>
    </w:rPr>
  </w:style>
  <w:style w:type="paragraph" w:styleId="a7">
    <w:name w:val="Normal (Web)"/>
    <w:basedOn w:val="a"/>
    <w:uiPriority w:val="99"/>
    <w:rsid w:val="000E76F5"/>
    <w:pPr>
      <w:widowControl/>
      <w:jc w:val="left"/>
    </w:pPr>
    <w:rPr>
      <w:rFonts w:ascii="Arial" w:hAnsi="Arial" w:cs="Arial"/>
      <w:kern w:val="0"/>
      <w:sz w:val="20"/>
      <w:szCs w:val="20"/>
    </w:rPr>
  </w:style>
  <w:style w:type="paragraph" w:customStyle="1" w:styleId="small">
    <w:name w:val="small"/>
    <w:basedOn w:val="a"/>
    <w:uiPriority w:val="99"/>
    <w:rsid w:val="000E76F5"/>
    <w:pPr>
      <w:widowControl/>
      <w:jc w:val="left"/>
    </w:pPr>
    <w:rPr>
      <w:rFonts w:ascii="Arial" w:hAnsi="Arial" w:cs="Arial"/>
      <w:kern w:val="0"/>
      <w:sz w:val="19"/>
      <w:szCs w:val="19"/>
    </w:rPr>
  </w:style>
  <w:style w:type="paragraph" w:customStyle="1" w:styleId="10">
    <w:name w:val="页眉1"/>
    <w:basedOn w:val="a"/>
    <w:uiPriority w:val="99"/>
    <w:rsid w:val="000E76F5"/>
    <w:pPr>
      <w:widowControl/>
      <w:spacing w:after="180"/>
      <w:jc w:val="left"/>
    </w:pPr>
    <w:rPr>
      <w:rFonts w:ascii="Arial" w:hAnsi="Arial" w:cs="Arial"/>
      <w:b/>
      <w:bCs/>
      <w:kern w:val="0"/>
      <w:sz w:val="22"/>
      <w:szCs w:val="22"/>
    </w:rPr>
  </w:style>
  <w:style w:type="character" w:customStyle="1" w:styleId="longtext1">
    <w:name w:val="long_text1"/>
    <w:uiPriority w:val="99"/>
    <w:rsid w:val="000E76F5"/>
    <w:rPr>
      <w:sz w:val="20"/>
    </w:rPr>
  </w:style>
  <w:style w:type="paragraph" w:styleId="a8">
    <w:name w:val="footnote text"/>
    <w:basedOn w:val="a"/>
    <w:link w:val="Char1"/>
    <w:uiPriority w:val="99"/>
    <w:semiHidden/>
    <w:rsid w:val="000E76F5"/>
    <w:pPr>
      <w:snapToGrid w:val="0"/>
      <w:jc w:val="left"/>
    </w:pPr>
    <w:rPr>
      <w:sz w:val="18"/>
      <w:szCs w:val="18"/>
    </w:rPr>
  </w:style>
  <w:style w:type="character" w:customStyle="1" w:styleId="Char1">
    <w:name w:val="脚注文本 Char"/>
    <w:link w:val="a8"/>
    <w:uiPriority w:val="99"/>
    <w:semiHidden/>
    <w:locked/>
    <w:rsid w:val="000E76F5"/>
    <w:rPr>
      <w:rFonts w:ascii="Times New Roman" w:eastAsia="宋体" w:hAnsi="Times New Roman" w:cs="Times New Roman"/>
      <w:sz w:val="18"/>
      <w:szCs w:val="18"/>
    </w:rPr>
  </w:style>
  <w:style w:type="character" w:styleId="a9">
    <w:name w:val="footnote reference"/>
    <w:uiPriority w:val="99"/>
    <w:semiHidden/>
    <w:rsid w:val="000E76F5"/>
    <w:rPr>
      <w:rFonts w:cs="Times New Roman"/>
      <w:vertAlign w:val="superscript"/>
    </w:rPr>
  </w:style>
  <w:style w:type="character" w:styleId="aa">
    <w:name w:val="page number"/>
    <w:uiPriority w:val="99"/>
    <w:rsid w:val="000E76F5"/>
    <w:rPr>
      <w:rFonts w:cs="Times New Roman"/>
    </w:rPr>
  </w:style>
  <w:style w:type="paragraph" w:styleId="ab">
    <w:name w:val="Balloon Text"/>
    <w:basedOn w:val="a"/>
    <w:link w:val="Char2"/>
    <w:uiPriority w:val="99"/>
    <w:rsid w:val="000E76F5"/>
    <w:rPr>
      <w:rFonts w:ascii="Lucida Grande" w:hAnsi="Lucida Grande" w:cs="Lucida Grande"/>
      <w:sz w:val="18"/>
      <w:szCs w:val="18"/>
    </w:rPr>
  </w:style>
  <w:style w:type="character" w:customStyle="1" w:styleId="Char2">
    <w:name w:val="批注框文本 Char"/>
    <w:link w:val="ab"/>
    <w:uiPriority w:val="99"/>
    <w:locked/>
    <w:rsid w:val="000E76F5"/>
    <w:rPr>
      <w:rFonts w:ascii="Lucida Grande" w:eastAsia="宋体" w:hAnsi="Lucida Grande" w:cs="Lucida Grande"/>
      <w:sz w:val="18"/>
      <w:szCs w:val="18"/>
    </w:rPr>
  </w:style>
  <w:style w:type="character" w:styleId="ac">
    <w:name w:val="annotation reference"/>
    <w:uiPriority w:val="99"/>
    <w:rsid w:val="000E76F5"/>
    <w:rPr>
      <w:rFonts w:cs="Times New Roman"/>
      <w:sz w:val="18"/>
    </w:rPr>
  </w:style>
  <w:style w:type="paragraph" w:styleId="ad">
    <w:name w:val="annotation text"/>
    <w:basedOn w:val="a"/>
    <w:link w:val="Char3"/>
    <w:uiPriority w:val="99"/>
    <w:rsid w:val="000E76F5"/>
    <w:rPr>
      <w:sz w:val="24"/>
    </w:rPr>
  </w:style>
  <w:style w:type="character" w:customStyle="1" w:styleId="Char3">
    <w:name w:val="批注文字 Char"/>
    <w:link w:val="ad"/>
    <w:uiPriority w:val="99"/>
    <w:locked/>
    <w:rsid w:val="000E76F5"/>
    <w:rPr>
      <w:rFonts w:ascii="Times New Roman" w:eastAsia="宋体" w:hAnsi="Times New Roman" w:cs="Times New Roman"/>
      <w:sz w:val="24"/>
      <w:szCs w:val="24"/>
    </w:rPr>
  </w:style>
  <w:style w:type="paragraph" w:styleId="ae">
    <w:name w:val="annotation subject"/>
    <w:basedOn w:val="ad"/>
    <w:next w:val="ad"/>
    <w:link w:val="Char4"/>
    <w:uiPriority w:val="99"/>
    <w:rsid w:val="000E76F5"/>
    <w:rPr>
      <w:b/>
      <w:bCs/>
      <w:sz w:val="20"/>
      <w:szCs w:val="20"/>
    </w:rPr>
  </w:style>
  <w:style w:type="character" w:customStyle="1" w:styleId="Char4">
    <w:name w:val="批注主题 Char"/>
    <w:link w:val="ae"/>
    <w:uiPriority w:val="99"/>
    <w:locked/>
    <w:rsid w:val="000E76F5"/>
    <w:rPr>
      <w:rFonts w:ascii="Times New Roman" w:eastAsia="宋体" w:hAnsi="Times New Roman" w:cs="Times New Roman"/>
      <w:b/>
      <w:bCs/>
      <w:sz w:val="20"/>
      <w:szCs w:val="20"/>
    </w:rPr>
  </w:style>
  <w:style w:type="paragraph" w:customStyle="1" w:styleId="p0">
    <w:name w:val="p0"/>
    <w:basedOn w:val="a"/>
    <w:uiPriority w:val="99"/>
    <w:rsid w:val="000E76F5"/>
    <w:pPr>
      <w:widowControl/>
      <w:spacing w:line="240" w:lineRule="atLeast"/>
      <w:jc w:val="left"/>
    </w:pPr>
    <w:rPr>
      <w:rFonts w:ascii="Century" w:hAnsi="Century" w:cs="宋体"/>
      <w:kern w:val="0"/>
      <w:szCs w:val="21"/>
    </w:rPr>
  </w:style>
  <w:style w:type="character" w:styleId="af">
    <w:name w:val="Strong"/>
    <w:uiPriority w:val="99"/>
    <w:qFormat/>
    <w:rsid w:val="003E151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p:ds:con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4837</Words>
  <Characters>27577</Characters>
  <Application>Microsoft Office Word</Application>
  <DocSecurity>0</DocSecurity>
  <Lines>229</Lines>
  <Paragraphs>64</Paragraphs>
  <ScaleCrop>false</ScaleCrop>
  <Company>Hewlett-Packard Company</Company>
  <LinksUpToDate>false</LinksUpToDate>
  <CharactersWithSpaces>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2014-03-12T07:15:00Z</dcterms:created>
  <dcterms:modified xsi:type="dcterms:W3CDTF">2014-03-12T07:15:00Z</dcterms:modified>
</cp:coreProperties>
</file>