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79060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bCs/>
          <w:color w:val="000000"/>
        </w:rPr>
        <w:t xml:space="preserve">Dynamic changes of estimated glomerular filtration rate are conversely related to triglyceride in non-overweight patients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 SQ </w:t>
      </w:r>
      <w:r>
        <w:rPr>
          <w:rFonts w:ascii="Book Antiqua" w:hAnsi="Book Antiqua" w:eastAsia="Book Antiqua" w:cs="Book Antiqua"/>
          <w:i/>
          <w:iCs/>
          <w:color w:val="000000"/>
        </w:rPr>
        <w:t>et al</w:t>
      </w:r>
      <w:r>
        <w:rPr>
          <w:rFonts w:ascii="Book Antiqua" w:hAnsi="Book Antiqua" w:eastAsia="Book Antiqua" w:cs="Book Antiqua"/>
          <w:color w:val="000000"/>
        </w:rPr>
        <w:t xml:space="preserve">. eGFR is </w:t>
      </w:r>
      <w:r>
        <w:rPr>
          <w:rFonts w:ascii="Book Antiqua" w:hAnsi="Book Antiqua" w:eastAsia="Book Antiqua" w:cs="Book Antiqua"/>
          <w:bCs/>
          <w:color w:val="000000"/>
        </w:rPr>
        <w:t>conversely related to</w:t>
      </w:r>
      <w:r>
        <w:rPr>
          <w:rFonts w:ascii="Book Antiqua" w:hAnsi="Book Antiqua" w:eastAsia="Book Antiqua" w:cs="Book Antiqua"/>
          <w:color w:val="000000"/>
        </w:rPr>
        <w:t xml:space="preserve"> TG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Si-Qi Liu, Xiu-Jun Zhang, Yuan Xue, Rui Huang, Jian Wang, Chao Wu, Yi-Shan He, Ya-Ru Pan, Long-Gen Liu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Si-Qi Liu, Yi-Shan He, Ya-Ru Pan, </w:t>
      </w:r>
      <w:r>
        <w:rPr>
          <w:rFonts w:ascii="Book Antiqua" w:hAnsi="Book Antiqua" w:eastAsia="Book Antiqua" w:cs="Book Antiqua"/>
          <w:color w:val="000000"/>
        </w:rPr>
        <w:t>Changzhou Clinical Medical College, Nanjing Medical University, Changzhou 213000,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Xiu-Jun Zhang, Yuan Xue, Long-Gen Liu, </w:t>
      </w:r>
      <w:r>
        <w:rPr>
          <w:rFonts w:ascii="Book Antiqua" w:hAnsi="Book Antiqua" w:eastAsia="Book Antiqua" w:cs="Book Antiqua"/>
          <w:color w:val="000000"/>
        </w:rPr>
        <w:t>Institute of Hepatology, The Third People’s Hospital of Changzhou, Changzhou 213000,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Rui Huang, Jian Wang, Chao Wu, </w:t>
      </w:r>
      <w:r>
        <w:rPr>
          <w:rFonts w:ascii="Book Antiqua" w:hAnsi="Book Antiqua" w:eastAsia="Book Antiqua" w:cs="Book Antiqua"/>
          <w:color w:val="000000"/>
        </w:rPr>
        <w:t>Department of Infectious Diseases, Nanjing Drum Tower Hospital, Nanjing 210008,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Liu LG, Wu C, and Xue Y desiged the study; Liu SQ, Xue Y, Huang R, Wang J, Pan YR, and He YS contributed data collection; Liu SQ, Xue Y, Pan YR, and He YS performed the data analysis; Liu SQ, Zhang XJ, and Xue Y drafted the manuscript;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333 High-Level Talents Project of Jiangsu Province, No. LGY2020032; the Science and Technology Project of Changzhou, No. CJ20200057; Qingmiao Talents Cultivation Project of Changzhou Health Commission, No. CZQM2020089.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Long-Gen Liu, MD, Chief Doctor, Dean, Doctor, Professor, </w:t>
      </w:r>
      <w:r>
        <w:rPr>
          <w:rFonts w:ascii="Book Antiqua" w:hAnsi="Book Antiqua" w:eastAsia="Book Antiqua" w:cs="Book Antiqua"/>
          <w:color w:val="000000"/>
        </w:rPr>
        <w:t>Institute of Hepatology, The Third People’s Hospital of Changzhou, No. 300 Lanling North Road, Changzhou 213000, Jiangsu Province, China. ssewllg@163.com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August 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August 30</w:t>
      </w:r>
      <w:r>
        <w:rPr>
          <w:rFonts w:ascii="Book Antiqua" w:hAnsi="Book Antiqua" w:cs="Book Antiqua"/>
          <w:bCs/>
          <w:color w:val="000000"/>
          <w:lang w:eastAsia="zh-CN"/>
        </w:rPr>
        <w:t>,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23,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Correlation between Triglyceride (TG) and estimated glomerular filtration rate (eGFR) remains largely unknown in overweight and non-overweight patients.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investigated the dynamic changes of eGFR and lipid profiles during 3-year tenofovir disoproxil fumarate (TDF) treatment in patients with </w:t>
      </w:r>
      <w:r>
        <w:rPr>
          <w:rFonts w:ascii="Book Antiqua" w:hAnsi="Book Antiqua" w:eastAsia="Book Antiqua" w:cs="Book Antiqua"/>
          <w:color w:val="000000"/>
          <w:shd w:val="clear" w:color="auto" w:fill="FCFCFC"/>
        </w:rPr>
        <w:t>chronic hepatitis B (CHB)</w:t>
      </w:r>
      <w:r>
        <w:rPr>
          <w:rFonts w:ascii="Book Antiqua" w:hAnsi="Book Antiqua" w:eastAsia="Book Antiqua" w:cs="Book Antiqua"/>
          <w:color w:val="000000"/>
        </w:rPr>
        <w:t xml:space="preserve"> and overweight.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A total of 202 CHB patients </w:t>
      </w:r>
      <w:r>
        <w:rPr>
          <w:rFonts w:ascii="Book Antiqua" w:hAnsi="Book Antiqua" w:eastAsia="Book Antiqua" w:cs="Book Antiqua"/>
          <w:color w:val="000000"/>
          <w:shd w:val="clear" w:color="auto" w:fill="FFFFFF"/>
        </w:rPr>
        <w:t xml:space="preserve">who received TDF treatment at the Third People's Hospital of Changzhou (Changzhou, China) and Nanjing Drum Tower Hospital (Nanjing, China) </w:t>
      </w:r>
      <w:r>
        <w:rPr>
          <w:rFonts w:ascii="Book Antiqua" w:hAnsi="Book Antiqua" w:eastAsia="Book Antiqua" w:cs="Book Antiqua"/>
          <w:color w:val="000000"/>
        </w:rPr>
        <w:t xml:space="preserve">between January 2016 and May 2018 </w:t>
      </w:r>
      <w:r>
        <w:rPr>
          <w:rFonts w:ascii="Book Antiqua" w:hAnsi="Book Antiqua" w:eastAsia="Book Antiqua" w:cs="Book Antiqua"/>
          <w:color w:val="000000"/>
          <w:shd w:val="clear" w:color="auto" w:fill="FFFFFF"/>
        </w:rPr>
        <w:t>were retr</w:t>
      </w:r>
      <w:r>
        <w:rPr>
          <w:rFonts w:ascii="Book Antiqua" w:hAnsi="Book Antiqua" w:eastAsia="Book Antiqua" w:cs="Book Antiqua"/>
          <w:color w:val="000000"/>
        </w:rPr>
        <w:t>ospectively enrolled. According to the body mass index (BMI) at the initiation of TDF treatment, CHB patients were divided into overweight (BMI ≥ 25 kg/m</w:t>
      </w:r>
      <w:r>
        <w:rPr>
          <w:rFonts w:ascii="Book Antiqua" w:hAnsi="Book Antiqua" w:eastAsia="Book Antiqua" w:cs="Book Antiqua"/>
          <w:color w:val="000000"/>
          <w:vertAlign w:val="superscript"/>
        </w:rPr>
        <w:t>2</w:t>
      </w:r>
      <w:r>
        <w:rPr>
          <w:rFonts w:ascii="Book Antiqua" w:hAnsi="Book Antiqua" w:eastAsia="Book Antiqua" w:cs="Book Antiqua"/>
          <w:color w:val="000000"/>
        </w:rPr>
        <w:t>) and non-overweight (BMI &lt; 25 kg/m</w:t>
      </w:r>
      <w:r>
        <w:rPr>
          <w:rFonts w:ascii="Book Antiqua" w:hAnsi="Book Antiqua" w:eastAsia="Book Antiqua" w:cs="Book Antiqua"/>
          <w:color w:val="000000"/>
          <w:vertAlign w:val="superscript"/>
        </w:rPr>
        <w:t>2</w:t>
      </w:r>
      <w:r>
        <w:rPr>
          <w:rFonts w:ascii="Book Antiqua" w:hAnsi="Book Antiqua" w:eastAsia="Book Antiqua" w:cs="Book Antiqua"/>
          <w:color w:val="000000"/>
        </w:rPr>
        <w:t>) groups. Logistic regression was applied for the analysis of risk factors for eGFR &lt;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ascii="Book Antiqua" w:hAnsi="Book Antiqua" w:eastAsia="Book Antiqua" w:cs="Book Antiqua"/>
          <w:color w:val="000000"/>
          <w:shd w:val="clear" w:color="auto" w:fill="F8F8F8"/>
        </w:rPr>
        <w:t>.</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There is no significant difference in hepatitis B virus DNA (HBV DNA) negativity and </w:t>
      </w:r>
      <w:r>
        <w:rPr>
          <w:rFonts w:ascii="Book Antiqua" w:hAnsi="Book Antiqua" w:eastAsia="Book Antiqua" w:cs="Book Antiqua"/>
          <w:color w:val="000000"/>
          <w:shd w:val="clear" w:color="auto" w:fill="FFFFFF"/>
        </w:rPr>
        <w:t>hepatitis Be antigen (</w:t>
      </w:r>
      <w:r>
        <w:rPr>
          <w:rFonts w:ascii="Book Antiqua" w:hAnsi="Book Antiqua" w:eastAsia="Book Antiqua" w:cs="Book Antiqua"/>
          <w:color w:val="000000"/>
        </w:rPr>
        <w:t xml:space="preserve">HBeAg) loss between patients with overweight and non-overweight (both </w:t>
      </w:r>
      <w:r>
        <w:rPr>
          <w:rFonts w:ascii="Book Antiqua" w:hAnsi="Book Antiqua" w:eastAsia="Book Antiqua" w:cs="Book Antiqua"/>
          <w:i/>
          <w:color w:val="000000"/>
        </w:rPr>
        <w:t>P</w:t>
      </w:r>
      <w:r>
        <w:rPr>
          <w:rFonts w:ascii="Book Antiqua" w:hAnsi="Book Antiqua" w:eastAsia="Book Antiqua" w:cs="Book Antiqua"/>
          <w:color w:val="000000"/>
        </w:rPr>
        <w:t xml:space="preserve"> &gt; 0.05). More patients in non-overweight group achieved alanine aminotransferase normalization compared with those in overweight group (</w:t>
      </w:r>
      <w:r>
        <w:rPr>
          <w:rFonts w:ascii="Book Antiqua" w:hAnsi="Book Antiqua" w:eastAsia="Book Antiqua" w:cs="Book Antiqua"/>
          <w:i/>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11.036, </w:t>
      </w:r>
      <w:r>
        <w:rPr>
          <w:rFonts w:ascii="Book Antiqua" w:hAnsi="Book Antiqua" w:eastAsia="Book Antiqua" w:cs="Book Antiqua"/>
          <w:i/>
          <w:color w:val="000000"/>
        </w:rPr>
        <w:t>P</w:t>
      </w:r>
      <w:r>
        <w:rPr>
          <w:rFonts w:ascii="Book Antiqua" w:hAnsi="Book Antiqua" w:eastAsia="Book Antiqua" w:cs="Book Antiqua"/>
          <w:color w:val="000000"/>
        </w:rPr>
        <w:t xml:space="preserve"> &lt; 0.01). In non-overweight patients, the eGFR significantly declined in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year (</w:t>
      </w:r>
      <w:r>
        <w:rPr>
          <w:rFonts w:ascii="Book Antiqua" w:hAnsi="Book Antiqua" w:eastAsia="Book Antiqua" w:cs="Book Antiqua"/>
          <w:i/>
          <w:color w:val="000000"/>
        </w:rPr>
        <w:t>P</w:t>
      </w:r>
      <w:r>
        <w:rPr>
          <w:rFonts w:ascii="Book Antiqua" w:hAnsi="Book Antiqua" w:eastAsia="Book Antiqua" w:cs="Book Antiqua"/>
          <w:color w:val="000000"/>
        </w:rPr>
        <w:t xml:space="preserve"> &lt; 0.01), then remained at a relatively lower level. TG significantly declined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year (</w:t>
      </w:r>
      <w:r>
        <w:rPr>
          <w:rFonts w:ascii="Book Antiqua" w:hAnsi="Book Antiqua" w:eastAsia="Book Antiqua" w:cs="Book Antiqua"/>
          <w:i/>
          <w:iCs/>
          <w:color w:val="000000"/>
        </w:rPr>
        <w:t>P</w:t>
      </w:r>
      <w:r>
        <w:rPr>
          <w:rFonts w:ascii="Book Antiqua" w:hAnsi="Book Antiqua" w:eastAsia="Book Antiqua" w:cs="Book Antiqua"/>
          <w:color w:val="000000"/>
        </w:rPr>
        <w:t xml:space="preserve"> = 0.02) and increased in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Moreover, TG was negatively correlated with GFR at the four-time points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0.030, 0.007, 0.008, respectively). In overweight patients, eGFR and TG remained relatively stable during the 3-year treatment, and eGFR showed no significant relationship with TG. Moreover, multivariate analysis showed that age</w:t>
      </w:r>
      <w:r>
        <w:rPr>
          <w:rFonts w:ascii="Book Antiqua" w:hAnsi="Book Antiqua" w:eastAsia="Book Antiqua" w:cs="Book Antiqua"/>
          <w:color w:val="000000"/>
          <w:shd w:val="clear" w:color="auto" w:fill="FCFCFC"/>
        </w:rPr>
        <w:t xml:space="preserve"> [</w:t>
      </w:r>
      <w:r>
        <w:rPr>
          <w:rFonts w:ascii="Book Antiqua" w:hAnsi="Book Antiqua" w:eastAsia="Book Antiqua" w:cs="Book Antiqua"/>
          <w:i/>
          <w:color w:val="000000"/>
        </w:rPr>
        <w:t>P</w:t>
      </w:r>
      <w:r>
        <w:rPr>
          <w:rFonts w:ascii="Book Antiqua" w:hAnsi="Book Antiqua" w:eastAsia="Book Antiqua" w:cs="Book Antiqua"/>
          <w:color w:val="000000"/>
        </w:rPr>
        <w:t xml:space="preserve"> &lt; 0.01, 95%CI (0.97-1.005</w:t>
      </w:r>
      <w:r>
        <w:rPr>
          <w:rFonts w:ascii="Book Antiqua" w:hAnsi="Book Antiqua" w:eastAsia="Book Antiqua" w:cs="Book Antiqua"/>
          <w:color w:val="000000"/>
          <w:shd w:val="clear" w:color="auto" w:fill="FCFCFC"/>
        </w:rPr>
        <w:t>)</w:t>
      </w:r>
      <w:r>
        <w:rPr>
          <w:rFonts w:ascii="Book Antiqua" w:hAnsi="Book Antiqua" w:eastAsia="Book Antiqua" w:cs="Book Antiqua"/>
          <w:color w:val="000000"/>
        </w:rPr>
        <w:t>]</w:t>
      </w:r>
      <w:r>
        <w:rPr>
          <w:rFonts w:ascii="Book Antiqua" w:hAnsi="Book Antiqua" w:eastAsia="Book Antiqua" w:cs="Book Antiqua"/>
          <w:color w:val="000000"/>
          <w:shd w:val="clear" w:color="auto" w:fill="FCFCFC"/>
        </w:rPr>
        <w:t xml:space="preserve"> and baseline eGFR </w:t>
      </w:r>
      <w:r>
        <w:rPr>
          <w:rFonts w:ascii="Book Antiqua" w:hAnsi="Book Antiqua" w:eastAsia="Book Antiqua" w:cs="Book Antiqua"/>
          <w:color w:val="000000"/>
        </w:rPr>
        <w:t>[</w:t>
      </w:r>
      <w:r>
        <w:rPr>
          <w:rFonts w:ascii="Book Antiqua" w:hAnsi="Book Antiqua" w:eastAsia="Book Antiqua" w:cs="Book Antiqua"/>
          <w:i/>
          <w:color w:val="000000"/>
        </w:rPr>
        <w:t>P</w:t>
      </w:r>
      <w:r>
        <w:rPr>
          <w:rFonts w:ascii="Book Antiqua" w:hAnsi="Book Antiqua" w:eastAsia="Book Antiqua" w:cs="Book Antiqua"/>
          <w:color w:val="000000"/>
        </w:rPr>
        <w:t xml:space="preserve"> &lt; 0.01, 95%CI </w:t>
      </w:r>
      <w:r>
        <w:rPr>
          <w:rFonts w:ascii="Book Antiqua" w:hAnsi="Book Antiqua" w:eastAsia="Book Antiqua" w:cs="Book Antiqua"/>
          <w:color w:val="000000"/>
          <w:shd w:val="clear" w:color="auto" w:fill="FCFCFC"/>
        </w:rPr>
        <w:t>(</w:t>
      </w:r>
      <w:r>
        <w:rPr>
          <w:rFonts w:ascii="Book Antiqua" w:hAnsi="Book Antiqua" w:eastAsia="Book Antiqua" w:cs="Book Antiqua"/>
          <w:color w:val="000000"/>
        </w:rPr>
        <w:t>5.056-33.668</w:t>
      </w:r>
      <w:r>
        <w:rPr>
          <w:rFonts w:ascii="Book Antiqua" w:hAnsi="Book Antiqua" w:eastAsia="Book Antiqua" w:cs="Book Antiqua"/>
          <w:color w:val="000000"/>
          <w:shd w:val="clear" w:color="auto" w:fill="FCFCFC"/>
        </w:rPr>
        <w:t>)</w:t>
      </w:r>
      <w:r>
        <w:rPr>
          <w:rFonts w:ascii="Book Antiqua" w:hAnsi="Book Antiqua" w:eastAsia="Book Antiqua" w:cs="Book Antiqua"/>
          <w:color w:val="000000"/>
        </w:rPr>
        <w:t>]</w:t>
      </w:r>
      <w:r>
        <w:rPr>
          <w:rFonts w:ascii="Book Antiqua" w:hAnsi="Book Antiqua" w:eastAsia="Book Antiqua" w:cs="Book Antiqua"/>
          <w:color w:val="000000"/>
          <w:shd w:val="clear" w:color="auto" w:fill="FCFCFC"/>
        </w:rPr>
        <w:t xml:space="preserve"> were independent risk factors for eGFR &lt; 90 mL/(min·1.73 m</w:t>
      </w:r>
      <w:r>
        <w:rPr>
          <w:rFonts w:ascii="Book Antiqua" w:hAnsi="Book Antiqua" w:eastAsia="Book Antiqua" w:cs="Book Antiqua"/>
          <w:color w:val="000000"/>
          <w:shd w:val="clear" w:color="auto" w:fill="FCFCFC"/>
          <w:vertAlign w:val="superscript"/>
        </w:rPr>
        <w:t>2</w:t>
      </w:r>
      <w:r>
        <w:rPr>
          <w:rFonts w:ascii="Book Antiqua" w:hAnsi="Book Antiqua" w:eastAsia="Book Antiqua" w:cs="Book Antiqua"/>
          <w:color w:val="000000"/>
          <w:shd w:val="clear" w:color="auto" w:fill="FCFCFC"/>
        </w:rPr>
        <w:t xml:space="preserve">) </w:t>
      </w:r>
      <w:r>
        <w:rPr>
          <w:rFonts w:ascii="Book Antiqua" w:hAnsi="Book Antiqua" w:eastAsia="Book Antiqua" w:cs="Book Antiqua"/>
          <w:color w:val="000000"/>
          <w:shd w:val="clear" w:color="auto" w:fill="F8F8F8"/>
        </w:rPr>
        <w:t>at the</w:t>
      </w:r>
      <w:r>
        <w:rPr>
          <w:rFonts w:ascii="Book Antiqua" w:hAnsi="Book Antiqua" w:eastAsia="Book Antiqua" w:cs="Book Antiqua"/>
          <w:color w:val="000000"/>
        </w:rPr>
        <w:t xml:space="preserv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CFCFC"/>
        </w:rPr>
        <w:t>year.</w:t>
      </w:r>
      <w:r>
        <w:rPr>
          <w:rFonts w:ascii="Book Antiqua" w:hAnsi="Book Antiqua" w:eastAsia="Book Antiqua" w:cs="Book Antiqua"/>
          <w:color w:val="000000"/>
          <w:shd w:val="clear" w:color="auto" w:fill="F8F8F8"/>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Dynamic changes in renal function were conversely related to TG during TDF treatment in patients with</w:t>
      </w:r>
      <w:r>
        <w:rPr>
          <w:rFonts w:ascii="Book Antiqua" w:hAnsi="Book Antiqua" w:eastAsia="Book Antiqua" w:cs="Book Antiqua"/>
          <w:color w:val="000000"/>
          <w:shd w:val="clear" w:color="auto" w:fill="FCFCFC"/>
        </w:rPr>
        <w:t xml:space="preserve"> CHB and normal BMI, but not with </w:t>
      </w:r>
      <w:r>
        <w:rPr>
          <w:rFonts w:ascii="Book Antiqua" w:hAnsi="Book Antiqua" w:eastAsia="Book Antiqua" w:cs="Book Antiqua"/>
          <w:color w:val="000000"/>
        </w:rPr>
        <w:t>overweight</w:t>
      </w:r>
      <w:r>
        <w:rPr>
          <w:rFonts w:ascii="Book Antiqua" w:hAnsi="Book Antiqua" w:eastAsia="Book Antiqua" w:cs="Book Antiqua"/>
          <w:color w:val="000000"/>
          <w:shd w:val="clear" w:color="auto" w:fill="FCFCFC"/>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shd w:val="clear" w:color="auto" w:fill="FFFFFF"/>
        </w:rPr>
        <w:t xml:space="preserve">Tenofovir disoproxil fumarate; </w:t>
      </w:r>
      <w:r>
        <w:rPr>
          <w:rFonts w:ascii="Book Antiqua" w:hAnsi="Book Antiqua" w:eastAsia="Book Antiqua" w:cs="Book Antiqua"/>
          <w:color w:val="000000"/>
        </w:rPr>
        <w:t>Hepatitis B virus; Glomerular filtration rate; Overweight; Body mass index</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Liu SQ, Zhang XJ, Xue Y, Huang R, Wang J, Wu C, He YS, Pan YR, Liu LG. Dynamic changes of estimated glomerular filtration rate are conversely related to triglyceride in non-overweight patients.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10(31): </w:t>
      </w:r>
      <w:r>
        <w:rPr>
          <w:rFonts w:hint="default" w:ascii="Book Antiqua" w:hAnsi="Book Antiqua" w:eastAsia="宋体" w:cs="Book Antiqua"/>
          <w:i w:val="0"/>
          <w:iCs w:val="0"/>
          <w:color w:val="000000"/>
          <w:kern w:val="0"/>
          <w:sz w:val="24"/>
          <w:szCs w:val="24"/>
          <w:u w:val="none"/>
          <w:lang w:val="en-US" w:eastAsia="zh-CN" w:bidi="ar"/>
        </w:rPr>
        <w:t>11371-11380</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https://www.wjgnet.com/2307-8960/full/v10/i31/</w:t>
      </w:r>
      <w:r>
        <w:rPr>
          <w:rFonts w:hint="default" w:ascii="Book Antiqua" w:hAnsi="Book Antiqua" w:eastAsia="宋体" w:cs="Book Antiqua"/>
          <w:i w:val="0"/>
          <w:iCs w:val="0"/>
          <w:color w:val="000000"/>
          <w:kern w:val="0"/>
          <w:sz w:val="24"/>
          <w:szCs w:val="24"/>
          <w:u w:val="none"/>
          <w:lang w:val="en-US" w:eastAsia="zh-CN" w:bidi="ar"/>
        </w:rPr>
        <w:t>11371</w:t>
      </w:r>
      <w:r>
        <w:rPr>
          <w:rFonts w:ascii="Book Antiqua" w:hAnsi="Book Antiqua" w:eastAsia="Book Antiqua" w:cs="Book Antiqua"/>
          <w:color w:val="000000"/>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https://dx.doi.org/10.12998/wjcc.v10.i31.</w:t>
      </w:r>
      <w:r>
        <w:rPr>
          <w:rFonts w:hint="default" w:ascii="Book Antiqua" w:hAnsi="Book Antiqua" w:eastAsia="宋体" w:cs="Book Antiqua"/>
          <w:i w:val="0"/>
          <w:iCs w:val="0"/>
          <w:color w:val="000000"/>
          <w:kern w:val="0"/>
          <w:sz w:val="24"/>
          <w:szCs w:val="24"/>
          <w:u w:val="none"/>
          <w:lang w:val="en-US" w:eastAsia="zh-CN" w:bidi="ar"/>
        </w:rPr>
        <w:t>11371</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Correlation between Triglyceride (TG) and estimated glomerular filtration rate (eGFR) remains largely unknown. Our study indicated that more patients in non-overweight group achieved alanine aminotransferase normalization compared with those in overweight group (</w:t>
      </w:r>
      <w:r>
        <w:rPr>
          <w:rFonts w:ascii="Book Antiqua" w:hAnsi="Book Antiqua" w:eastAsia="Book Antiqua" w:cs="Book Antiqua"/>
          <w:i/>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11.036, </w:t>
      </w:r>
      <w:r>
        <w:rPr>
          <w:rFonts w:ascii="Book Antiqua" w:hAnsi="Book Antiqua" w:eastAsia="Book Antiqua" w:cs="Book Antiqua"/>
          <w:i/>
          <w:color w:val="000000"/>
        </w:rPr>
        <w:t>P</w:t>
      </w:r>
      <w:r>
        <w:rPr>
          <w:rFonts w:ascii="Book Antiqua" w:hAnsi="Book Antiqua" w:eastAsia="Book Antiqua" w:cs="Book Antiqua"/>
          <w:color w:val="000000"/>
        </w:rPr>
        <w:t xml:space="preserve"> &lt; 0.01). In non-overweight patients, TG was negatively correlated with GFR at the four-time points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0.030, 0.007, 0.008, respectively). Dynamic changes in renal function were conversely related to TG during TDF treatment in patients with</w:t>
      </w:r>
      <w:r>
        <w:rPr>
          <w:rFonts w:ascii="Book Antiqua" w:hAnsi="Book Antiqua" w:eastAsia="Book Antiqua" w:cs="Book Antiqua"/>
          <w:color w:val="000000"/>
          <w:shd w:val="clear" w:color="auto" w:fill="FCFCFC"/>
        </w:rPr>
        <w:t xml:space="preserve"> CHB and normal BMI, but not with </w:t>
      </w:r>
      <w:r>
        <w:rPr>
          <w:rFonts w:ascii="Book Antiqua" w:hAnsi="Book Antiqua" w:eastAsia="Book Antiqua" w:cs="Book Antiqua"/>
          <w:color w:val="000000"/>
        </w:rPr>
        <w:t>overweight. Age</w:t>
      </w:r>
      <w:r>
        <w:rPr>
          <w:rFonts w:ascii="Book Antiqua" w:hAnsi="Book Antiqua" w:eastAsia="Book Antiqua" w:cs="Book Antiqua"/>
          <w:color w:val="000000"/>
          <w:shd w:val="clear" w:color="auto" w:fill="FCFCFC"/>
        </w:rPr>
        <w:t xml:space="preserve"> </w:t>
      </w:r>
      <w:r>
        <w:rPr>
          <w:rFonts w:ascii="Book Antiqua" w:hAnsi="Book Antiqua" w:eastAsia="Book Antiqua" w:cs="Book Antiqua"/>
          <w:color w:val="000000"/>
        </w:rPr>
        <w:t>[</w:t>
      </w:r>
      <w:r>
        <w:rPr>
          <w:rFonts w:ascii="Book Antiqua" w:hAnsi="Book Antiqua" w:eastAsia="Book Antiqua" w:cs="Book Antiqua"/>
          <w:i/>
          <w:color w:val="000000"/>
        </w:rPr>
        <w:t>P</w:t>
      </w:r>
      <w:r>
        <w:rPr>
          <w:rFonts w:ascii="Book Antiqua" w:hAnsi="Book Antiqua" w:eastAsia="Book Antiqua" w:cs="Book Antiqua"/>
          <w:color w:val="000000"/>
        </w:rPr>
        <w:t xml:space="preserve"> &lt; 0.01, 95%CI </w:t>
      </w:r>
      <w:r>
        <w:rPr>
          <w:rFonts w:ascii="Book Antiqua" w:hAnsi="Book Antiqua" w:eastAsia="Book Antiqua" w:cs="Book Antiqua"/>
          <w:color w:val="000000"/>
          <w:shd w:val="clear" w:color="auto" w:fill="FCFCFC"/>
        </w:rPr>
        <w:t>(</w:t>
      </w:r>
      <w:r>
        <w:rPr>
          <w:rFonts w:ascii="Book Antiqua" w:hAnsi="Book Antiqua" w:eastAsia="Book Antiqua" w:cs="Book Antiqua"/>
          <w:color w:val="000000"/>
        </w:rPr>
        <w:t>0.97–1.005</w:t>
      </w:r>
      <w:r>
        <w:rPr>
          <w:rFonts w:ascii="Book Antiqua" w:hAnsi="Book Antiqua" w:eastAsia="Book Antiqua" w:cs="Book Antiqua"/>
          <w:color w:val="000000"/>
          <w:shd w:val="clear" w:color="auto" w:fill="FCFCFC"/>
        </w:rPr>
        <w:t>)</w:t>
      </w:r>
      <w:r>
        <w:rPr>
          <w:rFonts w:ascii="Book Antiqua" w:hAnsi="Book Antiqua" w:eastAsia="Book Antiqua" w:cs="Book Antiqua"/>
          <w:color w:val="000000"/>
        </w:rPr>
        <w:t>]</w:t>
      </w:r>
      <w:r>
        <w:rPr>
          <w:rFonts w:ascii="Book Antiqua" w:hAnsi="Book Antiqua" w:eastAsia="Book Antiqua" w:cs="Book Antiqua"/>
          <w:color w:val="000000"/>
          <w:shd w:val="clear" w:color="auto" w:fill="FCFCFC"/>
        </w:rPr>
        <w:t xml:space="preserve"> and baseline eGFR </w:t>
      </w:r>
      <w:r>
        <w:rPr>
          <w:rFonts w:ascii="Book Antiqua" w:hAnsi="Book Antiqua" w:eastAsia="Book Antiqua" w:cs="Book Antiqua"/>
          <w:color w:val="000000"/>
        </w:rPr>
        <w:t>[</w:t>
      </w:r>
      <w:r>
        <w:rPr>
          <w:rFonts w:ascii="Book Antiqua" w:hAnsi="Book Antiqua" w:eastAsia="Book Antiqua" w:cs="Book Antiqua"/>
          <w:i/>
          <w:color w:val="000000"/>
        </w:rPr>
        <w:t>P</w:t>
      </w:r>
      <w:r>
        <w:rPr>
          <w:rFonts w:ascii="Book Antiqua" w:hAnsi="Book Antiqua" w:eastAsia="Book Antiqua" w:cs="Book Antiqua"/>
          <w:color w:val="000000"/>
        </w:rPr>
        <w:t xml:space="preserve"> &lt; 0.01, 95%CI </w:t>
      </w:r>
      <w:r>
        <w:rPr>
          <w:rFonts w:ascii="Book Antiqua" w:hAnsi="Book Antiqua" w:eastAsia="Book Antiqua" w:cs="Book Antiqua"/>
          <w:color w:val="000000"/>
          <w:shd w:val="clear" w:color="auto" w:fill="FCFCFC"/>
        </w:rPr>
        <w:t>(</w:t>
      </w:r>
      <w:r>
        <w:rPr>
          <w:rFonts w:ascii="Book Antiqua" w:hAnsi="Book Antiqua" w:eastAsia="Book Antiqua" w:cs="Book Antiqua"/>
          <w:color w:val="000000"/>
        </w:rPr>
        <w:t>5.056–33.668</w:t>
      </w:r>
      <w:r>
        <w:rPr>
          <w:rFonts w:ascii="Book Antiqua" w:hAnsi="Book Antiqua" w:eastAsia="Book Antiqua" w:cs="Book Antiqua"/>
          <w:color w:val="000000"/>
          <w:shd w:val="clear" w:color="auto" w:fill="FCFCFC"/>
        </w:rPr>
        <w:t>)</w:t>
      </w:r>
      <w:r>
        <w:rPr>
          <w:rFonts w:ascii="Book Antiqua" w:hAnsi="Book Antiqua" w:eastAsia="Book Antiqua" w:cs="Book Antiqua"/>
          <w:color w:val="000000"/>
        </w:rPr>
        <w:t>]</w:t>
      </w:r>
      <w:r>
        <w:rPr>
          <w:rFonts w:ascii="Book Antiqua" w:hAnsi="Book Antiqua" w:eastAsia="Book Antiqua" w:cs="Book Antiqua"/>
          <w:color w:val="000000"/>
          <w:shd w:val="clear" w:color="auto" w:fill="FCFCFC"/>
        </w:rPr>
        <w:t xml:space="preserve"> were independent risk factors for eGFR &lt; 90 mL/(min·1.73 m</w:t>
      </w:r>
      <w:r>
        <w:rPr>
          <w:rFonts w:ascii="Book Antiqua" w:hAnsi="Book Antiqua" w:eastAsia="Book Antiqua" w:cs="Book Antiqua"/>
          <w:color w:val="000000"/>
          <w:shd w:val="clear" w:color="auto" w:fill="FCFCFC"/>
          <w:vertAlign w:val="superscript"/>
        </w:rPr>
        <w:t>2</w:t>
      </w:r>
      <w:r>
        <w:rPr>
          <w:rFonts w:ascii="Book Antiqua" w:hAnsi="Book Antiqua" w:eastAsia="Book Antiqua" w:cs="Book Antiqua"/>
          <w:color w:val="000000"/>
          <w:shd w:val="clear" w:color="auto" w:fill="FCFCFC"/>
        </w:rPr>
        <w:t xml:space="preserve">) </w:t>
      </w:r>
      <w:r>
        <w:rPr>
          <w:rFonts w:ascii="Book Antiqua" w:hAnsi="Book Antiqua" w:eastAsia="Book Antiqua" w:cs="Book Antiqua"/>
          <w:color w:val="000000"/>
          <w:shd w:val="clear" w:color="auto" w:fill="F8F8F8"/>
        </w:rPr>
        <w:t>at the</w:t>
      </w:r>
      <w:r>
        <w:rPr>
          <w:rFonts w:ascii="Book Antiqua" w:hAnsi="Book Antiqua" w:eastAsia="Book Antiqua" w:cs="Book Antiqua"/>
          <w:color w:val="000000"/>
        </w:rPr>
        <w:t xml:space="preserv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CFCFC"/>
        </w:rPr>
        <w:t>year.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Approximately 296 million people worldwide are chronically infected with hepatitis B virus (HBV), while an estimated 820000 patients die on a yearly basis</w:t>
      </w:r>
      <w:r>
        <w:rPr>
          <w:rFonts w:ascii="Book Antiqua" w:hAnsi="Book Antiqua" w:eastAsia="Book Antiqua" w:cs="Book Antiqua"/>
          <w:color w:val="000000"/>
          <w:vertAlign w:val="superscript"/>
        </w:rPr>
        <w:t>[1]</w:t>
      </w:r>
      <w:r>
        <w:rPr>
          <w:rFonts w:ascii="Book Antiqua" w:hAnsi="Book Antiqua" w:eastAsia="Book Antiqua" w:cs="Book Antiqua"/>
          <w:color w:val="000000"/>
        </w:rPr>
        <w:t>. In addition, liver cirrhosis (LC) and hepatocellular carcinoma (HCC) have been identified as the main causes of death. Previous studies have shown that antiviral therapy can slow the progression of LC and reduce the incidence of HCC caused by HBV infection</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pacing w:line="360" w:lineRule="auto"/>
        <w:ind w:firstLine="420"/>
        <w:jc w:val="both"/>
        <w:rPr>
          <w:rFonts w:ascii="Book Antiqua" w:hAnsi="Book Antiqua"/>
        </w:rPr>
      </w:pPr>
      <w:r>
        <w:rPr>
          <w:rFonts w:ascii="Book Antiqua" w:hAnsi="Book Antiqua" w:eastAsia="Book Antiqua" w:cs="Book Antiqua"/>
          <w:color w:val="000000"/>
        </w:rPr>
        <w:t>Tenofovir disoproxil fumarate (TDF) is recommended as one of the first-line antiviral agents. In phase III clinical trial, TDF was showed to be well tolerated during more than 7 years of follow-up</w:t>
      </w:r>
      <w:r>
        <w:rPr>
          <w:rFonts w:ascii="Book Antiqua" w:hAnsi="Book Antiqua" w:eastAsia="Book Antiqua" w:cs="Book Antiqua"/>
          <w:color w:val="000000"/>
          <w:vertAlign w:val="superscript"/>
        </w:rPr>
        <w:t>[3]</w:t>
      </w:r>
      <w:r>
        <w:rPr>
          <w:rFonts w:ascii="Book Antiqua" w:hAnsi="Book Antiqua" w:eastAsia="Book Antiqua" w:cs="Book Antiqua"/>
          <w:color w:val="000000"/>
        </w:rPr>
        <w:t>. In addition, the estimated glomerular filtration rate (eGFR) remained stable in patients with impaired kidney function during 3-year real-world studies conducted in Europe</w:t>
      </w:r>
      <w:r>
        <w:rPr>
          <w:rFonts w:ascii="Book Antiqua" w:hAnsi="Book Antiqua" w:eastAsia="Book Antiqua" w:cs="Book Antiqua"/>
          <w:color w:val="000000"/>
          <w:vertAlign w:val="superscript"/>
        </w:rPr>
        <w:t>[4]</w:t>
      </w:r>
      <w:r>
        <w:rPr>
          <w:rFonts w:ascii="Book Antiqua" w:hAnsi="Book Antiqua" w:eastAsia="Book Antiqua" w:cs="Book Antiqua"/>
          <w:color w:val="000000"/>
        </w:rPr>
        <w:t>. Our previous study also showed that eGFR remained stable irrespective of prior LC or age &gt; 65 years old in a two-year real-world study</w:t>
      </w:r>
      <w:r>
        <w:rPr>
          <w:rFonts w:ascii="Book Antiqua" w:hAnsi="Book Antiqua" w:eastAsia="Book Antiqua" w:cs="Book Antiqua"/>
          <w:color w:val="000000"/>
          <w:vertAlign w:val="superscript"/>
        </w:rPr>
        <w:t>[5]</w:t>
      </w:r>
      <w:r>
        <w:rPr>
          <w:rFonts w:ascii="Book Antiqua" w:hAnsi="Book Antiqua" w:eastAsia="Book Antiqua" w:cs="Book Antiqua"/>
          <w:color w:val="000000"/>
        </w:rPr>
        <w:t>. However, potential nephrotoxicity during long-term treatment of TDF remains a concern in clinical practice. A real-world observational study reported that eGFR significantly declined during 48-mo TDF treatment, and the cumulative incidence of renal function impairment was significantly higher in the TDF group</w:t>
      </w:r>
      <w:r>
        <w:rPr>
          <w:rFonts w:ascii="Book Antiqua" w:hAnsi="Book Antiqua" w:eastAsia="Book Antiqua" w:cs="Book Antiqua"/>
          <w:color w:val="000000"/>
          <w:vertAlign w:val="superscript"/>
        </w:rPr>
        <w:t>[6]</w:t>
      </w:r>
      <w:r>
        <w:rPr>
          <w:rFonts w:ascii="Book Antiqua" w:hAnsi="Book Antiqua" w:eastAsia="Book Antiqua" w:cs="Book Antiqua"/>
          <w:color w:val="000000"/>
        </w:rPr>
        <w:t>. TDF therapy and underlying chronic kidney diseases were identified as independent risk factors for renal dysfunction</w:t>
      </w:r>
      <w:r>
        <w:rPr>
          <w:rFonts w:ascii="Book Antiqua" w:hAnsi="Book Antiqua" w:eastAsia="Book Antiqua" w:cs="Book Antiqua"/>
          <w:color w:val="000000"/>
          <w:vertAlign w:val="superscript"/>
        </w:rPr>
        <w:t>[6]</w:t>
      </w:r>
      <w:r>
        <w:rPr>
          <w:rFonts w:ascii="Book Antiqua" w:hAnsi="Book Antiqua" w:eastAsia="Book Antiqua" w:cs="Book Antiqua"/>
          <w:color w:val="000000"/>
        </w:rPr>
        <w:t>. Another study with a 10-year follow-up showed that the cumulative incidence of renal impairment was higher during TDF treatment as compared with entecavir</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 xml:space="preserve">Overweight is a global pandemic associated with </w:t>
      </w:r>
      <w:r>
        <w:rPr>
          <w:rFonts w:ascii="Book Antiqua" w:hAnsi="Book Antiqua" w:eastAsia="Book Antiqua" w:cs="Book Antiqua"/>
          <w:color w:val="000000"/>
          <w:shd w:val="clear" w:color="auto" w:fill="FFFFFF"/>
        </w:rPr>
        <w:t>dyslipidemia</w:t>
      </w:r>
      <w:r>
        <w:rPr>
          <w:rFonts w:ascii="Book Antiqua" w:hAnsi="Book Antiqua" w:eastAsia="Book Antiqua" w:cs="Book Antiqua"/>
          <w:color w:val="000000"/>
        </w:rPr>
        <w:t>. The accumulation of triglycerides leads to the development of hepatic steatosis (HS),</w:t>
      </w:r>
      <w:r>
        <w:rPr>
          <w:rFonts w:ascii="Book Antiqua" w:hAnsi="Book Antiqua" w:eastAsia="Book Antiqua" w:cs="Book Antiqua"/>
          <w:color w:val="000000"/>
          <w:shd w:val="clear" w:color="auto" w:fill="FFFFFF"/>
        </w:rPr>
        <w:t xml:space="preserve"> resulting in a high incidence of </w:t>
      </w:r>
      <w:r>
        <w:rPr>
          <w:rFonts w:ascii="Book Antiqua" w:hAnsi="Book Antiqua" w:eastAsia="Book Antiqua" w:cs="Book Antiqua"/>
          <w:color w:val="000000"/>
        </w:rPr>
        <w:t>non-alcoholic fatty liver</w:t>
      </w:r>
      <w:r>
        <w:rPr>
          <w:rFonts w:ascii="Book Antiqua" w:hAnsi="Book Antiqua" w:eastAsia="Book Antiqua" w:cs="Book Antiqua"/>
          <w:color w:val="000000"/>
          <w:vertAlign w:val="superscript"/>
        </w:rPr>
        <w:t>[8]</w:t>
      </w:r>
      <w:r>
        <w:rPr>
          <w:rFonts w:ascii="Book Antiqua" w:hAnsi="Book Antiqua" w:eastAsia="Book Antiqua" w:cs="Book Antiqua"/>
          <w:color w:val="000000"/>
          <w:shd w:val="clear" w:color="auto" w:fill="FFFFFF"/>
        </w:rPr>
        <w:t>. Individuals may concomitantly suffer from two liver diseases, which in turn may have a synergistic effect on the risk of HCC, cirrhosis, and death</w:t>
      </w:r>
      <w:r>
        <w:rPr>
          <w:rFonts w:ascii="Book Antiqua" w:hAnsi="Book Antiqua" w:eastAsia="Book Antiqua" w:cs="Book Antiqua"/>
          <w:color w:val="000000"/>
          <w:vertAlign w:val="superscript"/>
        </w:rPr>
        <w:t>[9]</w:t>
      </w:r>
      <w:r>
        <w:rPr>
          <w:rFonts w:ascii="Book Antiqua" w:hAnsi="Book Antiqua" w:eastAsia="Book Antiqua" w:cs="Book Antiqua"/>
          <w:color w:val="000000"/>
          <w:shd w:val="clear" w:color="auto" w:fill="FFFFFF"/>
        </w:rPr>
        <w:t>.</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shd w:val="clear" w:color="auto" w:fill="FFFFFF"/>
        </w:rPr>
        <w:t xml:space="preserve">Compared with </w:t>
      </w:r>
      <w:r>
        <w:rPr>
          <w:rFonts w:ascii="Book Antiqua" w:hAnsi="Book Antiqua" w:eastAsia="Book Antiqua" w:cs="Book Antiqua"/>
          <w:color w:val="000000"/>
        </w:rPr>
        <w:t>non-overweight</w:t>
      </w:r>
      <w:r>
        <w:rPr>
          <w:rFonts w:ascii="Book Antiqua" w:hAnsi="Book Antiqua" w:eastAsia="Book Antiqua" w:cs="Book Antiqua"/>
          <w:color w:val="000000"/>
          <w:shd w:val="clear" w:color="auto" w:fill="FFFFFF"/>
        </w:rPr>
        <w:t xml:space="preserve"> patients, those suffering from </w:t>
      </w:r>
      <w:r>
        <w:rPr>
          <w:rFonts w:ascii="Book Antiqua" w:hAnsi="Book Antiqua" w:eastAsia="Book Antiqua" w:cs="Book Antiqua"/>
          <w:color w:val="000000"/>
        </w:rPr>
        <w:t>overweight</w:t>
      </w:r>
      <w:r>
        <w:rPr>
          <w:rFonts w:ascii="Book Antiqua" w:hAnsi="Book Antiqua" w:eastAsia="Book Antiqua" w:cs="Book Antiqua"/>
          <w:color w:val="000000"/>
          <w:shd w:val="clear" w:color="auto" w:fill="FFFFFF"/>
        </w:rPr>
        <w:t xml:space="preserve"> and dyslipidemia had significantly lower average eGFR</w:t>
      </w:r>
      <w:r>
        <w:rPr>
          <w:rFonts w:ascii="Book Antiqua" w:hAnsi="Book Antiqua" w:eastAsia="Book Antiqua" w:cs="Book Antiqua"/>
          <w:color w:val="000000"/>
          <w:vertAlign w:val="superscript"/>
        </w:rPr>
        <w:t>[10]</w:t>
      </w:r>
      <w:r>
        <w:rPr>
          <w:rFonts w:ascii="Book Antiqua" w:hAnsi="Book Antiqua" w:eastAsia="Book Antiqua" w:cs="Book Antiqua"/>
          <w:color w:val="000000"/>
          <w:shd w:val="clear" w:color="auto" w:fill="FFFFFF"/>
        </w:rPr>
        <w:t>.</w:t>
      </w:r>
    </w:p>
    <w:p>
      <w:pPr>
        <w:spacing w:line="360" w:lineRule="auto"/>
        <w:ind w:firstLine="420"/>
        <w:jc w:val="both"/>
        <w:rPr>
          <w:rFonts w:ascii="Book Antiqua" w:hAnsi="Book Antiqua"/>
        </w:rPr>
      </w:pPr>
      <w:r>
        <w:rPr>
          <w:rFonts w:ascii="Book Antiqua" w:hAnsi="Book Antiqua" w:eastAsia="Book Antiqua" w:cs="Book Antiqua"/>
          <w:color w:val="000000"/>
        </w:rPr>
        <w:t>In addition, lipid profiles were regulated by TDF in patients with human immunodeficiency virus (HIV) or hepatitis B virus (HBV) infection. Triglyceride (TG), total cholesterol, and high-density lipoprotein cholesterol (HDL-C) significantly increased after switching from TDF to TAF, thus significantly worsening the lipid profile</w:t>
      </w:r>
      <w:r>
        <w:rPr>
          <w:rFonts w:ascii="Book Antiqua" w:hAnsi="Book Antiqua" w:eastAsia="Book Antiqua" w:cs="Book Antiqua"/>
          <w:color w:val="000000"/>
          <w:vertAlign w:val="superscript"/>
        </w:rPr>
        <w:t>[11-14]</w:t>
      </w:r>
      <w:r>
        <w:rPr>
          <w:rFonts w:ascii="Book Antiqua" w:hAnsi="Book Antiqua" w:eastAsia="Book Antiqua" w:cs="Book Antiqua"/>
          <w:color w:val="000000"/>
        </w:rPr>
        <w:t>. For patients with CHB, TDF but not entecavir significantly decreases serum lipoprotein, including HDL-C, low-density lipoprotein cholesterol (LDL-C), and total cholesterol (CHOL)</w:t>
      </w:r>
      <w:r>
        <w:rPr>
          <w:rFonts w:ascii="Book Antiqua" w:hAnsi="Book Antiqua" w:eastAsia="Book Antiqua" w:cs="Book Antiqua"/>
          <w:color w:val="000000"/>
          <w:vertAlign w:val="superscript"/>
        </w:rPr>
        <w:t>[15]</w:t>
      </w:r>
      <w:r>
        <w:rPr>
          <w:rFonts w:ascii="Book Antiqua" w:hAnsi="Book Antiqua" w:eastAsia="Book Antiqua" w:cs="Book Antiqua"/>
          <w:color w:val="000000"/>
        </w:rPr>
        <w:t>. However, the effects of TDF on eGFR and lipid profiles in patients CHB and obese remain largely unknown.</w:t>
      </w:r>
    </w:p>
    <w:p>
      <w:pPr>
        <w:spacing w:line="360" w:lineRule="auto"/>
        <w:ind w:firstLine="480"/>
        <w:jc w:val="both"/>
        <w:rPr>
          <w:rFonts w:ascii="Book Antiqua" w:hAnsi="Book Antiqua"/>
        </w:rPr>
      </w:pPr>
      <w:r>
        <w:rPr>
          <w:rFonts w:ascii="Book Antiqua" w:hAnsi="Book Antiqua" w:eastAsia="Book Antiqua" w:cs="Book Antiqua"/>
          <w:color w:val="000000"/>
        </w:rPr>
        <w:t>Herein, we investigated the dynamic changes of eGFR and lipid profiles during 3-year TDF treatment and their correlations in patients with CHB and overweight.</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A total of 355 HBV-infected patients who received TDF treatment at the Third People's Hospital of Changzhou (Changzhou, China) and Nanjing Drum Tower Hospital (Nanjing, China) </w:t>
      </w:r>
      <w:r>
        <w:rPr>
          <w:rFonts w:ascii="Book Antiqua" w:hAnsi="Book Antiqua" w:eastAsia="Book Antiqua" w:cs="Book Antiqua"/>
          <w:color w:val="000000"/>
        </w:rPr>
        <w:t xml:space="preserve">between January 2016 and May 2018 </w:t>
      </w:r>
      <w:r>
        <w:rPr>
          <w:rFonts w:ascii="Book Antiqua" w:hAnsi="Book Antiqua" w:eastAsia="Book Antiqua" w:cs="Book Antiqua"/>
          <w:color w:val="000000"/>
          <w:shd w:val="clear" w:color="auto" w:fill="FFFFFF"/>
        </w:rPr>
        <w:t>were retrospectively enrolled. CHB and LC were diagnosed according to the Chinese guidelines for the prevention and treatment of CHB (2019 version)</w:t>
      </w:r>
      <w:r>
        <w:rPr>
          <w:rFonts w:ascii="Book Antiqua" w:hAnsi="Book Antiqua" w:eastAsia="Book Antiqua" w:cs="Book Antiqua"/>
          <w:color w:val="000000"/>
          <w:vertAlign w:val="superscript"/>
        </w:rPr>
        <w:t>[16]</w:t>
      </w:r>
      <w:r>
        <w:rPr>
          <w:rFonts w:ascii="Book Antiqua" w:hAnsi="Book Antiqua" w:eastAsia="Book Antiqua" w:cs="Book Antiqua"/>
          <w:color w:val="000000"/>
          <w:shd w:val="clear" w:color="auto" w:fill="FFFFFF"/>
        </w:rPr>
        <w:t xml:space="preserve">. Patients with immunodeficiency diseases, autoimmune diseases, </w:t>
      </w:r>
      <w:r>
        <w:rPr>
          <w:rFonts w:ascii="Book Antiqua" w:hAnsi="Book Antiqua" w:eastAsia="Book Antiqua" w:cs="Book Antiqua"/>
          <w:color w:val="000000"/>
          <w:shd w:val="clear" w:color="auto" w:fill="FCFCFE"/>
        </w:rPr>
        <w:t xml:space="preserve">alcohol abuse, and </w:t>
      </w:r>
      <w:r>
        <w:rPr>
          <w:rFonts w:ascii="Book Antiqua" w:hAnsi="Book Antiqua" w:eastAsia="Book Antiqua" w:cs="Book Antiqua"/>
          <w:color w:val="000000"/>
          <w:shd w:val="clear" w:color="auto" w:fill="FFFFFF"/>
        </w:rPr>
        <w:t xml:space="preserve">co-infection with other hepatitis viruses, were excluded. After 3-year follow-up, 153 patients with poor compliance, TDF discontinuation, or missing data were additionally </w:t>
      </w:r>
      <w:r>
        <w:rPr>
          <w:rFonts w:ascii="Book Antiqua" w:hAnsi="Book Antiqua" w:eastAsia="Book Antiqua" w:cs="Book Antiqua"/>
          <w:color w:val="000000"/>
        </w:rPr>
        <w:t xml:space="preserve">excluded </w:t>
      </w:r>
      <w:r>
        <w:rPr>
          <w:rFonts w:ascii="Book Antiqua" w:hAnsi="Book Antiqua" w:eastAsia="Book Antiqua" w:cs="Book Antiqua"/>
          <w:color w:val="000000"/>
          <w:shd w:val="clear" w:color="auto" w:fill="FFFFFF"/>
        </w:rPr>
        <w:t>(</w:t>
      </w:r>
      <w:r>
        <w:rPr>
          <w:rFonts w:ascii="Book Antiqua" w:hAnsi="Book Antiqua" w:eastAsia="Book Antiqua" w:cs="Book Antiqua"/>
          <w:bCs/>
          <w:color w:val="000000"/>
          <w:shd w:val="clear" w:color="auto" w:fill="F8F8F8"/>
        </w:rPr>
        <w:t>Figure 1</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 xml:space="preserve">Demographic and clinical data including alanine aminotransferase (ALT), aspartate aminotransferase (AST), total bilirubin (TBIL), CHOL, TG, creatinine (Cr), calcium (Ca), phosphorus (P), and HBeAg were collected., </w:t>
      </w:r>
      <w:r>
        <w:rPr>
          <w:rFonts w:ascii="Book Antiqua" w:hAnsi="Book Antiqua" w:eastAsia="Book Antiqua" w:cs="Book Antiqua"/>
          <w:color w:val="000000"/>
        </w:rPr>
        <w:t>complete response rates for HBV DNA suppression and ALT normalization were calculated</w:t>
      </w:r>
      <w:r>
        <w:rPr>
          <w:rFonts w:ascii="Book Antiqua" w:hAnsi="Book Antiqua" w:eastAsia="Book Antiqua" w:cs="Book Antiqua"/>
          <w:color w:val="000000"/>
          <w:shd w:val="clear" w:color="auto" w:fill="FFFFFF"/>
        </w:rPr>
        <w:t xml:space="preserve">. According to the International Obesity Task Force, Asians with body mass index (BMI) ≥ 25 kg/m² were diagnosed with </w:t>
      </w:r>
      <w:r>
        <w:rPr>
          <w:rFonts w:ascii="Book Antiqua" w:hAnsi="Book Antiqua" w:eastAsia="Book Antiqua" w:cs="Book Antiqua"/>
          <w:color w:val="000000"/>
        </w:rPr>
        <w:t>overweight</w:t>
      </w:r>
      <w:r>
        <w:rPr>
          <w:rFonts w:ascii="Book Antiqua" w:hAnsi="Book Antiqua" w:eastAsia="Book Antiqua" w:cs="Book Antiqua"/>
          <w:color w:val="000000"/>
          <w:vertAlign w:val="superscript"/>
        </w:rPr>
        <w:t>[17]</w:t>
      </w:r>
      <w:r>
        <w:rPr>
          <w:rFonts w:ascii="Book Antiqua" w:hAnsi="Book Antiqua" w:eastAsia="Book Antiqua" w:cs="Book Antiqua"/>
          <w:color w:val="000000"/>
          <w:shd w:val="clear" w:color="auto" w:fill="FFFFFF"/>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study was approved by the Ethics Committee of the Third People’s Hospital of Changzhou according to the Declaration of Helsinki 1975. The retrospective study was non-interventional, anonymous and harmless to the patients, the written informed consents were exempt according to the ethic approval. </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eGFR calculation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eGFR was calculated based on the chronic kidney disease Epidemiology Collaboration equation (CKD-EPI</w:t>
      </w:r>
      <w:r>
        <w:rPr>
          <w:rFonts w:ascii="Book Antiqua" w:hAnsi="Book Antiqua" w:eastAsia="Book Antiqua" w:cs="Book Antiqua"/>
          <w:color w:val="000000"/>
          <w:shd w:val="clear" w:color="auto" w:fill="FFFFFF"/>
          <w:vertAlign w:val="subscript"/>
        </w:rPr>
        <w:t>cr</w:t>
      </w:r>
      <w:r>
        <w:rPr>
          <w:rFonts w:ascii="Book Antiqua" w:hAnsi="Book Antiqua" w:eastAsia="Book Antiqua" w:cs="Book Antiqua"/>
          <w:color w:val="000000"/>
          <w:shd w:val="clear" w:color="auto" w:fill="FFFFFF"/>
        </w:rPr>
        <w:t xml:space="preserve">). Decreased eGFR was defined as </w:t>
      </w:r>
      <w:r>
        <w:rPr>
          <w:rFonts w:ascii="Book Antiqua" w:hAnsi="Book Antiqua" w:eastAsia="Book Antiqua" w:cs="Book Antiqua"/>
          <w:color w:val="000000"/>
        </w:rPr>
        <w:t>eGFR &lt;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All data were analyzed using SPSS26.0 (Chicago, IL, United States). For continuous variables, data were expressed as median (interquartile range, IQR) and compared using the Mann-Whitney U test. Categorical variables are expressed as frequencies and compared using the Chi-square test. Spearman correlation was used to analyze the </w:t>
      </w:r>
      <w:bookmarkStart w:id="0" w:name="_Hlk114597468"/>
      <w:r>
        <w:rPr>
          <w:rFonts w:ascii="Book Antiqua" w:hAnsi="Book Antiqua" w:eastAsia="Book Antiqua" w:cs="Book Antiqua"/>
          <w:color w:val="000000"/>
        </w:rPr>
        <w:t>correlation between eGFR and</w:t>
      </w:r>
      <w:bookmarkEnd w:id="0"/>
      <w:r>
        <w:rPr>
          <w:rFonts w:ascii="Book Antiqua" w:hAnsi="Book Antiqua" w:eastAsia="Book Antiqua" w:cs="Book Antiqua"/>
          <w:color w:val="000000"/>
        </w:rPr>
        <w:t xml:space="preserve"> lipid profiles. Multivariate logistic regression was used to analyze the risk factors for</w:t>
      </w:r>
      <w:r>
        <w:rPr>
          <w:rFonts w:ascii="Book Antiqua" w:hAnsi="Book Antiqua" w:eastAsia="Book Antiqua" w:cs="Book Antiqua"/>
          <w:color w:val="000000"/>
          <w:shd w:val="clear" w:color="auto" w:fill="FFFFFF"/>
        </w:rPr>
        <w:t xml:space="preserve"> decreased eGFR</w:t>
      </w:r>
      <w:r>
        <w:rPr>
          <w:rFonts w:ascii="Book Antiqua" w:hAnsi="Book Antiqua" w:eastAsia="Book Antiqua" w:cs="Book Antiqua"/>
          <w:color w:val="000000"/>
        </w:rPr>
        <w:t xml:space="preserve"> at the end of a 3-year follow-up. A two-sided </w:t>
      </w:r>
      <w:r>
        <w:rPr>
          <w:rFonts w:ascii="Book Antiqua" w:hAnsi="Book Antiqua" w:eastAsia="Book Antiqua" w:cs="Book Antiqua"/>
          <w:i/>
          <w:color w:val="000000"/>
        </w:rPr>
        <w:t>P</w:t>
      </w:r>
      <w:r>
        <w:rPr>
          <w:rFonts w:ascii="Book Antiqua" w:hAnsi="Book Antiqua" w:eastAsia="Book Antiqua" w:cs="Book Antiqua"/>
          <w:color w:val="000000"/>
        </w:rPr>
        <w:t xml:space="preserve"> &lt; 0.05 indicated statistical significance.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Baseline characteristics of patients</w:t>
      </w:r>
    </w:p>
    <w:p>
      <w:pPr>
        <w:spacing w:line="360" w:lineRule="auto"/>
        <w:jc w:val="both"/>
        <w:rPr>
          <w:rFonts w:ascii="Book Antiqua" w:hAnsi="Book Antiqua"/>
        </w:rPr>
      </w:pPr>
      <w:r>
        <w:rPr>
          <w:rFonts w:ascii="Book Antiqua" w:hAnsi="Book Antiqua" w:eastAsia="Book Antiqua" w:cs="Book Antiqua"/>
          <w:color w:val="000000"/>
        </w:rPr>
        <w:t>Among the 202 CHB patients, 44 patients (21.8%) were overweight (BMI ≥ 25 kg/m</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8F8F8"/>
        </w:rPr>
        <w:t xml:space="preserve"> </w:t>
      </w:r>
      <w:r>
        <w:rPr>
          <w:rFonts w:ascii="Book Antiqua" w:hAnsi="Book Antiqua" w:eastAsia="Book Antiqua" w:cs="Book Antiqua"/>
          <w:color w:val="000000"/>
        </w:rPr>
        <w:t xml:space="preserve">As shown in </w:t>
      </w:r>
      <w:r>
        <w:rPr>
          <w:rFonts w:ascii="Book Antiqua" w:hAnsi="Book Antiqua" w:eastAsia="Book Antiqua" w:cs="Book Antiqua"/>
          <w:bCs/>
          <w:color w:val="000000"/>
        </w:rPr>
        <w:t>Table 1</w:t>
      </w:r>
      <w:r>
        <w:rPr>
          <w:rFonts w:ascii="Book Antiqua" w:hAnsi="Book Antiqua" w:eastAsia="Book Antiqua" w:cs="Book Antiqua"/>
          <w:color w:val="000000"/>
        </w:rPr>
        <w:t xml:space="preserve">, there were more male patients in the overweight group (88.6% </w:t>
      </w:r>
      <w:r>
        <w:rPr>
          <w:rFonts w:ascii="Book Antiqua" w:hAnsi="Book Antiqua" w:eastAsia="Book Antiqua" w:cs="Book Antiqua"/>
          <w:i/>
          <w:color w:val="000000"/>
        </w:rPr>
        <w:t>vs</w:t>
      </w:r>
      <w:r>
        <w:rPr>
          <w:rFonts w:ascii="Book Antiqua" w:hAnsi="Book Antiqua" w:eastAsia="Book Antiqua" w:cs="Book Antiqua"/>
          <w:color w:val="000000"/>
        </w:rPr>
        <w:t xml:space="preserve"> 70.3%, </w:t>
      </w:r>
      <w:r>
        <w:rPr>
          <w:rFonts w:ascii="Book Antiqua" w:hAnsi="Book Antiqua" w:eastAsia="Book Antiqua" w:cs="Book Antiqua"/>
          <w:i/>
          <w:iCs/>
          <w:color w:val="000000"/>
        </w:rPr>
        <w:t>P</w:t>
      </w:r>
      <w:r>
        <w:rPr>
          <w:rFonts w:ascii="Book Antiqua" w:hAnsi="Book Antiqua" w:eastAsia="Book Antiqua" w:cs="Book Antiqua"/>
          <w:color w:val="000000"/>
        </w:rPr>
        <w:t xml:space="preserve"> = 0.01). TG and CHOL levels were comparable between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0.13 and 0.98, respectively). There was no significant difference in ALT, AST, TBIL, eGFR between the two groups (all </w:t>
      </w:r>
      <w:r>
        <w:rPr>
          <w:rFonts w:ascii="Book Antiqua" w:hAnsi="Book Antiqua" w:eastAsia="Book Antiqua" w:cs="Book Antiqua"/>
          <w:i/>
          <w:color w:val="000000"/>
        </w:rPr>
        <w:t>P</w:t>
      </w:r>
      <w:r>
        <w:rPr>
          <w:rFonts w:ascii="Book Antiqua" w:hAnsi="Book Antiqua" w:eastAsia="Book Antiqua" w:cs="Book Antiqua"/>
          <w:color w:val="000000"/>
        </w:rPr>
        <w:t xml:space="preserve"> &gt; 0.05). </w:t>
      </w:r>
    </w:p>
    <w:p>
      <w:pPr>
        <w:spacing w:line="360" w:lineRule="auto"/>
        <w:ind w:firstLine="240"/>
        <w:jc w:val="both"/>
        <w:rPr>
          <w:rFonts w:ascii="Book Antiqua" w:hAnsi="Book Antiqua"/>
        </w:rPr>
      </w:pPr>
      <w:r>
        <w:rPr>
          <w:rFonts w:ascii="Book Antiqua" w:hAnsi="Book Antiqua" w:eastAsia="Book Antiqua" w:cs="Book Antiqua"/>
          <w:color w:val="000000"/>
        </w:rPr>
        <w:t>In non-overweight group, the median HBV viral load at baseline was 5.06 Log</w:t>
      </w:r>
      <w:r>
        <w:rPr>
          <w:rFonts w:ascii="Book Antiqua" w:hAnsi="Book Antiqua" w:eastAsia="Book Antiqua" w:cs="Book Antiqua"/>
          <w:color w:val="000000"/>
          <w:vertAlign w:val="subscript"/>
        </w:rPr>
        <w:t>10</w:t>
      </w:r>
      <w:r>
        <w:rPr>
          <w:rFonts w:ascii="Book Antiqua" w:hAnsi="Book Antiqua" w:eastAsia="Book Antiqua" w:cs="Book Antiqua"/>
          <w:color w:val="000000"/>
        </w:rPr>
        <w:t xml:space="preserve">IU/mL, 152 (96.2%) patients had undectable HBV DNA at week 144, and 138 (87.3%) patients achieved ALT normalization. For patients with overweight, 41 (93.2%) patients had undectable HBV DNA at week 144, and 29 (65.9%) patients achieved ALT normalization. At week 144, among the 112 patients with positive HBeAg in non-overweight group, 50 (44.6%) and 6 (5.4%) experienced HBeAg loss and seroconversion. In overweight patients, 33 (75%) were HBeAg-positive at baseline, 14 (42.4%) and 2 (6.1%) experienced HBeAg loss and seroconversion. No patient had HBsAg loss in either non-overweight or overweight patients during 144-wk follow-up. There is no significant difference in HBV DNA negativity and HBeAg loss between patients with overweight and non-overweight (both </w:t>
      </w:r>
      <w:r>
        <w:rPr>
          <w:rFonts w:ascii="Book Antiqua" w:hAnsi="Book Antiqua" w:eastAsia="Book Antiqua" w:cs="Book Antiqua"/>
          <w:i/>
          <w:color w:val="000000"/>
        </w:rPr>
        <w:t>P</w:t>
      </w:r>
      <w:r>
        <w:rPr>
          <w:rFonts w:ascii="Book Antiqua" w:hAnsi="Book Antiqua" w:eastAsia="Book Antiqua" w:cs="Book Antiqua"/>
          <w:color w:val="000000"/>
        </w:rPr>
        <w:t xml:space="preserve"> &gt; 0.05). More patients in non-overweight group achieved ALT normalization compared with those in overweight group (</w:t>
      </w:r>
      <w:r>
        <w:rPr>
          <w:rFonts w:ascii="Book Antiqua" w:hAnsi="Book Antiqua" w:eastAsia="Book Antiqua" w:cs="Book Antiqua"/>
          <w:i/>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11.036, </w:t>
      </w:r>
      <w:r>
        <w:rPr>
          <w:rFonts w:ascii="Book Antiqua" w:hAnsi="Book Antiqua" w:eastAsia="Book Antiqua" w:cs="Book Antiqua"/>
          <w:i/>
          <w:color w:val="000000"/>
        </w:rPr>
        <w:t>P</w:t>
      </w:r>
      <w:r>
        <w:rPr>
          <w:rFonts w:ascii="Book Antiqua" w:hAnsi="Book Antiqua" w:eastAsia="Book Antiqua" w:cs="Book Antiqua"/>
          <w:color w:val="000000"/>
        </w:rPr>
        <w:t xml:space="preserve"> &lt; 0.01).</w:t>
      </w:r>
    </w:p>
    <w:p>
      <w:pPr>
        <w:spacing w:line="360" w:lineRule="auto"/>
        <w:ind w:firstLine="240"/>
        <w:jc w:val="both"/>
        <w:rPr>
          <w:rFonts w:ascii="Book Antiqua" w:hAnsi="Book Antiqua"/>
        </w:rPr>
      </w:pPr>
      <w:r>
        <w:rPr>
          <w:rFonts w:ascii="Book Antiqua" w:hAnsi="Book Antiqua" w:eastAsia="Book Antiqua" w:cs="Book Antiqua"/>
          <w:color w:val="000000"/>
        </w:rPr>
        <w:t xml:space="preserve">As shown in </w:t>
      </w:r>
      <w:r>
        <w:rPr>
          <w:rFonts w:ascii="Book Antiqua" w:hAnsi="Book Antiqua" w:eastAsia="Book Antiqua" w:cs="Book Antiqua"/>
          <w:bCs/>
          <w:color w:val="000000"/>
        </w:rPr>
        <w:t>Figure 2</w:t>
      </w:r>
      <w:r>
        <w:rPr>
          <w:rFonts w:ascii="Book Antiqua" w:hAnsi="Book Antiqua" w:eastAsia="Book Antiqua" w:cs="Book Antiqua"/>
          <w:color w:val="000000"/>
        </w:rPr>
        <w:t>, in non-overweight patients, eGFR significantly declined in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year and remained as such until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Among the 136 patients who had eGFR ≥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at baseline, 20 (14.7%) had decreased eGFR at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While in overweight patients, eGFR remained relatively stable during the 3-year treatment. Among the 34 patients who had eGFR ≥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at baseline, two (5.9%) patients had decreased eGFR at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and the difference was not significant from patients in non-obese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0.25). </w:t>
      </w:r>
    </w:p>
    <w:p>
      <w:pPr>
        <w:spacing w:line="360" w:lineRule="auto"/>
        <w:ind w:firstLine="240"/>
        <w:jc w:val="both"/>
        <w:rPr>
          <w:rFonts w:ascii="Book Antiqua" w:hAnsi="Book Antiqua"/>
        </w:rPr>
      </w:pPr>
      <w:r>
        <w:rPr>
          <w:rFonts w:ascii="Book Antiqua" w:hAnsi="Book Antiqua" w:eastAsia="Book Antiqua" w:cs="Book Antiqua"/>
          <w:color w:val="000000"/>
        </w:rPr>
        <w:t>In non-overweight patients, CHOL significantly decreased in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year (</w:t>
      </w:r>
      <w:r>
        <w:rPr>
          <w:rFonts w:ascii="Book Antiqua" w:hAnsi="Book Antiqua" w:eastAsia="Book Antiqua" w:cs="Book Antiqua"/>
          <w:i/>
          <w:color w:val="000000"/>
        </w:rPr>
        <w:t>P</w:t>
      </w:r>
      <w:r>
        <w:rPr>
          <w:rFonts w:ascii="Book Antiqua" w:hAnsi="Book Antiqua" w:eastAsia="Book Antiqua" w:cs="Book Antiqua"/>
          <w:color w:val="000000"/>
        </w:rPr>
        <w:t xml:space="preserve"> &lt; 0.05), after which it slowly increased. Unexpectedly, CHOL returned to the baseline level in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In overweight patients, CHOL significantly decreased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year (</w:t>
      </w:r>
      <w:r>
        <w:rPr>
          <w:rFonts w:ascii="Book Antiqua" w:hAnsi="Book Antiqua" w:eastAsia="Book Antiqua" w:cs="Book Antiqua"/>
          <w:i/>
          <w:color w:val="000000"/>
        </w:rPr>
        <w:t>P</w:t>
      </w:r>
      <w:r>
        <w:rPr>
          <w:rFonts w:ascii="Book Antiqua" w:hAnsi="Book Antiqua" w:eastAsia="Book Antiqua" w:cs="Book Antiqua"/>
          <w:color w:val="000000"/>
        </w:rPr>
        <w:t xml:space="preserve"> &lt; 0.05) and then returned to the baseline level at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w:t>
      </w:r>
    </w:p>
    <w:p>
      <w:pPr>
        <w:spacing w:line="360" w:lineRule="auto"/>
        <w:ind w:firstLine="240"/>
        <w:jc w:val="both"/>
        <w:rPr>
          <w:rFonts w:ascii="Book Antiqua" w:hAnsi="Book Antiqua"/>
        </w:rPr>
      </w:pPr>
      <w:r>
        <w:rPr>
          <w:rFonts w:ascii="Book Antiqua" w:hAnsi="Book Antiqua" w:eastAsia="Book Antiqua" w:cs="Book Antiqua"/>
          <w:color w:val="000000"/>
        </w:rPr>
        <w:t>In non-overweight patients, TG significantly declined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year (</w:t>
      </w:r>
      <w:r>
        <w:rPr>
          <w:rFonts w:ascii="Book Antiqua" w:hAnsi="Book Antiqua" w:eastAsia="Book Antiqua" w:cs="Book Antiqua"/>
          <w:i/>
          <w:color w:val="000000"/>
        </w:rPr>
        <w:t>P</w:t>
      </w:r>
      <w:r>
        <w:rPr>
          <w:rFonts w:ascii="Book Antiqua" w:hAnsi="Book Antiqua" w:eastAsia="Book Antiqua" w:cs="Book Antiqua"/>
          <w:color w:val="000000"/>
        </w:rPr>
        <w:t xml:space="preserve"> &lt; 0.05) and increased at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while in overweight patients, TG remained relatively stable during the 3-year follow-up.</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Correlation between eGFR and lipid profiles in patients with and without overweight</w:t>
      </w:r>
    </w:p>
    <w:p>
      <w:pPr>
        <w:spacing w:line="360" w:lineRule="auto"/>
        <w:jc w:val="both"/>
        <w:rPr>
          <w:rFonts w:ascii="Book Antiqua" w:hAnsi="Book Antiqua"/>
        </w:rPr>
      </w:pPr>
      <w:r>
        <w:rPr>
          <w:rFonts w:ascii="Book Antiqua" w:hAnsi="Book Antiqua" w:eastAsia="Book Antiqua" w:cs="Book Antiqua"/>
          <w:color w:val="000000"/>
        </w:rPr>
        <w:t>In all the patients, baseline eGFR was positively correlated with eGFR at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2</w:t>
      </w:r>
      <w:r>
        <w:rPr>
          <w:rFonts w:ascii="Book Antiqua" w:hAnsi="Book Antiqua" w:eastAsia="Book Antiqua" w:cs="Book Antiqua"/>
          <w:color w:val="000000"/>
          <w:vertAlign w:val="superscript"/>
        </w:rPr>
        <w:t>nd</w:t>
      </w:r>
      <w:r>
        <w:rPr>
          <w:rFonts w:ascii="Book Antiqua" w:hAnsi="Book Antiqua" w:eastAsia="Book Antiqua" w:cs="Book Antiqua"/>
          <w:color w:val="000000"/>
        </w:rPr>
        <w:t>, and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There were also positive relationships between TG at the four-time points. Similar relationships were found in CHOL.</w:t>
      </w:r>
    </w:p>
    <w:p>
      <w:pPr>
        <w:spacing w:line="360" w:lineRule="auto"/>
        <w:ind w:firstLine="240"/>
        <w:jc w:val="both"/>
        <w:rPr>
          <w:rFonts w:ascii="Book Antiqua" w:hAnsi="Book Antiqua"/>
        </w:rPr>
      </w:pPr>
      <w:r>
        <w:rPr>
          <w:rFonts w:ascii="Book Antiqua" w:hAnsi="Book Antiqua" w:eastAsia="Book Antiqua" w:cs="Book Antiqua"/>
          <w:color w:val="000000"/>
        </w:rPr>
        <w:t xml:space="preserve">In non-overweight patients, eGFR was negatively correlated with TG at each time point (all </w:t>
      </w:r>
      <w:r>
        <w:rPr>
          <w:rFonts w:ascii="Book Antiqua" w:hAnsi="Book Antiqua" w:eastAsia="Book Antiqua" w:cs="Book Antiqua"/>
          <w:i/>
          <w:color w:val="000000"/>
        </w:rPr>
        <w:t>P</w:t>
      </w:r>
      <w:r>
        <w:rPr>
          <w:rFonts w:ascii="Book Antiqua" w:hAnsi="Book Antiqua" w:eastAsia="Book Antiqua" w:cs="Book Antiqua"/>
          <w:color w:val="000000"/>
        </w:rPr>
        <w:t xml:space="preserve"> &lt; 0.05) (</w:t>
      </w:r>
      <w:r>
        <w:rPr>
          <w:rFonts w:ascii="Book Antiqua" w:hAnsi="Book Antiqua" w:eastAsia="Book Antiqua" w:cs="Book Antiqua"/>
          <w:bCs/>
          <w:color w:val="000000"/>
        </w:rPr>
        <w:t>Figure 3A</w:t>
      </w:r>
      <w:r>
        <w:rPr>
          <w:rFonts w:ascii="Book Antiqua" w:hAnsi="Book Antiqua" w:eastAsia="Book Antiqua" w:cs="Book Antiqua"/>
          <w:color w:val="000000"/>
        </w:rPr>
        <w:t>). In addition, eGFR did not correlate with CHOL at each time-point, except for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year, while in overweight patients, eGFR showed no significant relationship with TG or CHOL at any time-point.</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Risk factors for decreased eGFR at the end of the 3</w:t>
      </w:r>
      <w:r>
        <w:rPr>
          <w:rFonts w:ascii="Book Antiqua" w:hAnsi="Book Antiqua" w:eastAsia="Book Antiqua" w:cs="Book Antiqua"/>
          <w:b/>
          <w:bCs/>
          <w:i/>
          <w:iCs/>
          <w:color w:val="000000"/>
          <w:vertAlign w:val="superscript"/>
        </w:rPr>
        <w:t>rd</w:t>
      </w:r>
      <w:r>
        <w:rPr>
          <w:rFonts w:ascii="Book Antiqua" w:hAnsi="Book Antiqua" w:eastAsia="Book Antiqua" w:cs="Book Antiqua"/>
          <w:b/>
          <w:bCs/>
          <w:i/>
          <w:iCs/>
          <w:color w:val="000000"/>
        </w:rPr>
        <w:t xml:space="preserve"> year</w:t>
      </w:r>
    </w:p>
    <w:p>
      <w:pPr>
        <w:spacing w:line="360" w:lineRule="auto"/>
        <w:jc w:val="both"/>
        <w:rPr>
          <w:rFonts w:ascii="Book Antiqua" w:hAnsi="Book Antiqua"/>
        </w:rPr>
      </w:pPr>
      <w:r>
        <w:rPr>
          <w:rFonts w:ascii="Book Antiqua" w:hAnsi="Book Antiqua" w:eastAsia="Book Antiqua" w:cs="Book Antiqua"/>
          <w:color w:val="000000"/>
        </w:rPr>
        <w:t>Univariate and multivariate logistic regression analyses were performed to analyze the risk factors for decreased eGFR at the end of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For the 202 patients, age, LC, TBil, and baseline eGFR &lt;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were associated with decreased eGFR in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Next, multivariate analysis showed that age (</w:t>
      </w:r>
      <w:r>
        <w:rPr>
          <w:rFonts w:ascii="Book Antiqua" w:hAnsi="Book Antiqua" w:eastAsia="Book Antiqua" w:cs="Book Antiqua"/>
          <w:i/>
          <w:color w:val="000000"/>
        </w:rPr>
        <w:t>P</w:t>
      </w:r>
      <w:r>
        <w:rPr>
          <w:rFonts w:ascii="Book Antiqua" w:hAnsi="Book Antiqua" w:eastAsia="Book Antiqua" w:cs="Book Antiqua"/>
          <w:color w:val="000000"/>
        </w:rPr>
        <w:t xml:space="preserve"> &lt; 0.01) and baseline eGFR &lt; 90 mL/(min·1.73m</w:t>
      </w:r>
      <w:r>
        <w:rPr>
          <w:rFonts w:ascii="Book Antiqua" w:hAnsi="Book Antiqua" w:eastAsia="Book Antiqua" w:cs="Book Antiqua"/>
          <w:color w:val="000000"/>
          <w:vertAlign w:val="superscript"/>
        </w:rPr>
        <w:t>2</w:t>
      </w:r>
      <w:r>
        <w:rPr>
          <w:rFonts w:ascii="Book Antiqua" w:hAnsi="Book Antiqua" w:eastAsia="Book Antiqua" w:cs="Book Antiqua"/>
          <w:color w:val="000000"/>
        </w:rPr>
        <w:t>) (</w:t>
      </w:r>
      <w:r>
        <w:rPr>
          <w:rFonts w:ascii="Book Antiqua" w:hAnsi="Book Antiqua" w:eastAsia="Book Antiqua" w:cs="Book Antiqua"/>
          <w:i/>
          <w:color w:val="000000"/>
        </w:rPr>
        <w:t>P</w:t>
      </w:r>
      <w:r>
        <w:rPr>
          <w:rFonts w:ascii="Book Antiqua" w:hAnsi="Book Antiqua" w:eastAsia="Book Antiqua" w:cs="Book Antiqua"/>
          <w:color w:val="000000"/>
        </w:rPr>
        <w:t xml:space="preserve"> &lt; 0.01) were independent risk factors for eGFR &lt;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in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w:t>
      </w:r>
      <w:r>
        <w:rPr>
          <w:rFonts w:ascii="Book Antiqua" w:hAnsi="Book Antiqua" w:eastAsia="Book Antiqua" w:cs="Book Antiqua"/>
          <w:bCs/>
          <w:color w:val="000000"/>
        </w:rPr>
        <w:t>Table 2</w:t>
      </w:r>
      <w:r>
        <w:rPr>
          <w:rFonts w:ascii="Book Antiqua" w:hAnsi="Book Antiqua" w:eastAsia="Book Antiqua" w:cs="Book Antiqua"/>
          <w:color w:val="000000"/>
        </w:rPr>
        <w:t xml:space="preserve">). </w:t>
      </w:r>
    </w:p>
    <w:p>
      <w:pPr>
        <w:spacing w:line="360" w:lineRule="auto"/>
        <w:ind w:firstLine="240"/>
        <w:jc w:val="both"/>
        <w:rPr>
          <w:rFonts w:ascii="Book Antiqua" w:hAnsi="Book Antiqua"/>
        </w:rPr>
      </w:pPr>
      <w:r>
        <w:rPr>
          <w:rFonts w:ascii="Book Antiqua" w:hAnsi="Book Antiqua" w:eastAsia="Book Antiqua" w:cs="Book Antiqua"/>
          <w:color w:val="000000"/>
        </w:rPr>
        <w:t>For 158 non-overweight patients, univariate analysis showed that age, LC, TBil, and baseline eGFR &lt;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were associated with decreased eGFR in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Moreover, multivariate analysis showed that age (</w:t>
      </w:r>
      <w:r>
        <w:rPr>
          <w:rFonts w:ascii="Book Antiqua" w:hAnsi="Book Antiqua" w:eastAsia="Book Antiqua" w:cs="Book Antiqua"/>
          <w:i/>
          <w:color w:val="000000"/>
        </w:rPr>
        <w:t>P</w:t>
      </w:r>
      <w:r>
        <w:rPr>
          <w:rFonts w:ascii="Book Antiqua" w:hAnsi="Book Antiqua" w:eastAsia="Book Antiqua" w:cs="Book Antiqua"/>
          <w:color w:val="000000"/>
        </w:rPr>
        <w:t xml:space="preserve"> &lt; 0.01) and baseline eGFR &lt;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w:t>
      </w:r>
      <w:r>
        <w:rPr>
          <w:rFonts w:ascii="Book Antiqua" w:hAnsi="Book Antiqua" w:eastAsia="Book Antiqua" w:cs="Book Antiqua"/>
          <w:i/>
          <w:color w:val="000000"/>
        </w:rPr>
        <w:t>P</w:t>
      </w:r>
      <w:r>
        <w:rPr>
          <w:rFonts w:ascii="Book Antiqua" w:hAnsi="Book Antiqua" w:eastAsia="Book Antiqua" w:cs="Book Antiqua"/>
          <w:color w:val="000000"/>
        </w:rPr>
        <w:t xml:space="preserve"> &lt; 0.01) were independent risk factors for decreased eGFR in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w:t>
      </w:r>
      <w:r>
        <w:rPr>
          <w:rFonts w:ascii="Book Antiqua" w:hAnsi="Book Antiqua" w:eastAsia="Book Antiqua" w:cs="Book Antiqua"/>
          <w:bCs/>
          <w:color w:val="000000"/>
        </w:rPr>
        <w:t>Table 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For 44 overweight patients, age, LC, and baseline eGFR &lt;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(all </w:t>
      </w:r>
      <w:r>
        <w:rPr>
          <w:rFonts w:ascii="Book Antiqua" w:hAnsi="Book Antiqua" w:eastAsia="Book Antiqua" w:cs="Book Antiqua"/>
          <w:i/>
          <w:color w:val="000000"/>
        </w:rPr>
        <w:t>P</w:t>
      </w:r>
      <w:r>
        <w:rPr>
          <w:rFonts w:ascii="Book Antiqua" w:hAnsi="Book Antiqua" w:eastAsia="Book Antiqua" w:cs="Book Antiqua"/>
          <w:color w:val="000000"/>
        </w:rPr>
        <w:t xml:space="preserve"> &lt; 0.01) were associated with decreased eGFR in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and baseline eGFR &lt;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was the independent risk factor for decreased eGFR in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year (</w:t>
      </w:r>
      <w:r>
        <w:rPr>
          <w:rFonts w:ascii="Book Antiqua" w:hAnsi="Book Antiqua" w:eastAsia="Book Antiqua" w:cs="Book Antiqua"/>
          <w:bCs/>
          <w:color w:val="000000"/>
        </w:rPr>
        <w:t>Table 4</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Data from the present study indicated that it was not sufficient to withdraw TDF according to fluctuations in eGFR. As the dynamic changes of eGFR and lipid profile were different in patients with overweight or non-overweight, BMI and lipid profiles should also be taken into consideration. eGFR remained stable during the 3-year treatment, which is especially true for overweight patients. However, BMI was not an independent risk factor for decreased eGFR at the end of 3-year TDF treatment, BMI should be monitored during treatment. As there is evidence that TDF may be associated with weight loss in patients with HIV infection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it would be interesting to monitor the weight in patients with HBV infection and TDF treatment. However, BMI was not calculated during the follow-up in the present study. </w:t>
      </w:r>
    </w:p>
    <w:p>
      <w:pPr>
        <w:spacing w:line="360" w:lineRule="auto"/>
        <w:ind w:firstLine="240"/>
        <w:jc w:val="both"/>
        <w:rPr>
          <w:rFonts w:ascii="Book Antiqua" w:hAnsi="Book Antiqua"/>
        </w:rPr>
      </w:pPr>
      <w:r>
        <w:rPr>
          <w:rFonts w:ascii="Book Antiqua" w:hAnsi="Book Antiqua" w:eastAsia="Book Antiqua" w:cs="Book Antiqua"/>
          <w:color w:val="000000"/>
        </w:rPr>
        <w:t>While there is increasing evidence supporting the regulation of lipid profiles by TDF</w:t>
      </w:r>
      <w:r>
        <w:rPr>
          <w:rFonts w:ascii="Book Antiqua" w:hAnsi="Book Antiqua" w:eastAsia="Book Antiqua" w:cs="Book Antiqua"/>
          <w:color w:val="000000"/>
          <w:vertAlign w:val="superscript"/>
        </w:rPr>
        <w:t>[19-21]</w:t>
      </w:r>
      <w:r>
        <w:rPr>
          <w:rFonts w:ascii="Book Antiqua" w:hAnsi="Book Antiqua" w:eastAsia="Book Antiqua" w:cs="Book Antiqua"/>
          <w:color w:val="000000"/>
        </w:rPr>
        <w:t xml:space="preserve">, the mechanisms remain largely unknown. Recently, Suzuki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reported that TDF, but not ETV, reduced supernatant total CHOL, LDL-C, HDL-C, and TG by up-regulating hepatic CD36 in HepG2 cells. Other mechanisms remain to be elucidated, regardless of food intake. It has been reported that increased LDL-C is associated with eGFR decline and the development of chronic kidney deficiency in men without hypertension or diabetes</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To the best of our knowledge, there are still barriers to the implementation of LDL-C in many rural areas. Moafi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reported that CHOL, HDLC, and TG were negatively correlated with eGFR after adjusting BMI, blood pressure, and blood glucose. In the present study, it was interesting to find that TG was negatively correlated with eGFR in non-overweight. Thus, TG regulation may be beneficial for reducing the renal toxicity of TDF. </w:t>
      </w:r>
    </w:p>
    <w:p>
      <w:pPr>
        <w:spacing w:line="360" w:lineRule="auto"/>
        <w:ind w:firstLine="240"/>
        <w:jc w:val="both"/>
        <w:rPr>
          <w:rFonts w:ascii="Book Antiqua" w:hAnsi="Book Antiqua"/>
        </w:rPr>
      </w:pPr>
      <w:r>
        <w:rPr>
          <w:rFonts w:ascii="Book Antiqua" w:hAnsi="Book Antiqua" w:eastAsia="Book Antiqua" w:cs="Book Antiqua"/>
          <w:color w:val="000000"/>
        </w:rPr>
        <w:t>A Korean study showed that advanced age was associated with reduced renal function at week 144. In addition, comorbidities including diabetes or hypertension showed the tendency toward renal impairment</w:t>
      </w:r>
      <w:r>
        <w:rPr>
          <w:rFonts w:ascii="Book Antiqua" w:hAnsi="Book Antiqua" w:eastAsia="Book Antiqua" w:cs="Book Antiqua"/>
          <w:color w:val="000000"/>
          <w:vertAlign w:val="superscript"/>
        </w:rPr>
        <w:t>[25]</w:t>
      </w:r>
      <w:r>
        <w:rPr>
          <w:rFonts w:ascii="Book Antiqua" w:hAnsi="Book Antiqua" w:eastAsia="Book Antiqua" w:cs="Book Antiqua"/>
          <w:color w:val="000000"/>
        </w:rPr>
        <w:t>. Similar results were found in the present study, where age and baseline eGFR &lt;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were independent risk factors for reduced renal function. In clinical practice, it is worrisome to administer TDF in patients with impaired eGFR. Unexpectedly, patients with impaired baseline eGFR had relatively stable eGFR during 3-year TDF treatment. This result suggest</w:t>
      </w:r>
      <w:r>
        <w:rPr>
          <w:rFonts w:hint="eastAsia" w:cs="Book Antiqua" w:asciiTheme="minorEastAsia" w:hAnsiTheme="minorEastAsia"/>
          <w:color w:val="000000"/>
          <w:lang w:eastAsia="zh-CN"/>
        </w:rPr>
        <w:t>s</w:t>
      </w:r>
      <w:r>
        <w:rPr>
          <w:rFonts w:ascii="Book Antiqua" w:hAnsi="Book Antiqua" w:eastAsia="Book Antiqua" w:cs="Book Antiqua"/>
          <w:color w:val="000000"/>
        </w:rPr>
        <w:t xml:space="preserve"> that TDF remains a useful alternative in patients with decreased eGFR, although routine tests are recommended.</w:t>
      </w:r>
    </w:p>
    <w:p>
      <w:pPr>
        <w:spacing w:line="360" w:lineRule="auto"/>
        <w:ind w:firstLine="240"/>
        <w:jc w:val="both"/>
        <w:rPr>
          <w:rFonts w:ascii="Book Antiqua" w:hAnsi="Book Antiqua"/>
        </w:rPr>
      </w:pPr>
      <w:r>
        <w:rPr>
          <w:rFonts w:ascii="Book Antiqua" w:hAnsi="Book Antiqua" w:eastAsia="Book Antiqua" w:cs="Book Antiqua"/>
          <w:color w:val="000000"/>
        </w:rPr>
        <w:t xml:space="preserve">This study has several limitations. First, lipid indicators, including LDL and HDL, are lacking. Second, other indicators, including urine protein quantitation Cystatin C, which may be more sensitive, were not detected during TDF treatment. </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dynamic changes in renal function were associated with TG during TDF treatment in CHB patients without overweight, but not with overweight.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Tenofovir disoproxil fumarate (TDF) is recommended as one of the first-line antiviral agents. The effects of </w:t>
      </w:r>
      <w:r>
        <w:rPr>
          <w:rFonts w:ascii="Book Antiqua" w:hAnsi="Book Antiqua" w:eastAsia="Book Antiqua" w:cs="Book Antiqua"/>
          <w:color w:val="000000"/>
          <w:shd w:val="clear" w:color="auto" w:fill="FFFFFF"/>
        </w:rPr>
        <w:t>TDF</w:t>
      </w:r>
      <w:r>
        <w:rPr>
          <w:rFonts w:ascii="Book Antiqua" w:hAnsi="Book Antiqua" w:eastAsia="Book Antiqua" w:cs="Book Antiqua"/>
          <w:color w:val="000000"/>
        </w:rPr>
        <w:t xml:space="preserve"> on lipid profiles in patients with chronic hepatitis B (CHB) and overweight are largely unknown.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Overweight is a global pandemic associated with </w:t>
      </w:r>
      <w:r>
        <w:rPr>
          <w:rFonts w:ascii="Book Antiqua" w:hAnsi="Book Antiqua" w:eastAsia="Book Antiqua" w:cs="Book Antiqua"/>
          <w:color w:val="000000"/>
          <w:shd w:val="clear" w:color="auto" w:fill="FFFFFF"/>
        </w:rPr>
        <w:t>dyslipidemia</w:t>
      </w:r>
      <w:r>
        <w:rPr>
          <w:rFonts w:ascii="Book Antiqua" w:hAnsi="Book Antiqua" w:eastAsia="Book Antiqua" w:cs="Book Antiqua"/>
          <w:color w:val="000000"/>
        </w:rPr>
        <w:t>. Correlation between triglyceride (TG) and estimated glomerular filtration rate (eGFR) remains largely unclear.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To determine the impact of 3-year TDF treatment on lipid metabolism profiles and renal function in Chinese patients with </w:t>
      </w:r>
      <w:r>
        <w:rPr>
          <w:rFonts w:ascii="Book Antiqua" w:hAnsi="Book Antiqua" w:eastAsia="Book Antiqua" w:cs="Book Antiqua"/>
          <w:color w:val="000000"/>
          <w:shd w:val="clear" w:color="auto" w:fill="FCFCFC"/>
        </w:rPr>
        <w:t>CHB</w:t>
      </w:r>
      <w:r>
        <w:rPr>
          <w:rFonts w:ascii="Book Antiqua" w:hAnsi="Book Antiqua" w:eastAsia="Book Antiqua" w:cs="Book Antiqua"/>
          <w:color w:val="000000"/>
        </w:rPr>
        <w:t xml:space="preserve"> and overweight.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This multi-centre, retrospective cohort study included</w:t>
      </w:r>
      <w:r>
        <w:rPr>
          <w:rFonts w:ascii="Book Antiqua" w:hAnsi="Book Antiqua" w:eastAsia="Book Antiqua" w:cs="Book Antiqua"/>
          <w:color w:val="000000"/>
        </w:rPr>
        <w:t xml:space="preserve"> CHB patients </w:t>
      </w:r>
      <w:r>
        <w:rPr>
          <w:rFonts w:ascii="Book Antiqua" w:hAnsi="Book Antiqua" w:eastAsia="Book Antiqua" w:cs="Book Antiqua"/>
          <w:color w:val="000000"/>
          <w:shd w:val="clear" w:color="auto" w:fill="FFFFFF"/>
        </w:rPr>
        <w:t>who received TDF treatment</w:t>
      </w:r>
      <w:r>
        <w:rPr>
          <w:rFonts w:ascii="Book Antiqua" w:hAnsi="Book Antiqua" w:eastAsia="Book Antiqua" w:cs="Book Antiqua"/>
          <w:color w:val="000000"/>
        </w:rPr>
        <w:t>. According to the body mass index (BMI) at the initiation of TDF treatment, CHB patients were divided into different groups. Changes of lipid profiles and renal function, as well as the risk factors for eGFR &lt; 90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were analyzed. Spearman correlation was used to analyze the correlation between eGFR and lipid profiles.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In non-overweight patients, TG was negatively correlated with GFR at the four-time points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0.030, 0.007, 0.008,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shd w:val="clear" w:color="auto" w:fill="FCFCFC"/>
        </w:rPr>
        <w:t xml:space="preserve">There is a negative relation between </w:t>
      </w:r>
      <w:r>
        <w:rPr>
          <w:rFonts w:ascii="Book Antiqua" w:hAnsi="Book Antiqua" w:eastAsia="Book Antiqua" w:cs="Book Antiqua"/>
          <w:color w:val="000000"/>
          <w:shd w:val="clear" w:color="auto" w:fill="FFFFFF"/>
        </w:rPr>
        <w:t>TG</w:t>
      </w:r>
      <w:r>
        <w:rPr>
          <w:rFonts w:ascii="Book Antiqua" w:hAnsi="Book Antiqua" w:eastAsia="Book Antiqua" w:cs="Book Antiqua"/>
          <w:color w:val="000000"/>
          <w:shd w:val="clear" w:color="auto" w:fill="FCFCFC"/>
        </w:rPr>
        <w:t xml:space="preserve"> and changes in eGFR </w:t>
      </w:r>
      <w:r>
        <w:rPr>
          <w:rFonts w:ascii="Book Antiqua" w:hAnsi="Book Antiqua" w:eastAsia="Book Antiqua" w:cs="Book Antiqua"/>
          <w:color w:val="000000"/>
          <w:shd w:val="clear" w:color="auto" w:fill="FFFFFF"/>
        </w:rPr>
        <w:t xml:space="preserve">during TDF </w:t>
      </w:r>
      <w:r>
        <w:rPr>
          <w:rFonts w:ascii="Book Antiqua" w:hAnsi="Book Antiqua" w:eastAsia="Book Antiqua" w:cs="Book Antiqua"/>
          <w:color w:val="000000"/>
        </w:rPr>
        <w:t>treatment in patients with</w:t>
      </w:r>
      <w:r>
        <w:rPr>
          <w:rFonts w:ascii="Book Antiqua" w:hAnsi="Book Antiqua" w:eastAsia="Book Antiqua" w:cs="Book Antiqua"/>
          <w:color w:val="000000"/>
          <w:shd w:val="clear" w:color="auto" w:fill="FCFCFC"/>
        </w:rPr>
        <w:t xml:space="preserve"> CHB and normal BMI.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TG regulation may be beneficial for reducing the renal toxicity of TDF.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1 World Health Organization. Fact sheet of Hepatitis B 2021 [cited May 12, 2022]. Available from: www.who.int/news-room/fact-sheets/detail/hepatitis-b</w:t>
      </w:r>
    </w:p>
    <w:p>
      <w:pPr>
        <w:spacing w:line="360" w:lineRule="auto"/>
        <w:jc w:val="both"/>
        <w:rPr>
          <w:rFonts w:ascii="Book Antiqua" w:hAnsi="Book Antiqua"/>
        </w:rPr>
      </w:pPr>
      <w:r>
        <w:rPr>
          <w:rFonts w:ascii="Book Antiqua" w:hAnsi="Book Antiqua"/>
        </w:rPr>
        <w:t xml:space="preserve">2 </w:t>
      </w:r>
      <w:r>
        <w:rPr>
          <w:rFonts w:ascii="Book Antiqua" w:hAnsi="Book Antiqua"/>
          <w:b/>
          <w:bCs/>
        </w:rPr>
        <w:t>Pisano MB</w:t>
      </w:r>
      <w:r>
        <w:rPr>
          <w:rFonts w:ascii="Book Antiqua" w:hAnsi="Book Antiqua"/>
        </w:rPr>
        <w:t xml:space="preserve">, Giadans CG, Flichman DM, Ré VE, Preciado MV, Valva P. Viral hepatitis update: Progress and perspectives.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4018-4044 [PMID: 34326611 DOI: 10.3748/wjg.v27.i26.4018]</w:t>
      </w:r>
    </w:p>
    <w:p>
      <w:pPr>
        <w:spacing w:line="360" w:lineRule="auto"/>
        <w:jc w:val="both"/>
        <w:rPr>
          <w:rFonts w:ascii="Book Antiqua" w:hAnsi="Book Antiqua"/>
        </w:rPr>
      </w:pPr>
      <w:r>
        <w:rPr>
          <w:rFonts w:ascii="Book Antiqua" w:hAnsi="Book Antiqua"/>
        </w:rPr>
        <w:t xml:space="preserve">3 </w:t>
      </w:r>
      <w:r>
        <w:rPr>
          <w:rFonts w:ascii="Book Antiqua" w:hAnsi="Book Antiqua"/>
          <w:b/>
          <w:bCs/>
        </w:rPr>
        <w:t>Buti M</w:t>
      </w:r>
      <w:r>
        <w:rPr>
          <w:rFonts w:ascii="Book Antiqua" w:hAnsi="Book Antiqua"/>
        </w:rPr>
        <w:t xml:space="preserve">, Tsai N, Petersen J, Flisiak R, Gurel S, Krastev Z, Aguilar Schall R, Flaherty JF, Martins EB, Charuworn P, Kitrinos KM, Subramanian GM, Gane E, Marcellin P. Seven-year efficacy and safety of treatment with tenofovir disoproxil fumarate for chronic hepatitis B virus infection. </w:t>
      </w:r>
      <w:r>
        <w:rPr>
          <w:rFonts w:ascii="Book Antiqua" w:hAnsi="Book Antiqua"/>
          <w:i/>
          <w:iCs/>
        </w:rPr>
        <w:t>Dig Dis Sci</w:t>
      </w:r>
      <w:r>
        <w:rPr>
          <w:rFonts w:ascii="Book Antiqua" w:hAnsi="Book Antiqua"/>
        </w:rPr>
        <w:t xml:space="preserve"> 2015; </w:t>
      </w:r>
      <w:r>
        <w:rPr>
          <w:rFonts w:ascii="Book Antiqua" w:hAnsi="Book Antiqua"/>
          <w:b/>
          <w:bCs/>
        </w:rPr>
        <w:t>60</w:t>
      </w:r>
      <w:r>
        <w:rPr>
          <w:rFonts w:ascii="Book Antiqua" w:hAnsi="Book Antiqua"/>
        </w:rPr>
        <w:t>: 1457-1464 [PMID: 25532501 DOI: 10.1007/s10620-014-3486-7]</w:t>
      </w:r>
    </w:p>
    <w:p>
      <w:pPr>
        <w:spacing w:line="360" w:lineRule="auto"/>
        <w:jc w:val="both"/>
        <w:rPr>
          <w:rFonts w:ascii="Book Antiqua" w:hAnsi="Book Antiqua"/>
        </w:rPr>
      </w:pPr>
      <w:r>
        <w:rPr>
          <w:rFonts w:ascii="Book Antiqua" w:hAnsi="Book Antiqua"/>
        </w:rPr>
        <w:t xml:space="preserve">4 </w:t>
      </w:r>
      <w:r>
        <w:rPr>
          <w:rFonts w:ascii="Book Antiqua" w:hAnsi="Book Antiqua"/>
          <w:b/>
          <w:bCs/>
        </w:rPr>
        <w:t>Marcellin P</w:t>
      </w:r>
      <w:r>
        <w:rPr>
          <w:rFonts w:ascii="Book Antiqua" w:hAnsi="Book Antiqua"/>
        </w:rPr>
        <w:t xml:space="preserve">, Zoulim F, Hézode C, Causse X, Roche B, Truchi R, Pauwels A, Ouzan D, Dumortier J, Pageaux GP, Bourlière M, Riachi G, Zarski JP, Cadranel JF, Tilliet V, Stern C, Pétour P, Libert O, Consoli SM, Larrey D. Effectiveness and Safety of Tenofovir Disoproxil Fumarate in Chronic Hepatitis B: A 3-Year, Prospective, Real-World Study in France. </w:t>
      </w:r>
      <w:r>
        <w:rPr>
          <w:rFonts w:ascii="Book Antiqua" w:hAnsi="Book Antiqua"/>
          <w:i/>
          <w:iCs/>
        </w:rPr>
        <w:t>Dig Dis Sci</w:t>
      </w:r>
      <w:r>
        <w:rPr>
          <w:rFonts w:ascii="Book Antiqua" w:hAnsi="Book Antiqua"/>
        </w:rPr>
        <w:t xml:space="preserve"> 2016; </w:t>
      </w:r>
      <w:r>
        <w:rPr>
          <w:rFonts w:ascii="Book Antiqua" w:hAnsi="Book Antiqua"/>
          <w:b/>
          <w:bCs/>
        </w:rPr>
        <w:t>61</w:t>
      </w:r>
      <w:r>
        <w:rPr>
          <w:rFonts w:ascii="Book Antiqua" w:hAnsi="Book Antiqua"/>
        </w:rPr>
        <w:t>: 3072-3083 [PMID: 26821154 DOI: 10.1007/s10620-015-4027-8]</w:t>
      </w:r>
    </w:p>
    <w:p>
      <w:pPr>
        <w:spacing w:line="360" w:lineRule="auto"/>
        <w:jc w:val="both"/>
        <w:rPr>
          <w:rFonts w:ascii="Book Antiqua" w:hAnsi="Book Antiqua"/>
        </w:rPr>
      </w:pPr>
      <w:r>
        <w:rPr>
          <w:rFonts w:ascii="Book Antiqua" w:hAnsi="Book Antiqua"/>
        </w:rPr>
        <w:t xml:space="preserve">5 </w:t>
      </w:r>
      <w:r>
        <w:rPr>
          <w:rFonts w:ascii="Book Antiqua" w:hAnsi="Book Antiqua"/>
          <w:b/>
          <w:bCs/>
        </w:rPr>
        <w:t>Zheng S</w:t>
      </w:r>
      <w:r>
        <w:rPr>
          <w:rFonts w:ascii="Book Antiqua" w:hAnsi="Book Antiqua"/>
        </w:rPr>
        <w:t xml:space="preserve">, Liu L, Lu J, Zhang X, Shen H, Zhang H, Xue Y, Lin L. Efficacy and safety of tenofovir disoproxil fumarate in Chinese patients with chronic hepatitis B virus infection: A 2-year prospective study.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e17590 [PMID: 31626130 DOI: 10.1097/MD.0000000000017590]</w:t>
      </w:r>
    </w:p>
    <w:p>
      <w:pPr>
        <w:spacing w:line="360" w:lineRule="auto"/>
        <w:jc w:val="both"/>
        <w:rPr>
          <w:rFonts w:ascii="Book Antiqua" w:hAnsi="Book Antiqua"/>
        </w:rPr>
      </w:pPr>
      <w:r>
        <w:rPr>
          <w:rFonts w:ascii="Book Antiqua" w:hAnsi="Book Antiqua"/>
        </w:rPr>
        <w:t xml:space="preserve">6 </w:t>
      </w:r>
      <w:r>
        <w:rPr>
          <w:rFonts w:ascii="Book Antiqua" w:hAnsi="Book Antiqua"/>
          <w:b/>
          <w:bCs/>
        </w:rPr>
        <w:t>Tsai HJ</w:t>
      </w:r>
      <w:r>
        <w:rPr>
          <w:rFonts w:ascii="Book Antiqua" w:hAnsi="Book Antiqua"/>
        </w:rPr>
        <w:t xml:space="preserve">, Chuang YW, Lee SW, Wu CY, Yeh HZ, Lee TY. Using the chronic kidney disease guidelines to evaluate the renal safety of tenofovir disoproxil fumarate in hepatitis B patients. </w:t>
      </w:r>
      <w:r>
        <w:rPr>
          <w:rFonts w:ascii="Book Antiqua" w:hAnsi="Book Antiqua"/>
          <w:i/>
          <w:iCs/>
        </w:rPr>
        <w:t>Aliment Pharmacol Ther</w:t>
      </w:r>
      <w:r>
        <w:rPr>
          <w:rFonts w:ascii="Book Antiqua" w:hAnsi="Book Antiqua"/>
        </w:rPr>
        <w:t xml:space="preserve"> 2018; </w:t>
      </w:r>
      <w:r>
        <w:rPr>
          <w:rFonts w:ascii="Book Antiqua" w:hAnsi="Book Antiqua"/>
          <w:b/>
          <w:bCs/>
        </w:rPr>
        <w:t>47</w:t>
      </w:r>
      <w:r>
        <w:rPr>
          <w:rFonts w:ascii="Book Antiqua" w:hAnsi="Book Antiqua"/>
        </w:rPr>
        <w:t>: 1673-1681 [PMID: 29696665 DOI: 10.1111/apt.14682]</w:t>
      </w:r>
    </w:p>
    <w:p>
      <w:pPr>
        <w:spacing w:line="360" w:lineRule="auto"/>
        <w:jc w:val="both"/>
        <w:rPr>
          <w:rFonts w:ascii="Book Antiqua" w:hAnsi="Book Antiqua"/>
        </w:rPr>
      </w:pPr>
      <w:r>
        <w:rPr>
          <w:rFonts w:ascii="Book Antiqua" w:hAnsi="Book Antiqua"/>
        </w:rPr>
        <w:t xml:space="preserve">7 </w:t>
      </w:r>
      <w:r>
        <w:rPr>
          <w:rFonts w:ascii="Book Antiqua" w:hAnsi="Book Antiqua"/>
          <w:b/>
          <w:bCs/>
        </w:rPr>
        <w:t>Mak LY</w:t>
      </w:r>
      <w:r>
        <w:rPr>
          <w:rFonts w:ascii="Book Antiqua" w:hAnsi="Book Antiqua"/>
        </w:rPr>
        <w:t xml:space="preserve">, Hoang J, Jun DW, Chen CH, Peng CY, Yeh ML, Kim SE, Huang DQ, Jeong JY, Yoon E, Oh H, Tsai PC, Huang CF, Ahn SB, Trinh H, Xie Q, Wong GLH, Enomoto M, Shim JJ, Lee DH, Liu L, Kozuka R, Cho YK, Jeong SW, Kim HS, Trinh L, Dao A, Huang R, Hui RW, Tsui V, Quek S, Khine HHTW, Ogawa E, Dai CY, Huang JF, Cheung R, Wu C, Chuang WL, Lim SG, Yu ML, Yuen MF, Nguyen MH. Longitudinal renal changes in chronic hepatitis B patients treated with entecavir versus TDF: a REAL-B study. </w:t>
      </w:r>
      <w:r>
        <w:rPr>
          <w:rFonts w:ascii="Book Antiqua" w:hAnsi="Book Antiqua"/>
          <w:i/>
          <w:iCs/>
        </w:rPr>
        <w:t>Hepatol Int</w:t>
      </w:r>
      <w:r>
        <w:rPr>
          <w:rFonts w:ascii="Book Antiqua" w:hAnsi="Book Antiqua"/>
        </w:rPr>
        <w:t xml:space="preserve"> 2022; </w:t>
      </w:r>
      <w:r>
        <w:rPr>
          <w:rFonts w:ascii="Book Antiqua" w:hAnsi="Book Antiqua"/>
          <w:b/>
          <w:bCs/>
        </w:rPr>
        <w:t>16</w:t>
      </w:r>
      <w:r>
        <w:rPr>
          <w:rFonts w:ascii="Book Antiqua" w:hAnsi="Book Antiqua"/>
        </w:rPr>
        <w:t>: 48-58 [PMID: 34822056 DOI: 10.1007/s12072-021-10271-x]</w:t>
      </w:r>
    </w:p>
    <w:p>
      <w:pPr>
        <w:spacing w:line="360" w:lineRule="auto"/>
        <w:jc w:val="both"/>
        <w:rPr>
          <w:rFonts w:ascii="Book Antiqua" w:hAnsi="Book Antiqua"/>
        </w:rPr>
      </w:pPr>
      <w:r>
        <w:rPr>
          <w:rFonts w:ascii="Book Antiqua" w:hAnsi="Book Antiqua"/>
        </w:rPr>
        <w:t xml:space="preserve">8 </w:t>
      </w:r>
      <w:r>
        <w:rPr>
          <w:rFonts w:ascii="Book Antiqua" w:hAnsi="Book Antiqua"/>
          <w:b/>
          <w:bCs/>
        </w:rPr>
        <w:t>Wang X</w:t>
      </w:r>
      <w:r>
        <w:rPr>
          <w:rFonts w:ascii="Book Antiqua" w:hAnsi="Book Antiqua"/>
        </w:rPr>
        <w:t xml:space="preserve">, Rao H, Liu F, Wei L, Li H, Wu C. Recent Advances in Adipose Tissue Dysfunction and Its Role in the Pathogenesis of Non-Alcoholic Fatty Liver Disease. </w:t>
      </w:r>
      <w:r>
        <w:rPr>
          <w:rFonts w:ascii="Book Antiqua" w:hAnsi="Book Antiqua"/>
          <w:i/>
          <w:iCs/>
        </w:rPr>
        <w:t>Cells</w:t>
      </w:r>
      <w:r>
        <w:rPr>
          <w:rFonts w:ascii="Book Antiqua" w:hAnsi="Book Antiqua"/>
        </w:rPr>
        <w:t xml:space="preserve"> 2021; </w:t>
      </w:r>
      <w:r>
        <w:rPr>
          <w:rFonts w:ascii="Book Antiqua" w:hAnsi="Book Antiqua"/>
          <w:b/>
          <w:bCs/>
        </w:rPr>
        <w:t>10</w:t>
      </w:r>
      <w:r>
        <w:rPr>
          <w:rFonts w:ascii="Book Antiqua" w:hAnsi="Book Antiqua"/>
        </w:rPr>
        <w:t xml:space="preserve"> [PMID: 34943809 DOI: 10.3390/cells10123300]</w:t>
      </w:r>
    </w:p>
    <w:p>
      <w:pPr>
        <w:spacing w:line="360" w:lineRule="auto"/>
        <w:jc w:val="both"/>
        <w:rPr>
          <w:rFonts w:ascii="Book Antiqua" w:hAnsi="Book Antiqua"/>
        </w:rPr>
      </w:pPr>
      <w:r>
        <w:rPr>
          <w:rFonts w:ascii="Book Antiqua" w:hAnsi="Book Antiqua"/>
        </w:rPr>
        <w:t xml:space="preserve">9 </w:t>
      </w:r>
      <w:r>
        <w:rPr>
          <w:rFonts w:ascii="Book Antiqua" w:hAnsi="Book Antiqua"/>
          <w:b/>
          <w:bCs/>
        </w:rPr>
        <w:t>van Kleef LA</w:t>
      </w:r>
      <w:r>
        <w:rPr>
          <w:rFonts w:ascii="Book Antiqua" w:hAnsi="Book Antiqua"/>
        </w:rPr>
        <w:t xml:space="preserve">, Choi HSJ, Brouwer WP, Hansen BE, Patel K, de Man RA, Janssen HLA, de Knegt RJ, Sonneveld MJ. Metabolic dysfunction-associated fatty liver disease increases risk of adverse outcomes in patients with chronic hepatitis B. </w:t>
      </w:r>
      <w:r>
        <w:rPr>
          <w:rFonts w:ascii="Book Antiqua" w:hAnsi="Book Antiqua"/>
          <w:i/>
          <w:iCs/>
        </w:rPr>
        <w:t>JHEP Rep</w:t>
      </w:r>
      <w:r>
        <w:rPr>
          <w:rFonts w:ascii="Book Antiqua" w:hAnsi="Book Antiqua"/>
        </w:rPr>
        <w:t xml:space="preserve"> 2021; </w:t>
      </w:r>
      <w:r>
        <w:rPr>
          <w:rFonts w:ascii="Book Antiqua" w:hAnsi="Book Antiqua"/>
          <w:b/>
          <w:bCs/>
        </w:rPr>
        <w:t>3</w:t>
      </w:r>
      <w:r>
        <w:rPr>
          <w:rFonts w:ascii="Book Antiqua" w:hAnsi="Book Antiqua"/>
        </w:rPr>
        <w:t>: 100350 [PMID: 34557660 DOI: 10.1016/j.jhepr.2021.100350]</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Wang X</w:t>
      </w:r>
      <w:r>
        <w:rPr>
          <w:rFonts w:ascii="Book Antiqua" w:hAnsi="Book Antiqua"/>
        </w:rPr>
        <w:t xml:space="preserve">, Wang H, Li J, Gao X, Han Y, Teng W, Shan Z, Lai Y. Combined Effects of Dyslipidemia and High Adiposity on the Estimated Glomerular Filtration Rate in a Middle-Aged Chinese Population. </w:t>
      </w:r>
      <w:r>
        <w:rPr>
          <w:rFonts w:ascii="Book Antiqua" w:hAnsi="Book Antiqua"/>
          <w:i/>
          <w:iCs/>
        </w:rPr>
        <w:t>Diabetes Metab Syndr Obes</w:t>
      </w:r>
      <w:r>
        <w:rPr>
          <w:rFonts w:ascii="Book Antiqua" w:hAnsi="Book Antiqua"/>
        </w:rPr>
        <w:t xml:space="preserve"> 2021; </w:t>
      </w:r>
      <w:r>
        <w:rPr>
          <w:rFonts w:ascii="Book Antiqua" w:hAnsi="Book Antiqua"/>
          <w:b/>
          <w:bCs/>
        </w:rPr>
        <w:t>14</w:t>
      </w:r>
      <w:r>
        <w:rPr>
          <w:rFonts w:ascii="Book Antiqua" w:hAnsi="Book Antiqua"/>
        </w:rPr>
        <w:t>: 4513-4522 [PMID: 34785920 DOI: 10.2147/DMSO.S337190]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Lim J</w:t>
      </w:r>
      <w:r>
        <w:rPr>
          <w:rFonts w:ascii="Book Antiqua" w:hAnsi="Book Antiqua"/>
        </w:rPr>
        <w:t xml:space="preserve">, Choi WM, Shim JH, Lee D, Kim KM, Lim YS, Lee HC, Choi J. Efficacy and safety of tenofovir alafenamide versus tenofovir disoproxil fumarate in treatment-naïve chronic hepatitis B. </w:t>
      </w:r>
      <w:r>
        <w:rPr>
          <w:rFonts w:ascii="Book Antiqua" w:hAnsi="Book Antiqua"/>
          <w:i/>
          <w:iCs/>
        </w:rPr>
        <w:t>Liver Int</w:t>
      </w:r>
      <w:r>
        <w:rPr>
          <w:rFonts w:ascii="Book Antiqua" w:hAnsi="Book Antiqua"/>
        </w:rPr>
        <w:t xml:space="preserve"> 2022; </w:t>
      </w:r>
      <w:r>
        <w:rPr>
          <w:rFonts w:ascii="Book Antiqua" w:hAnsi="Book Antiqua"/>
          <w:b/>
          <w:bCs/>
        </w:rPr>
        <w:t>42</w:t>
      </w:r>
      <w:r>
        <w:rPr>
          <w:rFonts w:ascii="Book Antiqua" w:hAnsi="Book Antiqua"/>
        </w:rPr>
        <w:t>: 1517-1527 [PMID: 35343041 DOI: 10.1111/liv.15261]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Mallon PWG</w:t>
      </w:r>
      <w:r>
        <w:rPr>
          <w:rFonts w:ascii="Book Antiqua" w:hAnsi="Book Antiqua"/>
        </w:rPr>
        <w:t xml:space="preserve">, Brunet L, Fusco JS, Prajapati G, Beyer A, Fusco GP, Wohlfeiler MB. Lipid Changes After Switch From TDF to TAF in the OPERA Cohort: LDL Cholesterol and Triglycerides. </w:t>
      </w:r>
      <w:r>
        <w:rPr>
          <w:rFonts w:ascii="Book Antiqua" w:hAnsi="Book Antiqua"/>
          <w:i/>
          <w:iCs/>
        </w:rPr>
        <w:t>Open Forum Infect Dis</w:t>
      </w:r>
      <w:r>
        <w:rPr>
          <w:rFonts w:ascii="Book Antiqua" w:hAnsi="Book Antiqua"/>
        </w:rPr>
        <w:t xml:space="preserve"> 2022; </w:t>
      </w:r>
      <w:r>
        <w:rPr>
          <w:rFonts w:ascii="Book Antiqua" w:hAnsi="Book Antiqua"/>
          <w:b/>
          <w:bCs/>
        </w:rPr>
        <w:t>9</w:t>
      </w:r>
      <w:r>
        <w:rPr>
          <w:rFonts w:ascii="Book Antiqua" w:hAnsi="Book Antiqua"/>
        </w:rPr>
        <w:t>: ofab621 [PMID: 35028335 DOI: 10.1093/ofid/ofab621]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Plum PE</w:t>
      </w:r>
      <w:r>
        <w:rPr>
          <w:rFonts w:ascii="Book Antiqua" w:hAnsi="Book Antiqua"/>
        </w:rPr>
        <w:t xml:space="preserve">, Maes N, Sauvage AS, Frippiat F, Meuris C, Uurlings F, Lecomte M, Léonard P, Paquot N, Fombellida K, Vaira D, Moutschen M, Darcis G. Impact of switch from tenofovir disoproxil fumarate-based regimens to tenofovir alafenamide-based regimens on lipid profile, weight gain and cardiovascular risk score in people living with HIV. </w:t>
      </w:r>
      <w:r>
        <w:rPr>
          <w:rFonts w:ascii="Book Antiqua" w:hAnsi="Book Antiqua"/>
          <w:i/>
          <w:iCs/>
        </w:rPr>
        <w:t>BMC Infect Dis</w:t>
      </w:r>
      <w:r>
        <w:rPr>
          <w:rFonts w:ascii="Book Antiqua" w:hAnsi="Book Antiqua"/>
        </w:rPr>
        <w:t xml:space="preserve"> 2021; </w:t>
      </w:r>
      <w:r>
        <w:rPr>
          <w:rFonts w:ascii="Book Antiqua" w:hAnsi="Book Antiqua"/>
          <w:b/>
          <w:bCs/>
        </w:rPr>
        <w:t>21</w:t>
      </w:r>
      <w:r>
        <w:rPr>
          <w:rFonts w:ascii="Book Antiqua" w:hAnsi="Book Antiqua"/>
        </w:rPr>
        <w:t>: 910 [PMID: 34488664 DOI: 10.1186/s12879-021-06479-9]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Suzuki K</w:t>
      </w:r>
      <w:r>
        <w:rPr>
          <w:rFonts w:ascii="Book Antiqua" w:hAnsi="Book Antiqua"/>
        </w:rPr>
        <w:t xml:space="preserve">, Suda G, Yamamoto Y, Abiko S, Kinoshita K, Miyamoto S, Sugiura R, Kimura M, Maehara O, Yamada R, Kitagataya T, Shigesawa T, Ohara M, Kawagishi N, Nakai M, Sho T, Natsuizaka M, Morikawa K, Ogawa K, Sakamoto N. Effect of switching from tenofovir disoproxil fumarate to tenofovir alafenamide on lipid profiles in patients with hepatitis B. </w:t>
      </w:r>
      <w:r>
        <w:rPr>
          <w:rFonts w:ascii="Book Antiqua" w:hAnsi="Book Antiqua"/>
          <w:i/>
          <w:iCs/>
        </w:rPr>
        <w:t>PLoS One</w:t>
      </w:r>
      <w:r>
        <w:rPr>
          <w:rFonts w:ascii="Book Antiqua" w:hAnsi="Book Antiqua"/>
        </w:rPr>
        <w:t xml:space="preserve"> 2022; </w:t>
      </w:r>
      <w:r>
        <w:rPr>
          <w:rFonts w:ascii="Book Antiqua" w:hAnsi="Book Antiqua"/>
          <w:b/>
          <w:bCs/>
        </w:rPr>
        <w:t>17</w:t>
      </w:r>
      <w:r>
        <w:rPr>
          <w:rFonts w:ascii="Book Antiqua" w:hAnsi="Book Antiqua"/>
        </w:rPr>
        <w:t>: e0261760 [PMID: 35051189 DOI: 10.1371/journal.pone.0261760]</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Shaheen AA</w:t>
      </w:r>
      <w:r>
        <w:rPr>
          <w:rFonts w:ascii="Book Antiqua" w:hAnsi="Book Antiqua"/>
        </w:rPr>
        <w:t xml:space="preserve">, AlMattooq M, Yazdanfar S, Burak KW, Swain MG, Congly SE, Borman MA, Lee SS, Myers RP, Coffin CS. Tenofovir disoproxil fumarate significantly decreases serum lipoprotein levels compared with entecavir nucleos(t)ide analogue therapy in chronic hepatitis B carriers. </w:t>
      </w:r>
      <w:r>
        <w:rPr>
          <w:rFonts w:ascii="Book Antiqua" w:hAnsi="Book Antiqua"/>
          <w:i/>
          <w:iCs/>
        </w:rPr>
        <w:t>Aliment Pharmacol Ther</w:t>
      </w:r>
      <w:r>
        <w:rPr>
          <w:rFonts w:ascii="Book Antiqua" w:hAnsi="Book Antiqua"/>
        </w:rPr>
        <w:t xml:space="preserve"> 2017; </w:t>
      </w:r>
      <w:r>
        <w:rPr>
          <w:rFonts w:ascii="Book Antiqua" w:hAnsi="Book Antiqua"/>
          <w:b/>
          <w:bCs/>
        </w:rPr>
        <w:t>46</w:t>
      </w:r>
      <w:r>
        <w:rPr>
          <w:rFonts w:ascii="Book Antiqua" w:hAnsi="Book Antiqua"/>
        </w:rPr>
        <w:t>: 599-604 [PMID: 28707319 DOI: 10.1111/apt.14218]</w:t>
      </w:r>
    </w:p>
    <w:p>
      <w:pPr>
        <w:spacing w:line="360" w:lineRule="auto"/>
        <w:jc w:val="both"/>
        <w:rPr>
          <w:rFonts w:ascii="Book Antiqua" w:hAnsi="Book Antiqua"/>
        </w:rPr>
      </w:pPr>
      <w:r>
        <w:rPr>
          <w:rFonts w:ascii="Book Antiqua" w:hAnsi="Book Antiqua"/>
        </w:rPr>
        <w:t xml:space="preserve">16 </w:t>
      </w:r>
      <w:r>
        <w:rPr>
          <w:rFonts w:ascii="Book Antiqua" w:hAnsi="Book Antiqua"/>
          <w:b/>
          <w:bCs/>
        </w:rPr>
        <w:t>Chinese Society of Infectious Diseases, Chinese Medical Association</w:t>
      </w:r>
      <w:r>
        <w:rPr>
          <w:rFonts w:ascii="Book Antiqua" w:hAnsi="Book Antiqua"/>
        </w:rPr>
        <w:t xml:space="preserve">; Chinese Society of Hepatology, Chinese Medical Association. [The guidelines of prevention and treatment for chronic hepatitis B (2019 version)]. </w:t>
      </w:r>
      <w:r>
        <w:rPr>
          <w:rFonts w:ascii="Book Antiqua" w:hAnsi="Book Antiqua"/>
          <w:i/>
          <w:iCs/>
        </w:rPr>
        <w:t>Zhonghua Gan Zang Bing Za Zhi</w:t>
      </w:r>
      <w:r>
        <w:rPr>
          <w:rFonts w:ascii="Book Antiqua" w:hAnsi="Book Antiqua"/>
        </w:rPr>
        <w:t xml:space="preserve"> 2019; </w:t>
      </w:r>
      <w:r>
        <w:rPr>
          <w:rFonts w:ascii="Book Antiqua" w:hAnsi="Book Antiqua"/>
          <w:b/>
          <w:bCs/>
        </w:rPr>
        <w:t>27</w:t>
      </w:r>
      <w:r>
        <w:rPr>
          <w:rFonts w:ascii="Book Antiqua" w:hAnsi="Book Antiqua"/>
        </w:rPr>
        <w:t>: 938-961 [PMID: 31941257 DOI: 10.3760/cma.j.issn.1007-3418.2019.12.007]</w:t>
      </w:r>
    </w:p>
    <w:p>
      <w:pPr>
        <w:spacing w:line="360" w:lineRule="auto"/>
        <w:jc w:val="both"/>
        <w:rPr>
          <w:rFonts w:ascii="Book Antiqua" w:hAnsi="Book Antiqua"/>
        </w:rPr>
      </w:pPr>
      <w:r>
        <w:rPr>
          <w:rFonts w:ascii="Book Antiqua" w:hAnsi="Book Antiqua"/>
        </w:rPr>
        <w:t>17 World Health Organization. The Asia-pacific perspective: redefining obesity and its treatment International Association for the Study of Obesity: International Obesity Taskforce; 2021 [DOI: 10.1111/ijpo.12905]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Shah S</w:t>
      </w:r>
      <w:r>
        <w:rPr>
          <w:rFonts w:ascii="Book Antiqua" w:hAnsi="Book Antiqua"/>
        </w:rPr>
        <w:t xml:space="preserve">, Pilkington V, Hill A. Is tenofovir disoproxil fumarate associated with weight loss? </w:t>
      </w:r>
      <w:r>
        <w:rPr>
          <w:rFonts w:ascii="Book Antiqua" w:hAnsi="Book Antiqua"/>
          <w:i/>
          <w:iCs/>
        </w:rPr>
        <w:t>AIDS</w:t>
      </w:r>
      <w:r>
        <w:rPr>
          <w:rFonts w:ascii="Book Antiqua" w:hAnsi="Book Antiqua"/>
        </w:rPr>
        <w:t xml:space="preserve"> 2021; </w:t>
      </w:r>
      <w:r>
        <w:rPr>
          <w:rFonts w:ascii="Book Antiqua" w:hAnsi="Book Antiqua"/>
          <w:b/>
          <w:bCs/>
        </w:rPr>
        <w:t>35</w:t>
      </w:r>
      <w:r>
        <w:rPr>
          <w:rFonts w:ascii="Book Antiqua" w:hAnsi="Book Antiqua"/>
        </w:rPr>
        <w:t>: S189-S195 [PMID: 34848586 DOI: 10.1097/QAD.0000000000003083]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Yazie TS</w:t>
      </w:r>
      <w:r>
        <w:rPr>
          <w:rFonts w:ascii="Book Antiqua" w:hAnsi="Book Antiqua"/>
        </w:rPr>
        <w:t xml:space="preserve">. Dyslipidemia and Associated Factors in Tenofovir Disoproxil Fumarate-Based Regimen Among Human Immunodeficiency Virus-Infected Ethiopian Patients: A Hospital-Based Observational Prospective Cohort Study. </w:t>
      </w:r>
      <w:r>
        <w:rPr>
          <w:rFonts w:ascii="Book Antiqua" w:hAnsi="Book Antiqua"/>
          <w:i/>
          <w:iCs/>
        </w:rPr>
        <w:t>Drug Healthc Patient Saf</w:t>
      </w:r>
      <w:r>
        <w:rPr>
          <w:rFonts w:ascii="Book Antiqua" w:hAnsi="Book Antiqua"/>
        </w:rPr>
        <w:t xml:space="preserve"> 2020; </w:t>
      </w:r>
      <w:r>
        <w:rPr>
          <w:rFonts w:ascii="Book Antiqua" w:hAnsi="Book Antiqua"/>
          <w:b/>
          <w:bCs/>
        </w:rPr>
        <w:t>12</w:t>
      </w:r>
      <w:r>
        <w:rPr>
          <w:rFonts w:ascii="Book Antiqua" w:hAnsi="Book Antiqua"/>
        </w:rPr>
        <w:t>: 245-255 [PMID: 33304107 DOI: 10.2147/DHPS.S283402]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Yang J</w:t>
      </w:r>
      <w:r>
        <w:rPr>
          <w:rFonts w:ascii="Book Antiqua" w:hAnsi="Book Antiqua"/>
        </w:rPr>
        <w:t xml:space="preserve">, Chen J, Ji Y, Tang Q, Zhang R, Liu L, Shen Y, Xun J, Song W, Tang Y, Wang Z, Qi T, Lu H. Lipid profile and renal safety of tenofovir disoproxil fumarate-based anti-retroviral therapy in HIV-infected Chinese patients. </w:t>
      </w:r>
      <w:r>
        <w:rPr>
          <w:rFonts w:ascii="Book Antiqua" w:hAnsi="Book Antiqua"/>
          <w:i/>
          <w:iCs/>
        </w:rPr>
        <w:t>Int J Infect Dis</w:t>
      </w:r>
      <w:r>
        <w:rPr>
          <w:rFonts w:ascii="Book Antiqua" w:hAnsi="Book Antiqua"/>
        </w:rPr>
        <w:t xml:space="preserve"> 2019; </w:t>
      </w:r>
      <w:r>
        <w:rPr>
          <w:rFonts w:ascii="Book Antiqua" w:hAnsi="Book Antiqua"/>
          <w:b/>
          <w:bCs/>
        </w:rPr>
        <w:t>83</w:t>
      </w:r>
      <w:r>
        <w:rPr>
          <w:rFonts w:ascii="Book Antiqua" w:hAnsi="Book Antiqua"/>
        </w:rPr>
        <w:t>: 64-71 [PMID: 30951879 DOI: 10.1016/j.ijid.2019.03.034]</w:t>
      </w:r>
    </w:p>
    <w:p>
      <w:pPr>
        <w:spacing w:line="360" w:lineRule="auto"/>
        <w:jc w:val="both"/>
        <w:rPr>
          <w:rFonts w:ascii="Book Antiqua" w:hAnsi="Book Antiqua"/>
        </w:rPr>
      </w:pPr>
      <w:r>
        <w:rPr>
          <w:rFonts w:ascii="Book Antiqua" w:hAnsi="Book Antiqua"/>
        </w:rPr>
        <w:t xml:space="preserve">21 </w:t>
      </w:r>
      <w:r>
        <w:rPr>
          <w:rFonts w:ascii="Book Antiqua" w:hAnsi="Book Antiqua"/>
          <w:b/>
          <w:bCs/>
        </w:rPr>
        <w:t>Tungsiripat M</w:t>
      </w:r>
      <w:r>
        <w:rPr>
          <w:rFonts w:ascii="Book Antiqua" w:hAnsi="Book Antiqua"/>
        </w:rPr>
        <w:t xml:space="preserve">, Kitch D, Glesby MJ, Gupta SK, Mellors JW, Moran L, Jones L, Alston-Smith B, Rooney JF, Aberg JA. A pilot study to determine the impact on dyslipidemia of adding tenofovir to stable background antiretroviral therapy: ACTG 5206. </w:t>
      </w:r>
      <w:r>
        <w:rPr>
          <w:rFonts w:ascii="Book Antiqua" w:hAnsi="Book Antiqua"/>
          <w:i/>
          <w:iCs/>
        </w:rPr>
        <w:t>AIDS</w:t>
      </w:r>
      <w:r>
        <w:rPr>
          <w:rFonts w:ascii="Book Antiqua" w:hAnsi="Book Antiqua"/>
        </w:rPr>
        <w:t xml:space="preserve"> 2010; </w:t>
      </w:r>
      <w:r>
        <w:rPr>
          <w:rFonts w:ascii="Book Antiqua" w:hAnsi="Book Antiqua"/>
          <w:b/>
          <w:bCs/>
        </w:rPr>
        <w:t>24</w:t>
      </w:r>
      <w:r>
        <w:rPr>
          <w:rFonts w:ascii="Book Antiqua" w:hAnsi="Book Antiqua"/>
        </w:rPr>
        <w:t>: 1781-1784 [PMID: 20495438 DOI: 10.1097/QAD.0b013e32833ad8b4]</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Suzuki K</w:t>
      </w:r>
      <w:r>
        <w:rPr>
          <w:rFonts w:ascii="Book Antiqua" w:hAnsi="Book Antiqua"/>
        </w:rPr>
        <w:t xml:space="preserve">, Suda G, Yamamoto Y, Furuya K, Baba M, Nakamura A, Miyoshi H, Kimura M, Maehara O, Yamada R, Kitagataya T, Yamamoto K, Shigesawa T, Nakamura A, Ohara M, Kawagishi N, Nakai M, Sho T, Natsuizaka M, Morikawa K, Ogawa K, Ohnishi S, Sakamoto N; NORTE Study Group. Tenofovir-disoproxil-fumarate modulates lipid metabolism via hepatic CD36/PPAR-alpha activation in hepatitis B virus infection. </w:t>
      </w:r>
      <w:r>
        <w:rPr>
          <w:rFonts w:ascii="Book Antiqua" w:hAnsi="Book Antiqua"/>
          <w:i/>
          <w:iCs/>
        </w:rPr>
        <w:t>J Gastroenterol</w:t>
      </w:r>
      <w:r>
        <w:rPr>
          <w:rFonts w:ascii="Book Antiqua" w:hAnsi="Book Antiqua"/>
        </w:rPr>
        <w:t xml:space="preserve"> 2021; </w:t>
      </w:r>
      <w:r>
        <w:rPr>
          <w:rFonts w:ascii="Book Antiqua" w:hAnsi="Book Antiqua"/>
          <w:b/>
          <w:bCs/>
        </w:rPr>
        <w:t>56</w:t>
      </w:r>
      <w:r>
        <w:rPr>
          <w:rFonts w:ascii="Book Antiqua" w:hAnsi="Book Antiqua"/>
        </w:rPr>
        <w:t>: 168-180 [PMID: 33211179 DOI: 10.1007/s00535-020-01750-3]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Kuma A</w:t>
      </w:r>
      <w:r>
        <w:rPr>
          <w:rFonts w:ascii="Book Antiqua" w:hAnsi="Book Antiqua"/>
        </w:rPr>
        <w:t xml:space="preserve">, Uchino B, Ochiai Y, Kawashima M, Enta K, Tamura M, Otsuji Y, Kato A. Impact of low-density lipoprotein cholesterol on decline in estimated glomerular filtration rate in apparently healthy young to middle-aged working men. </w:t>
      </w:r>
      <w:r>
        <w:rPr>
          <w:rFonts w:ascii="Book Antiqua" w:hAnsi="Book Antiqua"/>
          <w:i/>
          <w:iCs/>
        </w:rPr>
        <w:t>Clin Exp Nephrol</w:t>
      </w:r>
      <w:r>
        <w:rPr>
          <w:rFonts w:ascii="Book Antiqua" w:hAnsi="Book Antiqua"/>
        </w:rPr>
        <w:t xml:space="preserve"> 2018; </w:t>
      </w:r>
      <w:r>
        <w:rPr>
          <w:rFonts w:ascii="Book Antiqua" w:hAnsi="Book Antiqua"/>
          <w:b/>
          <w:bCs/>
        </w:rPr>
        <w:t>22</w:t>
      </w:r>
      <w:r>
        <w:rPr>
          <w:rFonts w:ascii="Book Antiqua" w:hAnsi="Book Antiqua"/>
        </w:rPr>
        <w:t>: 15-27 [PMID: 28386655 DOI: 10.1007/s10157-017-1407-8]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Moafi M</w:t>
      </w:r>
      <w:r>
        <w:rPr>
          <w:rFonts w:ascii="Book Antiqua" w:hAnsi="Book Antiqua"/>
        </w:rPr>
        <w:t xml:space="preserve">, Assadi F, Heshmat R, Khoshhali M, Qorbani M, Motlagh ME, Dashti R, Taheri M, Kelishadi R. Impact of dyslipidemia on estimated glomerular filtration rate in apparently healthy children and adolescents: the CASPIAN-V study. </w:t>
      </w:r>
      <w:r>
        <w:rPr>
          <w:rFonts w:ascii="Book Antiqua" w:hAnsi="Book Antiqua"/>
          <w:i/>
          <w:iCs/>
        </w:rPr>
        <w:t>World J Pediatr</w:t>
      </w:r>
      <w:r>
        <w:rPr>
          <w:rFonts w:ascii="Book Antiqua" w:hAnsi="Book Antiqua"/>
        </w:rPr>
        <w:t xml:space="preserve"> 2019; </w:t>
      </w:r>
      <w:r>
        <w:rPr>
          <w:rFonts w:ascii="Book Antiqua" w:hAnsi="Book Antiqua"/>
          <w:b/>
          <w:bCs/>
        </w:rPr>
        <w:t>15</w:t>
      </w:r>
      <w:r>
        <w:rPr>
          <w:rFonts w:ascii="Book Antiqua" w:hAnsi="Book Antiqua"/>
        </w:rPr>
        <w:t>: 471-475 [PMID: 31240635 DOI: 10.1007/s12519-019-00270-2]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Kwon JH</w:t>
      </w:r>
      <w:r>
        <w:rPr>
          <w:rFonts w:ascii="Book Antiqua" w:hAnsi="Book Antiqua"/>
        </w:rPr>
        <w:t xml:space="preserve">, Song MJ, Jang JW, Bae SH, Choi JY, Yoon SK, Kim HY, Kim CW, Song DS, Chang UI, Yang JM, You CR, Choi SW, Lee HL, Lee SW, Han NI, Nam SW, Kim SG, Kim YS, Kim SH, Lee BS, Lee TH, Cho EY. Efficacy and Safety of Tenofovir Disoproxil Fumarate in Treatment-Naïve Patients with Chronic Hepatitis B in Korea. </w:t>
      </w:r>
      <w:r>
        <w:rPr>
          <w:rFonts w:ascii="Book Antiqua" w:hAnsi="Book Antiqua"/>
          <w:i/>
          <w:iCs/>
        </w:rPr>
        <w:t>Dig Dis Sci</w:t>
      </w:r>
      <w:r>
        <w:rPr>
          <w:rFonts w:ascii="Book Antiqua" w:hAnsi="Book Antiqua"/>
        </w:rPr>
        <w:t xml:space="preserve"> 2019; </w:t>
      </w:r>
      <w:r>
        <w:rPr>
          <w:rFonts w:ascii="Book Antiqua" w:hAnsi="Book Antiqua"/>
          <w:b/>
          <w:bCs/>
        </w:rPr>
        <w:t>64</w:t>
      </w:r>
      <w:r>
        <w:rPr>
          <w:rFonts w:ascii="Book Antiqua" w:hAnsi="Book Antiqua"/>
        </w:rPr>
        <w:t>: 2039-2048 [PMID: 30725293 DOI: 10.1007/s10620-019-05489-7]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approved by the Ethics Committee of the Third People’s Hospital of Changzhou according to the Declaration of Helsinki 1975.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All t</w:t>
      </w:r>
      <w:r>
        <w:rPr>
          <w:rFonts w:ascii="Book Antiqua" w:hAnsi="Book Antiqua" w:eastAsia="Book Antiqua" w:cs="Book Antiqua"/>
          <w:color w:val="000000"/>
        </w:rPr>
        <w:t>he authors declare no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Technical appendix, statistical code, and dataset available from the corresponding author at czsykjk@163.com.</w:t>
      </w:r>
      <w:r>
        <w:rPr>
          <w:rFonts w:ascii="Book Antiqua" w:hAnsi="Book Antiqua" w:eastAsia="Book Antiqua" w:cs="Book Antiqua"/>
          <w:b/>
          <w:bCs/>
          <w:color w:val="000000"/>
        </w:rPr>
        <w:t xml:space="preserve"> </w:t>
      </w:r>
      <w:r>
        <w:rPr>
          <w:rFonts w:ascii="Book Antiqua" w:hAnsi="Book Antiqua" w:eastAsia="Book Antiqua" w:cs="Book Antiqua"/>
          <w:color w:val="000000"/>
        </w:rPr>
        <w:t>Participants gave informed consent for data sharing.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August 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22,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Infectious diseases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Bordonaro M, United States; Jandale OA, Syria; Sahin TT, Turkey</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autoSpaceDE w:val="0"/>
        <w:autoSpaceDN w:val="0"/>
        <w:adjustRightIn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autoSpaceDE w:val="0"/>
        <w:autoSpaceDN w:val="0"/>
        <w:adjustRightInd w:val="0"/>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4154805" cy="2766060"/>
            <wp:effectExtent l="0" t="0" r="5715" b="7620"/>
            <wp:docPr id="3" name="图片 3" descr="WJCC-10-1137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11371-g001"/>
                    <pic:cNvPicPr>
                      <a:picLocks noChangeAspect="1"/>
                    </pic:cNvPicPr>
                  </pic:nvPicPr>
                  <pic:blipFill>
                    <a:blip r:embed="rId5"/>
                    <a:stretch>
                      <a:fillRect/>
                    </a:stretch>
                  </pic:blipFill>
                  <pic:spPr>
                    <a:xfrm>
                      <a:off x="0" y="0"/>
                      <a:ext cx="4154805" cy="2766060"/>
                    </a:xfrm>
                    <a:prstGeom prst="rect">
                      <a:avLst/>
                    </a:prstGeom>
                  </pic:spPr>
                </pic:pic>
              </a:graphicData>
            </a:graphic>
          </wp:inline>
        </w:drawing>
      </w:r>
    </w:p>
    <w:p>
      <w:pPr>
        <w:autoSpaceDE w:val="0"/>
        <w:autoSpaceDN w:val="0"/>
        <w:adjustRightInd w:val="0"/>
        <w:spacing w:line="360" w:lineRule="auto"/>
        <w:jc w:val="both"/>
        <w:rPr>
          <w:rFonts w:ascii="Book Antiqua" w:hAnsi="Book Antiqua" w:eastAsia="Book Antiqua" w:cs="Book Antiqua"/>
          <w:bCs/>
          <w:color w:val="000000"/>
        </w:rPr>
      </w:pPr>
      <w:r>
        <w:rPr>
          <w:rFonts w:ascii="Book Antiqua" w:hAnsi="Book Antiqua" w:eastAsia="Book Antiqua" w:cs="Book Antiqua"/>
          <w:b/>
          <w:bCs/>
          <w:color w:val="000000"/>
        </w:rPr>
        <w:t xml:space="preserve">Figure 1 Flow chart of the study. </w:t>
      </w:r>
      <w:r>
        <w:rPr>
          <w:rFonts w:ascii="Book Antiqua" w:hAnsi="Book Antiqua" w:eastAsia="Book Antiqua" w:cs="Book Antiqua"/>
          <w:bCs/>
          <w:color w:val="000000"/>
        </w:rPr>
        <w:t>HCC</w:t>
      </w:r>
      <w:r>
        <w:rPr>
          <w:rFonts w:hint="eastAsia" w:cs="Book Antiqua" w:asciiTheme="minorEastAsia" w:hAnsiTheme="minorEastAsia"/>
          <w:bCs/>
          <w:color w:val="000000"/>
          <w:lang w:eastAsia="zh-CN"/>
        </w:rPr>
        <w:t>:</w:t>
      </w:r>
      <w:r>
        <w:rPr>
          <w:rFonts w:ascii="Book Antiqua" w:hAnsi="Book Antiqua" w:eastAsia="Book Antiqua" w:cs="Book Antiqua"/>
          <w:bCs/>
          <w:color w:val="000000"/>
        </w:rPr>
        <w:t xml:space="preserve"> Hepatocellular carcinoma; ETV: Entecavir; BMI: Body mass index.</w:t>
      </w:r>
    </w:p>
    <w:p>
      <w:pPr>
        <w:autoSpaceDE w:val="0"/>
        <w:autoSpaceDN w:val="0"/>
        <w:adjustRightInd w:val="0"/>
        <w:spacing w:line="360" w:lineRule="auto"/>
        <w:jc w:val="both"/>
        <w:rPr>
          <w:rFonts w:ascii="Book Antiqua" w:hAnsi="Book Antiqua" w:eastAsia="宋体"/>
          <w:b/>
          <w:bCs/>
          <w:color w:val="000000" w:themeColor="text1"/>
          <w:kern w:val="24"/>
          <w:sz w:val="32"/>
          <w:szCs w:val="32"/>
          <w:lang w:eastAsia="zh-CN"/>
          <w14:textFill>
            <w14:solidFill>
              <w14:schemeClr w14:val="tx1"/>
            </w14:solidFill>
          </w14:textFill>
        </w:rPr>
      </w:pPr>
      <w:r>
        <w:rPr>
          <w:rFonts w:ascii="Book Antiqua" w:hAnsi="Book Antiqua" w:eastAsia="宋体"/>
          <w:b/>
          <w:bCs/>
          <w:color w:val="000000" w:themeColor="text1"/>
          <w:kern w:val="24"/>
          <w:sz w:val="32"/>
          <w:szCs w:val="32"/>
          <w:lang w:eastAsia="zh-CN"/>
          <w14:textFill>
            <w14:solidFill>
              <w14:schemeClr w14:val="tx1"/>
            </w14:solidFill>
          </w14:textFill>
        </w:rPr>
        <w:drawing>
          <wp:inline distT="0" distB="0" distL="114300" distR="114300">
            <wp:extent cx="4940935" cy="4596765"/>
            <wp:effectExtent l="0" t="0" r="12065" b="5715"/>
            <wp:docPr id="4" name="图片 4" descr="WJCC-10-1137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1371-g002"/>
                    <pic:cNvPicPr>
                      <a:picLocks noChangeAspect="1"/>
                    </pic:cNvPicPr>
                  </pic:nvPicPr>
                  <pic:blipFill>
                    <a:blip r:embed="rId6"/>
                    <a:stretch>
                      <a:fillRect/>
                    </a:stretch>
                  </pic:blipFill>
                  <pic:spPr>
                    <a:xfrm>
                      <a:off x="0" y="0"/>
                      <a:ext cx="4940935" cy="4596765"/>
                    </a:xfrm>
                    <a:prstGeom prst="rect">
                      <a:avLst/>
                    </a:prstGeom>
                  </pic:spPr>
                </pic:pic>
              </a:graphicData>
            </a:graphic>
          </wp:inline>
        </w:drawing>
      </w:r>
    </w:p>
    <w:p>
      <w:pPr>
        <w:autoSpaceDE w:val="0"/>
        <w:autoSpaceDN w:val="0"/>
        <w:adjustRightInd w:val="0"/>
        <w:spacing w:line="360" w:lineRule="auto"/>
        <w:jc w:val="both"/>
        <w:rPr>
          <w:rFonts w:ascii="Book Antiqua" w:hAnsi="Book Antiqua" w:cs="Book Antiqua"/>
          <w:b/>
          <w:color w:val="000000"/>
        </w:rPr>
      </w:pPr>
      <w:r>
        <w:rPr>
          <w:rFonts w:ascii="Book Antiqua" w:hAnsi="Book Antiqua" w:eastAsia="Book Antiqua" w:cs="Book Antiqua"/>
          <w:b/>
          <w:bCs/>
          <w:color w:val="000000"/>
        </w:rPr>
        <w:t xml:space="preserve">Figure </w:t>
      </w:r>
      <w:bookmarkStart w:id="1" w:name="_Hlk114596119"/>
      <w:r>
        <w:rPr>
          <w:rFonts w:ascii="Book Antiqua" w:hAnsi="Book Antiqua" w:eastAsia="Book Antiqua" w:cs="Book Antiqua"/>
          <w:b/>
          <w:bCs/>
          <w:color w:val="000000"/>
        </w:rPr>
        <w:t xml:space="preserve">2 </w:t>
      </w:r>
      <w:bookmarkStart w:id="2" w:name="_Hlk114596666"/>
      <w:r>
        <w:rPr>
          <w:rFonts w:ascii="Book Antiqua" w:hAnsi="Book Antiqua" w:eastAsia="Book Antiqua" w:cs="Book Antiqua"/>
          <w:b/>
          <w:bCs/>
          <w:color w:val="000000"/>
        </w:rPr>
        <w:t xml:space="preserve">Dynamic changes in estimated glomerular filtration rate, </w:t>
      </w:r>
      <w:r>
        <w:rPr>
          <w:rFonts w:ascii="Book Antiqua" w:hAnsi="Book Antiqua" w:eastAsia="Book Antiqua" w:cs="Book Antiqua"/>
          <w:b/>
          <w:color w:val="000000"/>
        </w:rPr>
        <w:t>cholesterol</w:t>
      </w:r>
      <w:r>
        <w:rPr>
          <w:rFonts w:ascii="Book Antiqua" w:hAnsi="Book Antiqua" w:eastAsia="Book Antiqua" w:cs="Book Antiqua"/>
          <w:b/>
          <w:bCs/>
          <w:color w:val="000000"/>
        </w:rPr>
        <w:t xml:space="preserve">, triglycerides during 3-year tenofovir disoproxil fumarate treatment. </w:t>
      </w:r>
      <w:r>
        <w:rPr>
          <w:rFonts w:ascii="Book Antiqua" w:hAnsi="Book Antiqua" w:eastAsia="Book Antiqua" w:cs="Book Antiqua"/>
          <w:color w:val="000000"/>
        </w:rPr>
        <w:t>A:</w:t>
      </w:r>
      <w:r>
        <w:rPr>
          <w:rFonts w:ascii="Book Antiqua" w:hAnsi="Book Antiqua" w:eastAsia="Book Antiqua" w:cs="Book Antiqua"/>
          <w:b/>
          <w:bCs/>
          <w:color w:val="000000"/>
        </w:rPr>
        <w:t xml:space="preserve"> </w:t>
      </w:r>
      <w:r>
        <w:rPr>
          <w:rFonts w:ascii="Book Antiqua" w:hAnsi="Book Antiqua"/>
          <w:color w:val="333333"/>
        </w:rPr>
        <w:t xml:space="preserve">Dynamic changes of </w:t>
      </w:r>
      <w:r>
        <w:rPr>
          <w:rFonts w:ascii="Book Antiqua" w:hAnsi="Book Antiqua" w:eastAsia="Book Antiqua" w:cs="Book Antiqua"/>
          <w:bCs/>
          <w:color w:val="000000"/>
        </w:rPr>
        <w:t>estimated glomerular filtration rate</w:t>
      </w:r>
      <w:r>
        <w:rPr>
          <w:rFonts w:ascii="Book Antiqua" w:hAnsi="Book Antiqua"/>
          <w:color w:val="333333"/>
        </w:rPr>
        <w:t xml:space="preserve"> (eGFR)</w:t>
      </w:r>
      <w:r>
        <w:rPr>
          <w:rFonts w:hint="eastAsia" w:ascii="Book Antiqua" w:hAnsi="Book Antiqua"/>
          <w:color w:val="333333"/>
        </w:rPr>
        <w:t>,</w:t>
      </w:r>
      <w:r>
        <w:rPr>
          <w:rFonts w:ascii="Book Antiqua" w:hAnsi="Book Antiqua"/>
          <w:color w:val="333333"/>
        </w:rPr>
        <w:t xml:space="preserve"> </w:t>
      </w:r>
      <w:r>
        <w:rPr>
          <w:rFonts w:ascii="Book Antiqua" w:hAnsi="Book Antiqua" w:eastAsia="Book Antiqua" w:cs="Book Antiqua"/>
          <w:bCs/>
          <w:color w:val="000000"/>
        </w:rPr>
        <w:t>cholesterol (CHOL)</w:t>
      </w:r>
      <w:r>
        <w:rPr>
          <w:rFonts w:hint="eastAsia" w:ascii="Book Antiqua" w:hAnsi="Book Antiqua"/>
          <w:color w:val="333333"/>
        </w:rPr>
        <w:t>,</w:t>
      </w:r>
      <w:r>
        <w:rPr>
          <w:rFonts w:ascii="Book Antiqua" w:hAnsi="Book Antiqua"/>
          <w:color w:val="333333"/>
        </w:rPr>
        <w:t xml:space="preserve"> </w:t>
      </w:r>
      <w:r>
        <w:rPr>
          <w:rFonts w:ascii="Book Antiqua" w:hAnsi="Book Antiqua" w:eastAsia="Book Antiqua" w:cs="Book Antiqua"/>
          <w:bCs/>
          <w:color w:val="000000"/>
        </w:rPr>
        <w:t>triglycerides</w:t>
      </w:r>
      <w:r>
        <w:rPr>
          <w:rFonts w:ascii="Book Antiqua" w:hAnsi="Book Antiqua"/>
          <w:color w:val="333333"/>
        </w:rPr>
        <w:t xml:space="preserve"> (</w:t>
      </w:r>
      <w:r>
        <w:rPr>
          <w:rFonts w:ascii="Book Antiqua" w:hAnsi="Book Antiqua" w:eastAsia="Book Antiqua" w:cs="Book Antiqua"/>
          <w:bCs/>
          <w:color w:val="000000"/>
        </w:rPr>
        <w:t>TG</w:t>
      </w:r>
      <w:r>
        <w:rPr>
          <w:rFonts w:ascii="Book Antiqua" w:hAnsi="Book Antiqua"/>
          <w:color w:val="333333"/>
        </w:rPr>
        <w:t xml:space="preserve">) </w:t>
      </w:r>
      <w:r>
        <w:rPr>
          <w:rFonts w:ascii="Book Antiqua" w:hAnsi="Book Antiqua"/>
          <w:color w:val="333333"/>
          <w:lang w:eastAsia="zh-CN"/>
        </w:rPr>
        <w:t>in</w:t>
      </w:r>
      <w:r>
        <w:rPr>
          <w:rFonts w:ascii="Book Antiqua" w:hAnsi="Book Antiqua"/>
          <w:color w:val="333333"/>
        </w:rPr>
        <w:t xml:space="preserve"> </w:t>
      </w:r>
      <w:r>
        <w:rPr>
          <w:rFonts w:ascii="Book Antiqua" w:hAnsi="Book Antiqua"/>
          <w:color w:val="333333"/>
          <w:lang w:eastAsia="zh-CN"/>
        </w:rPr>
        <w:t>total</w:t>
      </w:r>
      <w:r>
        <w:rPr>
          <w:rFonts w:ascii="Book Antiqua" w:hAnsi="Book Antiqua"/>
          <w:color w:val="333333"/>
        </w:rPr>
        <w:t xml:space="preserve"> population; B: Dynamic changes of eGFR</w:t>
      </w:r>
      <w:r>
        <w:rPr>
          <w:rFonts w:hint="eastAsia" w:ascii="Book Antiqua" w:hAnsi="Book Antiqua"/>
          <w:color w:val="333333"/>
        </w:rPr>
        <w:t>,</w:t>
      </w:r>
      <w:r>
        <w:rPr>
          <w:rFonts w:ascii="Book Antiqua" w:hAnsi="Book Antiqua"/>
          <w:color w:val="333333"/>
        </w:rPr>
        <w:t xml:space="preserve"> CHOL</w:t>
      </w:r>
      <w:r>
        <w:rPr>
          <w:rFonts w:hint="eastAsia" w:ascii="Book Antiqua" w:hAnsi="Book Antiqua"/>
          <w:color w:val="333333"/>
        </w:rPr>
        <w:t>,</w:t>
      </w:r>
      <w:r>
        <w:rPr>
          <w:rFonts w:ascii="Book Antiqua" w:hAnsi="Book Antiqua"/>
          <w:color w:val="333333"/>
        </w:rPr>
        <w:t xml:space="preserve"> TG </w:t>
      </w:r>
      <w:r>
        <w:rPr>
          <w:rFonts w:ascii="Book Antiqua" w:hAnsi="Book Antiqua"/>
          <w:color w:val="333333"/>
          <w:lang w:eastAsia="zh-CN"/>
        </w:rPr>
        <w:t>in</w:t>
      </w:r>
      <w:r>
        <w:rPr>
          <w:rFonts w:ascii="Book Antiqua" w:hAnsi="Book Antiqua"/>
          <w:color w:val="333333"/>
        </w:rPr>
        <w:t xml:space="preserve"> </w:t>
      </w:r>
      <w:r>
        <w:rPr>
          <w:rFonts w:ascii="Book Antiqua" w:hAnsi="Book Antiqua"/>
          <w:color w:val="333333"/>
          <w:lang w:eastAsia="zh-CN"/>
        </w:rPr>
        <w:t>no</w:t>
      </w:r>
      <w:r>
        <w:rPr>
          <w:rFonts w:ascii="Book Antiqua" w:hAnsi="Book Antiqua"/>
          <w:color w:val="333333"/>
        </w:rPr>
        <w:t>n-</w:t>
      </w:r>
      <w:r>
        <w:rPr>
          <w:rFonts w:ascii="Book Antiqua" w:hAnsi="Book Antiqua"/>
          <w:color w:val="333333"/>
          <w:lang w:eastAsia="zh-CN"/>
        </w:rPr>
        <w:t>overweight</w:t>
      </w:r>
      <w:r>
        <w:rPr>
          <w:rFonts w:ascii="Book Antiqua" w:hAnsi="Book Antiqua"/>
          <w:color w:val="333333"/>
        </w:rPr>
        <w:t xml:space="preserve"> population; C: Dynamic changes of eGFR</w:t>
      </w:r>
      <w:r>
        <w:rPr>
          <w:rFonts w:hint="eastAsia" w:ascii="Book Antiqua" w:hAnsi="Book Antiqua"/>
          <w:color w:val="333333"/>
        </w:rPr>
        <w:t>,</w:t>
      </w:r>
      <w:r>
        <w:rPr>
          <w:rFonts w:ascii="Book Antiqua" w:hAnsi="Book Antiqua"/>
          <w:color w:val="333333"/>
        </w:rPr>
        <w:t xml:space="preserve"> CHOL</w:t>
      </w:r>
      <w:r>
        <w:rPr>
          <w:rFonts w:hint="eastAsia" w:ascii="Book Antiqua" w:hAnsi="Book Antiqua"/>
          <w:color w:val="333333"/>
        </w:rPr>
        <w:t>,</w:t>
      </w:r>
      <w:r>
        <w:rPr>
          <w:rFonts w:ascii="Book Antiqua" w:hAnsi="Book Antiqua"/>
          <w:color w:val="333333"/>
        </w:rPr>
        <w:t xml:space="preserve"> TG </w:t>
      </w:r>
      <w:r>
        <w:rPr>
          <w:rFonts w:ascii="Book Antiqua" w:hAnsi="Book Antiqua"/>
          <w:color w:val="333333"/>
          <w:lang w:eastAsia="zh-CN"/>
        </w:rPr>
        <w:t>in</w:t>
      </w:r>
      <w:r>
        <w:rPr>
          <w:rFonts w:ascii="Book Antiqua" w:hAnsi="Book Antiqua"/>
          <w:color w:val="333333"/>
        </w:rPr>
        <w:t xml:space="preserve"> </w:t>
      </w:r>
      <w:r>
        <w:rPr>
          <w:rFonts w:ascii="Book Antiqua" w:hAnsi="Book Antiqua"/>
          <w:color w:val="333333"/>
          <w:lang w:eastAsia="zh-CN"/>
        </w:rPr>
        <w:t>overweight</w:t>
      </w:r>
      <w:r>
        <w:rPr>
          <w:rFonts w:ascii="Book Antiqua" w:hAnsi="Book Antiqua"/>
          <w:color w:val="333333"/>
        </w:rPr>
        <w:t xml:space="preserve"> population. </w:t>
      </w:r>
      <w:r>
        <w:rPr>
          <w:rFonts w:ascii="Book Antiqua" w:hAnsi="Book Antiqua" w:eastAsia="Book Antiqua" w:cs="Book Antiqua"/>
          <w:bCs/>
          <w:color w:val="000000"/>
        </w:rPr>
        <w:t>BMI: Body mass index; eGFR: Estimated glomerular filtration rate; CHOL: Cholesterol; TG: Triglycerides.</w:t>
      </w:r>
    </w:p>
    <w:bookmarkEnd w:id="1"/>
    <w:bookmarkEnd w:id="2"/>
    <w:p>
      <w:pPr>
        <w:autoSpaceDE w:val="0"/>
        <w:autoSpaceDN w:val="0"/>
        <w:adjustRightInd w:val="0"/>
        <w:spacing w:line="360" w:lineRule="auto"/>
        <w:jc w:val="both"/>
        <w:rPr>
          <w:rFonts w:hint="eastAsia" w:ascii="Book Antiqua" w:hAnsi="Book Antiqua" w:eastAsia="宋体" w:cs="Book Antiqua"/>
          <w:b/>
          <w:color w:val="000000"/>
          <w:lang w:eastAsia="zh-CN"/>
        </w:rPr>
      </w:pPr>
      <w:bookmarkStart w:id="4" w:name="_GoBack"/>
      <w:r>
        <w:rPr>
          <w:rFonts w:hint="eastAsia" w:ascii="Book Antiqua" w:hAnsi="Book Antiqua" w:eastAsia="宋体" w:cs="Book Antiqua"/>
          <w:b/>
          <w:color w:val="000000"/>
          <w:lang w:eastAsia="zh-CN"/>
        </w:rPr>
        <w:drawing>
          <wp:inline distT="0" distB="0" distL="114300" distR="114300">
            <wp:extent cx="5313045" cy="4790440"/>
            <wp:effectExtent l="0" t="0" r="5715" b="10160"/>
            <wp:docPr id="5" name="图片 5" descr="WJCC-10-1137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0-11371-g003"/>
                    <pic:cNvPicPr>
                      <a:picLocks noChangeAspect="1"/>
                    </pic:cNvPicPr>
                  </pic:nvPicPr>
                  <pic:blipFill>
                    <a:blip r:embed="rId7"/>
                    <a:stretch>
                      <a:fillRect/>
                    </a:stretch>
                  </pic:blipFill>
                  <pic:spPr>
                    <a:xfrm>
                      <a:off x="0" y="0"/>
                      <a:ext cx="5313045" cy="4790440"/>
                    </a:xfrm>
                    <a:prstGeom prst="rect">
                      <a:avLst/>
                    </a:prstGeom>
                  </pic:spPr>
                </pic:pic>
              </a:graphicData>
            </a:graphic>
          </wp:inline>
        </w:drawing>
      </w:r>
      <w:bookmarkEnd w:id="4"/>
    </w:p>
    <w:p>
      <w:pPr>
        <w:spacing w:line="360" w:lineRule="auto"/>
        <w:jc w:val="both"/>
        <w:rPr>
          <w:rFonts w:ascii="Book Antiqua" w:hAnsi="Book Antiqua"/>
          <w:color w:val="333333"/>
        </w:rPr>
      </w:pPr>
      <w:r>
        <w:rPr>
          <w:rFonts w:ascii="Book Antiqua" w:hAnsi="Book Antiqua" w:eastAsia="Book Antiqua" w:cs="Book Antiqua"/>
          <w:b/>
          <w:bCs/>
          <w:color w:val="000000"/>
        </w:rPr>
        <w:t xml:space="preserve">Figure 3 </w:t>
      </w:r>
      <w:bookmarkStart w:id="3" w:name="_Hlk114596432"/>
      <w:r>
        <w:rPr>
          <w:rFonts w:ascii="Book Antiqua" w:hAnsi="Book Antiqua" w:eastAsia="Book Antiqua" w:cs="Book Antiqua"/>
          <w:b/>
          <w:bCs/>
          <w:color w:val="000000"/>
        </w:rPr>
        <w:t xml:space="preserve">Correlation analysis between estimated glomerular filtration rate and lipid profiles. </w:t>
      </w:r>
      <w:r>
        <w:rPr>
          <w:rFonts w:ascii="Book Antiqua" w:hAnsi="Book Antiqua" w:eastAsia="Book Antiqua" w:cs="Book Antiqua"/>
          <w:color w:val="000000"/>
        </w:rPr>
        <w:t>A:</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Correlation between </w:t>
      </w:r>
      <w:r>
        <w:rPr>
          <w:rFonts w:ascii="Book Antiqua" w:hAnsi="Book Antiqua" w:eastAsia="Book Antiqua" w:cs="Book Antiqua"/>
          <w:bCs/>
          <w:color w:val="000000"/>
        </w:rPr>
        <w:t>estimated glomerular filtration rate</w:t>
      </w:r>
      <w:r>
        <w:rPr>
          <w:rFonts w:ascii="Book Antiqua" w:hAnsi="Book Antiqua"/>
          <w:color w:val="333333"/>
        </w:rPr>
        <w:t xml:space="preserve"> (eGFR) </w:t>
      </w:r>
      <w:r>
        <w:rPr>
          <w:rFonts w:ascii="Book Antiqua" w:hAnsi="Book Antiqua" w:eastAsia="Book Antiqua" w:cs="Book Antiqua"/>
          <w:color w:val="000000"/>
        </w:rPr>
        <w:t>and</w:t>
      </w:r>
      <w:r>
        <w:rPr>
          <w:rFonts w:ascii="Book Antiqua" w:hAnsi="Book Antiqua" w:eastAsia="Book Antiqua" w:cs="Book Antiqua"/>
          <w:bCs/>
          <w:color w:val="000000"/>
        </w:rPr>
        <w:t xml:space="preserve"> triglycerides</w:t>
      </w:r>
      <w:r>
        <w:rPr>
          <w:rFonts w:ascii="Book Antiqua" w:hAnsi="Book Antiqua"/>
          <w:color w:val="333333"/>
        </w:rPr>
        <w:t xml:space="preserve"> (</w:t>
      </w:r>
      <w:r>
        <w:rPr>
          <w:rFonts w:ascii="Book Antiqua" w:hAnsi="Book Antiqua" w:eastAsia="Book Antiqua" w:cs="Book Antiqua"/>
          <w:bCs/>
          <w:color w:val="000000"/>
        </w:rPr>
        <w:t>TG</w:t>
      </w:r>
      <w:r>
        <w:rPr>
          <w:rFonts w:ascii="Book Antiqua" w:hAnsi="Book Antiqua"/>
          <w:color w:val="333333"/>
        </w:rPr>
        <w:t>)</w:t>
      </w:r>
      <w:r>
        <w:rPr>
          <w:rFonts w:ascii="Book Antiqua" w:hAnsi="Book Antiqua" w:eastAsia="Book Antiqua" w:cs="Book Antiqua"/>
          <w:bCs/>
          <w:color w:val="000000"/>
        </w:rPr>
        <w:t xml:space="preserve"> in</w:t>
      </w:r>
      <w:r>
        <w:rPr>
          <w:rFonts w:ascii="Book Antiqua" w:hAnsi="Book Antiqua"/>
          <w:color w:val="333333"/>
        </w:rPr>
        <w:t xml:space="preserve"> </w:t>
      </w:r>
      <w:r>
        <w:rPr>
          <w:rFonts w:ascii="Book Antiqua" w:hAnsi="Book Antiqua"/>
          <w:color w:val="333333"/>
          <w:lang w:eastAsia="zh-CN"/>
        </w:rPr>
        <w:t>no</w:t>
      </w:r>
      <w:r>
        <w:rPr>
          <w:rFonts w:ascii="Book Antiqua" w:hAnsi="Book Antiqua"/>
          <w:color w:val="333333"/>
        </w:rPr>
        <w:t>n-</w:t>
      </w:r>
      <w:r>
        <w:rPr>
          <w:rFonts w:ascii="Book Antiqua" w:hAnsi="Book Antiqua"/>
          <w:color w:val="333333"/>
          <w:lang w:eastAsia="zh-CN"/>
        </w:rPr>
        <w:t>overweight</w:t>
      </w:r>
      <w:r>
        <w:rPr>
          <w:rFonts w:ascii="Book Antiqua" w:hAnsi="Book Antiqua"/>
          <w:color w:val="333333"/>
        </w:rPr>
        <w:t xml:space="preserve"> population; B: </w:t>
      </w:r>
      <w:r>
        <w:rPr>
          <w:rFonts w:ascii="Book Antiqua" w:hAnsi="Book Antiqua" w:eastAsia="Book Antiqua" w:cs="Book Antiqua"/>
          <w:color w:val="000000"/>
        </w:rPr>
        <w:t>Correlation between eGFR and</w:t>
      </w:r>
      <w:r>
        <w:rPr>
          <w:rFonts w:ascii="Book Antiqua" w:hAnsi="Book Antiqua" w:eastAsia="Book Antiqua" w:cs="Book Antiqua"/>
          <w:bCs/>
          <w:color w:val="000000"/>
        </w:rPr>
        <w:t xml:space="preserve"> cholesterol (CHOL) in</w:t>
      </w:r>
      <w:r>
        <w:rPr>
          <w:rFonts w:ascii="Book Antiqua" w:hAnsi="Book Antiqua"/>
          <w:color w:val="333333"/>
        </w:rPr>
        <w:t xml:space="preserve"> </w:t>
      </w:r>
      <w:r>
        <w:rPr>
          <w:rFonts w:ascii="Book Antiqua" w:hAnsi="Book Antiqua"/>
          <w:color w:val="333333"/>
          <w:lang w:eastAsia="zh-CN"/>
        </w:rPr>
        <w:t>no</w:t>
      </w:r>
      <w:r>
        <w:rPr>
          <w:rFonts w:ascii="Book Antiqua" w:hAnsi="Book Antiqua"/>
          <w:color w:val="333333"/>
        </w:rPr>
        <w:t>n-</w:t>
      </w:r>
      <w:r>
        <w:rPr>
          <w:rFonts w:ascii="Book Antiqua" w:hAnsi="Book Antiqua"/>
          <w:color w:val="333333"/>
          <w:lang w:eastAsia="zh-CN"/>
        </w:rPr>
        <w:t>overweight</w:t>
      </w:r>
      <w:r>
        <w:rPr>
          <w:rFonts w:ascii="Book Antiqua" w:hAnsi="Book Antiqua"/>
          <w:color w:val="333333"/>
        </w:rPr>
        <w:t xml:space="preserve"> population. C:</w:t>
      </w:r>
      <w:r>
        <w:rPr>
          <w:rFonts w:ascii="Book Antiqua" w:hAnsi="Book Antiqua" w:eastAsia="Book Antiqua" w:cs="Book Antiqua"/>
          <w:color w:val="000000"/>
        </w:rPr>
        <w:t xml:space="preserve"> Correlation between eGFR and</w:t>
      </w:r>
      <w:r>
        <w:rPr>
          <w:rFonts w:ascii="Book Antiqua" w:hAnsi="Book Antiqua" w:eastAsia="Book Antiqua" w:cs="Book Antiqua"/>
          <w:bCs/>
          <w:color w:val="000000"/>
        </w:rPr>
        <w:t xml:space="preserve"> TG in</w:t>
      </w:r>
      <w:r>
        <w:rPr>
          <w:rFonts w:ascii="Book Antiqua" w:hAnsi="Book Antiqua"/>
          <w:color w:val="333333"/>
        </w:rPr>
        <w:t xml:space="preserve"> </w:t>
      </w:r>
      <w:r>
        <w:rPr>
          <w:rFonts w:ascii="Book Antiqua" w:hAnsi="Book Antiqua"/>
          <w:color w:val="333333"/>
          <w:lang w:eastAsia="zh-CN"/>
        </w:rPr>
        <w:t>overweight</w:t>
      </w:r>
      <w:r>
        <w:rPr>
          <w:rFonts w:ascii="Book Antiqua" w:hAnsi="Book Antiqua"/>
          <w:color w:val="333333"/>
        </w:rPr>
        <w:t xml:space="preserve"> population. D:</w:t>
      </w:r>
      <w:r>
        <w:rPr>
          <w:rFonts w:ascii="Book Antiqua" w:hAnsi="Book Antiqua" w:eastAsia="Book Antiqua" w:cs="Book Antiqua"/>
          <w:color w:val="000000"/>
        </w:rPr>
        <w:t xml:space="preserve"> Correlation between eGFR and</w:t>
      </w:r>
      <w:r>
        <w:rPr>
          <w:rFonts w:ascii="Book Antiqua" w:hAnsi="Book Antiqua" w:eastAsia="Book Antiqua" w:cs="Book Antiqua"/>
          <w:bCs/>
          <w:color w:val="000000"/>
        </w:rPr>
        <w:t xml:space="preserve"> CHOL in</w:t>
      </w:r>
      <w:r>
        <w:rPr>
          <w:rFonts w:ascii="Book Antiqua" w:hAnsi="Book Antiqua"/>
          <w:color w:val="333333"/>
        </w:rPr>
        <w:t xml:space="preserve"> </w:t>
      </w:r>
      <w:r>
        <w:rPr>
          <w:rFonts w:ascii="Book Antiqua" w:hAnsi="Book Antiqua"/>
          <w:color w:val="333333"/>
          <w:lang w:eastAsia="zh-CN"/>
        </w:rPr>
        <w:t>overweight</w:t>
      </w:r>
      <w:r>
        <w:rPr>
          <w:rFonts w:ascii="Book Antiqua" w:hAnsi="Book Antiqua"/>
          <w:color w:val="333333"/>
        </w:rPr>
        <w:t xml:space="preserve"> population. </w:t>
      </w:r>
      <w:r>
        <w:rPr>
          <w:rFonts w:ascii="Book Antiqua" w:hAnsi="Book Antiqua" w:eastAsia="Book Antiqua" w:cs="Book Antiqua"/>
          <w:bCs/>
          <w:color w:val="000000"/>
        </w:rPr>
        <w:t>BMI: Body mass index; TDF: Tenofovir disoproxil fumarate; eGFR: Estimated glomerular filtration rate; TG: Triglycerides; CHOL: Cholesterol.</w:t>
      </w:r>
    </w:p>
    <w:bookmarkEnd w:id="3"/>
    <w:p>
      <w:pPr>
        <w:autoSpaceDE w:val="0"/>
        <w:autoSpaceDN w:val="0"/>
        <w:adjustRightInd w:val="0"/>
        <w:spacing w:line="360" w:lineRule="auto"/>
        <w:jc w:val="both"/>
        <w:rPr>
          <w:rFonts w:ascii="Book Antiqua" w:hAnsi="Book Antiqua" w:eastAsia="Book Antiqua" w:cs="Book Antiqua"/>
          <w:bCs/>
          <w:color w:val="000000"/>
        </w:rPr>
      </w:pPr>
    </w:p>
    <w:p>
      <w:pPr>
        <w:autoSpaceDE w:val="0"/>
        <w:autoSpaceDN w:val="0"/>
        <w:adjustRightInd w:val="0"/>
        <w:spacing w:line="360" w:lineRule="auto"/>
        <w:jc w:val="both"/>
        <w:rPr>
          <w:rFonts w:ascii="Book Antiqua" w:hAnsi="Book Antiqua" w:eastAsia="Book Antiqua" w:cs="Book Antiqua"/>
          <w:b/>
          <w:color w:val="000000"/>
        </w:rPr>
      </w:pPr>
    </w:p>
    <w:p>
      <w:pPr>
        <w:autoSpaceDE w:val="0"/>
        <w:autoSpaceDN w:val="0"/>
        <w:adjustRightInd w:val="0"/>
        <w:spacing w:line="360" w:lineRule="auto"/>
        <w:jc w:val="both"/>
        <w:rPr>
          <w:rFonts w:ascii="Book Antiqua" w:hAnsi="Book Antiqua" w:eastAsia="Book Antiqua" w:cs="Book Antiqua"/>
          <w:b/>
          <w:color w:val="000000"/>
        </w:rPr>
      </w:pPr>
    </w:p>
    <w:p>
      <w:pPr>
        <w:autoSpaceDE w:val="0"/>
        <w:autoSpaceDN w:val="0"/>
        <w:adjustRightInd w:val="0"/>
        <w:spacing w:line="360" w:lineRule="auto"/>
        <w:jc w:val="both"/>
        <w:rPr>
          <w:rFonts w:ascii="Book Antiqua" w:hAnsi="Book Antiqua"/>
          <w:b/>
        </w:rPr>
      </w:pPr>
      <w:r>
        <w:rPr>
          <w:rFonts w:ascii="Book Antiqua" w:hAnsi="Book Antiqua" w:eastAsia="Book Antiqua" w:cs="Book Antiqua"/>
          <w:b/>
          <w:color w:val="000000"/>
        </w:rPr>
        <w:br w:type="page"/>
      </w:r>
      <w:r>
        <w:rPr>
          <w:rFonts w:ascii="Book Antiqua" w:hAnsi="Book Antiqua"/>
          <w:b/>
        </w:rPr>
        <w:t>Table 1 Baseline characteristics of patients</w:t>
      </w:r>
    </w:p>
    <w:tbl>
      <w:tblPr>
        <w:tblStyle w:val="8"/>
        <w:tblW w:w="5000" w:type="pct"/>
        <w:tblInd w:w="0" w:type="dxa"/>
        <w:tblLayout w:type="autofit"/>
        <w:tblCellMar>
          <w:top w:w="0" w:type="dxa"/>
          <w:left w:w="108" w:type="dxa"/>
          <w:bottom w:w="0" w:type="dxa"/>
          <w:right w:w="108" w:type="dxa"/>
        </w:tblCellMar>
      </w:tblPr>
      <w:tblGrid>
        <w:gridCol w:w="2511"/>
        <w:gridCol w:w="2706"/>
        <w:gridCol w:w="2072"/>
        <w:gridCol w:w="1434"/>
        <w:gridCol w:w="853"/>
      </w:tblGrid>
      <w:tr>
        <w:tblPrEx>
          <w:tblCellMar>
            <w:top w:w="0" w:type="dxa"/>
            <w:left w:w="108" w:type="dxa"/>
            <w:bottom w:w="0" w:type="dxa"/>
            <w:right w:w="108" w:type="dxa"/>
          </w:tblCellMar>
        </w:tblPrEx>
        <w:trPr>
          <w:trHeight w:val="300" w:hRule="atLeast"/>
        </w:trPr>
        <w:tc>
          <w:tcPr>
            <w:tcW w:w="1311" w:type="pct"/>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bCs/>
              </w:rPr>
            </w:pPr>
            <w:r>
              <w:rPr>
                <w:rFonts w:ascii="Book Antiqua" w:hAnsi="Book Antiqua"/>
                <w:b/>
                <w:bCs/>
              </w:rPr>
              <w:t>Variables</w:t>
            </w:r>
          </w:p>
        </w:tc>
        <w:tc>
          <w:tcPr>
            <w:tcW w:w="1413" w:type="pct"/>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BMI</w:t>
            </w:r>
            <w:r>
              <w:rPr>
                <w:rFonts w:ascii="Book Antiqua" w:hAnsi="Book Antiqua" w:eastAsia="微软雅黑"/>
                <w:b/>
              </w:rPr>
              <w:t>＜</w:t>
            </w:r>
            <w:r>
              <w:rPr>
                <w:rFonts w:ascii="Book Antiqua" w:hAnsi="Book Antiqua"/>
                <w:b/>
              </w:rPr>
              <w:t>25 (</w:t>
            </w:r>
            <w:r>
              <w:rPr>
                <w:rFonts w:ascii="Book Antiqua" w:hAnsi="Book Antiqua"/>
                <w:b/>
                <w:i/>
              </w:rPr>
              <w:t>n</w:t>
            </w:r>
            <w:r>
              <w:rPr>
                <w:rFonts w:ascii="Book Antiqua" w:hAnsi="Book Antiqua"/>
                <w:b/>
              </w:rPr>
              <w:t xml:space="preserve"> = 158)</w:t>
            </w:r>
          </w:p>
        </w:tc>
        <w:tc>
          <w:tcPr>
            <w:tcW w:w="1082" w:type="pct"/>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BMI ≥ 25 (</w:t>
            </w:r>
            <w:r>
              <w:rPr>
                <w:rFonts w:ascii="Book Antiqua" w:hAnsi="Book Antiqua"/>
                <w:b/>
                <w:i/>
              </w:rPr>
              <w:t>n</w:t>
            </w:r>
            <w:r>
              <w:rPr>
                <w:rFonts w:ascii="Book Antiqua" w:hAnsi="Book Antiqua"/>
                <w:b/>
              </w:rPr>
              <w:t xml:space="preserve"> = 44)</w:t>
            </w:r>
          </w:p>
        </w:tc>
        <w:tc>
          <w:tcPr>
            <w:tcW w:w="749" w:type="pct"/>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i/>
              </w:rPr>
              <w:t>Z</w:t>
            </w:r>
            <w:r>
              <w:rPr>
                <w:rFonts w:ascii="Book Antiqua" w:hAnsi="Book Antiqua"/>
                <w:b/>
              </w:rPr>
              <w:t xml:space="preserve"> or </w:t>
            </w:r>
            <w:r>
              <w:rPr>
                <w:rFonts w:ascii="Book Antiqua" w:hAnsi="Book Antiqua"/>
                <w:b/>
                <w:i/>
              </w:rPr>
              <w:t>χ</w:t>
            </w:r>
            <w:r>
              <w:rPr>
                <w:rFonts w:ascii="Book Antiqua" w:hAnsi="Book Antiqua"/>
                <w:b/>
                <w:vertAlign w:val="superscript"/>
              </w:rPr>
              <w:t>2</w:t>
            </w:r>
          </w:p>
        </w:tc>
        <w:tc>
          <w:tcPr>
            <w:tcW w:w="445" w:type="pct"/>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i/>
              </w:rPr>
              <w:t>P</w:t>
            </w:r>
            <w:r>
              <w:rPr>
                <w:rFonts w:ascii="Book Antiqua" w:hAnsi="Book Antiqua"/>
                <w:b/>
              </w:rPr>
              <w:t xml:space="preserve"> value</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Age (yr)</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36.0 (32.0-47.3)</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38.0 (32.3-45.8)</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-0.098</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0.92</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 xml:space="preserve">Male, </w:t>
            </w:r>
            <w:r>
              <w:rPr>
                <w:rFonts w:ascii="Book Antiqua" w:hAnsi="Book Antiqua"/>
                <w:bCs/>
                <w:i/>
              </w:rPr>
              <w:t>n</w:t>
            </w:r>
            <w:r>
              <w:rPr>
                <w:rFonts w:ascii="Book Antiqua" w:hAnsi="Book Antiqua"/>
                <w:bCs/>
              </w:rPr>
              <w:t xml:space="preserve"> (%)</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111 (70.3)</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39 (88.6)</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6.084</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0.01</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ALT (U/L)</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59.7 (29.3-163.5)</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52.6 (36.0-189.6)</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-0.684</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0.49</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AST (U/L)</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40.6 (28.2-92.5)</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44.0 (25.4-104.3)</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-0.222</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0.83</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TBIL (µmol/L)</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14.1 (10.7-20.8)</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16.0 (12.3-18.9)</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-1.328</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0.18</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CHOL (mmol/L)</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3.9 (3.2-4.4)</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3.8 (3.2-4.4)</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-0.023</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0.98</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TG (mmol/L)</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 (0.6-1.2)</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 (0.7-1.4)</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-1.508</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0.13</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Cr (µmol/L)</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69.0 (59.8-81.0)</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77.0 (62.0-85.2)</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-2.342</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0.02</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eGFR (mL/(min·1.73 m</w:t>
            </w:r>
            <w:r>
              <w:rPr>
                <w:rFonts w:ascii="Book Antiqua" w:hAnsi="Book Antiqua"/>
                <w:bCs/>
                <w:vertAlign w:val="superscript"/>
              </w:rPr>
              <w:t>2</w:t>
            </w:r>
            <w:r>
              <w:rPr>
                <w:rFonts w:ascii="Book Antiqua" w:hAnsi="Book Antiqua"/>
                <w:bCs/>
              </w:rPr>
              <w:t>)</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112.5 (97.0-131.4)</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105.9 (96.4.3-133.9)</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-0.951</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0.18</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 xml:space="preserve">eGFR categories, </w:t>
            </w:r>
            <w:r>
              <w:rPr>
                <w:rFonts w:ascii="Book Antiqua" w:hAnsi="Book Antiqua"/>
                <w:bCs/>
                <w:i/>
              </w:rPr>
              <w:t>n</w:t>
            </w:r>
            <w:r>
              <w:rPr>
                <w:rFonts w:ascii="Book Antiqua" w:hAnsi="Book Antiqua"/>
                <w:bCs/>
              </w:rPr>
              <w:t xml:space="preserve"> (%)</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b/>
                <w:bCs/>
              </w:rPr>
            </w:pP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&lt; 90</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22 (13.9)</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 (22.7)</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 90</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136 (86.0)</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34 (77.3)</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2.001</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0.16</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 xml:space="preserve">LC, </w:t>
            </w:r>
            <w:r>
              <w:rPr>
                <w:rFonts w:ascii="Book Antiqua" w:hAnsi="Book Antiqua"/>
                <w:bCs/>
                <w:i/>
              </w:rPr>
              <w:t>n</w:t>
            </w:r>
            <w:r>
              <w:rPr>
                <w:rFonts w:ascii="Book Antiqua" w:hAnsi="Book Antiqua"/>
                <w:bCs/>
              </w:rPr>
              <w:t xml:space="preserve"> (%)</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27 (17.1)</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7 (20.6)</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0.034</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0.85</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 xml:space="preserve">Diabetes mellitus, </w:t>
            </w:r>
            <w:r>
              <w:rPr>
                <w:rFonts w:ascii="Book Antiqua" w:hAnsi="Book Antiqua"/>
                <w:bCs/>
                <w:i/>
              </w:rPr>
              <w:t>n</w:t>
            </w:r>
            <w:r>
              <w:rPr>
                <w:rFonts w:ascii="Book Antiqua" w:hAnsi="Book Antiqua"/>
                <w:bCs/>
              </w:rPr>
              <w:t xml:space="preserve"> (%)</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4 (2.5)</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 (4.5)</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0.484</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0.49</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rPr>
            </w:pPr>
            <w:r>
              <w:rPr>
                <w:rFonts w:ascii="Book Antiqua" w:hAnsi="Book Antiqua"/>
                <w:bCs/>
              </w:rPr>
              <w:t xml:space="preserve">Kidney disease, </w:t>
            </w:r>
            <w:r>
              <w:rPr>
                <w:rFonts w:ascii="Book Antiqua" w:hAnsi="Book Antiqua"/>
                <w:bCs/>
                <w:i/>
              </w:rPr>
              <w:t>n</w:t>
            </w:r>
            <w:r>
              <w:rPr>
                <w:rFonts w:ascii="Book Antiqua" w:hAnsi="Book Antiqua"/>
                <w:bCs/>
              </w:rPr>
              <w:t xml:space="preserve"> (%)</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 (0.6)</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 (0)</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0.28</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0.6</w:t>
            </w:r>
          </w:p>
        </w:tc>
      </w:tr>
      <w:tr>
        <w:tblPrEx>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vAlign w:val="center"/>
          </w:tcPr>
          <w:p>
            <w:pPr>
              <w:spacing w:line="360" w:lineRule="auto"/>
              <w:jc w:val="both"/>
              <w:rPr>
                <w:rFonts w:ascii="Book Antiqua" w:hAnsi="Book Antiqua"/>
                <w:bCs/>
                <w:color w:val="333333"/>
              </w:rPr>
            </w:pPr>
            <w:r>
              <w:rPr>
                <w:rFonts w:ascii="Book Antiqua" w:hAnsi="Book Antiqua"/>
                <w:bCs/>
                <w:color w:val="333333"/>
              </w:rPr>
              <w:t>HBV DNA (</w:t>
            </w:r>
            <w:r>
              <w:rPr>
                <w:rFonts w:ascii="Book Antiqua" w:hAnsi="Book Antiqua"/>
                <w:bCs/>
                <w:color w:val="231F20"/>
              </w:rPr>
              <w:t>Log</w:t>
            </w:r>
            <w:r>
              <w:rPr>
                <w:rFonts w:ascii="Book Antiqua" w:hAnsi="Book Antiqua"/>
                <w:bCs/>
                <w:color w:val="231F20"/>
                <w:vertAlign w:val="subscript"/>
              </w:rPr>
              <w:t>10</w:t>
            </w:r>
            <w:r>
              <w:rPr>
                <w:rFonts w:ascii="Book Antiqua" w:hAnsi="Book Antiqua"/>
                <w:bCs/>
                <w:color w:val="231F20"/>
              </w:rPr>
              <w:t>IU/mL)</w:t>
            </w:r>
          </w:p>
        </w:tc>
        <w:tc>
          <w:tcPr>
            <w:tcW w:w="1413"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5.06 (3.72-6.86)</w:t>
            </w:r>
          </w:p>
        </w:tc>
        <w:tc>
          <w:tcPr>
            <w:tcW w:w="1082"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5.17 (3.2-6.97)</w:t>
            </w:r>
          </w:p>
        </w:tc>
        <w:tc>
          <w:tcPr>
            <w:tcW w:w="749"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-0.091</w:t>
            </w:r>
          </w:p>
        </w:tc>
        <w:tc>
          <w:tcPr>
            <w:tcW w:w="445" w:type="pct"/>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0.93</w:t>
            </w:r>
          </w:p>
        </w:tc>
      </w:tr>
      <w:tr>
        <w:tblPrEx>
          <w:tblCellMar>
            <w:top w:w="0" w:type="dxa"/>
            <w:left w:w="108" w:type="dxa"/>
            <w:bottom w:w="0" w:type="dxa"/>
            <w:right w:w="108" w:type="dxa"/>
          </w:tblCellMar>
        </w:tblPrEx>
        <w:trPr>
          <w:trHeight w:val="300" w:hRule="atLeast"/>
        </w:trPr>
        <w:tc>
          <w:tcPr>
            <w:tcW w:w="1311" w:type="pct"/>
            <w:tcBorders>
              <w:top w:val="nil"/>
              <w:left w:val="nil"/>
              <w:bottom w:val="single" w:color="auto" w:sz="12" w:space="0"/>
              <w:right w:val="nil"/>
            </w:tcBorders>
            <w:shd w:val="clear" w:color="auto" w:fill="auto"/>
            <w:vAlign w:val="center"/>
          </w:tcPr>
          <w:p>
            <w:pPr>
              <w:spacing w:line="360" w:lineRule="auto"/>
              <w:jc w:val="both"/>
              <w:rPr>
                <w:rFonts w:ascii="Book Antiqua" w:hAnsi="Book Antiqua"/>
                <w:bCs/>
              </w:rPr>
            </w:pPr>
            <w:r>
              <w:rPr>
                <w:rFonts w:ascii="Book Antiqua" w:hAnsi="Book Antiqua"/>
                <w:bCs/>
              </w:rPr>
              <w:t xml:space="preserve">HBeAg, </w:t>
            </w:r>
            <w:r>
              <w:rPr>
                <w:rFonts w:ascii="Book Antiqua" w:hAnsi="Book Antiqua"/>
                <w:bCs/>
                <w:i/>
              </w:rPr>
              <w:t>n</w:t>
            </w:r>
            <w:r>
              <w:rPr>
                <w:rFonts w:ascii="Book Antiqua" w:hAnsi="Book Antiqua"/>
                <w:bCs/>
              </w:rPr>
              <w:t xml:space="preserve"> (%)</w:t>
            </w:r>
          </w:p>
        </w:tc>
        <w:tc>
          <w:tcPr>
            <w:tcW w:w="1413" w:type="pct"/>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112 (70.9)</w:t>
            </w:r>
          </w:p>
        </w:tc>
        <w:tc>
          <w:tcPr>
            <w:tcW w:w="1082" w:type="pct"/>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33 (75.0)</w:t>
            </w:r>
          </w:p>
        </w:tc>
        <w:tc>
          <w:tcPr>
            <w:tcW w:w="749" w:type="pct"/>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0.288</w:t>
            </w:r>
          </w:p>
        </w:tc>
        <w:tc>
          <w:tcPr>
            <w:tcW w:w="445" w:type="pct"/>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0.59</w:t>
            </w:r>
          </w:p>
        </w:tc>
      </w:tr>
    </w:tbl>
    <w:p>
      <w:pPr>
        <w:autoSpaceDE w:val="0"/>
        <w:autoSpaceDN w:val="0"/>
        <w:adjustRightInd w:val="0"/>
        <w:spacing w:line="360" w:lineRule="auto"/>
        <w:jc w:val="both"/>
        <w:rPr>
          <w:rFonts w:ascii="Book Antiqua" w:hAnsi="Book Antiqua"/>
          <w:color w:val="231F20"/>
          <w:w w:val="95"/>
        </w:rPr>
      </w:pPr>
      <w:r>
        <w:rPr>
          <w:rFonts w:ascii="Book Antiqua" w:hAnsi="Book Antiqua" w:eastAsia="HelveticaNeueLTStd-Roman"/>
        </w:rPr>
        <w:t xml:space="preserve">Data are presented as proportions, or medians (inter-quartile). </w:t>
      </w:r>
      <w:r>
        <w:rPr>
          <w:rFonts w:ascii="Book Antiqua" w:hAnsi="Book Antiqua"/>
        </w:rPr>
        <w:t>The Mann-Whitney U test</w:t>
      </w:r>
      <w:r>
        <w:rPr>
          <w:rFonts w:ascii="Book Antiqua" w:hAnsi="Book Antiqua" w:eastAsia="HelveticaNeueLTStd-Roman"/>
        </w:rPr>
        <w:t xml:space="preserve"> for quantitative data with non-normal distribution,</w:t>
      </w:r>
      <w:r>
        <w:rPr>
          <w:rFonts w:ascii="Book Antiqua" w:hAnsi="Book Antiqua"/>
          <w:color w:val="231F20"/>
          <w:w w:val="95"/>
        </w:rPr>
        <w:t xml:space="preserve"> and</w:t>
      </w:r>
      <w:r>
        <w:rPr>
          <w:rFonts w:ascii="Book Antiqua" w:hAnsi="Book Antiqua"/>
          <w:color w:val="231F20"/>
          <w:spacing w:val="14"/>
          <w:w w:val="95"/>
        </w:rPr>
        <w:t xml:space="preserve"> </w:t>
      </w:r>
      <w:r>
        <w:rPr>
          <w:rFonts w:ascii="Book Antiqua" w:hAnsi="Book Antiqua"/>
          <w:color w:val="231F20"/>
          <w:w w:val="95"/>
        </w:rPr>
        <w:t>Chi-square</w:t>
      </w:r>
      <w:r>
        <w:rPr>
          <w:rFonts w:ascii="Book Antiqua" w:hAnsi="Book Antiqua"/>
          <w:color w:val="231F20"/>
          <w:spacing w:val="14"/>
          <w:w w:val="95"/>
        </w:rPr>
        <w:t xml:space="preserve"> </w:t>
      </w:r>
      <w:r>
        <w:rPr>
          <w:rFonts w:ascii="Book Antiqua" w:hAnsi="Book Antiqua"/>
          <w:color w:val="231F20"/>
          <w:w w:val="95"/>
        </w:rPr>
        <w:t>test</w:t>
      </w:r>
      <w:r>
        <w:rPr>
          <w:rFonts w:ascii="Book Antiqua" w:hAnsi="Book Antiqua"/>
          <w:color w:val="231F20"/>
          <w:spacing w:val="15"/>
          <w:w w:val="95"/>
        </w:rPr>
        <w:t xml:space="preserve"> </w:t>
      </w:r>
      <w:r>
        <w:rPr>
          <w:rFonts w:ascii="Book Antiqua" w:hAnsi="Book Antiqua"/>
          <w:color w:val="231F20"/>
          <w:w w:val="95"/>
        </w:rPr>
        <w:t>for</w:t>
      </w:r>
      <w:r>
        <w:rPr>
          <w:rFonts w:ascii="Book Antiqua" w:hAnsi="Book Antiqua"/>
          <w:color w:val="231F20"/>
          <w:spacing w:val="14"/>
          <w:w w:val="95"/>
        </w:rPr>
        <w:t xml:space="preserve"> </w:t>
      </w:r>
      <w:r>
        <w:rPr>
          <w:rFonts w:ascii="Book Antiqua" w:hAnsi="Book Antiqua"/>
          <w:color w:val="231F20"/>
          <w:w w:val="95"/>
        </w:rPr>
        <w:t>categorical</w:t>
      </w:r>
      <w:r>
        <w:rPr>
          <w:rFonts w:ascii="Book Antiqua" w:hAnsi="Book Antiqua"/>
          <w:color w:val="231F20"/>
          <w:spacing w:val="16"/>
          <w:w w:val="95"/>
        </w:rPr>
        <w:t xml:space="preserve"> </w:t>
      </w:r>
      <w:r>
        <w:rPr>
          <w:rFonts w:ascii="Book Antiqua" w:hAnsi="Book Antiqua"/>
          <w:color w:val="231F20"/>
          <w:w w:val="95"/>
        </w:rPr>
        <w:t>values.</w:t>
      </w:r>
      <w:r>
        <w:rPr>
          <w:rFonts w:hint="eastAsia" w:ascii="Book Antiqua" w:hAnsi="Book Antiqua"/>
          <w:color w:val="231F20"/>
          <w:w w:val="95"/>
          <w:lang w:eastAsia="zh-CN"/>
        </w:rPr>
        <w:t xml:space="preserve"> </w:t>
      </w:r>
      <w:r>
        <w:rPr>
          <w:rFonts w:ascii="Book Antiqua" w:hAnsi="Book Antiqua"/>
        </w:rPr>
        <w:t>BMI:</w:t>
      </w:r>
      <w:r>
        <w:rPr>
          <w:rFonts w:ascii="Book Antiqua" w:hAnsi="Book Antiqua" w:eastAsia="HelveticaNeueLTStd-Roman"/>
        </w:rPr>
        <w:t xml:space="preserve"> Body mass index; </w:t>
      </w:r>
      <w:r>
        <w:rPr>
          <w:rFonts w:ascii="Book Antiqua" w:hAnsi="Book Antiqua"/>
        </w:rPr>
        <w:t xml:space="preserve">ALT: Alanine aminotransferase; AST: Aspartate aminotransferase; TBil: Total bilirubin; CHOL: Total cholesterol; TG: Triglycerides; Cr: Creatinine; eGFR: Estimate glomerular filtration rate; LC: Liver cirrhosis; </w:t>
      </w:r>
      <w:r>
        <w:rPr>
          <w:rFonts w:ascii="Book Antiqua" w:hAnsi="Book Antiqua" w:eastAsia="微软雅黑"/>
        </w:rPr>
        <w:t>HBeAg</w:t>
      </w:r>
      <w:r>
        <w:rPr>
          <w:rFonts w:ascii="Book Antiqua" w:hAnsi="Book Antiqua"/>
        </w:rPr>
        <w:t>: Hepatitis B surface antigen.</w:t>
      </w:r>
    </w:p>
    <w:p>
      <w:pPr>
        <w:autoSpaceDE w:val="0"/>
        <w:autoSpaceDN w:val="0"/>
        <w:adjustRightInd w:val="0"/>
        <w:spacing w:line="360" w:lineRule="auto"/>
        <w:jc w:val="both"/>
        <w:rPr>
          <w:rFonts w:ascii="Book Antiqua" w:hAnsi="Book Antiqua"/>
        </w:rPr>
      </w:pPr>
    </w:p>
    <w:p>
      <w:pPr>
        <w:autoSpaceDE w:val="0"/>
        <w:autoSpaceDN w:val="0"/>
        <w:adjustRightInd w:val="0"/>
        <w:spacing w:line="360" w:lineRule="auto"/>
        <w:jc w:val="both"/>
        <w:rPr>
          <w:rFonts w:ascii="Book Antiqua" w:hAnsi="Book Antiqua"/>
          <w:b/>
          <w:w w:val="105"/>
        </w:rPr>
      </w:pPr>
    </w:p>
    <w:p>
      <w:pPr>
        <w:autoSpaceDE w:val="0"/>
        <w:autoSpaceDN w:val="0"/>
        <w:adjustRightInd w:val="0"/>
        <w:spacing w:line="360" w:lineRule="auto"/>
        <w:jc w:val="both"/>
        <w:rPr>
          <w:rFonts w:ascii="Book Antiqua" w:hAnsi="Book Antiqua"/>
          <w:b/>
          <w:w w:val="105"/>
        </w:rPr>
      </w:pPr>
      <w:r>
        <w:rPr>
          <w:rFonts w:ascii="Book Antiqua" w:hAnsi="Book Antiqua"/>
          <w:b/>
          <w:w w:val="105"/>
        </w:rPr>
        <w:t>Table 2 Risk factors for estimate glomerular filtration rate &lt; 90 mL/min·1.73 m</w:t>
      </w:r>
      <w:r>
        <w:rPr>
          <w:rFonts w:ascii="Book Antiqua" w:hAnsi="Book Antiqua"/>
          <w:b/>
          <w:w w:val="105"/>
          <w:vertAlign w:val="superscript"/>
        </w:rPr>
        <w:t xml:space="preserve">2 </w:t>
      </w:r>
      <w:r>
        <w:rPr>
          <w:rFonts w:ascii="Book Antiqua" w:hAnsi="Book Antiqua"/>
          <w:b/>
          <w:w w:val="105"/>
        </w:rPr>
        <w:t>at the 3</w:t>
      </w:r>
      <w:r>
        <w:rPr>
          <w:rFonts w:ascii="Book Antiqua" w:hAnsi="Book Antiqua"/>
          <w:b/>
          <w:w w:val="105"/>
          <w:vertAlign w:val="superscript"/>
        </w:rPr>
        <w:t>rd</w:t>
      </w:r>
      <w:r>
        <w:rPr>
          <w:rFonts w:ascii="Book Antiqua" w:hAnsi="Book Antiqua"/>
          <w:b/>
          <w:w w:val="105"/>
        </w:rPr>
        <w:t xml:space="preserve"> year (N = 202)</w:t>
      </w:r>
    </w:p>
    <w:tbl>
      <w:tblPr>
        <w:tblStyle w:val="8"/>
        <w:tblW w:w="8647" w:type="dxa"/>
        <w:tblInd w:w="108" w:type="dxa"/>
        <w:tblLayout w:type="autofit"/>
        <w:tblCellMar>
          <w:top w:w="0" w:type="dxa"/>
          <w:left w:w="108" w:type="dxa"/>
          <w:bottom w:w="0" w:type="dxa"/>
          <w:right w:w="108" w:type="dxa"/>
        </w:tblCellMar>
      </w:tblPr>
      <w:tblGrid>
        <w:gridCol w:w="1438"/>
        <w:gridCol w:w="1114"/>
        <w:gridCol w:w="1457"/>
        <w:gridCol w:w="1075"/>
        <w:gridCol w:w="1076"/>
        <w:gridCol w:w="1283"/>
        <w:gridCol w:w="1204"/>
      </w:tblGrid>
      <w:tr>
        <w:tblPrEx>
          <w:tblCellMar>
            <w:top w:w="0" w:type="dxa"/>
            <w:left w:w="108" w:type="dxa"/>
            <w:bottom w:w="0" w:type="dxa"/>
            <w:right w:w="108" w:type="dxa"/>
          </w:tblCellMar>
        </w:tblPrEx>
        <w:trPr>
          <w:trHeight w:val="300" w:hRule="atLeast"/>
        </w:trPr>
        <w:tc>
          <w:tcPr>
            <w:tcW w:w="1438" w:type="dxa"/>
            <w:vMerge w:val="restart"/>
            <w:tcBorders>
              <w:top w:val="single" w:color="auto" w:sz="12" w:space="0"/>
              <w:left w:val="nil"/>
              <w:bottom w:val="single" w:color="000000"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Baseline variables</w:t>
            </w:r>
          </w:p>
        </w:tc>
        <w:tc>
          <w:tcPr>
            <w:tcW w:w="2571" w:type="dxa"/>
            <w:gridSpan w:val="2"/>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Univariate analysis</w:t>
            </w:r>
          </w:p>
        </w:tc>
        <w:tc>
          <w:tcPr>
            <w:tcW w:w="1075"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b/>
              </w:rPr>
            </w:pPr>
          </w:p>
        </w:tc>
        <w:tc>
          <w:tcPr>
            <w:tcW w:w="2359" w:type="dxa"/>
            <w:gridSpan w:val="2"/>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Multivariate analysis</w:t>
            </w:r>
          </w:p>
        </w:tc>
        <w:tc>
          <w:tcPr>
            <w:tcW w:w="1204"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b/>
              </w:rPr>
            </w:pPr>
          </w:p>
        </w:tc>
      </w:tr>
      <w:tr>
        <w:tblPrEx>
          <w:tblCellMar>
            <w:top w:w="0" w:type="dxa"/>
            <w:left w:w="108" w:type="dxa"/>
            <w:bottom w:w="0" w:type="dxa"/>
            <w:right w:w="108" w:type="dxa"/>
          </w:tblCellMar>
        </w:tblPrEx>
        <w:trPr>
          <w:trHeight w:val="300" w:hRule="atLeast"/>
        </w:trPr>
        <w:tc>
          <w:tcPr>
            <w:tcW w:w="1438" w:type="dxa"/>
            <w:vMerge w:val="continue"/>
            <w:tcBorders>
              <w:top w:val="single" w:color="auto" w:sz="12" w:space="0"/>
              <w:left w:val="nil"/>
              <w:bottom w:val="single" w:color="000000" w:sz="12" w:space="0"/>
              <w:right w:val="nil"/>
            </w:tcBorders>
            <w:vAlign w:val="center"/>
          </w:tcPr>
          <w:p>
            <w:pPr>
              <w:spacing w:line="360" w:lineRule="auto"/>
              <w:jc w:val="both"/>
              <w:rPr>
                <w:rFonts w:ascii="Book Antiqua" w:hAnsi="Book Antiqua"/>
                <w:b/>
              </w:rPr>
            </w:pPr>
          </w:p>
        </w:tc>
        <w:tc>
          <w:tcPr>
            <w:tcW w:w="1114"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Odds ratio</w:t>
            </w:r>
          </w:p>
        </w:tc>
        <w:tc>
          <w:tcPr>
            <w:tcW w:w="1457" w:type="dxa"/>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95%CI</w:t>
            </w:r>
          </w:p>
        </w:tc>
        <w:tc>
          <w:tcPr>
            <w:tcW w:w="1075"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i/>
              </w:rPr>
              <w:t>P</w:t>
            </w:r>
            <w:r>
              <w:rPr>
                <w:rFonts w:ascii="Book Antiqua" w:hAnsi="Book Antiqua"/>
                <w:b/>
              </w:rPr>
              <w:t xml:space="preserve"> value</w:t>
            </w:r>
          </w:p>
        </w:tc>
        <w:tc>
          <w:tcPr>
            <w:tcW w:w="1076" w:type="dxa"/>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Odds ratio</w:t>
            </w:r>
          </w:p>
        </w:tc>
        <w:tc>
          <w:tcPr>
            <w:tcW w:w="1283"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95%CI</w:t>
            </w:r>
          </w:p>
        </w:tc>
        <w:tc>
          <w:tcPr>
            <w:tcW w:w="1204"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i/>
              </w:rPr>
              <w:t>P</w:t>
            </w:r>
            <w:r>
              <w:rPr>
                <w:rFonts w:ascii="Book Antiqua" w:hAnsi="Book Antiqua"/>
                <w:b/>
              </w:rPr>
              <w:t xml:space="preserve"> value</w:t>
            </w:r>
          </w:p>
        </w:tc>
      </w:tr>
      <w:tr>
        <w:tblPrEx>
          <w:tblCellMar>
            <w:top w:w="0" w:type="dxa"/>
            <w:left w:w="108" w:type="dxa"/>
            <w:bottom w:w="0" w:type="dxa"/>
            <w:right w:w="108" w:type="dxa"/>
          </w:tblCellMar>
        </w:tblPrEx>
        <w:trPr>
          <w:trHeight w:val="300" w:hRule="atLeast"/>
        </w:trPr>
        <w:tc>
          <w:tcPr>
            <w:tcW w:w="143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Age</w:t>
            </w:r>
          </w:p>
        </w:tc>
        <w:tc>
          <w:tcPr>
            <w:tcW w:w="111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0.909</w:t>
            </w:r>
          </w:p>
        </w:tc>
        <w:tc>
          <w:tcPr>
            <w:tcW w:w="1457"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0.878-0.941</w:t>
            </w:r>
          </w:p>
        </w:tc>
        <w:tc>
          <w:tcPr>
            <w:tcW w:w="107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c>
          <w:tcPr>
            <w:tcW w:w="1076"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0.93</w:t>
            </w:r>
          </w:p>
        </w:tc>
        <w:tc>
          <w:tcPr>
            <w:tcW w:w="128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0.890-0.971</w:t>
            </w:r>
          </w:p>
        </w:tc>
        <w:tc>
          <w:tcPr>
            <w:tcW w:w="120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0.01</w:t>
            </w:r>
          </w:p>
        </w:tc>
      </w:tr>
      <w:tr>
        <w:tblPrEx>
          <w:tblCellMar>
            <w:top w:w="0" w:type="dxa"/>
            <w:left w:w="108" w:type="dxa"/>
            <w:bottom w:w="0" w:type="dxa"/>
            <w:right w:w="108" w:type="dxa"/>
          </w:tblCellMar>
        </w:tblPrEx>
        <w:trPr>
          <w:trHeight w:val="300" w:hRule="atLeast"/>
        </w:trPr>
        <w:tc>
          <w:tcPr>
            <w:tcW w:w="143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Gender (male)</w:t>
            </w:r>
          </w:p>
        </w:tc>
        <w:tc>
          <w:tcPr>
            <w:tcW w:w="111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0.576</w:t>
            </w:r>
          </w:p>
        </w:tc>
        <w:tc>
          <w:tcPr>
            <w:tcW w:w="145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0.248-1.335</w:t>
            </w:r>
          </w:p>
        </w:tc>
        <w:tc>
          <w:tcPr>
            <w:tcW w:w="107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0.2</w:t>
            </w:r>
          </w:p>
        </w:tc>
        <w:tc>
          <w:tcPr>
            <w:tcW w:w="1076"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1204"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3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BMI value</w:t>
            </w:r>
          </w:p>
        </w:tc>
        <w:tc>
          <w:tcPr>
            <w:tcW w:w="111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0.949</w:t>
            </w:r>
          </w:p>
        </w:tc>
        <w:tc>
          <w:tcPr>
            <w:tcW w:w="145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0.884-1.067</w:t>
            </w:r>
          </w:p>
        </w:tc>
        <w:tc>
          <w:tcPr>
            <w:tcW w:w="107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0.38</w:t>
            </w:r>
          </w:p>
        </w:tc>
        <w:tc>
          <w:tcPr>
            <w:tcW w:w="1076"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1204"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3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LC</w:t>
            </w:r>
          </w:p>
        </w:tc>
        <w:tc>
          <w:tcPr>
            <w:tcW w:w="111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6.144</w:t>
            </w:r>
          </w:p>
        </w:tc>
        <w:tc>
          <w:tcPr>
            <w:tcW w:w="145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2.781-13.574</w:t>
            </w:r>
          </w:p>
        </w:tc>
        <w:tc>
          <w:tcPr>
            <w:tcW w:w="107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c>
          <w:tcPr>
            <w:tcW w:w="1076"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2.07</w:t>
            </w:r>
          </w:p>
        </w:tc>
        <w:tc>
          <w:tcPr>
            <w:tcW w:w="128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0.684-6.265</w:t>
            </w:r>
          </w:p>
        </w:tc>
        <w:tc>
          <w:tcPr>
            <w:tcW w:w="120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0.2</w:t>
            </w:r>
          </w:p>
        </w:tc>
      </w:tr>
      <w:tr>
        <w:tblPrEx>
          <w:tblCellMar>
            <w:top w:w="0" w:type="dxa"/>
            <w:left w:w="108" w:type="dxa"/>
            <w:bottom w:w="0" w:type="dxa"/>
            <w:right w:w="108" w:type="dxa"/>
          </w:tblCellMar>
        </w:tblPrEx>
        <w:trPr>
          <w:trHeight w:val="300" w:hRule="atLeast"/>
        </w:trPr>
        <w:tc>
          <w:tcPr>
            <w:tcW w:w="143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ALT</w:t>
            </w:r>
          </w:p>
        </w:tc>
        <w:tc>
          <w:tcPr>
            <w:tcW w:w="111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1.001</w:t>
            </w:r>
          </w:p>
        </w:tc>
        <w:tc>
          <w:tcPr>
            <w:tcW w:w="145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0.999-1.002</w:t>
            </w:r>
          </w:p>
        </w:tc>
        <w:tc>
          <w:tcPr>
            <w:tcW w:w="107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0.57</w:t>
            </w:r>
          </w:p>
        </w:tc>
        <w:tc>
          <w:tcPr>
            <w:tcW w:w="1076"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1204"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3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AST</w:t>
            </w:r>
          </w:p>
        </w:tc>
        <w:tc>
          <w:tcPr>
            <w:tcW w:w="111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w:t>
            </w:r>
          </w:p>
        </w:tc>
        <w:tc>
          <w:tcPr>
            <w:tcW w:w="145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0.998-1.003</w:t>
            </w:r>
          </w:p>
        </w:tc>
        <w:tc>
          <w:tcPr>
            <w:tcW w:w="107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0.77</w:t>
            </w:r>
          </w:p>
        </w:tc>
        <w:tc>
          <w:tcPr>
            <w:tcW w:w="1076"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1204"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3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TBIL</w:t>
            </w:r>
          </w:p>
        </w:tc>
        <w:tc>
          <w:tcPr>
            <w:tcW w:w="111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0.975</w:t>
            </w:r>
          </w:p>
        </w:tc>
        <w:tc>
          <w:tcPr>
            <w:tcW w:w="145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0.956-0.994</w:t>
            </w:r>
          </w:p>
        </w:tc>
        <w:tc>
          <w:tcPr>
            <w:tcW w:w="107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0.01</w:t>
            </w:r>
          </w:p>
        </w:tc>
        <w:tc>
          <w:tcPr>
            <w:tcW w:w="1076"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0.989</w:t>
            </w:r>
          </w:p>
        </w:tc>
        <w:tc>
          <w:tcPr>
            <w:tcW w:w="128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0.972-1.007</w:t>
            </w:r>
          </w:p>
        </w:tc>
        <w:tc>
          <w:tcPr>
            <w:tcW w:w="120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0.24</w:t>
            </w:r>
          </w:p>
        </w:tc>
      </w:tr>
      <w:tr>
        <w:tblPrEx>
          <w:tblCellMar>
            <w:top w:w="0" w:type="dxa"/>
            <w:left w:w="108" w:type="dxa"/>
            <w:bottom w:w="0" w:type="dxa"/>
            <w:right w:w="108" w:type="dxa"/>
          </w:tblCellMar>
        </w:tblPrEx>
        <w:trPr>
          <w:trHeight w:val="300" w:hRule="atLeast"/>
        </w:trPr>
        <w:tc>
          <w:tcPr>
            <w:tcW w:w="143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CHOL</w:t>
            </w:r>
          </w:p>
        </w:tc>
        <w:tc>
          <w:tcPr>
            <w:tcW w:w="111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1.149</w:t>
            </w:r>
          </w:p>
        </w:tc>
        <w:tc>
          <w:tcPr>
            <w:tcW w:w="145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0.762-1.732</w:t>
            </w:r>
          </w:p>
        </w:tc>
        <w:tc>
          <w:tcPr>
            <w:tcW w:w="107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0.51</w:t>
            </w:r>
          </w:p>
        </w:tc>
        <w:tc>
          <w:tcPr>
            <w:tcW w:w="1076"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1204"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3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TG</w:t>
            </w:r>
          </w:p>
        </w:tc>
        <w:tc>
          <w:tcPr>
            <w:tcW w:w="111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0.795</w:t>
            </w:r>
          </w:p>
        </w:tc>
        <w:tc>
          <w:tcPr>
            <w:tcW w:w="145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0.475-1.332</w:t>
            </w:r>
          </w:p>
        </w:tc>
        <w:tc>
          <w:tcPr>
            <w:tcW w:w="107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0.38</w:t>
            </w:r>
          </w:p>
        </w:tc>
        <w:tc>
          <w:tcPr>
            <w:tcW w:w="1076"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1204"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38"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eGFR &lt; 90</w:t>
            </w:r>
          </w:p>
        </w:tc>
        <w:tc>
          <w:tcPr>
            <w:tcW w:w="1114"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14.8</w:t>
            </w:r>
          </w:p>
        </w:tc>
        <w:tc>
          <w:tcPr>
            <w:tcW w:w="1457"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6.192-35.376</w:t>
            </w:r>
          </w:p>
        </w:tc>
        <w:tc>
          <w:tcPr>
            <w:tcW w:w="1075"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c>
          <w:tcPr>
            <w:tcW w:w="1076"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13.304</w:t>
            </w:r>
          </w:p>
        </w:tc>
        <w:tc>
          <w:tcPr>
            <w:tcW w:w="1283"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5.084-34.812</w:t>
            </w:r>
          </w:p>
        </w:tc>
        <w:tc>
          <w:tcPr>
            <w:tcW w:w="1204"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r>
    </w:tbl>
    <w:p>
      <w:pPr>
        <w:autoSpaceDE w:val="0"/>
        <w:autoSpaceDN w:val="0"/>
        <w:adjustRightInd w:val="0"/>
        <w:spacing w:line="360" w:lineRule="auto"/>
        <w:jc w:val="both"/>
        <w:rPr>
          <w:rFonts w:ascii="Book Antiqua" w:hAnsi="Book Antiqua" w:eastAsia="HelveticaNeueLTStd-Roman"/>
        </w:rPr>
      </w:pPr>
      <w:r>
        <w:rPr>
          <w:rFonts w:ascii="Book Antiqua" w:hAnsi="Book Antiqua" w:eastAsia="HelveticaNeueLTStd-Roman"/>
        </w:rPr>
        <w:t>Data are expressed as odds ratio and 95% confidence intervals.</w:t>
      </w:r>
      <w:r>
        <w:rPr>
          <w:rFonts w:hint="eastAsia" w:ascii="Book Antiqua" w:hAnsi="Book Antiqua" w:eastAsia="HelveticaNeueLTStd-Roman"/>
          <w:lang w:eastAsia="zh-CN"/>
        </w:rPr>
        <w:t xml:space="preserve"> </w:t>
      </w:r>
      <w:r>
        <w:rPr>
          <w:rFonts w:ascii="Book Antiqua" w:hAnsi="Book Antiqua"/>
        </w:rPr>
        <w:t>BMI:</w:t>
      </w:r>
      <w:r>
        <w:rPr>
          <w:rFonts w:ascii="Book Antiqua" w:hAnsi="Book Antiqua" w:eastAsia="HelveticaNeueLTStd-Roman"/>
        </w:rPr>
        <w:t xml:space="preserve"> Body mass index; </w:t>
      </w:r>
      <w:r>
        <w:rPr>
          <w:rFonts w:ascii="Book Antiqua" w:hAnsi="Book Antiqua"/>
        </w:rPr>
        <w:t>ALT: Alanine aminotransferase; AST: Aspartate aminotransferase; TBil: Total bilirubin; CHOL: Total cholesterol; TG: Triglycerides; eGFR: Estimate glomerular filtration rate; LC: Liver cirrhosis.</w:t>
      </w:r>
    </w:p>
    <w:p>
      <w:pPr>
        <w:spacing w:line="360" w:lineRule="auto"/>
        <w:jc w:val="both"/>
        <w:rPr>
          <w:rFonts w:ascii="Book Antiqua" w:hAnsi="Book Antiqua"/>
        </w:rPr>
      </w:pPr>
    </w:p>
    <w:p>
      <w:pPr>
        <w:autoSpaceDE w:val="0"/>
        <w:autoSpaceDN w:val="0"/>
        <w:adjustRightInd w:val="0"/>
        <w:spacing w:line="360" w:lineRule="auto"/>
        <w:jc w:val="both"/>
        <w:rPr>
          <w:rFonts w:ascii="Book Antiqua" w:hAnsi="Book Antiqua" w:eastAsia="Adobe 黑体 Std R"/>
          <w:b/>
          <w:w w:val="105"/>
        </w:rPr>
      </w:pPr>
      <w:r>
        <w:rPr>
          <w:rFonts w:ascii="Book Antiqua" w:hAnsi="Book Antiqua" w:eastAsia="Adobe 黑体 Std R"/>
          <w:b/>
          <w:w w:val="105"/>
        </w:rPr>
        <w:t xml:space="preserve">Table 3 Risk factors for </w:t>
      </w:r>
      <w:r>
        <w:rPr>
          <w:rFonts w:ascii="Book Antiqua" w:hAnsi="Book Antiqua"/>
          <w:b/>
          <w:w w:val="105"/>
        </w:rPr>
        <w:t>estimate glomerular filtration rate</w:t>
      </w:r>
      <w:r>
        <w:rPr>
          <w:rFonts w:ascii="Book Antiqua" w:hAnsi="Book Antiqua" w:eastAsia="Adobe 黑体 Std R"/>
          <w:b/>
          <w:w w:val="105"/>
        </w:rPr>
        <w:t xml:space="preserve"> &lt; 90 mL/min·1.73 m</w:t>
      </w:r>
      <w:r>
        <w:rPr>
          <w:rFonts w:ascii="Book Antiqua" w:hAnsi="Book Antiqua" w:eastAsia="Adobe 黑体 Std R"/>
          <w:b/>
          <w:w w:val="105"/>
          <w:vertAlign w:val="superscript"/>
        </w:rPr>
        <w:t xml:space="preserve">2 </w:t>
      </w:r>
      <w:r>
        <w:rPr>
          <w:rFonts w:ascii="Book Antiqua" w:hAnsi="Book Antiqua" w:eastAsia="Adobe 黑体 Std R"/>
          <w:b/>
          <w:w w:val="105"/>
        </w:rPr>
        <w:t>at the 3</w:t>
      </w:r>
      <w:r>
        <w:rPr>
          <w:rFonts w:ascii="Book Antiqua" w:hAnsi="Book Antiqua" w:eastAsia="Adobe 黑体 Std R"/>
          <w:b/>
          <w:w w:val="105"/>
          <w:vertAlign w:val="superscript"/>
        </w:rPr>
        <w:t>rd</w:t>
      </w:r>
      <w:r>
        <w:rPr>
          <w:rFonts w:ascii="Book Antiqua" w:hAnsi="Book Antiqua" w:eastAsia="Adobe 黑体 Std R"/>
          <w:b/>
          <w:w w:val="105"/>
        </w:rPr>
        <w:t xml:space="preserve"> year in non-obese patients (N = 158)</w:t>
      </w:r>
    </w:p>
    <w:tbl>
      <w:tblPr>
        <w:tblStyle w:val="8"/>
        <w:tblW w:w="8789" w:type="dxa"/>
        <w:tblInd w:w="108" w:type="dxa"/>
        <w:tblLayout w:type="autofit"/>
        <w:tblCellMar>
          <w:top w:w="0" w:type="dxa"/>
          <w:left w:w="108" w:type="dxa"/>
          <w:bottom w:w="0" w:type="dxa"/>
          <w:right w:w="108" w:type="dxa"/>
        </w:tblCellMar>
      </w:tblPr>
      <w:tblGrid>
        <w:gridCol w:w="1440"/>
        <w:gridCol w:w="1020"/>
        <w:gridCol w:w="1560"/>
        <w:gridCol w:w="1080"/>
        <w:gridCol w:w="1080"/>
        <w:gridCol w:w="1260"/>
        <w:gridCol w:w="1349"/>
      </w:tblGrid>
      <w:tr>
        <w:tblPrEx>
          <w:tblCellMar>
            <w:top w:w="0" w:type="dxa"/>
            <w:left w:w="108" w:type="dxa"/>
            <w:bottom w:w="0" w:type="dxa"/>
            <w:right w:w="108" w:type="dxa"/>
          </w:tblCellMar>
        </w:tblPrEx>
        <w:trPr>
          <w:trHeight w:val="300" w:hRule="atLeast"/>
        </w:trPr>
        <w:tc>
          <w:tcPr>
            <w:tcW w:w="1440" w:type="dxa"/>
            <w:vMerge w:val="restart"/>
            <w:tcBorders>
              <w:top w:val="single" w:color="auto" w:sz="12" w:space="0"/>
              <w:left w:val="nil"/>
              <w:bottom w:val="single" w:color="000000" w:sz="12" w:space="0"/>
              <w:right w:val="nil"/>
            </w:tcBorders>
            <w:shd w:val="clear" w:color="auto" w:fill="auto"/>
            <w:vAlign w:val="center"/>
          </w:tcPr>
          <w:p>
            <w:pPr>
              <w:spacing w:line="360" w:lineRule="auto"/>
              <w:jc w:val="both"/>
              <w:rPr>
                <w:rFonts w:ascii="Book Antiqua" w:hAnsi="Book Antiqua" w:eastAsia="Adobe 黑体 Std R"/>
                <w:b/>
              </w:rPr>
            </w:pPr>
            <w:r>
              <w:rPr>
                <w:rFonts w:ascii="Book Antiqua" w:hAnsi="Book Antiqua" w:eastAsia="Adobe 黑体 Std R"/>
                <w:b/>
              </w:rPr>
              <w:t>Baseline variables</w:t>
            </w:r>
          </w:p>
        </w:tc>
        <w:tc>
          <w:tcPr>
            <w:tcW w:w="2580" w:type="dxa"/>
            <w:gridSpan w:val="2"/>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eastAsia="Adobe 黑体 Std R"/>
                <w:b/>
              </w:rPr>
            </w:pPr>
            <w:r>
              <w:rPr>
                <w:rFonts w:ascii="Book Antiqua" w:hAnsi="Book Antiqua" w:eastAsia="Adobe 黑体 Std R"/>
                <w:b/>
              </w:rPr>
              <w:t>Univariate analysis</w:t>
            </w:r>
          </w:p>
        </w:tc>
        <w:tc>
          <w:tcPr>
            <w:tcW w:w="1080"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eastAsia="Adobe 黑体 Std R"/>
                <w:b/>
              </w:rPr>
            </w:pPr>
          </w:p>
        </w:tc>
        <w:tc>
          <w:tcPr>
            <w:tcW w:w="2340" w:type="dxa"/>
            <w:gridSpan w:val="2"/>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eastAsia="Adobe 黑体 Std R"/>
                <w:b/>
              </w:rPr>
            </w:pPr>
            <w:r>
              <w:rPr>
                <w:rFonts w:ascii="Book Antiqua" w:hAnsi="Book Antiqua" w:eastAsia="Adobe 黑体 Std R"/>
                <w:b/>
              </w:rPr>
              <w:t>Multivariate analysis</w:t>
            </w:r>
          </w:p>
        </w:tc>
        <w:tc>
          <w:tcPr>
            <w:tcW w:w="1349"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eastAsia="Adobe 黑体 Std R"/>
                <w:b/>
              </w:rPr>
            </w:pPr>
          </w:p>
        </w:tc>
      </w:tr>
      <w:tr>
        <w:tblPrEx>
          <w:tblCellMar>
            <w:top w:w="0" w:type="dxa"/>
            <w:left w:w="108" w:type="dxa"/>
            <w:bottom w:w="0" w:type="dxa"/>
            <w:right w:w="108" w:type="dxa"/>
          </w:tblCellMar>
        </w:tblPrEx>
        <w:trPr>
          <w:trHeight w:val="300" w:hRule="atLeast"/>
        </w:trPr>
        <w:tc>
          <w:tcPr>
            <w:tcW w:w="1440" w:type="dxa"/>
            <w:vMerge w:val="continue"/>
            <w:tcBorders>
              <w:top w:val="single" w:color="auto" w:sz="12" w:space="0"/>
              <w:left w:val="nil"/>
              <w:bottom w:val="single" w:color="000000" w:sz="12" w:space="0"/>
              <w:right w:val="nil"/>
            </w:tcBorders>
            <w:vAlign w:val="center"/>
          </w:tcPr>
          <w:p>
            <w:pPr>
              <w:spacing w:line="360" w:lineRule="auto"/>
              <w:jc w:val="both"/>
              <w:rPr>
                <w:rFonts w:ascii="Book Antiqua" w:hAnsi="Book Antiqua" w:eastAsia="Adobe 黑体 Std R"/>
                <w:b/>
              </w:rPr>
            </w:pPr>
          </w:p>
        </w:tc>
        <w:tc>
          <w:tcPr>
            <w:tcW w:w="102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b/>
              </w:rPr>
            </w:pPr>
            <w:r>
              <w:rPr>
                <w:rFonts w:ascii="Book Antiqua" w:hAnsi="Book Antiqua" w:eastAsia="Adobe 黑体 Std R"/>
                <w:b/>
              </w:rPr>
              <w:t>Odds ratio</w:t>
            </w:r>
          </w:p>
        </w:tc>
        <w:tc>
          <w:tcPr>
            <w:tcW w:w="1560" w:type="dxa"/>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eastAsia="Adobe 黑体 Std R"/>
                <w:b/>
              </w:rPr>
            </w:pPr>
            <w:r>
              <w:rPr>
                <w:rFonts w:ascii="Book Antiqua" w:hAnsi="Book Antiqua" w:eastAsia="Adobe 黑体 Std R"/>
                <w:b/>
              </w:rPr>
              <w:t>95%CI</w:t>
            </w:r>
          </w:p>
        </w:tc>
        <w:tc>
          <w:tcPr>
            <w:tcW w:w="108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b/>
              </w:rPr>
            </w:pPr>
            <w:r>
              <w:rPr>
                <w:rFonts w:ascii="Book Antiqua" w:hAnsi="Book Antiqua" w:eastAsia="Adobe 黑体 Std R"/>
                <w:b/>
                <w:i/>
              </w:rPr>
              <w:t>P</w:t>
            </w:r>
            <w:r>
              <w:rPr>
                <w:rFonts w:ascii="Book Antiqua" w:hAnsi="Book Antiqua" w:eastAsia="Adobe 黑体 Std R"/>
                <w:b/>
              </w:rPr>
              <w:t xml:space="preserve"> value</w:t>
            </w:r>
          </w:p>
        </w:tc>
        <w:tc>
          <w:tcPr>
            <w:tcW w:w="1080" w:type="dxa"/>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eastAsia="Adobe 黑体 Std R"/>
                <w:b/>
              </w:rPr>
            </w:pPr>
            <w:r>
              <w:rPr>
                <w:rFonts w:ascii="Book Antiqua" w:hAnsi="Book Antiqua" w:eastAsia="Adobe 黑体 Std R"/>
                <w:b/>
              </w:rPr>
              <w:t>Odds ratio</w:t>
            </w:r>
          </w:p>
        </w:tc>
        <w:tc>
          <w:tcPr>
            <w:tcW w:w="126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b/>
              </w:rPr>
            </w:pPr>
            <w:r>
              <w:rPr>
                <w:rFonts w:ascii="Book Antiqua" w:hAnsi="Book Antiqua" w:eastAsia="Adobe 黑体 Std R"/>
                <w:b/>
              </w:rPr>
              <w:t>95%CI</w:t>
            </w:r>
          </w:p>
        </w:tc>
        <w:tc>
          <w:tcPr>
            <w:tcW w:w="1349"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b/>
              </w:rPr>
            </w:pPr>
            <w:r>
              <w:rPr>
                <w:rFonts w:ascii="Book Antiqua" w:hAnsi="Book Antiqua" w:eastAsia="Adobe 黑体 Std R"/>
                <w:b/>
                <w:i/>
              </w:rPr>
              <w:t>P</w:t>
            </w:r>
            <w:r>
              <w:rPr>
                <w:rFonts w:ascii="Book Antiqua" w:hAnsi="Book Antiqua" w:eastAsia="Adobe 黑体 Std R"/>
                <w:b/>
              </w:rPr>
              <w:t xml:space="preserve"> value</w:t>
            </w: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Age</w:t>
            </w:r>
          </w:p>
        </w:tc>
        <w:tc>
          <w:tcPr>
            <w:tcW w:w="102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0.912</w:t>
            </w:r>
          </w:p>
        </w:tc>
        <w:tc>
          <w:tcPr>
            <w:tcW w:w="1560"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0.879-0.946</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&lt; 0.01</w:t>
            </w:r>
          </w:p>
        </w:tc>
        <w:tc>
          <w:tcPr>
            <w:tcW w:w="1080"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0.934</w:t>
            </w: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0.891-0.979</w:t>
            </w:r>
          </w:p>
        </w:tc>
        <w:tc>
          <w:tcPr>
            <w:tcW w:w="1349"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&lt; 0.01</w:t>
            </w: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Gender (male)</w:t>
            </w:r>
          </w:p>
        </w:tc>
        <w:tc>
          <w:tcPr>
            <w:tcW w:w="102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0.519</w:t>
            </w:r>
          </w:p>
        </w:tc>
        <w:tc>
          <w:tcPr>
            <w:tcW w:w="15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0.209-1.289</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0.16</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c>
          <w:tcPr>
            <w:tcW w:w="1349"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LC</w:t>
            </w:r>
          </w:p>
        </w:tc>
        <w:tc>
          <w:tcPr>
            <w:tcW w:w="102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6.937</w:t>
            </w:r>
          </w:p>
        </w:tc>
        <w:tc>
          <w:tcPr>
            <w:tcW w:w="15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2.832-16.996</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&lt; 0.001</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1.823</w:t>
            </w: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0.532-6.254</w:t>
            </w:r>
          </w:p>
        </w:tc>
        <w:tc>
          <w:tcPr>
            <w:tcW w:w="1349"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0.34</w:t>
            </w: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ALT</w:t>
            </w:r>
          </w:p>
        </w:tc>
        <w:tc>
          <w:tcPr>
            <w:tcW w:w="102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1.001</w:t>
            </w:r>
          </w:p>
        </w:tc>
        <w:tc>
          <w:tcPr>
            <w:tcW w:w="15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0.998-1.004</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0.46</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c>
          <w:tcPr>
            <w:tcW w:w="1349"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AST</w:t>
            </w:r>
          </w:p>
        </w:tc>
        <w:tc>
          <w:tcPr>
            <w:tcW w:w="102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1.001</w:t>
            </w:r>
          </w:p>
        </w:tc>
        <w:tc>
          <w:tcPr>
            <w:tcW w:w="15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0.950-0.992</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0.59</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c>
          <w:tcPr>
            <w:tcW w:w="1349"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TBIL</w:t>
            </w:r>
          </w:p>
        </w:tc>
        <w:tc>
          <w:tcPr>
            <w:tcW w:w="102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0.971</w:t>
            </w:r>
          </w:p>
        </w:tc>
        <w:tc>
          <w:tcPr>
            <w:tcW w:w="15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0.951-0.992</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&lt; 0.01</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0.989</w:t>
            </w: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0.971-1.008</w:t>
            </w:r>
          </w:p>
        </w:tc>
        <w:tc>
          <w:tcPr>
            <w:tcW w:w="1349"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0.25</w:t>
            </w: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CHOL</w:t>
            </w:r>
          </w:p>
        </w:tc>
        <w:tc>
          <w:tcPr>
            <w:tcW w:w="102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1.021</w:t>
            </w:r>
          </w:p>
        </w:tc>
        <w:tc>
          <w:tcPr>
            <w:tcW w:w="15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0.652-1.601</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0.93</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c>
          <w:tcPr>
            <w:tcW w:w="1349"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TG</w:t>
            </w:r>
          </w:p>
        </w:tc>
        <w:tc>
          <w:tcPr>
            <w:tcW w:w="102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0.599</w:t>
            </w:r>
          </w:p>
        </w:tc>
        <w:tc>
          <w:tcPr>
            <w:tcW w:w="15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0.310-1.158</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0.13</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c>
          <w:tcPr>
            <w:tcW w:w="1349" w:type="dxa"/>
            <w:tcBorders>
              <w:top w:val="nil"/>
              <w:left w:val="nil"/>
              <w:bottom w:val="nil"/>
              <w:right w:val="nil"/>
            </w:tcBorders>
            <w:shd w:val="clear" w:color="auto" w:fill="auto"/>
            <w:vAlign w:val="center"/>
          </w:tcPr>
          <w:p>
            <w:pPr>
              <w:spacing w:line="360" w:lineRule="auto"/>
              <w:jc w:val="both"/>
              <w:rPr>
                <w:rFonts w:ascii="Book Antiqua" w:hAnsi="Book Antiqua" w:eastAsia="Adobe 黑体 Std R"/>
              </w:rPr>
            </w:pPr>
          </w:p>
        </w:tc>
      </w:tr>
      <w:tr>
        <w:tblPrEx>
          <w:tblCellMar>
            <w:top w:w="0" w:type="dxa"/>
            <w:left w:w="108" w:type="dxa"/>
            <w:bottom w:w="0" w:type="dxa"/>
            <w:right w:w="108" w:type="dxa"/>
          </w:tblCellMar>
        </w:tblPrEx>
        <w:trPr>
          <w:trHeight w:val="300" w:hRule="atLeast"/>
        </w:trPr>
        <w:tc>
          <w:tcPr>
            <w:tcW w:w="144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eGFR &lt; 90</w:t>
            </w:r>
          </w:p>
        </w:tc>
        <w:tc>
          <w:tcPr>
            <w:tcW w:w="102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12.429</w:t>
            </w:r>
          </w:p>
        </w:tc>
        <w:tc>
          <w:tcPr>
            <w:tcW w:w="156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4.504-34.392</w:t>
            </w:r>
          </w:p>
        </w:tc>
        <w:tc>
          <w:tcPr>
            <w:tcW w:w="108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&lt; 0.01</w:t>
            </w:r>
          </w:p>
        </w:tc>
        <w:tc>
          <w:tcPr>
            <w:tcW w:w="108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9.902</w:t>
            </w:r>
          </w:p>
        </w:tc>
        <w:tc>
          <w:tcPr>
            <w:tcW w:w="126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3.273-29.955</w:t>
            </w:r>
          </w:p>
        </w:tc>
        <w:tc>
          <w:tcPr>
            <w:tcW w:w="1349"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eastAsia="Adobe 黑体 Std R"/>
              </w:rPr>
            </w:pPr>
            <w:r>
              <w:rPr>
                <w:rFonts w:ascii="Book Antiqua" w:hAnsi="Book Antiqua" w:eastAsia="Adobe 黑体 Std R"/>
              </w:rPr>
              <w:t>&lt; 0.01</w:t>
            </w:r>
          </w:p>
        </w:tc>
      </w:tr>
    </w:tbl>
    <w:p>
      <w:pPr>
        <w:autoSpaceDE w:val="0"/>
        <w:autoSpaceDN w:val="0"/>
        <w:adjustRightInd w:val="0"/>
        <w:spacing w:line="360" w:lineRule="auto"/>
        <w:jc w:val="both"/>
        <w:rPr>
          <w:rFonts w:ascii="Book Antiqua" w:hAnsi="Book Antiqua" w:eastAsia="Adobe 黑体 Std R"/>
        </w:rPr>
      </w:pPr>
      <w:r>
        <w:rPr>
          <w:rFonts w:ascii="Book Antiqua" w:hAnsi="Book Antiqua" w:eastAsia="Adobe 黑体 Std R"/>
        </w:rPr>
        <w:t>Data are expressed as odds ratio and 95% confidence intervals.</w:t>
      </w:r>
      <w:r>
        <w:rPr>
          <w:rFonts w:hint="eastAsia" w:ascii="Book Antiqua" w:hAnsi="Book Antiqua" w:eastAsia="Adobe 黑体 Std R"/>
          <w:lang w:eastAsia="zh-CN"/>
        </w:rPr>
        <w:t xml:space="preserve"> </w:t>
      </w:r>
      <w:r>
        <w:rPr>
          <w:rFonts w:ascii="Book Antiqua" w:hAnsi="Book Antiqua" w:eastAsia="Adobe 黑体 Std R"/>
        </w:rPr>
        <w:t>BMI: Body mass index; ALT: Alanine aminotransferase; AST: Aspartate aminotransferase; TBil: Total bilirubin; CHOL: Total cholesterol; TG: Triglycerides; eGFR: Estimate glomerular filtration rate; LC: Liver cirrhosis.</w:t>
      </w:r>
    </w:p>
    <w:p>
      <w:pPr>
        <w:autoSpaceDE w:val="0"/>
        <w:autoSpaceDN w:val="0"/>
        <w:adjustRightInd w:val="0"/>
        <w:spacing w:line="360" w:lineRule="auto"/>
        <w:jc w:val="both"/>
        <w:rPr>
          <w:rFonts w:ascii="Book Antiqua" w:hAnsi="Book Antiqua"/>
          <w:b/>
          <w:w w:val="105"/>
        </w:rPr>
      </w:pPr>
    </w:p>
    <w:p>
      <w:pPr>
        <w:autoSpaceDE w:val="0"/>
        <w:autoSpaceDN w:val="0"/>
        <w:adjustRightInd w:val="0"/>
        <w:spacing w:line="360" w:lineRule="auto"/>
        <w:jc w:val="both"/>
        <w:rPr>
          <w:rFonts w:ascii="Book Antiqua" w:hAnsi="Book Antiqua"/>
          <w:b/>
          <w:spacing w:val="8"/>
        </w:rPr>
      </w:pPr>
      <w:r>
        <w:rPr>
          <w:rFonts w:ascii="Book Antiqua" w:hAnsi="Book Antiqua"/>
          <w:b/>
          <w:w w:val="105"/>
        </w:rPr>
        <w:t>Table 4 Risk factors for estimate glomerular filtration rate &lt; 90 mL/min·1.73 m</w:t>
      </w:r>
      <w:r>
        <w:rPr>
          <w:rFonts w:ascii="Book Antiqua" w:hAnsi="Book Antiqua"/>
          <w:b/>
          <w:w w:val="105"/>
          <w:vertAlign w:val="superscript"/>
        </w:rPr>
        <w:t xml:space="preserve">2 </w:t>
      </w:r>
      <w:r>
        <w:rPr>
          <w:rFonts w:ascii="Book Antiqua" w:hAnsi="Book Antiqua"/>
          <w:b/>
          <w:w w:val="105"/>
        </w:rPr>
        <w:t>at the 3</w:t>
      </w:r>
      <w:r>
        <w:rPr>
          <w:rFonts w:ascii="Book Antiqua" w:hAnsi="Book Antiqua"/>
          <w:b/>
          <w:w w:val="105"/>
          <w:vertAlign w:val="superscript"/>
        </w:rPr>
        <w:t>rd</w:t>
      </w:r>
      <w:r>
        <w:rPr>
          <w:rFonts w:ascii="Book Antiqua" w:hAnsi="Book Antiqua"/>
          <w:b/>
          <w:w w:val="105"/>
        </w:rPr>
        <w:t xml:space="preserve"> year in obese patients (N = 44)</w:t>
      </w:r>
    </w:p>
    <w:tbl>
      <w:tblPr>
        <w:tblStyle w:val="8"/>
        <w:tblW w:w="8340" w:type="dxa"/>
        <w:tblInd w:w="108" w:type="dxa"/>
        <w:tblLayout w:type="autofit"/>
        <w:tblCellMar>
          <w:top w:w="0" w:type="dxa"/>
          <w:left w:w="108" w:type="dxa"/>
          <w:bottom w:w="0" w:type="dxa"/>
          <w:right w:w="108" w:type="dxa"/>
        </w:tblCellMar>
      </w:tblPr>
      <w:tblGrid>
        <w:gridCol w:w="1440"/>
        <w:gridCol w:w="1112"/>
        <w:gridCol w:w="1468"/>
        <w:gridCol w:w="1080"/>
        <w:gridCol w:w="1080"/>
        <w:gridCol w:w="1260"/>
        <w:gridCol w:w="900"/>
      </w:tblGrid>
      <w:tr>
        <w:tblPrEx>
          <w:tblCellMar>
            <w:top w:w="0" w:type="dxa"/>
            <w:left w:w="108" w:type="dxa"/>
            <w:bottom w:w="0" w:type="dxa"/>
            <w:right w:w="108" w:type="dxa"/>
          </w:tblCellMar>
        </w:tblPrEx>
        <w:trPr>
          <w:trHeight w:val="300" w:hRule="atLeast"/>
        </w:trPr>
        <w:tc>
          <w:tcPr>
            <w:tcW w:w="1440" w:type="dxa"/>
            <w:vMerge w:val="restart"/>
            <w:tcBorders>
              <w:top w:val="single" w:color="auto" w:sz="12" w:space="0"/>
              <w:left w:val="nil"/>
              <w:bottom w:val="single" w:color="000000"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Baseline variables</w:t>
            </w:r>
          </w:p>
        </w:tc>
        <w:tc>
          <w:tcPr>
            <w:tcW w:w="2580" w:type="dxa"/>
            <w:gridSpan w:val="2"/>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Univariate analysis</w:t>
            </w:r>
          </w:p>
        </w:tc>
        <w:tc>
          <w:tcPr>
            <w:tcW w:w="1080"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b/>
              </w:rPr>
            </w:pPr>
          </w:p>
        </w:tc>
        <w:tc>
          <w:tcPr>
            <w:tcW w:w="2340" w:type="dxa"/>
            <w:gridSpan w:val="2"/>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Multivariate analysis</w:t>
            </w:r>
          </w:p>
        </w:tc>
        <w:tc>
          <w:tcPr>
            <w:tcW w:w="900"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b/>
              </w:rPr>
            </w:pPr>
          </w:p>
        </w:tc>
      </w:tr>
      <w:tr>
        <w:tblPrEx>
          <w:tblCellMar>
            <w:top w:w="0" w:type="dxa"/>
            <w:left w:w="108" w:type="dxa"/>
            <w:bottom w:w="0" w:type="dxa"/>
            <w:right w:w="108" w:type="dxa"/>
          </w:tblCellMar>
        </w:tblPrEx>
        <w:trPr>
          <w:trHeight w:val="300" w:hRule="atLeast"/>
        </w:trPr>
        <w:tc>
          <w:tcPr>
            <w:tcW w:w="1440" w:type="dxa"/>
            <w:vMerge w:val="continue"/>
            <w:tcBorders>
              <w:top w:val="single" w:color="auto" w:sz="12" w:space="0"/>
              <w:left w:val="nil"/>
              <w:bottom w:val="single" w:color="000000" w:sz="12" w:space="0"/>
              <w:right w:val="nil"/>
            </w:tcBorders>
            <w:vAlign w:val="center"/>
          </w:tcPr>
          <w:p>
            <w:pPr>
              <w:spacing w:line="360" w:lineRule="auto"/>
              <w:jc w:val="both"/>
              <w:rPr>
                <w:rFonts w:ascii="Book Antiqua" w:hAnsi="Book Antiqua"/>
                <w:b/>
              </w:rPr>
            </w:pPr>
          </w:p>
        </w:tc>
        <w:tc>
          <w:tcPr>
            <w:tcW w:w="1112"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Odds ratio</w:t>
            </w:r>
          </w:p>
        </w:tc>
        <w:tc>
          <w:tcPr>
            <w:tcW w:w="1468" w:type="dxa"/>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95%CI</w:t>
            </w:r>
          </w:p>
        </w:tc>
        <w:tc>
          <w:tcPr>
            <w:tcW w:w="108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i/>
              </w:rPr>
              <w:t>P</w:t>
            </w:r>
            <w:r>
              <w:rPr>
                <w:rFonts w:ascii="Book Antiqua" w:hAnsi="Book Antiqua"/>
                <w:b/>
              </w:rPr>
              <w:t xml:space="preserve"> value</w:t>
            </w:r>
          </w:p>
        </w:tc>
        <w:tc>
          <w:tcPr>
            <w:tcW w:w="1080" w:type="dxa"/>
            <w:tcBorders>
              <w:top w:val="single" w:color="auto" w:sz="12" w:space="0"/>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Odds ratio</w:t>
            </w:r>
          </w:p>
        </w:tc>
        <w:tc>
          <w:tcPr>
            <w:tcW w:w="126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rPr>
              <w:t>95%CI</w:t>
            </w:r>
          </w:p>
        </w:tc>
        <w:tc>
          <w:tcPr>
            <w:tcW w:w="90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b/>
              </w:rPr>
            </w:pPr>
            <w:r>
              <w:rPr>
                <w:rFonts w:ascii="Book Antiqua" w:hAnsi="Book Antiqua"/>
                <w:b/>
                <w:i/>
              </w:rPr>
              <w:t>P</w:t>
            </w:r>
            <w:r>
              <w:rPr>
                <w:rFonts w:ascii="Book Antiqua" w:hAnsi="Book Antiqua"/>
                <w:b/>
              </w:rPr>
              <w:t xml:space="preserve"> value</w:t>
            </w: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Age</w:t>
            </w:r>
          </w:p>
        </w:tc>
        <w:tc>
          <w:tcPr>
            <w:tcW w:w="1112"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0.892</w:t>
            </w:r>
          </w:p>
        </w:tc>
        <w:tc>
          <w:tcPr>
            <w:tcW w:w="1468"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0.811-0.980</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0.02</w:t>
            </w:r>
          </w:p>
        </w:tc>
        <w:tc>
          <w:tcPr>
            <w:tcW w:w="1080" w:type="dxa"/>
            <w:tcBorders>
              <w:top w:val="single" w:color="auto" w:sz="12" w:space="0"/>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0.884</w:t>
            </w: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0.773-1.010</w:t>
            </w:r>
          </w:p>
        </w:tc>
        <w:tc>
          <w:tcPr>
            <w:tcW w:w="90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0.07</w:t>
            </w: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Gender (male)</w:t>
            </w:r>
          </w:p>
        </w:tc>
        <w:tc>
          <w:tcPr>
            <w:tcW w:w="1112"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0.965</w:t>
            </w:r>
          </w:p>
        </w:tc>
        <w:tc>
          <w:tcPr>
            <w:tcW w:w="146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0.095-1.412</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0.27</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9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LC</w:t>
            </w:r>
          </w:p>
        </w:tc>
        <w:tc>
          <w:tcPr>
            <w:tcW w:w="1112"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3.875</w:t>
            </w:r>
          </w:p>
        </w:tc>
        <w:tc>
          <w:tcPr>
            <w:tcW w:w="146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0.685-21.934</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0.13</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9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ALT</w:t>
            </w:r>
          </w:p>
        </w:tc>
        <w:tc>
          <w:tcPr>
            <w:tcW w:w="1112"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w:t>
            </w:r>
          </w:p>
        </w:tc>
        <w:tc>
          <w:tcPr>
            <w:tcW w:w="146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0.997-1.005</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0.95</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9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AST</w:t>
            </w:r>
          </w:p>
        </w:tc>
        <w:tc>
          <w:tcPr>
            <w:tcW w:w="1112"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0.999</w:t>
            </w:r>
          </w:p>
        </w:tc>
        <w:tc>
          <w:tcPr>
            <w:tcW w:w="146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0.942-1.003</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0.71</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9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TBIL</w:t>
            </w:r>
          </w:p>
        </w:tc>
        <w:tc>
          <w:tcPr>
            <w:tcW w:w="1112"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0.997</w:t>
            </w:r>
          </w:p>
        </w:tc>
        <w:tc>
          <w:tcPr>
            <w:tcW w:w="146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0.942-1.005</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0.92</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9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CHOL</w:t>
            </w:r>
          </w:p>
        </w:tc>
        <w:tc>
          <w:tcPr>
            <w:tcW w:w="1112"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1.967</w:t>
            </w:r>
          </w:p>
        </w:tc>
        <w:tc>
          <w:tcPr>
            <w:tcW w:w="146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0.710-5.452</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0.19</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9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TG</w:t>
            </w:r>
          </w:p>
        </w:tc>
        <w:tc>
          <w:tcPr>
            <w:tcW w:w="1112"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1.337</w:t>
            </w:r>
          </w:p>
        </w:tc>
        <w:tc>
          <w:tcPr>
            <w:tcW w:w="146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0.402-4.717</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0.61</w:t>
            </w:r>
          </w:p>
        </w:tc>
        <w:tc>
          <w:tcPr>
            <w:tcW w:w="1080"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9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00" w:hRule="atLeast"/>
        </w:trPr>
        <w:tc>
          <w:tcPr>
            <w:tcW w:w="144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eGFR &lt; 90</w:t>
            </w:r>
          </w:p>
        </w:tc>
        <w:tc>
          <w:tcPr>
            <w:tcW w:w="1112"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0.027</w:t>
            </w:r>
          </w:p>
        </w:tc>
        <w:tc>
          <w:tcPr>
            <w:tcW w:w="1468"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0.004-0.192</w:t>
            </w:r>
          </w:p>
        </w:tc>
        <w:tc>
          <w:tcPr>
            <w:tcW w:w="108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c>
          <w:tcPr>
            <w:tcW w:w="108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0.025</w:t>
            </w:r>
          </w:p>
        </w:tc>
        <w:tc>
          <w:tcPr>
            <w:tcW w:w="126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0.003-0.235</w:t>
            </w:r>
          </w:p>
        </w:tc>
        <w:tc>
          <w:tcPr>
            <w:tcW w:w="900"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0.01</w:t>
            </w:r>
          </w:p>
        </w:tc>
      </w:tr>
    </w:tbl>
    <w:p>
      <w:pPr>
        <w:autoSpaceDE w:val="0"/>
        <w:autoSpaceDN w:val="0"/>
        <w:adjustRightInd w:val="0"/>
        <w:spacing w:line="360" w:lineRule="auto"/>
        <w:jc w:val="both"/>
        <w:rPr>
          <w:rFonts w:ascii="Book Antiqua" w:hAnsi="Book Antiqua" w:eastAsia="HelveticaNeueLTStd-Roman"/>
        </w:rPr>
      </w:pPr>
      <w:r>
        <w:rPr>
          <w:rFonts w:ascii="Book Antiqua" w:hAnsi="Book Antiqua" w:eastAsia="HelveticaNeueLTStd-Roman"/>
        </w:rPr>
        <w:t>Data are expressed as odds ratio and 95% confidence intervals.</w:t>
      </w:r>
      <w:r>
        <w:rPr>
          <w:rFonts w:hint="eastAsia" w:ascii="Book Antiqua" w:hAnsi="Book Antiqua" w:eastAsia="HelveticaNeueLTStd-Roman"/>
          <w:lang w:eastAsia="zh-CN"/>
        </w:rPr>
        <w:t xml:space="preserve"> </w:t>
      </w:r>
      <w:r>
        <w:rPr>
          <w:rFonts w:ascii="Book Antiqua" w:hAnsi="Book Antiqua"/>
        </w:rPr>
        <w:t>BMI:</w:t>
      </w:r>
      <w:r>
        <w:rPr>
          <w:rFonts w:ascii="Book Antiqua" w:hAnsi="Book Antiqua" w:eastAsia="HelveticaNeueLTStd-Roman"/>
        </w:rPr>
        <w:t xml:space="preserve"> Body mass index; </w:t>
      </w:r>
      <w:r>
        <w:rPr>
          <w:rFonts w:ascii="Book Antiqua" w:hAnsi="Book Antiqua"/>
        </w:rPr>
        <w:t>ALT: Alanine aminotransferase; AST: Aspartate aminotransferase; TBil: Total bilirubin; CHOL: Total cholesterol; TG: Triglycerides; eGFR: Estimate glomerular filtration rate; LC: Liver cirrhosis.</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HelveticaNeueLTStd-Roman">
    <w:altName w:val="微软雅黑"/>
    <w:panose1 w:val="020B0604020202020204"/>
    <w:charset w:val="86"/>
    <w:family w:val="swiss"/>
    <w:pitch w:val="default"/>
    <w:sig w:usb0="00000000" w:usb1="00000000" w:usb2="00000010" w:usb3="00000000" w:csb0="00040000" w:csb1="00000000"/>
  </w:font>
  <w:font w:name="Adobe 黑体 Std R">
    <w:altName w:val="黑体"/>
    <w:panose1 w:val="020B0604020202020204"/>
    <w:charset w:val="86"/>
    <w:family w:val="swiss"/>
    <w:pitch w:val="default"/>
    <w:sig w:usb0="00000000" w:usb1="00000000" w:usb2="00000016" w:usb3="00000000" w:csb0="00060007"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63395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6E62"/>
    <w:rsid w:val="00014FF6"/>
    <w:rsid w:val="000231A8"/>
    <w:rsid w:val="0002401E"/>
    <w:rsid w:val="00066D05"/>
    <w:rsid w:val="00073209"/>
    <w:rsid w:val="00086AB2"/>
    <w:rsid w:val="000A7EEA"/>
    <w:rsid w:val="000B0A71"/>
    <w:rsid w:val="000B5416"/>
    <w:rsid w:val="000C7A5D"/>
    <w:rsid w:val="000E1A2A"/>
    <w:rsid w:val="000E458F"/>
    <w:rsid w:val="000F7E34"/>
    <w:rsid w:val="00102E7E"/>
    <w:rsid w:val="001117CF"/>
    <w:rsid w:val="00117428"/>
    <w:rsid w:val="001276AF"/>
    <w:rsid w:val="00131F6D"/>
    <w:rsid w:val="00160778"/>
    <w:rsid w:val="0016313A"/>
    <w:rsid w:val="00164F21"/>
    <w:rsid w:val="0018588C"/>
    <w:rsid w:val="001935C8"/>
    <w:rsid w:val="001C2EB2"/>
    <w:rsid w:val="001E171E"/>
    <w:rsid w:val="001E516C"/>
    <w:rsid w:val="00202B1D"/>
    <w:rsid w:val="0021052F"/>
    <w:rsid w:val="00210DAA"/>
    <w:rsid w:val="00212FBD"/>
    <w:rsid w:val="00224324"/>
    <w:rsid w:val="00245B77"/>
    <w:rsid w:val="002864E0"/>
    <w:rsid w:val="00287C76"/>
    <w:rsid w:val="002A3BC3"/>
    <w:rsid w:val="002B5127"/>
    <w:rsid w:val="002D1D23"/>
    <w:rsid w:val="002D5A3B"/>
    <w:rsid w:val="002E13D6"/>
    <w:rsid w:val="002E57DC"/>
    <w:rsid w:val="00310FC3"/>
    <w:rsid w:val="00334292"/>
    <w:rsid w:val="003503BB"/>
    <w:rsid w:val="00361031"/>
    <w:rsid w:val="00365226"/>
    <w:rsid w:val="003832AA"/>
    <w:rsid w:val="00395F25"/>
    <w:rsid w:val="003A7A2E"/>
    <w:rsid w:val="003E315B"/>
    <w:rsid w:val="00404854"/>
    <w:rsid w:val="00432E4F"/>
    <w:rsid w:val="00452ADB"/>
    <w:rsid w:val="004578EC"/>
    <w:rsid w:val="00461C0F"/>
    <w:rsid w:val="00475D32"/>
    <w:rsid w:val="004815DB"/>
    <w:rsid w:val="004854E8"/>
    <w:rsid w:val="00491251"/>
    <w:rsid w:val="004A170D"/>
    <w:rsid w:val="004A3569"/>
    <w:rsid w:val="004B516A"/>
    <w:rsid w:val="004C7975"/>
    <w:rsid w:val="004D0B39"/>
    <w:rsid w:val="004E2399"/>
    <w:rsid w:val="004E3DDF"/>
    <w:rsid w:val="004F2A91"/>
    <w:rsid w:val="004F75F2"/>
    <w:rsid w:val="00501FFB"/>
    <w:rsid w:val="00503850"/>
    <w:rsid w:val="005138AA"/>
    <w:rsid w:val="00517ED6"/>
    <w:rsid w:val="00524DAB"/>
    <w:rsid w:val="00526265"/>
    <w:rsid w:val="00544C1E"/>
    <w:rsid w:val="005469ED"/>
    <w:rsid w:val="0056184A"/>
    <w:rsid w:val="005721E6"/>
    <w:rsid w:val="005740DC"/>
    <w:rsid w:val="00585422"/>
    <w:rsid w:val="00586822"/>
    <w:rsid w:val="005949DF"/>
    <w:rsid w:val="005A3506"/>
    <w:rsid w:val="005B0410"/>
    <w:rsid w:val="005B2984"/>
    <w:rsid w:val="005C36B7"/>
    <w:rsid w:val="005C63F4"/>
    <w:rsid w:val="005D4D7F"/>
    <w:rsid w:val="005D57A5"/>
    <w:rsid w:val="005D7933"/>
    <w:rsid w:val="005E354B"/>
    <w:rsid w:val="00620166"/>
    <w:rsid w:val="00670345"/>
    <w:rsid w:val="00676450"/>
    <w:rsid w:val="00677A4B"/>
    <w:rsid w:val="006A3B94"/>
    <w:rsid w:val="006A4277"/>
    <w:rsid w:val="006B6D0B"/>
    <w:rsid w:val="006B716C"/>
    <w:rsid w:val="006D7478"/>
    <w:rsid w:val="007019ED"/>
    <w:rsid w:val="00702329"/>
    <w:rsid w:val="00702608"/>
    <w:rsid w:val="00717407"/>
    <w:rsid w:val="00734662"/>
    <w:rsid w:val="007451AF"/>
    <w:rsid w:val="0075036B"/>
    <w:rsid w:val="00762F90"/>
    <w:rsid w:val="00794046"/>
    <w:rsid w:val="007A1E1B"/>
    <w:rsid w:val="007C51AC"/>
    <w:rsid w:val="007C6621"/>
    <w:rsid w:val="007D377A"/>
    <w:rsid w:val="007D4514"/>
    <w:rsid w:val="007E6FC1"/>
    <w:rsid w:val="007F0421"/>
    <w:rsid w:val="007F6175"/>
    <w:rsid w:val="00805F9A"/>
    <w:rsid w:val="00816D9F"/>
    <w:rsid w:val="008323FF"/>
    <w:rsid w:val="008623C9"/>
    <w:rsid w:val="0087257E"/>
    <w:rsid w:val="00882ED3"/>
    <w:rsid w:val="008906EE"/>
    <w:rsid w:val="008B3020"/>
    <w:rsid w:val="008F09E7"/>
    <w:rsid w:val="008F1620"/>
    <w:rsid w:val="008F2794"/>
    <w:rsid w:val="008F460D"/>
    <w:rsid w:val="008F6663"/>
    <w:rsid w:val="00900193"/>
    <w:rsid w:val="009059AD"/>
    <w:rsid w:val="00910C7B"/>
    <w:rsid w:val="0091404D"/>
    <w:rsid w:val="00920AE5"/>
    <w:rsid w:val="00926E5B"/>
    <w:rsid w:val="009340DC"/>
    <w:rsid w:val="009345C9"/>
    <w:rsid w:val="00952E73"/>
    <w:rsid w:val="009651B5"/>
    <w:rsid w:val="00966FDB"/>
    <w:rsid w:val="00974B1D"/>
    <w:rsid w:val="0099214F"/>
    <w:rsid w:val="00994318"/>
    <w:rsid w:val="00997317"/>
    <w:rsid w:val="009A59DB"/>
    <w:rsid w:val="009B2AD1"/>
    <w:rsid w:val="009B7279"/>
    <w:rsid w:val="009C2122"/>
    <w:rsid w:val="009C7BB4"/>
    <w:rsid w:val="009D3051"/>
    <w:rsid w:val="009E00B3"/>
    <w:rsid w:val="009E2ED3"/>
    <w:rsid w:val="009E300E"/>
    <w:rsid w:val="009E42CE"/>
    <w:rsid w:val="009F3715"/>
    <w:rsid w:val="00A00147"/>
    <w:rsid w:val="00A02658"/>
    <w:rsid w:val="00A06DB7"/>
    <w:rsid w:val="00A35A75"/>
    <w:rsid w:val="00A6203B"/>
    <w:rsid w:val="00A759E4"/>
    <w:rsid w:val="00A77B3E"/>
    <w:rsid w:val="00A95CF6"/>
    <w:rsid w:val="00AA4D7B"/>
    <w:rsid w:val="00AB1129"/>
    <w:rsid w:val="00AC7A55"/>
    <w:rsid w:val="00AD6B70"/>
    <w:rsid w:val="00AE6673"/>
    <w:rsid w:val="00AF07DA"/>
    <w:rsid w:val="00B10C4B"/>
    <w:rsid w:val="00B24736"/>
    <w:rsid w:val="00B50DB3"/>
    <w:rsid w:val="00B57C9D"/>
    <w:rsid w:val="00B61CF5"/>
    <w:rsid w:val="00B676AF"/>
    <w:rsid w:val="00B72D6B"/>
    <w:rsid w:val="00B75DDF"/>
    <w:rsid w:val="00B76D0E"/>
    <w:rsid w:val="00B85F21"/>
    <w:rsid w:val="00B9313E"/>
    <w:rsid w:val="00BA0952"/>
    <w:rsid w:val="00BA5C1F"/>
    <w:rsid w:val="00BB0159"/>
    <w:rsid w:val="00BD62C3"/>
    <w:rsid w:val="00C01B48"/>
    <w:rsid w:val="00C02A10"/>
    <w:rsid w:val="00C101E0"/>
    <w:rsid w:val="00C11BE5"/>
    <w:rsid w:val="00C227E5"/>
    <w:rsid w:val="00C27E52"/>
    <w:rsid w:val="00C346AB"/>
    <w:rsid w:val="00C60293"/>
    <w:rsid w:val="00C77B99"/>
    <w:rsid w:val="00C90F8A"/>
    <w:rsid w:val="00C96FB1"/>
    <w:rsid w:val="00CA2A55"/>
    <w:rsid w:val="00CD2ACF"/>
    <w:rsid w:val="00CD6882"/>
    <w:rsid w:val="00CE4119"/>
    <w:rsid w:val="00D00176"/>
    <w:rsid w:val="00D00CFE"/>
    <w:rsid w:val="00D01135"/>
    <w:rsid w:val="00D2464C"/>
    <w:rsid w:val="00D3370D"/>
    <w:rsid w:val="00D51AE2"/>
    <w:rsid w:val="00D60E64"/>
    <w:rsid w:val="00D961B0"/>
    <w:rsid w:val="00DA38A3"/>
    <w:rsid w:val="00DB609A"/>
    <w:rsid w:val="00DC78BF"/>
    <w:rsid w:val="00DD02A1"/>
    <w:rsid w:val="00DD267C"/>
    <w:rsid w:val="00DD2FB0"/>
    <w:rsid w:val="00DE4380"/>
    <w:rsid w:val="00E12B8C"/>
    <w:rsid w:val="00E16414"/>
    <w:rsid w:val="00E21E09"/>
    <w:rsid w:val="00E4778D"/>
    <w:rsid w:val="00E52829"/>
    <w:rsid w:val="00E64D63"/>
    <w:rsid w:val="00E73139"/>
    <w:rsid w:val="00E74A92"/>
    <w:rsid w:val="00EA1340"/>
    <w:rsid w:val="00EB54FA"/>
    <w:rsid w:val="00EC3876"/>
    <w:rsid w:val="00EC6227"/>
    <w:rsid w:val="00EC7739"/>
    <w:rsid w:val="00ED014E"/>
    <w:rsid w:val="00EE7CF2"/>
    <w:rsid w:val="00EF6E0E"/>
    <w:rsid w:val="00EF76DC"/>
    <w:rsid w:val="00F12992"/>
    <w:rsid w:val="00F14689"/>
    <w:rsid w:val="00F20825"/>
    <w:rsid w:val="00F246AA"/>
    <w:rsid w:val="00F50523"/>
    <w:rsid w:val="00F64EF5"/>
    <w:rsid w:val="00F6520D"/>
    <w:rsid w:val="00F84F8D"/>
    <w:rsid w:val="00F90961"/>
    <w:rsid w:val="00FA255B"/>
    <w:rsid w:val="00FA71FA"/>
    <w:rsid w:val="00FB25E3"/>
    <w:rsid w:val="00FB4038"/>
    <w:rsid w:val="00FB5229"/>
    <w:rsid w:val="00FE1B32"/>
    <w:rsid w:val="00FF2B6F"/>
    <w:rsid w:val="2D0F7BA5"/>
    <w:rsid w:val="76A54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5"/>
    <w:semiHidden/>
    <w:unhideWhenUsed/>
    <w:qFormat/>
    <w:uiPriority w:val="0"/>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4"/>
    <w:semiHidden/>
    <w:unhideWhenUsed/>
    <w:uiPriority w:val="0"/>
    <w:rPr>
      <w:b/>
      <w:bCs/>
    </w:rPr>
  </w:style>
  <w:style w:type="character" w:styleId="10">
    <w:name w:val="annotation reference"/>
    <w:basedOn w:val="9"/>
    <w:semiHidden/>
    <w:unhideWhenUsed/>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uiPriority w:val="0"/>
    <w:rPr>
      <w:sz w:val="24"/>
      <w:szCs w:val="24"/>
    </w:rPr>
  </w:style>
  <w:style w:type="character" w:customStyle="1" w:styleId="14">
    <w:name w:val="批注主题 字符"/>
    <w:basedOn w:val="13"/>
    <w:link w:val="7"/>
    <w:semiHidden/>
    <w:qFormat/>
    <w:uiPriority w:val="0"/>
    <w:rPr>
      <w:b/>
      <w:bCs/>
      <w:sz w:val="24"/>
      <w:szCs w:val="24"/>
    </w:rPr>
  </w:style>
  <w:style w:type="character" w:customStyle="1" w:styleId="15">
    <w:name w:val="批注框文本 字符"/>
    <w:basedOn w:val="9"/>
    <w:link w:val="3"/>
    <w:semiHidden/>
    <w:qFormat/>
    <w:uiPriority w:val="0"/>
    <w:rPr>
      <w:sz w:val="18"/>
      <w:szCs w:val="18"/>
    </w:rPr>
  </w:style>
  <w:style w:type="paragraph" w:customStyle="1" w:styleId="16">
    <w:name w:val="正文1"/>
    <w:qFormat/>
    <w:uiPriority w:val="99"/>
    <w:pPr>
      <w:spacing w:line="276" w:lineRule="auto"/>
    </w:pPr>
    <w:rPr>
      <w:rFonts w:ascii="Arial" w:hAnsi="Arial" w:eastAsia="宋体" w:cs="Arial"/>
      <w:color w:val="000000"/>
      <w:sz w:val="22"/>
      <w:lang w:val="pl-PL" w:eastAsia="pl-PL" w:bidi="ar-SA"/>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5053</Words>
  <Characters>28739</Characters>
  <Lines>238</Lines>
  <Paragraphs>67</Paragraphs>
  <TotalTime>0</TotalTime>
  <ScaleCrop>false</ScaleCrop>
  <LinksUpToDate>false</LinksUpToDate>
  <CharactersWithSpaces>33400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2022-09-21T02:46:00Z</dcterms:created>
  <dc:creator>百世登</dc:creator>
  <cp:lastModifiedBy>晓晨</cp:lastModifiedBy>
  <dcterms:modified xsi:type="dcterms:W3CDTF">2022-10-25T12:07:52Z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0CEBCE421BA249729C049EEAC33EB3AD</vt:lpwstr>
  </property>
</Properties>
</file>