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8A72" w14:textId="0BA6F63A" w:rsidR="00A77B3E" w:rsidRPr="00004362" w:rsidRDefault="00D462C0">
      <w:pPr>
        <w:spacing w:line="360" w:lineRule="auto"/>
        <w:jc w:val="both"/>
      </w:pPr>
      <w:r w:rsidRPr="00004362">
        <w:rPr>
          <w:rFonts w:ascii="Book Antiqua" w:eastAsia="Book Antiqua" w:hAnsi="Book Antiqua" w:cs="Book Antiqua"/>
          <w:b/>
          <w:color w:val="000000"/>
        </w:rPr>
        <w:t>Name</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of</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Journal:</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i/>
          <w:color w:val="000000"/>
        </w:rPr>
        <w:t>World</w:t>
      </w:r>
      <w:r w:rsidR="00150010" w:rsidRPr="00004362">
        <w:rPr>
          <w:rFonts w:ascii="Book Antiqua" w:eastAsia="Book Antiqua" w:hAnsi="Book Antiqua" w:cs="Book Antiqua"/>
          <w:i/>
          <w:color w:val="000000"/>
        </w:rPr>
        <w:t xml:space="preserve"> </w:t>
      </w:r>
      <w:r w:rsidRPr="00004362">
        <w:rPr>
          <w:rFonts w:ascii="Book Antiqua" w:eastAsia="Book Antiqua" w:hAnsi="Book Antiqua" w:cs="Book Antiqua"/>
          <w:i/>
          <w:color w:val="000000"/>
        </w:rPr>
        <w:t>Journal</w:t>
      </w:r>
      <w:r w:rsidR="00150010" w:rsidRPr="00004362">
        <w:rPr>
          <w:rFonts w:ascii="Book Antiqua" w:eastAsia="Book Antiqua" w:hAnsi="Book Antiqua" w:cs="Book Antiqua"/>
          <w:i/>
          <w:color w:val="000000"/>
        </w:rPr>
        <w:t xml:space="preserve"> </w:t>
      </w:r>
      <w:r w:rsidRPr="00004362">
        <w:rPr>
          <w:rFonts w:ascii="Book Antiqua" w:eastAsia="Book Antiqua" w:hAnsi="Book Antiqua" w:cs="Book Antiqua"/>
          <w:i/>
          <w:color w:val="000000"/>
        </w:rPr>
        <w:t>of</w:t>
      </w:r>
      <w:r w:rsidR="00150010" w:rsidRPr="00004362">
        <w:rPr>
          <w:rFonts w:ascii="Book Antiqua" w:eastAsia="Book Antiqua" w:hAnsi="Book Antiqua" w:cs="Book Antiqua"/>
          <w:i/>
          <w:color w:val="000000"/>
        </w:rPr>
        <w:t xml:space="preserve"> </w:t>
      </w:r>
      <w:r w:rsidRPr="00004362">
        <w:rPr>
          <w:rFonts w:ascii="Book Antiqua" w:eastAsia="Book Antiqua" w:hAnsi="Book Antiqua" w:cs="Book Antiqua"/>
          <w:i/>
          <w:color w:val="000000"/>
        </w:rPr>
        <w:t>Gastroenterology</w:t>
      </w:r>
    </w:p>
    <w:p w14:paraId="0C0A0E42" w14:textId="57D90592" w:rsidR="00A77B3E" w:rsidRPr="00004362" w:rsidRDefault="00D462C0">
      <w:pPr>
        <w:spacing w:line="360" w:lineRule="auto"/>
        <w:jc w:val="both"/>
      </w:pPr>
      <w:r w:rsidRPr="00004362">
        <w:rPr>
          <w:rFonts w:ascii="Book Antiqua" w:eastAsia="Book Antiqua" w:hAnsi="Book Antiqua" w:cs="Book Antiqua"/>
          <w:b/>
          <w:color w:val="000000"/>
        </w:rPr>
        <w:t>Manuscript</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NO:</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color w:val="000000"/>
        </w:rPr>
        <w:t>80237</w:t>
      </w:r>
    </w:p>
    <w:p w14:paraId="78D1C174" w14:textId="24C755AB" w:rsidR="00A77B3E" w:rsidRPr="00004362" w:rsidRDefault="00D462C0">
      <w:pPr>
        <w:spacing w:line="360" w:lineRule="auto"/>
        <w:jc w:val="both"/>
      </w:pPr>
      <w:r w:rsidRPr="00004362">
        <w:rPr>
          <w:rFonts w:ascii="Book Antiqua" w:eastAsia="Book Antiqua" w:hAnsi="Book Antiqua" w:cs="Book Antiqua"/>
          <w:b/>
          <w:color w:val="000000"/>
        </w:rPr>
        <w:t>Manuscript</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Type:</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color w:val="000000"/>
        </w:rPr>
        <w:t>MINIREVIEWS</w:t>
      </w:r>
    </w:p>
    <w:p w14:paraId="21F78A49" w14:textId="77777777" w:rsidR="00A77B3E" w:rsidRPr="00004362" w:rsidRDefault="00A77B3E">
      <w:pPr>
        <w:spacing w:line="360" w:lineRule="auto"/>
        <w:jc w:val="both"/>
      </w:pPr>
    </w:p>
    <w:p w14:paraId="3080D1D6" w14:textId="623EAAC4" w:rsidR="00A77B3E" w:rsidRPr="00004362" w:rsidRDefault="00D462C0">
      <w:pPr>
        <w:spacing w:line="360" w:lineRule="auto"/>
        <w:jc w:val="both"/>
      </w:pPr>
      <w:r w:rsidRPr="00004362">
        <w:rPr>
          <w:rFonts w:ascii="Book Antiqua" w:eastAsia="Book Antiqua" w:hAnsi="Book Antiqua" w:cs="Book Antiqua"/>
          <w:b/>
          <w:color w:val="000000"/>
        </w:rPr>
        <w:t>Role</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of</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the</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combination</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of</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biologics</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and/or</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small</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molecules</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in</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the</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treatment</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of</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patients</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with</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inflammatory</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bowel</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disease</w:t>
      </w:r>
    </w:p>
    <w:p w14:paraId="58FEC4E0" w14:textId="77777777" w:rsidR="00A77B3E" w:rsidRPr="00004362" w:rsidRDefault="00A77B3E">
      <w:pPr>
        <w:spacing w:line="360" w:lineRule="auto"/>
        <w:jc w:val="both"/>
      </w:pPr>
    </w:p>
    <w:p w14:paraId="40D39FD0" w14:textId="279603BB" w:rsidR="00A77B3E" w:rsidRPr="00004362" w:rsidRDefault="0084132C">
      <w:pPr>
        <w:spacing w:line="360" w:lineRule="auto"/>
        <w:jc w:val="both"/>
      </w:pPr>
      <w:r w:rsidRPr="00004362">
        <w:rPr>
          <w:rFonts w:ascii="Book Antiqua" w:eastAsia="Book Antiqua" w:hAnsi="Book Antiqua" w:cs="Book Antiqua"/>
          <w:color w:val="000000"/>
        </w:rPr>
        <w:t>Balderramo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i/>
          <w:iCs/>
          <w:color w:val="000000"/>
        </w:rPr>
        <w:t>et</w:t>
      </w:r>
      <w:r w:rsidR="00150010" w:rsidRPr="00004362">
        <w:rPr>
          <w:rFonts w:ascii="Book Antiqua" w:eastAsia="Book Antiqua" w:hAnsi="Book Antiqua" w:cs="Book Antiqua"/>
          <w:i/>
          <w:iCs/>
          <w:color w:val="000000"/>
        </w:rPr>
        <w:t xml:space="preserve"> </w:t>
      </w:r>
      <w:r w:rsidRPr="00004362">
        <w:rPr>
          <w:rFonts w:ascii="Book Antiqua" w:eastAsia="Book Antiqua" w:hAnsi="Book Antiqua" w:cs="Book Antiqua"/>
          <w:i/>
          <w:iCs/>
          <w:color w:val="000000"/>
        </w:rPr>
        <w:t>al</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Combination</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biologics</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and/or</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small</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molecules</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p>
    <w:p w14:paraId="11A6D19F" w14:textId="77777777" w:rsidR="00A77B3E" w:rsidRPr="00004362" w:rsidRDefault="00A77B3E">
      <w:pPr>
        <w:spacing w:line="360" w:lineRule="auto"/>
        <w:jc w:val="both"/>
      </w:pPr>
    </w:p>
    <w:p w14:paraId="47C4792F" w14:textId="17209506" w:rsidR="00A77B3E" w:rsidRPr="00305BD3" w:rsidRDefault="00D462C0">
      <w:pPr>
        <w:spacing w:line="360" w:lineRule="auto"/>
        <w:jc w:val="both"/>
        <w:rPr>
          <w:lang w:val="es-AR"/>
        </w:rPr>
      </w:pPr>
      <w:r w:rsidRPr="00305BD3">
        <w:rPr>
          <w:rFonts w:ascii="Book Antiqua" w:eastAsia="Book Antiqua" w:hAnsi="Book Antiqua" w:cs="Book Antiqua"/>
          <w:color w:val="000000"/>
          <w:lang w:val="es-AR"/>
        </w:rPr>
        <w:t>Domingo</w:t>
      </w:r>
      <w:r w:rsidR="00150010" w:rsidRPr="00305BD3">
        <w:rPr>
          <w:rFonts w:ascii="Book Antiqua" w:eastAsia="Book Antiqua" w:hAnsi="Book Antiqua" w:cs="Book Antiqua"/>
          <w:color w:val="000000"/>
          <w:lang w:val="es-AR"/>
        </w:rPr>
        <w:t xml:space="preserve"> </w:t>
      </w:r>
      <w:r w:rsidRPr="00305BD3">
        <w:rPr>
          <w:rFonts w:ascii="Book Antiqua" w:eastAsia="Book Antiqua" w:hAnsi="Book Antiqua" w:cs="Book Antiqua"/>
          <w:color w:val="000000"/>
          <w:lang w:val="es-AR"/>
        </w:rPr>
        <w:t>Balderramo</w:t>
      </w:r>
    </w:p>
    <w:p w14:paraId="5769D14C" w14:textId="77777777" w:rsidR="00A77B3E" w:rsidRPr="00305BD3" w:rsidRDefault="00A77B3E">
      <w:pPr>
        <w:spacing w:line="360" w:lineRule="auto"/>
        <w:jc w:val="both"/>
        <w:rPr>
          <w:lang w:val="es-AR"/>
        </w:rPr>
      </w:pPr>
    </w:p>
    <w:p w14:paraId="118F268E" w14:textId="4ABC2BCB" w:rsidR="00A77B3E" w:rsidRPr="00305BD3" w:rsidRDefault="00D462C0">
      <w:pPr>
        <w:spacing w:line="360" w:lineRule="auto"/>
        <w:jc w:val="both"/>
        <w:rPr>
          <w:lang w:val="es-AR"/>
        </w:rPr>
      </w:pPr>
      <w:r w:rsidRPr="00305BD3">
        <w:rPr>
          <w:rFonts w:ascii="Book Antiqua" w:eastAsia="Book Antiqua" w:hAnsi="Book Antiqua" w:cs="Book Antiqua"/>
          <w:b/>
          <w:bCs/>
          <w:color w:val="000000"/>
          <w:lang w:val="es-AR"/>
        </w:rPr>
        <w:t>Domingo</w:t>
      </w:r>
      <w:r w:rsidR="00150010" w:rsidRPr="00305BD3">
        <w:rPr>
          <w:rFonts w:ascii="Book Antiqua" w:eastAsia="Book Antiqua" w:hAnsi="Book Antiqua" w:cs="Book Antiqua"/>
          <w:b/>
          <w:bCs/>
          <w:color w:val="000000"/>
          <w:lang w:val="es-AR"/>
        </w:rPr>
        <w:t xml:space="preserve"> </w:t>
      </w:r>
      <w:r w:rsidRPr="00305BD3">
        <w:rPr>
          <w:rFonts w:ascii="Book Antiqua" w:eastAsia="Book Antiqua" w:hAnsi="Book Antiqua" w:cs="Book Antiqua"/>
          <w:b/>
          <w:bCs/>
          <w:color w:val="000000"/>
          <w:lang w:val="es-AR"/>
        </w:rPr>
        <w:t>Balderramo,</w:t>
      </w:r>
      <w:r w:rsidR="00150010" w:rsidRPr="00305BD3">
        <w:rPr>
          <w:rFonts w:ascii="Book Antiqua" w:eastAsia="Book Antiqua" w:hAnsi="Book Antiqua" w:cs="Book Antiqua"/>
          <w:b/>
          <w:bCs/>
          <w:color w:val="000000"/>
          <w:lang w:val="es-AR"/>
        </w:rPr>
        <w:t xml:space="preserve"> </w:t>
      </w:r>
      <w:r w:rsidR="0084132C" w:rsidRPr="00305BD3">
        <w:rPr>
          <w:rFonts w:ascii="Book Antiqua" w:eastAsia="Book Antiqua" w:hAnsi="Book Antiqua" w:cs="Book Antiqua"/>
          <w:color w:val="000000"/>
          <w:lang w:val="es-AR"/>
        </w:rPr>
        <w:t>Department</w:t>
      </w:r>
      <w:r w:rsidR="00150010" w:rsidRPr="00305BD3">
        <w:rPr>
          <w:rFonts w:ascii="Book Antiqua" w:eastAsia="Book Antiqua" w:hAnsi="Book Antiqua" w:cs="Book Antiqua"/>
          <w:color w:val="000000"/>
          <w:lang w:val="es-AR"/>
        </w:rPr>
        <w:t xml:space="preserve"> </w:t>
      </w:r>
      <w:r w:rsidR="0084132C" w:rsidRPr="00305BD3">
        <w:rPr>
          <w:rFonts w:ascii="Book Antiqua" w:eastAsia="Book Antiqua" w:hAnsi="Book Antiqua" w:cs="Book Antiqua"/>
          <w:color w:val="000000"/>
          <w:lang w:val="es-AR"/>
        </w:rPr>
        <w:t>of</w:t>
      </w:r>
      <w:r w:rsidR="00150010" w:rsidRPr="00305BD3">
        <w:rPr>
          <w:rFonts w:ascii="Book Antiqua" w:eastAsia="Book Antiqua" w:hAnsi="Book Antiqua" w:cs="Book Antiqua"/>
          <w:color w:val="000000"/>
          <w:lang w:val="es-AR"/>
        </w:rPr>
        <w:t xml:space="preserve"> </w:t>
      </w:r>
      <w:r w:rsidRPr="00305BD3">
        <w:rPr>
          <w:rFonts w:ascii="Book Antiqua" w:eastAsia="Book Antiqua" w:hAnsi="Book Antiqua" w:cs="Book Antiqua"/>
          <w:color w:val="000000"/>
          <w:lang w:val="es-AR"/>
        </w:rPr>
        <w:t>Gastroenterology,</w:t>
      </w:r>
      <w:r w:rsidR="00150010" w:rsidRPr="00305BD3">
        <w:rPr>
          <w:rFonts w:ascii="Book Antiqua" w:eastAsia="Book Antiqua" w:hAnsi="Book Antiqua" w:cs="Book Antiqua"/>
          <w:color w:val="000000"/>
          <w:lang w:val="es-AR"/>
        </w:rPr>
        <w:t xml:space="preserve"> </w:t>
      </w:r>
      <w:r w:rsidRPr="00305BD3">
        <w:rPr>
          <w:rFonts w:ascii="Book Antiqua" w:eastAsia="Book Antiqua" w:hAnsi="Book Antiqua" w:cs="Book Antiqua"/>
          <w:color w:val="000000"/>
          <w:lang w:val="es-AR"/>
        </w:rPr>
        <w:t>Hospital</w:t>
      </w:r>
      <w:r w:rsidR="00150010" w:rsidRPr="00305BD3">
        <w:rPr>
          <w:rFonts w:ascii="Book Antiqua" w:eastAsia="Book Antiqua" w:hAnsi="Book Antiqua" w:cs="Book Antiqua"/>
          <w:color w:val="000000"/>
          <w:lang w:val="es-AR"/>
        </w:rPr>
        <w:t xml:space="preserve"> </w:t>
      </w:r>
      <w:r w:rsidRPr="00305BD3">
        <w:rPr>
          <w:rFonts w:ascii="Book Antiqua" w:eastAsia="Book Antiqua" w:hAnsi="Book Antiqua" w:cs="Book Antiqua"/>
          <w:color w:val="000000"/>
          <w:lang w:val="es-AR"/>
        </w:rPr>
        <w:t>Privado</w:t>
      </w:r>
      <w:r w:rsidR="00150010" w:rsidRPr="00305BD3">
        <w:rPr>
          <w:rFonts w:ascii="Book Antiqua" w:eastAsia="Book Antiqua" w:hAnsi="Book Antiqua" w:cs="Book Antiqua"/>
          <w:color w:val="000000"/>
          <w:lang w:val="es-AR"/>
        </w:rPr>
        <w:t xml:space="preserve"> </w:t>
      </w:r>
      <w:r w:rsidRPr="00305BD3">
        <w:rPr>
          <w:rFonts w:ascii="Book Antiqua" w:eastAsia="Book Antiqua" w:hAnsi="Book Antiqua" w:cs="Book Antiqua"/>
          <w:color w:val="000000"/>
          <w:lang w:val="es-AR"/>
        </w:rPr>
        <w:t>Universitario</w:t>
      </w:r>
      <w:r w:rsidR="00150010" w:rsidRPr="00305BD3">
        <w:rPr>
          <w:rFonts w:ascii="Book Antiqua" w:eastAsia="Book Antiqua" w:hAnsi="Book Antiqua" w:cs="Book Antiqua"/>
          <w:color w:val="000000"/>
          <w:lang w:val="es-AR"/>
        </w:rPr>
        <w:t xml:space="preserve"> </w:t>
      </w:r>
      <w:r w:rsidRPr="00305BD3">
        <w:rPr>
          <w:rFonts w:ascii="Book Antiqua" w:eastAsia="Book Antiqua" w:hAnsi="Book Antiqua" w:cs="Book Antiqua"/>
          <w:color w:val="000000"/>
          <w:lang w:val="es-AR"/>
        </w:rPr>
        <w:t>de</w:t>
      </w:r>
      <w:r w:rsidR="00150010" w:rsidRPr="00305BD3">
        <w:rPr>
          <w:rFonts w:ascii="Book Antiqua" w:eastAsia="Book Antiqua" w:hAnsi="Book Antiqua" w:cs="Book Antiqua"/>
          <w:color w:val="000000"/>
          <w:lang w:val="es-AR"/>
        </w:rPr>
        <w:t xml:space="preserve"> </w:t>
      </w:r>
      <w:r w:rsidRPr="00305BD3">
        <w:rPr>
          <w:rFonts w:ascii="Book Antiqua" w:eastAsia="Book Antiqua" w:hAnsi="Book Antiqua" w:cs="Book Antiqua"/>
          <w:color w:val="000000"/>
          <w:lang w:val="es-AR"/>
        </w:rPr>
        <w:t>Córdoba</w:t>
      </w:r>
      <w:r w:rsidR="0084132C" w:rsidRPr="00305BD3">
        <w:rPr>
          <w:rFonts w:ascii="Book Antiqua" w:eastAsia="Book Antiqua" w:hAnsi="Book Antiqua" w:cs="Book Antiqua"/>
          <w:color w:val="000000"/>
          <w:lang w:val="es-AR"/>
        </w:rPr>
        <w:t>,</w:t>
      </w:r>
      <w:r w:rsidR="00150010" w:rsidRPr="00305BD3">
        <w:rPr>
          <w:rFonts w:ascii="Book Antiqua" w:eastAsia="Book Antiqua" w:hAnsi="Book Antiqua" w:cs="Book Antiqua"/>
          <w:color w:val="000000"/>
          <w:lang w:val="es-AR"/>
        </w:rPr>
        <w:t xml:space="preserve"> </w:t>
      </w:r>
      <w:r w:rsidRPr="00305BD3">
        <w:rPr>
          <w:rFonts w:ascii="Book Antiqua" w:eastAsia="Book Antiqua" w:hAnsi="Book Antiqua" w:cs="Book Antiqua"/>
          <w:color w:val="000000"/>
          <w:lang w:val="es-AR"/>
        </w:rPr>
        <w:t>Instituto</w:t>
      </w:r>
      <w:r w:rsidR="00150010" w:rsidRPr="00305BD3">
        <w:rPr>
          <w:rFonts w:ascii="Book Antiqua" w:eastAsia="Book Antiqua" w:hAnsi="Book Antiqua" w:cs="Book Antiqua"/>
          <w:color w:val="000000"/>
          <w:lang w:val="es-AR"/>
        </w:rPr>
        <w:t xml:space="preserve"> </w:t>
      </w:r>
      <w:r w:rsidRPr="00305BD3">
        <w:rPr>
          <w:rFonts w:ascii="Book Antiqua" w:eastAsia="Book Antiqua" w:hAnsi="Book Antiqua" w:cs="Book Antiqua"/>
          <w:color w:val="000000"/>
          <w:lang w:val="es-AR"/>
        </w:rPr>
        <w:t>Universitario</w:t>
      </w:r>
      <w:r w:rsidR="00150010" w:rsidRPr="00305BD3">
        <w:rPr>
          <w:rFonts w:ascii="Book Antiqua" w:eastAsia="Book Antiqua" w:hAnsi="Book Antiqua" w:cs="Book Antiqua"/>
          <w:color w:val="000000"/>
          <w:lang w:val="es-AR"/>
        </w:rPr>
        <w:t xml:space="preserve"> </w:t>
      </w:r>
      <w:r w:rsidRPr="00305BD3">
        <w:rPr>
          <w:rFonts w:ascii="Book Antiqua" w:eastAsia="Book Antiqua" w:hAnsi="Book Antiqua" w:cs="Book Antiqua"/>
          <w:color w:val="000000"/>
          <w:lang w:val="es-AR"/>
        </w:rPr>
        <w:t>de</w:t>
      </w:r>
      <w:r w:rsidR="00150010" w:rsidRPr="00305BD3">
        <w:rPr>
          <w:rFonts w:ascii="Book Antiqua" w:eastAsia="Book Antiqua" w:hAnsi="Book Antiqua" w:cs="Book Antiqua"/>
          <w:color w:val="000000"/>
          <w:lang w:val="es-AR"/>
        </w:rPr>
        <w:t xml:space="preserve"> </w:t>
      </w:r>
      <w:r w:rsidRPr="00305BD3">
        <w:rPr>
          <w:rFonts w:ascii="Book Antiqua" w:eastAsia="Book Antiqua" w:hAnsi="Book Antiqua" w:cs="Book Antiqua"/>
          <w:color w:val="000000"/>
          <w:lang w:val="es-AR"/>
        </w:rPr>
        <w:t>Ciencias</w:t>
      </w:r>
      <w:r w:rsidR="00150010" w:rsidRPr="00305BD3">
        <w:rPr>
          <w:rFonts w:ascii="Book Antiqua" w:eastAsia="Book Antiqua" w:hAnsi="Book Antiqua" w:cs="Book Antiqua"/>
          <w:color w:val="000000"/>
          <w:lang w:val="es-AR"/>
        </w:rPr>
        <w:t xml:space="preserve"> </w:t>
      </w:r>
      <w:r w:rsidRPr="00305BD3">
        <w:rPr>
          <w:rFonts w:ascii="Book Antiqua" w:eastAsia="Book Antiqua" w:hAnsi="Book Antiqua" w:cs="Book Antiqua"/>
          <w:color w:val="000000"/>
          <w:lang w:val="es-AR"/>
        </w:rPr>
        <w:t>Biomédicas</w:t>
      </w:r>
      <w:r w:rsidR="00150010" w:rsidRPr="00305BD3">
        <w:rPr>
          <w:rFonts w:ascii="Book Antiqua" w:eastAsia="Book Antiqua" w:hAnsi="Book Antiqua" w:cs="Book Antiqua"/>
          <w:color w:val="000000"/>
          <w:lang w:val="es-AR"/>
        </w:rPr>
        <w:t xml:space="preserve"> </w:t>
      </w:r>
      <w:r w:rsidRPr="00305BD3">
        <w:rPr>
          <w:rFonts w:ascii="Book Antiqua" w:eastAsia="Book Antiqua" w:hAnsi="Book Antiqua" w:cs="Book Antiqua"/>
          <w:color w:val="000000"/>
          <w:lang w:val="es-AR"/>
        </w:rPr>
        <w:t>de</w:t>
      </w:r>
      <w:r w:rsidR="00150010" w:rsidRPr="00305BD3">
        <w:rPr>
          <w:rFonts w:ascii="Book Antiqua" w:eastAsia="Book Antiqua" w:hAnsi="Book Antiqua" w:cs="Book Antiqua"/>
          <w:color w:val="000000"/>
          <w:lang w:val="es-AR"/>
        </w:rPr>
        <w:t xml:space="preserve"> </w:t>
      </w:r>
      <w:r w:rsidRPr="00305BD3">
        <w:rPr>
          <w:rFonts w:ascii="Book Antiqua" w:eastAsia="Book Antiqua" w:hAnsi="Book Antiqua" w:cs="Book Antiqua"/>
          <w:color w:val="000000"/>
          <w:lang w:val="es-AR"/>
        </w:rPr>
        <w:t>Córdoba,</w:t>
      </w:r>
      <w:r w:rsidR="00150010" w:rsidRPr="00305BD3">
        <w:rPr>
          <w:rFonts w:ascii="Book Antiqua" w:eastAsia="Book Antiqua" w:hAnsi="Book Antiqua" w:cs="Book Antiqua"/>
          <w:color w:val="000000"/>
          <w:lang w:val="es-AR"/>
        </w:rPr>
        <w:t xml:space="preserve"> </w:t>
      </w:r>
      <w:r w:rsidR="0002289C" w:rsidRPr="00305BD3">
        <w:rPr>
          <w:rFonts w:ascii="Book Antiqua" w:eastAsia="Book Antiqua" w:hAnsi="Book Antiqua" w:cs="Book Antiqua"/>
          <w:color w:val="000000"/>
          <w:lang w:val="es-AR"/>
        </w:rPr>
        <w:t>Córdoba</w:t>
      </w:r>
      <w:r w:rsidR="0002289C" w:rsidRPr="00305BD3" w:rsidDel="0002289C">
        <w:rPr>
          <w:rFonts w:ascii="Book Antiqua" w:eastAsia="Book Antiqua" w:hAnsi="Book Antiqua" w:cs="Book Antiqua"/>
          <w:color w:val="000000"/>
          <w:lang w:val="es-AR"/>
        </w:rPr>
        <w:t xml:space="preserve"> </w:t>
      </w:r>
      <w:r w:rsidRPr="00305BD3">
        <w:rPr>
          <w:rFonts w:ascii="Book Antiqua" w:eastAsia="Book Antiqua" w:hAnsi="Book Antiqua" w:cs="Book Antiqua"/>
          <w:color w:val="000000"/>
          <w:lang w:val="es-AR"/>
        </w:rPr>
        <w:t>5016,</w:t>
      </w:r>
      <w:r w:rsidR="00150010" w:rsidRPr="00305BD3">
        <w:rPr>
          <w:rFonts w:ascii="Book Antiqua" w:eastAsia="Book Antiqua" w:hAnsi="Book Antiqua" w:cs="Book Antiqua"/>
          <w:color w:val="000000"/>
          <w:lang w:val="es-AR"/>
        </w:rPr>
        <w:t xml:space="preserve"> </w:t>
      </w:r>
      <w:r w:rsidRPr="00305BD3">
        <w:rPr>
          <w:rFonts w:ascii="Book Antiqua" w:eastAsia="Book Antiqua" w:hAnsi="Book Antiqua" w:cs="Book Antiqua"/>
          <w:color w:val="000000"/>
          <w:lang w:val="es-AR"/>
        </w:rPr>
        <w:t>Argentina</w:t>
      </w:r>
    </w:p>
    <w:p w14:paraId="3BC6D62D" w14:textId="77777777" w:rsidR="00A77B3E" w:rsidRPr="00305BD3" w:rsidRDefault="00A77B3E">
      <w:pPr>
        <w:spacing w:line="360" w:lineRule="auto"/>
        <w:jc w:val="both"/>
        <w:rPr>
          <w:lang w:val="es-AR"/>
        </w:rPr>
      </w:pPr>
    </w:p>
    <w:p w14:paraId="561345DA" w14:textId="07C3C947" w:rsidR="00A77B3E" w:rsidRPr="00004362" w:rsidRDefault="00D462C0">
      <w:pPr>
        <w:spacing w:line="360" w:lineRule="auto"/>
        <w:jc w:val="both"/>
      </w:pPr>
      <w:r w:rsidRPr="00004362">
        <w:rPr>
          <w:rFonts w:ascii="Book Antiqua" w:eastAsia="Book Antiqua" w:hAnsi="Book Antiqua" w:cs="Book Antiqua"/>
          <w:b/>
          <w:bCs/>
          <w:color w:val="000000"/>
        </w:rPr>
        <w:t>Author</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contributions:</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color w:val="000000"/>
        </w:rPr>
        <w:t>Balderramo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performed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writing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editi</w:t>
      </w:r>
      <w:r w:rsidR="00F920CF" w:rsidRPr="00004362">
        <w:rPr>
          <w:rFonts w:ascii="Book Antiqua" w:eastAsia="Book Antiqua" w:hAnsi="Book Antiqua" w:cs="Book Antiqua"/>
          <w:color w:val="000000"/>
        </w:rPr>
        <w:t>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manuscript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prepared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figure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table.</w:t>
      </w:r>
    </w:p>
    <w:p w14:paraId="3C6B9D4E" w14:textId="77777777" w:rsidR="00A77B3E" w:rsidRPr="00004362" w:rsidRDefault="00A77B3E">
      <w:pPr>
        <w:spacing w:line="360" w:lineRule="auto"/>
        <w:jc w:val="both"/>
      </w:pPr>
    </w:p>
    <w:p w14:paraId="66D39571" w14:textId="49202273" w:rsidR="00A77B3E" w:rsidRPr="00305BD3" w:rsidRDefault="00D462C0">
      <w:pPr>
        <w:spacing w:line="360" w:lineRule="auto"/>
        <w:jc w:val="both"/>
        <w:rPr>
          <w:lang w:val="es-AR"/>
        </w:rPr>
      </w:pPr>
      <w:r w:rsidRPr="00305BD3">
        <w:rPr>
          <w:rFonts w:ascii="Book Antiqua" w:eastAsia="Book Antiqua" w:hAnsi="Book Antiqua" w:cs="Book Antiqua"/>
          <w:b/>
          <w:bCs/>
          <w:color w:val="000000"/>
          <w:lang w:val="es-AR"/>
        </w:rPr>
        <w:t>Corresponding</w:t>
      </w:r>
      <w:r w:rsidR="00150010" w:rsidRPr="00305BD3">
        <w:rPr>
          <w:rFonts w:ascii="Book Antiqua" w:eastAsia="Book Antiqua" w:hAnsi="Book Antiqua" w:cs="Book Antiqua"/>
          <w:b/>
          <w:bCs/>
          <w:color w:val="000000"/>
          <w:lang w:val="es-AR"/>
        </w:rPr>
        <w:t xml:space="preserve"> </w:t>
      </w:r>
      <w:r w:rsidRPr="00305BD3">
        <w:rPr>
          <w:rFonts w:ascii="Book Antiqua" w:eastAsia="Book Antiqua" w:hAnsi="Book Antiqua" w:cs="Book Antiqua"/>
          <w:b/>
          <w:bCs/>
          <w:color w:val="000000"/>
          <w:lang w:val="es-AR"/>
        </w:rPr>
        <w:t>author:</w:t>
      </w:r>
      <w:r w:rsidR="00150010" w:rsidRPr="00305BD3">
        <w:rPr>
          <w:rFonts w:ascii="Book Antiqua" w:eastAsia="Book Antiqua" w:hAnsi="Book Antiqua" w:cs="Book Antiqua"/>
          <w:b/>
          <w:bCs/>
          <w:color w:val="000000"/>
          <w:lang w:val="es-AR"/>
        </w:rPr>
        <w:t xml:space="preserve"> </w:t>
      </w:r>
      <w:r w:rsidRPr="00305BD3">
        <w:rPr>
          <w:rFonts w:ascii="Book Antiqua" w:eastAsia="Book Antiqua" w:hAnsi="Book Antiqua" w:cs="Book Antiqua"/>
          <w:b/>
          <w:bCs/>
          <w:color w:val="000000"/>
          <w:lang w:val="es-AR"/>
        </w:rPr>
        <w:t>Domingo</w:t>
      </w:r>
      <w:r w:rsidR="00150010" w:rsidRPr="00305BD3">
        <w:rPr>
          <w:rFonts w:ascii="Book Antiqua" w:eastAsia="Book Antiqua" w:hAnsi="Book Antiqua" w:cs="Book Antiqua"/>
          <w:b/>
          <w:bCs/>
          <w:color w:val="000000"/>
          <w:lang w:val="es-AR"/>
        </w:rPr>
        <w:t xml:space="preserve"> </w:t>
      </w:r>
      <w:r w:rsidRPr="00305BD3">
        <w:rPr>
          <w:rFonts w:ascii="Book Antiqua" w:eastAsia="Book Antiqua" w:hAnsi="Book Antiqua" w:cs="Book Antiqua"/>
          <w:b/>
          <w:bCs/>
          <w:color w:val="000000"/>
          <w:lang w:val="es-AR"/>
        </w:rPr>
        <w:t>Balderramo,</w:t>
      </w:r>
      <w:r w:rsidR="00150010" w:rsidRPr="00305BD3">
        <w:rPr>
          <w:rFonts w:ascii="Book Antiqua" w:eastAsia="Book Antiqua" w:hAnsi="Book Antiqua" w:cs="Book Antiqua"/>
          <w:b/>
          <w:bCs/>
          <w:color w:val="000000"/>
          <w:lang w:val="es-AR"/>
        </w:rPr>
        <w:t xml:space="preserve"> </w:t>
      </w:r>
      <w:r w:rsidRPr="00305BD3">
        <w:rPr>
          <w:rFonts w:ascii="Book Antiqua" w:eastAsia="Book Antiqua" w:hAnsi="Book Antiqua" w:cs="Book Antiqua"/>
          <w:b/>
          <w:bCs/>
          <w:color w:val="000000"/>
          <w:lang w:val="es-AR"/>
        </w:rPr>
        <w:t>MD,</w:t>
      </w:r>
      <w:r w:rsidR="00150010" w:rsidRPr="00305BD3">
        <w:rPr>
          <w:rFonts w:ascii="Book Antiqua" w:eastAsia="Book Antiqua" w:hAnsi="Book Antiqua" w:cs="Book Antiqua"/>
          <w:b/>
          <w:bCs/>
          <w:color w:val="000000"/>
          <w:lang w:val="es-AR"/>
        </w:rPr>
        <w:t xml:space="preserve"> </w:t>
      </w:r>
      <w:r w:rsidRPr="00305BD3">
        <w:rPr>
          <w:rFonts w:ascii="Book Antiqua" w:eastAsia="Book Antiqua" w:hAnsi="Book Antiqua" w:cs="Book Antiqua"/>
          <w:b/>
          <w:bCs/>
          <w:color w:val="000000"/>
          <w:lang w:val="es-AR"/>
        </w:rPr>
        <w:t>PhD,</w:t>
      </w:r>
      <w:r w:rsidR="00150010" w:rsidRPr="00305BD3">
        <w:rPr>
          <w:rFonts w:ascii="Book Antiqua" w:eastAsia="Book Antiqua" w:hAnsi="Book Antiqua" w:cs="Book Antiqua"/>
          <w:b/>
          <w:bCs/>
          <w:color w:val="000000"/>
          <w:lang w:val="es-AR"/>
        </w:rPr>
        <w:t xml:space="preserve"> </w:t>
      </w:r>
      <w:r w:rsidRPr="00305BD3">
        <w:rPr>
          <w:rFonts w:ascii="Book Antiqua" w:eastAsia="Book Antiqua" w:hAnsi="Book Antiqua" w:cs="Book Antiqua"/>
          <w:b/>
          <w:bCs/>
          <w:color w:val="000000"/>
          <w:lang w:val="es-AR"/>
        </w:rPr>
        <w:t>Professor,</w:t>
      </w:r>
      <w:r w:rsidR="00150010" w:rsidRPr="00305BD3">
        <w:rPr>
          <w:rFonts w:ascii="Book Antiqua" w:eastAsia="Book Antiqua" w:hAnsi="Book Antiqua" w:cs="Book Antiqua"/>
          <w:b/>
          <w:bCs/>
          <w:color w:val="000000"/>
          <w:lang w:val="es-AR"/>
        </w:rPr>
        <w:t xml:space="preserve"> </w:t>
      </w:r>
      <w:r w:rsidR="0084132C" w:rsidRPr="00305BD3">
        <w:rPr>
          <w:rFonts w:ascii="Book Antiqua" w:eastAsia="Book Antiqua" w:hAnsi="Book Antiqua" w:cs="Book Antiqua"/>
          <w:color w:val="000000"/>
          <w:lang w:val="es-AR"/>
        </w:rPr>
        <w:t>Department</w:t>
      </w:r>
      <w:r w:rsidR="00150010" w:rsidRPr="00305BD3">
        <w:rPr>
          <w:rFonts w:ascii="Book Antiqua" w:eastAsia="Book Antiqua" w:hAnsi="Book Antiqua" w:cs="Book Antiqua"/>
          <w:color w:val="000000"/>
          <w:lang w:val="es-AR"/>
        </w:rPr>
        <w:t xml:space="preserve"> </w:t>
      </w:r>
      <w:r w:rsidR="0084132C" w:rsidRPr="00305BD3">
        <w:rPr>
          <w:rFonts w:ascii="Book Antiqua" w:eastAsia="Book Antiqua" w:hAnsi="Book Antiqua" w:cs="Book Antiqua"/>
          <w:color w:val="000000"/>
          <w:lang w:val="es-AR"/>
        </w:rPr>
        <w:t>of</w:t>
      </w:r>
      <w:r w:rsidR="00150010" w:rsidRPr="00305BD3">
        <w:rPr>
          <w:rFonts w:ascii="Book Antiqua" w:eastAsia="Book Antiqua" w:hAnsi="Book Antiqua" w:cs="Book Antiqua"/>
          <w:color w:val="000000"/>
          <w:lang w:val="es-AR"/>
        </w:rPr>
        <w:t xml:space="preserve"> </w:t>
      </w:r>
      <w:r w:rsidR="0084132C" w:rsidRPr="00305BD3">
        <w:rPr>
          <w:rFonts w:ascii="Book Antiqua" w:eastAsia="Book Antiqua" w:hAnsi="Book Antiqua" w:cs="Book Antiqua"/>
          <w:color w:val="000000"/>
          <w:lang w:val="es-AR"/>
        </w:rPr>
        <w:t>Gastroenterology,</w:t>
      </w:r>
      <w:r w:rsidR="00150010" w:rsidRPr="00305BD3">
        <w:rPr>
          <w:rFonts w:ascii="Book Antiqua" w:eastAsia="Book Antiqua" w:hAnsi="Book Antiqua" w:cs="Book Antiqua"/>
          <w:color w:val="000000"/>
          <w:lang w:val="es-AR"/>
        </w:rPr>
        <w:t xml:space="preserve"> </w:t>
      </w:r>
      <w:r w:rsidR="0084132C" w:rsidRPr="00305BD3">
        <w:rPr>
          <w:rFonts w:ascii="Book Antiqua" w:eastAsia="Book Antiqua" w:hAnsi="Book Antiqua" w:cs="Book Antiqua"/>
          <w:color w:val="000000"/>
          <w:lang w:val="es-AR"/>
        </w:rPr>
        <w:t>Hospital</w:t>
      </w:r>
      <w:r w:rsidR="00150010" w:rsidRPr="00305BD3">
        <w:rPr>
          <w:rFonts w:ascii="Book Antiqua" w:eastAsia="Book Antiqua" w:hAnsi="Book Antiqua" w:cs="Book Antiqua"/>
          <w:color w:val="000000"/>
          <w:lang w:val="es-AR"/>
        </w:rPr>
        <w:t xml:space="preserve"> </w:t>
      </w:r>
      <w:r w:rsidR="0084132C" w:rsidRPr="00305BD3">
        <w:rPr>
          <w:rFonts w:ascii="Book Antiqua" w:eastAsia="Book Antiqua" w:hAnsi="Book Antiqua" w:cs="Book Antiqua"/>
          <w:color w:val="000000"/>
          <w:lang w:val="es-AR"/>
        </w:rPr>
        <w:t>Privado</w:t>
      </w:r>
      <w:r w:rsidR="00150010" w:rsidRPr="00305BD3">
        <w:rPr>
          <w:rFonts w:ascii="Book Antiqua" w:eastAsia="Book Antiqua" w:hAnsi="Book Antiqua" w:cs="Book Antiqua"/>
          <w:color w:val="000000"/>
          <w:lang w:val="es-AR"/>
        </w:rPr>
        <w:t xml:space="preserve"> </w:t>
      </w:r>
      <w:r w:rsidR="0084132C" w:rsidRPr="00305BD3">
        <w:rPr>
          <w:rFonts w:ascii="Book Antiqua" w:eastAsia="Book Antiqua" w:hAnsi="Book Antiqua" w:cs="Book Antiqua"/>
          <w:color w:val="000000"/>
          <w:lang w:val="es-AR"/>
        </w:rPr>
        <w:t>Universitario</w:t>
      </w:r>
      <w:r w:rsidR="00150010" w:rsidRPr="00305BD3">
        <w:rPr>
          <w:rFonts w:ascii="Book Antiqua" w:eastAsia="Book Antiqua" w:hAnsi="Book Antiqua" w:cs="Book Antiqua"/>
          <w:color w:val="000000"/>
          <w:lang w:val="es-AR"/>
        </w:rPr>
        <w:t xml:space="preserve"> </w:t>
      </w:r>
      <w:r w:rsidR="0084132C" w:rsidRPr="00305BD3">
        <w:rPr>
          <w:rFonts w:ascii="Book Antiqua" w:eastAsia="Book Antiqua" w:hAnsi="Book Antiqua" w:cs="Book Antiqua"/>
          <w:color w:val="000000"/>
          <w:lang w:val="es-AR"/>
        </w:rPr>
        <w:t>de</w:t>
      </w:r>
      <w:r w:rsidR="00150010" w:rsidRPr="00305BD3">
        <w:rPr>
          <w:rFonts w:ascii="Book Antiqua" w:eastAsia="Book Antiqua" w:hAnsi="Book Antiqua" w:cs="Book Antiqua"/>
          <w:color w:val="000000"/>
          <w:lang w:val="es-AR"/>
        </w:rPr>
        <w:t xml:space="preserve"> </w:t>
      </w:r>
      <w:r w:rsidR="0084132C" w:rsidRPr="00305BD3">
        <w:rPr>
          <w:rFonts w:ascii="Book Antiqua" w:eastAsia="Book Antiqua" w:hAnsi="Book Antiqua" w:cs="Book Antiqua"/>
          <w:color w:val="000000"/>
          <w:lang w:val="es-AR"/>
        </w:rPr>
        <w:t>Córdoba,</w:t>
      </w:r>
      <w:r w:rsidR="00150010" w:rsidRPr="00305BD3">
        <w:rPr>
          <w:rFonts w:ascii="Book Antiqua" w:eastAsia="Book Antiqua" w:hAnsi="Book Antiqua" w:cs="Book Antiqua"/>
          <w:color w:val="000000"/>
          <w:lang w:val="es-AR"/>
        </w:rPr>
        <w:t xml:space="preserve"> </w:t>
      </w:r>
      <w:r w:rsidR="0084132C" w:rsidRPr="00305BD3">
        <w:rPr>
          <w:rFonts w:ascii="Book Antiqua" w:eastAsia="Book Antiqua" w:hAnsi="Book Antiqua" w:cs="Book Antiqua"/>
          <w:color w:val="000000"/>
          <w:lang w:val="es-AR"/>
        </w:rPr>
        <w:t>Instituto</w:t>
      </w:r>
      <w:r w:rsidR="00150010" w:rsidRPr="00305BD3">
        <w:rPr>
          <w:rFonts w:ascii="Book Antiqua" w:eastAsia="Book Antiqua" w:hAnsi="Book Antiqua" w:cs="Book Antiqua"/>
          <w:color w:val="000000"/>
          <w:lang w:val="es-AR"/>
        </w:rPr>
        <w:t xml:space="preserve"> </w:t>
      </w:r>
      <w:r w:rsidR="0084132C" w:rsidRPr="00305BD3">
        <w:rPr>
          <w:rFonts w:ascii="Book Antiqua" w:eastAsia="Book Antiqua" w:hAnsi="Book Antiqua" w:cs="Book Antiqua"/>
          <w:color w:val="000000"/>
          <w:lang w:val="es-AR"/>
        </w:rPr>
        <w:t>Universitario</w:t>
      </w:r>
      <w:r w:rsidR="00150010" w:rsidRPr="00305BD3">
        <w:rPr>
          <w:rFonts w:ascii="Book Antiqua" w:eastAsia="Book Antiqua" w:hAnsi="Book Antiqua" w:cs="Book Antiqua"/>
          <w:color w:val="000000"/>
          <w:lang w:val="es-AR"/>
        </w:rPr>
        <w:t xml:space="preserve"> </w:t>
      </w:r>
      <w:r w:rsidR="0084132C" w:rsidRPr="00305BD3">
        <w:rPr>
          <w:rFonts w:ascii="Book Antiqua" w:eastAsia="Book Antiqua" w:hAnsi="Book Antiqua" w:cs="Book Antiqua"/>
          <w:color w:val="000000"/>
          <w:lang w:val="es-AR"/>
        </w:rPr>
        <w:t>de</w:t>
      </w:r>
      <w:r w:rsidR="00150010" w:rsidRPr="00305BD3">
        <w:rPr>
          <w:rFonts w:ascii="Book Antiqua" w:eastAsia="Book Antiqua" w:hAnsi="Book Antiqua" w:cs="Book Antiqua"/>
          <w:color w:val="000000"/>
          <w:lang w:val="es-AR"/>
        </w:rPr>
        <w:t xml:space="preserve"> </w:t>
      </w:r>
      <w:r w:rsidR="0084132C" w:rsidRPr="00305BD3">
        <w:rPr>
          <w:rFonts w:ascii="Book Antiqua" w:eastAsia="Book Antiqua" w:hAnsi="Book Antiqua" w:cs="Book Antiqua"/>
          <w:color w:val="000000"/>
          <w:lang w:val="es-AR"/>
        </w:rPr>
        <w:t>Ciencias</w:t>
      </w:r>
      <w:r w:rsidR="00150010" w:rsidRPr="00305BD3">
        <w:rPr>
          <w:rFonts w:ascii="Book Antiqua" w:eastAsia="Book Antiqua" w:hAnsi="Book Antiqua" w:cs="Book Antiqua"/>
          <w:color w:val="000000"/>
          <w:lang w:val="es-AR"/>
        </w:rPr>
        <w:t xml:space="preserve"> </w:t>
      </w:r>
      <w:r w:rsidR="0084132C" w:rsidRPr="00305BD3">
        <w:rPr>
          <w:rFonts w:ascii="Book Antiqua" w:eastAsia="Book Antiqua" w:hAnsi="Book Antiqua" w:cs="Book Antiqua"/>
          <w:color w:val="000000"/>
          <w:lang w:val="es-AR"/>
        </w:rPr>
        <w:t>Biomédicas</w:t>
      </w:r>
      <w:r w:rsidR="00150010" w:rsidRPr="00305BD3">
        <w:rPr>
          <w:rFonts w:ascii="Book Antiqua" w:eastAsia="Book Antiqua" w:hAnsi="Book Antiqua" w:cs="Book Antiqua"/>
          <w:color w:val="000000"/>
          <w:lang w:val="es-AR"/>
        </w:rPr>
        <w:t xml:space="preserve"> </w:t>
      </w:r>
      <w:r w:rsidR="0084132C" w:rsidRPr="00305BD3">
        <w:rPr>
          <w:rFonts w:ascii="Book Antiqua" w:eastAsia="Book Antiqua" w:hAnsi="Book Antiqua" w:cs="Book Antiqua"/>
          <w:color w:val="000000"/>
          <w:lang w:val="es-AR"/>
        </w:rPr>
        <w:t>de</w:t>
      </w:r>
      <w:r w:rsidR="00150010" w:rsidRPr="00305BD3">
        <w:rPr>
          <w:rFonts w:ascii="Book Antiqua" w:eastAsia="Book Antiqua" w:hAnsi="Book Antiqua" w:cs="Book Antiqua"/>
          <w:color w:val="000000"/>
          <w:lang w:val="es-AR"/>
        </w:rPr>
        <w:t xml:space="preserve"> </w:t>
      </w:r>
      <w:r w:rsidR="0084132C" w:rsidRPr="00305BD3">
        <w:rPr>
          <w:rFonts w:ascii="Book Antiqua" w:eastAsia="Book Antiqua" w:hAnsi="Book Antiqua" w:cs="Book Antiqua"/>
          <w:color w:val="000000"/>
          <w:lang w:val="es-AR"/>
        </w:rPr>
        <w:t>Córdoba</w:t>
      </w:r>
      <w:r w:rsidRPr="00305BD3">
        <w:rPr>
          <w:rFonts w:ascii="Book Antiqua" w:eastAsia="Book Antiqua" w:hAnsi="Book Antiqua" w:cs="Book Antiqua"/>
          <w:color w:val="000000"/>
          <w:lang w:val="es-AR"/>
        </w:rPr>
        <w:t>,</w:t>
      </w:r>
      <w:r w:rsidR="00150010" w:rsidRPr="00305BD3">
        <w:rPr>
          <w:rFonts w:ascii="Book Antiqua" w:eastAsia="Book Antiqua" w:hAnsi="Book Antiqua" w:cs="Book Antiqua"/>
          <w:color w:val="000000"/>
          <w:lang w:val="es-AR"/>
        </w:rPr>
        <w:t xml:space="preserve"> </w:t>
      </w:r>
      <w:r w:rsidRPr="00305BD3">
        <w:rPr>
          <w:rFonts w:ascii="Book Antiqua" w:eastAsia="Book Antiqua" w:hAnsi="Book Antiqua" w:cs="Book Antiqua"/>
          <w:color w:val="000000"/>
          <w:lang w:val="es-AR"/>
        </w:rPr>
        <w:t>Naciones</w:t>
      </w:r>
      <w:r w:rsidR="00150010" w:rsidRPr="00305BD3">
        <w:rPr>
          <w:rFonts w:ascii="Book Antiqua" w:eastAsia="Book Antiqua" w:hAnsi="Book Antiqua" w:cs="Book Antiqua"/>
          <w:color w:val="000000"/>
          <w:lang w:val="es-AR"/>
        </w:rPr>
        <w:t xml:space="preserve"> </w:t>
      </w:r>
      <w:r w:rsidRPr="00305BD3">
        <w:rPr>
          <w:rFonts w:ascii="Book Antiqua" w:eastAsia="Book Antiqua" w:hAnsi="Book Antiqua" w:cs="Book Antiqua"/>
          <w:color w:val="000000"/>
          <w:lang w:val="es-AR"/>
        </w:rPr>
        <w:t>Unidas</w:t>
      </w:r>
      <w:r w:rsidR="00150010" w:rsidRPr="00305BD3">
        <w:rPr>
          <w:rFonts w:ascii="Book Antiqua" w:eastAsia="Book Antiqua" w:hAnsi="Book Antiqua" w:cs="Book Antiqua"/>
          <w:color w:val="000000"/>
          <w:lang w:val="es-AR"/>
        </w:rPr>
        <w:t xml:space="preserve"> </w:t>
      </w:r>
      <w:r w:rsidRPr="00305BD3">
        <w:rPr>
          <w:rFonts w:ascii="Book Antiqua" w:eastAsia="Book Antiqua" w:hAnsi="Book Antiqua" w:cs="Book Antiqua"/>
          <w:color w:val="000000"/>
          <w:lang w:val="es-AR"/>
        </w:rPr>
        <w:t>346,</w:t>
      </w:r>
      <w:r w:rsidR="00150010" w:rsidRPr="00305BD3">
        <w:rPr>
          <w:rFonts w:ascii="Book Antiqua" w:eastAsia="Book Antiqua" w:hAnsi="Book Antiqua" w:cs="Book Antiqua"/>
          <w:color w:val="000000"/>
          <w:lang w:val="es-AR"/>
        </w:rPr>
        <w:t xml:space="preserve"> </w:t>
      </w:r>
      <w:r w:rsidR="0002289C" w:rsidRPr="00305BD3">
        <w:rPr>
          <w:rFonts w:ascii="Book Antiqua" w:eastAsia="Book Antiqua" w:hAnsi="Book Antiqua" w:cs="Book Antiqua"/>
          <w:color w:val="000000"/>
          <w:lang w:val="es-AR"/>
        </w:rPr>
        <w:t>Córdoba</w:t>
      </w:r>
      <w:r w:rsidR="0002289C" w:rsidRPr="00305BD3" w:rsidDel="0002289C">
        <w:rPr>
          <w:rFonts w:ascii="Book Antiqua" w:eastAsia="Book Antiqua" w:hAnsi="Book Antiqua" w:cs="Book Antiqua"/>
          <w:color w:val="000000"/>
          <w:lang w:val="es-AR"/>
        </w:rPr>
        <w:t xml:space="preserve"> </w:t>
      </w:r>
      <w:r w:rsidRPr="00305BD3">
        <w:rPr>
          <w:rFonts w:ascii="Book Antiqua" w:eastAsia="Book Antiqua" w:hAnsi="Book Antiqua" w:cs="Book Antiqua"/>
          <w:color w:val="000000"/>
          <w:lang w:val="es-AR"/>
        </w:rPr>
        <w:t>5016,</w:t>
      </w:r>
      <w:r w:rsidR="00150010" w:rsidRPr="00305BD3">
        <w:rPr>
          <w:rFonts w:ascii="Book Antiqua" w:eastAsia="Book Antiqua" w:hAnsi="Book Antiqua" w:cs="Book Antiqua"/>
          <w:color w:val="000000"/>
          <w:lang w:val="es-AR"/>
        </w:rPr>
        <w:t xml:space="preserve"> </w:t>
      </w:r>
      <w:r w:rsidRPr="00305BD3">
        <w:rPr>
          <w:rFonts w:ascii="Book Antiqua" w:eastAsia="Book Antiqua" w:hAnsi="Book Antiqua" w:cs="Book Antiqua"/>
          <w:color w:val="000000"/>
          <w:lang w:val="es-AR"/>
        </w:rPr>
        <w:t>Argentina.</w:t>
      </w:r>
      <w:r w:rsidR="00150010" w:rsidRPr="00305BD3">
        <w:rPr>
          <w:rFonts w:ascii="Book Antiqua" w:eastAsia="Book Antiqua" w:hAnsi="Book Antiqua" w:cs="Book Antiqua"/>
          <w:color w:val="000000"/>
          <w:lang w:val="es-AR"/>
        </w:rPr>
        <w:t xml:space="preserve"> </w:t>
      </w:r>
      <w:r w:rsidRPr="00305BD3">
        <w:rPr>
          <w:rFonts w:ascii="Book Antiqua" w:eastAsia="Book Antiqua" w:hAnsi="Book Antiqua" w:cs="Book Antiqua"/>
          <w:color w:val="000000"/>
          <w:lang w:val="es-AR"/>
        </w:rPr>
        <w:t>dbalderramo@hospitalprivadosa.com.ar</w:t>
      </w:r>
    </w:p>
    <w:p w14:paraId="5E1905D6" w14:textId="77777777" w:rsidR="00A77B3E" w:rsidRPr="00305BD3" w:rsidRDefault="00A77B3E">
      <w:pPr>
        <w:spacing w:line="360" w:lineRule="auto"/>
        <w:jc w:val="both"/>
        <w:rPr>
          <w:lang w:val="es-AR"/>
        </w:rPr>
      </w:pPr>
    </w:p>
    <w:p w14:paraId="0101D144" w14:textId="62766C8D" w:rsidR="00A77B3E" w:rsidRPr="00004362" w:rsidRDefault="00D462C0">
      <w:pPr>
        <w:spacing w:line="360" w:lineRule="auto"/>
        <w:jc w:val="both"/>
      </w:pPr>
      <w:r w:rsidRPr="00004362">
        <w:rPr>
          <w:rFonts w:ascii="Book Antiqua" w:eastAsia="Book Antiqua" w:hAnsi="Book Antiqua" w:cs="Book Antiqua"/>
          <w:b/>
          <w:bCs/>
          <w:color w:val="000000"/>
        </w:rPr>
        <w:t>Received:</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color w:val="000000"/>
        </w:rPr>
        <w:t>September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22,</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2022</w:t>
      </w:r>
    </w:p>
    <w:p w14:paraId="3DC5CE1B" w14:textId="45F72447" w:rsidR="00A77B3E" w:rsidRPr="00004362" w:rsidRDefault="00D462C0">
      <w:pPr>
        <w:spacing w:line="360" w:lineRule="auto"/>
        <w:jc w:val="both"/>
      </w:pPr>
      <w:r w:rsidRPr="00004362">
        <w:rPr>
          <w:rFonts w:ascii="Book Antiqua" w:eastAsia="Book Antiqua" w:hAnsi="Book Antiqua" w:cs="Book Antiqua"/>
          <w:b/>
          <w:bCs/>
          <w:color w:val="000000"/>
        </w:rPr>
        <w:t>Revised:</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color w:val="000000"/>
        </w:rPr>
        <w:t>October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26,</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2022</w:t>
      </w:r>
    </w:p>
    <w:p w14:paraId="6880C8AF" w14:textId="5BB22392" w:rsidR="00A77B3E" w:rsidRPr="00004362" w:rsidRDefault="00D462C0">
      <w:pPr>
        <w:spacing w:line="360" w:lineRule="auto"/>
        <w:jc w:val="both"/>
      </w:pPr>
      <w:r w:rsidRPr="00004362">
        <w:rPr>
          <w:rFonts w:ascii="Book Antiqua" w:eastAsia="Book Antiqua" w:hAnsi="Book Antiqua" w:cs="Book Antiqua"/>
          <w:b/>
          <w:bCs/>
          <w:color w:val="000000"/>
        </w:rPr>
        <w:t>Accepted:</w:t>
      </w:r>
      <w:r w:rsidR="00150010" w:rsidRPr="00004362">
        <w:rPr>
          <w:rFonts w:ascii="Book Antiqua" w:eastAsia="Book Antiqua" w:hAnsi="Book Antiqua" w:cs="Book Antiqua"/>
          <w:b/>
          <w:bCs/>
          <w:color w:val="000000"/>
        </w:rPr>
        <w:t xml:space="preserve"> </w:t>
      </w:r>
      <w:r w:rsidR="00BC378E" w:rsidRPr="00BF41F7">
        <w:rPr>
          <w:rFonts w:ascii="Book Antiqua" w:eastAsia="Book Antiqua" w:hAnsi="Book Antiqua" w:cs="Book Antiqua"/>
          <w:color w:val="000000"/>
        </w:rPr>
        <w:t>November 27, 2022</w:t>
      </w:r>
    </w:p>
    <w:p w14:paraId="2F9FD5F0" w14:textId="38110B22" w:rsidR="00A77B3E" w:rsidRPr="00004362" w:rsidRDefault="00D462C0">
      <w:pPr>
        <w:spacing w:line="360" w:lineRule="auto"/>
        <w:jc w:val="both"/>
      </w:pPr>
      <w:r w:rsidRPr="00004362">
        <w:rPr>
          <w:rFonts w:ascii="Book Antiqua" w:eastAsia="Book Antiqua" w:hAnsi="Book Antiqua" w:cs="Book Antiqua"/>
          <w:b/>
          <w:bCs/>
          <w:color w:val="000000"/>
        </w:rPr>
        <w:t>Published</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online:</w:t>
      </w:r>
      <w:r w:rsidR="00150010" w:rsidRPr="00004362">
        <w:rPr>
          <w:rFonts w:ascii="Book Antiqua" w:eastAsia="Book Antiqua" w:hAnsi="Book Antiqua" w:cs="Book Antiqua"/>
          <w:b/>
          <w:bCs/>
          <w:color w:val="000000"/>
        </w:rPr>
        <w:t xml:space="preserve"> </w:t>
      </w:r>
      <w:r w:rsidR="00BF41F7">
        <w:rPr>
          <w:rFonts w:ascii="Book Antiqua" w:hAnsi="Book Antiqua"/>
          <w:color w:val="000000"/>
          <w:shd w:val="clear" w:color="auto" w:fill="FFFFFF"/>
        </w:rPr>
        <w:t>December 21, 2022</w:t>
      </w:r>
    </w:p>
    <w:p w14:paraId="21DF3567" w14:textId="77777777" w:rsidR="00A77B3E" w:rsidRPr="00004362" w:rsidRDefault="00A77B3E">
      <w:pPr>
        <w:spacing w:line="360" w:lineRule="auto"/>
        <w:jc w:val="both"/>
        <w:sectPr w:rsidR="00A77B3E" w:rsidRPr="00004362">
          <w:footerReference w:type="default" r:id="rId6"/>
          <w:pgSz w:w="12240" w:h="15840"/>
          <w:pgMar w:top="1440" w:right="1440" w:bottom="1440" w:left="1440" w:header="720" w:footer="720" w:gutter="0"/>
          <w:cols w:space="720"/>
          <w:docGrid w:linePitch="360"/>
        </w:sectPr>
      </w:pPr>
    </w:p>
    <w:p w14:paraId="0B106266" w14:textId="77777777" w:rsidR="00A77B3E" w:rsidRPr="00004362" w:rsidRDefault="00D462C0">
      <w:pPr>
        <w:spacing w:line="360" w:lineRule="auto"/>
        <w:jc w:val="both"/>
      </w:pPr>
      <w:r w:rsidRPr="00004362">
        <w:rPr>
          <w:rFonts w:ascii="Book Antiqua" w:eastAsia="Book Antiqua" w:hAnsi="Book Antiqua" w:cs="Book Antiqua"/>
          <w:b/>
          <w:color w:val="000000"/>
        </w:rPr>
        <w:lastRenderedPageBreak/>
        <w:t>Abstract</w:t>
      </w:r>
    </w:p>
    <w:p w14:paraId="0E9B9C74" w14:textId="701F6D2D" w:rsidR="00A77B3E" w:rsidRPr="00004362" w:rsidRDefault="00D462C0">
      <w:pPr>
        <w:spacing w:line="360" w:lineRule="auto"/>
        <w:jc w:val="both"/>
      </w:pPr>
      <w:r w:rsidRPr="00004362">
        <w:rPr>
          <w:rFonts w:ascii="Book Antiqua" w:eastAsia="Book Antiqua" w:hAnsi="Book Antiqua" w:cs="Book Antiqua"/>
          <w:color w:val="000000"/>
        </w:rPr>
        <w:t>Inflammatory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bowel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disease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group</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chronic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diseases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includes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ulcerative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colitis,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Crohn</w:t>
      </w:r>
      <w:r w:rsidR="002B3D48" w:rsidRPr="00004362">
        <w:rPr>
          <w:rFonts w:ascii="Book Antiqua" w:eastAsia="Book Antiqua" w:hAnsi="Book Antiqua" w:cs="Book Antiqua"/>
          <w:color w:val="000000"/>
        </w:rPr>
        <w:t>’</w:t>
      </w:r>
      <w:r w:rsidRPr="00004362">
        <w:rPr>
          <w:rFonts w:ascii="Book Antiqua" w:eastAsia="Book Antiqua" w:hAnsi="Book Antiqua" w:cs="Book Antiqua"/>
          <w:color w:val="000000"/>
        </w:rPr>
        <w: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disease</w:t>
      </w:r>
      <w:r w:rsidR="00F920CF"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indeterminate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colitis.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require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prolonged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high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utilization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healthcare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resources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proper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management.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focused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achieving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therapeutic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goals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including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clinical,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biochemical,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endoscopic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variables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result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improvement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quality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life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prevention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disability.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Advanced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includes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tumor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necrosis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factor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inhibitors,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integrin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antagonist,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antagonist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p40</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subunit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interleukin</w:t>
      </w:r>
      <w:r w:rsidR="00224C21"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12/23</w:t>
      </w:r>
      <w:r w:rsidR="00224C21"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small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molecule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drugs.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However,</w:t>
      </w:r>
      <w:r w:rsidR="00150010" w:rsidRPr="00004362">
        <w:rPr>
          <w:rFonts w:ascii="Book Antiqua" w:eastAsia="Book Antiqua" w:hAnsi="Book Antiqua" w:cs="Book Antiqua"/>
          <w:color w:val="000000"/>
        </w:rPr>
        <w:t xml:space="preserve"> </w:t>
      </w:r>
      <w:r w:rsidR="00224C21" w:rsidRPr="00004362">
        <w:rPr>
          <w:rFonts w:ascii="Book Antiqua" w:eastAsia="Book Antiqua" w:hAnsi="Book Antiqua" w:cs="Book Antiqua"/>
          <w:color w:val="000000"/>
        </w:rPr>
        <w:t>despite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multiple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available,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about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40%</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refractory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present</w:t>
      </w:r>
      <w:r w:rsidR="00150010" w:rsidRPr="00004362">
        <w:rPr>
          <w:rFonts w:ascii="Book Antiqua" w:eastAsia="Book Antiqua" w:hAnsi="Book Antiqua" w:cs="Book Antiqua"/>
          <w:color w:val="000000"/>
        </w:rPr>
        <w:t xml:space="preserve"> </w:t>
      </w:r>
      <w:r w:rsidR="00224C21" w:rsidRPr="00004362">
        <w:rPr>
          <w:rFonts w:ascii="Book Antiqua" w:eastAsia="Book Antiqua" w:hAnsi="Book Antiqua" w:cs="Book Antiqua"/>
          <w:color w:val="000000"/>
        </w:rPr>
        <w:t xml:space="preserve">with </w:t>
      </w:r>
      <w:r w:rsidRPr="00004362">
        <w:rPr>
          <w:rFonts w:ascii="Book Antiqua" w:eastAsia="Book Antiqua" w:hAnsi="Book Antiqua" w:cs="Book Antiqua"/>
          <w:color w:val="000000"/>
        </w:rPr>
        <w:t>persistent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symptoms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great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impact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their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quality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life,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hospitalization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surgery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necessary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many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cases.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Dual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strategy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sometimes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applicable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refractory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includes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two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biologics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biologic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small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molecule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drug.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two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distinct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scenarios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which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approach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can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used:</w:t>
      </w:r>
      <w:r w:rsidR="00150010" w:rsidRPr="00004362">
        <w:rPr>
          <w:rFonts w:ascii="Book Antiqua" w:eastAsia="Book Antiqua" w:hAnsi="Book Antiqua" w:cs="Book Antiqua"/>
          <w:color w:val="000000"/>
        </w:rPr>
        <w:t xml:space="preserve"> </w:t>
      </w:r>
      <w:r w:rsidR="000D1F0B" w:rsidRPr="00004362">
        <w:rPr>
          <w:rFonts w:ascii="Book Antiqua" w:eastAsia="Book Antiqua" w:hAnsi="Book Antiqua" w:cs="Book Antiqua"/>
          <w:color w:val="000000"/>
        </w:rPr>
        <w:t>(1</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refractory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active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luminal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disease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without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extraintestinal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manifestations</w:t>
      </w:r>
      <w:r w:rsidR="000D1F0B"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000D1F0B"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000D1F0B" w:rsidRPr="00004362">
        <w:rPr>
          <w:rFonts w:ascii="Book Antiqua" w:eastAsia="Book Antiqua" w:hAnsi="Book Antiqua" w:cs="Book Antiqua"/>
          <w:color w:val="000000"/>
        </w:rPr>
        <w:t>(2</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remission,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but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active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extraintestinal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manifestations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immune-mediated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inflammatory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diseases.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review</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provides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summary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results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(clinical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response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remission)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different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advanced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drugs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both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adults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pediatric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population.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addition,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safety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profile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different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dual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analyzed.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newer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including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recently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approved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application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new</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biomarkers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artificial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intelligence,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clinical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trials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establish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effectiveness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during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long-term</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follow-up,</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needed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establish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new</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strategies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advanced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refractory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p>
    <w:p w14:paraId="02CDC6DE" w14:textId="77777777" w:rsidR="00A77B3E" w:rsidRPr="00004362" w:rsidRDefault="00A77B3E">
      <w:pPr>
        <w:spacing w:line="360" w:lineRule="auto"/>
        <w:jc w:val="both"/>
      </w:pPr>
    </w:p>
    <w:p w14:paraId="2B52D305" w14:textId="6E2BF374" w:rsidR="00A77B3E" w:rsidRPr="00004362" w:rsidRDefault="00D462C0">
      <w:pPr>
        <w:spacing w:line="360" w:lineRule="auto"/>
        <w:jc w:val="both"/>
      </w:pPr>
      <w:r w:rsidRPr="00004362">
        <w:rPr>
          <w:rFonts w:ascii="Book Antiqua" w:eastAsia="Book Antiqua" w:hAnsi="Book Antiqua" w:cs="Book Antiqua"/>
          <w:b/>
          <w:bCs/>
          <w:color w:val="000000"/>
        </w:rPr>
        <w:t>Key</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Words:</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color w:val="000000"/>
        </w:rPr>
        <w:t>Inflammatory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bowel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disease;</w:t>
      </w:r>
      <w:r w:rsidR="00150010" w:rsidRPr="00004362">
        <w:rPr>
          <w:rFonts w:ascii="Book Antiqua" w:eastAsia="Book Antiqua" w:hAnsi="Book Antiqua" w:cs="Book Antiqua"/>
          <w:color w:val="000000"/>
        </w:rPr>
        <w:t xml:space="preserve"> </w:t>
      </w:r>
      <w:r w:rsidR="000D1F0B" w:rsidRPr="00004362">
        <w:rPr>
          <w:rFonts w:ascii="Book Antiqua" w:eastAsia="Book Antiqua" w:hAnsi="Book Antiqua" w:cs="Book Antiqua"/>
          <w:color w:val="000000"/>
        </w:rPr>
        <w:t>U</w:t>
      </w:r>
      <w:r w:rsidRPr="00004362">
        <w:rPr>
          <w:rFonts w:ascii="Book Antiqua" w:eastAsia="Book Antiqua" w:hAnsi="Book Antiqua" w:cs="Book Antiqua"/>
          <w:color w:val="000000"/>
        </w:rPr>
        <w:t>lcerative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colitis;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Crohn</w:t>
      </w:r>
      <w:r w:rsidR="00957EE2" w:rsidRPr="00004362">
        <w:rPr>
          <w:rFonts w:ascii="Book Antiqua" w:eastAsia="Book Antiqua" w:hAnsi="Book Antiqua" w:cs="Book Antiqua"/>
          <w:color w:val="000000"/>
        </w:rPr>
        <w:t>’</w:t>
      </w:r>
      <w:r w:rsidRPr="00004362">
        <w:rPr>
          <w:rFonts w:ascii="Book Antiqua" w:eastAsia="Book Antiqua" w:hAnsi="Book Antiqua" w:cs="Book Antiqua"/>
          <w:color w:val="000000"/>
        </w:rPr>
        <w: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disease;</w:t>
      </w:r>
      <w:r w:rsidR="00150010" w:rsidRPr="00004362">
        <w:rPr>
          <w:rFonts w:ascii="Book Antiqua" w:eastAsia="Book Antiqua" w:hAnsi="Book Antiqua" w:cs="Book Antiqua"/>
          <w:color w:val="000000"/>
        </w:rPr>
        <w:t xml:space="preserve"> </w:t>
      </w:r>
      <w:r w:rsidR="000D1F0B" w:rsidRPr="00004362">
        <w:rPr>
          <w:rFonts w:ascii="Book Antiqua" w:eastAsia="Book Antiqua" w:hAnsi="Book Antiqua" w:cs="Book Antiqua"/>
          <w:color w:val="000000"/>
        </w:rPr>
        <w:t>D</w:t>
      </w:r>
      <w:r w:rsidRPr="00004362">
        <w:rPr>
          <w:rFonts w:ascii="Book Antiqua" w:eastAsia="Book Antiqua" w:hAnsi="Book Antiqua" w:cs="Book Antiqua"/>
          <w:color w:val="000000"/>
        </w:rPr>
        <w:t>ual</w:t>
      </w:r>
      <w:r w:rsidR="00957EE2" w:rsidRPr="00004362">
        <w:rPr>
          <w:rFonts w:ascii="Book Antiqua" w:eastAsia="Book Antiqua" w:hAnsi="Book Antiqua" w:cs="Book Antiqua"/>
          <w:color w:val="000000"/>
        </w:rPr>
        <w:t>-</w:t>
      </w:r>
      <w:r w:rsidRPr="00004362">
        <w:rPr>
          <w:rFonts w:ascii="Book Antiqua" w:eastAsia="Book Antiqua" w:hAnsi="Book Antiqua" w:cs="Book Antiqua"/>
          <w:color w:val="000000"/>
        </w:rPr>
        <w:t>therapy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biologic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therapy;</w:t>
      </w:r>
      <w:r w:rsidR="00150010" w:rsidRPr="00004362">
        <w:rPr>
          <w:rFonts w:ascii="Book Antiqua" w:eastAsia="Book Antiqua" w:hAnsi="Book Antiqua" w:cs="Book Antiqua"/>
          <w:color w:val="000000"/>
        </w:rPr>
        <w:t xml:space="preserve"> </w:t>
      </w:r>
      <w:r w:rsidR="000D1F0B" w:rsidRPr="00004362">
        <w:rPr>
          <w:rFonts w:ascii="Book Antiqua" w:eastAsia="Book Antiqua" w:hAnsi="Book Antiqua" w:cs="Book Antiqua"/>
          <w:color w:val="000000"/>
        </w:rPr>
        <w:t>S</w:t>
      </w:r>
      <w:r w:rsidRPr="00004362">
        <w:rPr>
          <w:rFonts w:ascii="Book Antiqua" w:eastAsia="Book Antiqua" w:hAnsi="Book Antiqua" w:cs="Book Antiqua"/>
          <w:color w:val="000000"/>
        </w:rPr>
        <w:t>mall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molecule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drugs;</w:t>
      </w:r>
      <w:r w:rsidR="00150010" w:rsidRPr="00004362">
        <w:rPr>
          <w:rFonts w:ascii="Book Antiqua" w:eastAsia="Book Antiqua" w:hAnsi="Book Antiqua" w:cs="Book Antiqua"/>
          <w:color w:val="000000"/>
        </w:rPr>
        <w:t xml:space="preserve"> </w:t>
      </w:r>
      <w:r w:rsidR="000D1F0B" w:rsidRPr="00004362">
        <w:rPr>
          <w:rFonts w:ascii="Book Antiqua" w:eastAsia="Book Antiqua" w:hAnsi="Book Antiqua" w:cs="Book Antiqua"/>
          <w:color w:val="000000"/>
        </w:rPr>
        <w:t>C</w:t>
      </w:r>
      <w:r w:rsidRPr="00004362">
        <w:rPr>
          <w:rFonts w:ascii="Book Antiqua" w:eastAsia="Book Antiqua" w:hAnsi="Book Antiqua" w:cs="Book Antiqua"/>
          <w:color w:val="000000"/>
        </w:rPr>
        <w:t>linical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remission</w:t>
      </w:r>
    </w:p>
    <w:p w14:paraId="23762C48" w14:textId="6F85A40A" w:rsidR="00A77B3E" w:rsidRDefault="00A77B3E">
      <w:pPr>
        <w:spacing w:line="360" w:lineRule="auto"/>
        <w:jc w:val="both"/>
      </w:pPr>
    </w:p>
    <w:p w14:paraId="290B2FFF" w14:textId="77777777" w:rsidR="002839A8" w:rsidRDefault="002839A8" w:rsidP="002839A8">
      <w:pPr>
        <w:spacing w:line="360" w:lineRule="auto"/>
        <w:rPr>
          <w:rFonts w:ascii="Book Antiqua" w:eastAsia="Book Antiqua" w:hAnsi="Book Antiqua" w:cs="Book Antiqua"/>
          <w:color w:val="000000"/>
        </w:rPr>
      </w:pPr>
      <w:bookmarkStart w:id="0" w:name="_Hlk121819616"/>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74F2FE1A" w14:textId="77777777" w:rsidR="002839A8" w:rsidRPr="00004362" w:rsidRDefault="002839A8">
      <w:pPr>
        <w:spacing w:line="360" w:lineRule="auto"/>
        <w:jc w:val="both"/>
      </w:pPr>
    </w:p>
    <w:p w14:paraId="2894BE4F" w14:textId="699CAD11" w:rsidR="002839A8" w:rsidRDefault="002839A8">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D462C0" w:rsidRPr="00004362">
        <w:rPr>
          <w:rFonts w:ascii="Book Antiqua" w:eastAsia="Book Antiqua" w:hAnsi="Book Antiqua" w:cs="Book Antiqua"/>
          <w:color w:val="000000"/>
        </w:rPr>
        <w:t>Balderramo</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D.</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Role</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combination</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biologics</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and/or</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small</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molecules</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treatment</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inflammatory</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bowel</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disease.</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i/>
          <w:iCs/>
          <w:color w:val="000000"/>
        </w:rPr>
        <w:t>World</w:t>
      </w:r>
      <w:r w:rsidR="00150010" w:rsidRPr="00004362">
        <w:rPr>
          <w:rFonts w:ascii="Book Antiqua" w:eastAsia="Book Antiqua" w:hAnsi="Book Antiqua" w:cs="Book Antiqua"/>
          <w:i/>
          <w:iCs/>
          <w:color w:val="000000"/>
        </w:rPr>
        <w:t xml:space="preserve"> </w:t>
      </w:r>
      <w:r w:rsidR="00D462C0" w:rsidRPr="00004362">
        <w:rPr>
          <w:rFonts w:ascii="Book Antiqua" w:eastAsia="Book Antiqua" w:hAnsi="Book Antiqua" w:cs="Book Antiqua"/>
          <w:i/>
          <w:iCs/>
          <w:color w:val="000000"/>
        </w:rPr>
        <w:t>J</w:t>
      </w:r>
      <w:r w:rsidR="00150010" w:rsidRPr="00004362">
        <w:rPr>
          <w:rFonts w:ascii="Book Antiqua" w:eastAsia="Book Antiqua" w:hAnsi="Book Antiqua" w:cs="Book Antiqua"/>
          <w:i/>
          <w:iCs/>
          <w:color w:val="000000"/>
        </w:rPr>
        <w:t xml:space="preserve"> </w:t>
      </w:r>
      <w:r w:rsidR="00D462C0" w:rsidRPr="00004362">
        <w:rPr>
          <w:rFonts w:ascii="Book Antiqua" w:eastAsia="Book Antiqua" w:hAnsi="Book Antiqua" w:cs="Book Antiqua"/>
          <w:i/>
          <w:iCs/>
          <w:color w:val="000000"/>
        </w:rPr>
        <w:t>Gastroenterol</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2022;</w:t>
      </w:r>
      <w:r w:rsidR="00150010" w:rsidRPr="00004362">
        <w:rPr>
          <w:rFonts w:ascii="Book Antiqua" w:eastAsia="Book Antiqua" w:hAnsi="Book Antiqua" w:cs="Book Antiqua"/>
          <w:color w:val="000000"/>
        </w:rPr>
        <w:t xml:space="preserve"> </w:t>
      </w:r>
      <w:r w:rsidR="00BF41F7" w:rsidRPr="00BF41F7">
        <w:rPr>
          <w:rFonts w:ascii="Book Antiqua" w:eastAsia="Book Antiqua" w:hAnsi="Book Antiqua" w:cs="Book Antiqua"/>
          <w:color w:val="000000"/>
        </w:rPr>
        <w:t xml:space="preserve">28(47): </w:t>
      </w:r>
      <w:r>
        <w:rPr>
          <w:rFonts w:ascii="Book Antiqua" w:eastAsia="Book Antiqua" w:hAnsi="Book Antiqua" w:cs="Book Antiqua"/>
          <w:color w:val="000000"/>
        </w:rPr>
        <w:t>6743</w:t>
      </w:r>
      <w:r w:rsidR="00BF41F7" w:rsidRPr="00BF41F7">
        <w:rPr>
          <w:rFonts w:ascii="Book Antiqua" w:eastAsia="Book Antiqua" w:hAnsi="Book Antiqua" w:cs="Book Antiqua"/>
          <w:color w:val="000000"/>
        </w:rPr>
        <w:t>-</w:t>
      </w:r>
      <w:r>
        <w:rPr>
          <w:rFonts w:ascii="Book Antiqua" w:eastAsia="Book Antiqua" w:hAnsi="Book Antiqua" w:cs="Book Antiqua"/>
          <w:color w:val="000000"/>
        </w:rPr>
        <w:t>6751</w:t>
      </w:r>
      <w:r w:rsidR="00BF41F7" w:rsidRPr="00BF41F7">
        <w:rPr>
          <w:rFonts w:ascii="Book Antiqua" w:eastAsia="Book Antiqua" w:hAnsi="Book Antiqua" w:cs="Book Antiqua"/>
          <w:color w:val="000000"/>
        </w:rPr>
        <w:t xml:space="preserve">  </w:t>
      </w:r>
    </w:p>
    <w:p w14:paraId="06D39CA9" w14:textId="7F790CC3" w:rsidR="002839A8" w:rsidRDefault="00BF41F7">
      <w:pPr>
        <w:spacing w:line="360" w:lineRule="auto"/>
        <w:jc w:val="both"/>
        <w:rPr>
          <w:rFonts w:ascii="Book Antiqua" w:eastAsia="Book Antiqua" w:hAnsi="Book Antiqua" w:cs="Book Antiqua"/>
          <w:color w:val="000000"/>
        </w:rPr>
      </w:pPr>
      <w:r w:rsidRPr="002839A8">
        <w:rPr>
          <w:rFonts w:ascii="Book Antiqua" w:eastAsia="Book Antiqua" w:hAnsi="Book Antiqua" w:cs="Book Antiqua"/>
          <w:b/>
          <w:bCs/>
          <w:color w:val="000000"/>
        </w:rPr>
        <w:t xml:space="preserve">URL: </w:t>
      </w:r>
      <w:r w:rsidRPr="00BF41F7">
        <w:rPr>
          <w:rFonts w:ascii="Book Antiqua" w:eastAsia="Book Antiqua" w:hAnsi="Book Antiqua" w:cs="Book Antiqua"/>
          <w:color w:val="000000"/>
        </w:rPr>
        <w:t>https://www.wjgnet.com/1007-9327/full/v28/i47/</w:t>
      </w:r>
      <w:r w:rsidR="002839A8">
        <w:rPr>
          <w:rFonts w:ascii="Book Antiqua" w:eastAsia="Book Antiqua" w:hAnsi="Book Antiqua" w:cs="Book Antiqua"/>
          <w:color w:val="000000"/>
        </w:rPr>
        <w:t>6743</w:t>
      </w:r>
      <w:r w:rsidRPr="00BF41F7">
        <w:rPr>
          <w:rFonts w:ascii="Book Antiqua" w:eastAsia="Book Antiqua" w:hAnsi="Book Antiqua" w:cs="Book Antiqua"/>
          <w:color w:val="000000"/>
        </w:rPr>
        <w:t xml:space="preserve">.htm  </w:t>
      </w:r>
    </w:p>
    <w:p w14:paraId="078D78E3" w14:textId="7CA74F60" w:rsidR="00A77B3E" w:rsidRPr="00004362" w:rsidRDefault="00BF41F7">
      <w:pPr>
        <w:spacing w:line="360" w:lineRule="auto"/>
        <w:jc w:val="both"/>
      </w:pPr>
      <w:r w:rsidRPr="002839A8">
        <w:rPr>
          <w:rFonts w:ascii="Book Antiqua" w:eastAsia="Book Antiqua" w:hAnsi="Book Antiqua" w:cs="Book Antiqua"/>
          <w:b/>
          <w:bCs/>
          <w:color w:val="000000"/>
        </w:rPr>
        <w:t>DOI:</w:t>
      </w:r>
      <w:r w:rsidRPr="00BF41F7">
        <w:rPr>
          <w:rFonts w:ascii="Book Antiqua" w:eastAsia="Book Antiqua" w:hAnsi="Book Antiqua" w:cs="Book Antiqua"/>
          <w:color w:val="000000"/>
        </w:rPr>
        <w:t xml:space="preserve"> https://dx.doi.org/10.3748/wjg.v28.i47.</w:t>
      </w:r>
      <w:r w:rsidR="002839A8">
        <w:rPr>
          <w:rFonts w:ascii="Book Antiqua" w:eastAsia="Book Antiqua" w:hAnsi="Book Antiqua" w:cs="Book Antiqua"/>
          <w:color w:val="000000"/>
        </w:rPr>
        <w:t>6743</w:t>
      </w:r>
    </w:p>
    <w:p w14:paraId="59634ED1" w14:textId="77777777" w:rsidR="00A77B3E" w:rsidRPr="00004362" w:rsidRDefault="00A77B3E">
      <w:pPr>
        <w:spacing w:line="360" w:lineRule="auto"/>
        <w:jc w:val="both"/>
      </w:pPr>
    </w:p>
    <w:p w14:paraId="51D38429" w14:textId="79F9C6BC" w:rsidR="00A77B3E" w:rsidRPr="00004362" w:rsidRDefault="00D462C0">
      <w:pPr>
        <w:spacing w:line="360" w:lineRule="auto"/>
        <w:jc w:val="both"/>
      </w:pPr>
      <w:r w:rsidRPr="00004362">
        <w:rPr>
          <w:rFonts w:ascii="Book Antiqua" w:eastAsia="Book Antiqua" w:hAnsi="Book Antiqua" w:cs="Book Antiqua"/>
          <w:b/>
          <w:bCs/>
          <w:color w:val="000000"/>
        </w:rPr>
        <w:t>Core</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Tip:</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inflammatory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bowel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disease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require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prolonged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high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utilization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healthcare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resources.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About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40%</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refractory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different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increase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hospitalization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surgery.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Dual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strategy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applicable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refractory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includes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two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biologics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biologic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small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molecule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drug.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two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distinct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scenarios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which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approach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can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used:</w:t>
      </w:r>
      <w:r w:rsidR="00150010" w:rsidRPr="00004362">
        <w:rPr>
          <w:rFonts w:ascii="Book Antiqua" w:eastAsia="Book Antiqua" w:hAnsi="Book Antiqua" w:cs="Book Antiqua"/>
          <w:color w:val="000000"/>
        </w:rPr>
        <w:t xml:space="preserve"> </w:t>
      </w:r>
      <w:r w:rsidR="004D3C0E" w:rsidRPr="00004362">
        <w:rPr>
          <w:rFonts w:ascii="Book Antiqua" w:eastAsia="Book Antiqua" w:hAnsi="Book Antiqua" w:cs="Book Antiqua"/>
          <w:color w:val="000000"/>
        </w:rPr>
        <w:t>(1</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refractory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active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luminal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disease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without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extraintestinal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manifestations</w:t>
      </w:r>
      <w:r w:rsidR="004D3C0E"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004D3C0E"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004D3C0E" w:rsidRPr="00004362">
        <w:rPr>
          <w:rFonts w:ascii="Book Antiqua" w:eastAsia="Book Antiqua" w:hAnsi="Book Antiqua" w:cs="Book Antiqua"/>
          <w:color w:val="000000"/>
        </w:rPr>
        <w:t>(2</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remission,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but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active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extraintestinal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manifestations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immune-mediated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inflammatory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diseases.</w:t>
      </w:r>
    </w:p>
    <w:p w14:paraId="29BC6044" w14:textId="7B493FEA" w:rsidR="00A77B3E" w:rsidRPr="00004362" w:rsidRDefault="004D3C0E">
      <w:pPr>
        <w:spacing w:line="360" w:lineRule="auto"/>
        <w:jc w:val="both"/>
      </w:pPr>
      <w:r w:rsidRPr="00004362">
        <w:rPr>
          <w:rFonts w:ascii="Book Antiqua" w:eastAsia="Book Antiqua" w:hAnsi="Book Antiqua" w:cs="Book Antiqua"/>
          <w:b/>
          <w:caps/>
          <w:color w:val="000000"/>
          <w:u w:val="single"/>
        </w:rPr>
        <w:br w:type="page"/>
      </w:r>
      <w:r w:rsidR="00D462C0" w:rsidRPr="00004362">
        <w:rPr>
          <w:rFonts w:ascii="Book Antiqua" w:eastAsia="Book Antiqua" w:hAnsi="Book Antiqua" w:cs="Book Antiqua"/>
          <w:b/>
          <w:caps/>
          <w:color w:val="000000"/>
          <w:u w:val="single"/>
        </w:rPr>
        <w:lastRenderedPageBreak/>
        <w:t>INTRODUCTION</w:t>
      </w:r>
    </w:p>
    <w:p w14:paraId="3AC5EAEB" w14:textId="6B771D99" w:rsidR="00A77B3E" w:rsidRPr="00004362" w:rsidRDefault="00D462C0">
      <w:pPr>
        <w:spacing w:line="360" w:lineRule="auto"/>
        <w:jc w:val="both"/>
      </w:pPr>
      <w:r w:rsidRPr="00004362">
        <w:rPr>
          <w:rFonts w:ascii="Book Antiqua" w:eastAsia="Book Antiqua" w:hAnsi="Book Antiqua" w:cs="Book Antiqua"/>
          <w:color w:val="000000"/>
        </w:rPr>
        <w:t>Inflammatory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bowel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disease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group</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chronic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diseases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includes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ulcerative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colitis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Crohn</w:t>
      </w:r>
      <w:r w:rsidR="002B3D48" w:rsidRPr="00004362">
        <w:rPr>
          <w:rFonts w:ascii="Book Antiqua" w:eastAsia="Book Antiqua" w:hAnsi="Book Antiqua" w:cs="Book Antiqua"/>
          <w:color w:val="000000"/>
        </w:rPr>
        <w:t>’</w:t>
      </w:r>
      <w:r w:rsidRPr="00004362">
        <w:rPr>
          <w:rFonts w:ascii="Book Antiqua" w:eastAsia="Book Antiqua" w:hAnsi="Book Antiqua" w:cs="Book Antiqua"/>
          <w:color w:val="000000"/>
        </w:rPr>
        <w: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disease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(CD)</w:t>
      </w:r>
      <w:r w:rsidR="00B72909"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indeterminate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colitis.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require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prolonged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high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utilization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healthcare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resources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proper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management</w:t>
      </w:r>
      <w:r w:rsidRPr="00004362">
        <w:rPr>
          <w:rFonts w:ascii="Book Antiqua" w:eastAsia="Book Antiqua" w:hAnsi="Book Antiqua" w:cs="Book Antiqua"/>
          <w:color w:val="000000"/>
          <w:szCs w:val="30"/>
          <w:vertAlign w:val="superscript"/>
        </w:rPr>
        <w:t>[1]</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Medical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includes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so-called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conventional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drugs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(mesalazine,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immunosuppressants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azathioprine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methotrexate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corticosteroids)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biologics</w:t>
      </w:r>
      <w:r w:rsidR="00150010" w:rsidRPr="00004362">
        <w:rPr>
          <w:rFonts w:ascii="Book Antiqua" w:eastAsia="Book Antiqua" w:hAnsi="Book Antiqua" w:cs="Book Antiqua"/>
          <w:color w:val="000000"/>
        </w:rPr>
        <w:t xml:space="preserve"> </w:t>
      </w:r>
      <w:r w:rsidR="00C055D8" w:rsidRPr="00004362">
        <w:rPr>
          <w:rFonts w:ascii="Book Antiqua" w:eastAsia="Book Antiqua" w:hAnsi="Book Antiqua" w:cs="Book Antiqua"/>
          <w:color w:val="000000"/>
        </w:rPr>
        <w:t>[</w:t>
      </w:r>
      <w:r w:rsidRPr="00004362">
        <w:rPr>
          <w:rFonts w:ascii="Book Antiqua" w:eastAsia="Book Antiqua" w:hAnsi="Book Antiqua" w:cs="Book Antiqua"/>
          <w:color w:val="000000"/>
        </w:rPr>
        <w:t>anti-tumor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necrosis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factor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(anti-TNF),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anti-integrins,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anti-interleukins</w:t>
      </w:r>
      <w:r w:rsidR="00150010" w:rsidRPr="00004362">
        <w:rPr>
          <w:rFonts w:ascii="Book Antiqua" w:eastAsia="Book Antiqua" w:hAnsi="Book Antiqua" w:cs="Book Antiqua"/>
          <w:color w:val="000000"/>
        </w:rPr>
        <w:t xml:space="preserve"> </w:t>
      </w:r>
      <w:r w:rsidR="009D7FE2" w:rsidRPr="00004362">
        <w:rPr>
          <w:rFonts w:ascii="Book Antiqua" w:eastAsia="Book Antiqua" w:hAnsi="Book Antiqua" w:cs="Book Antiqua"/>
          <w:color w:val="000000"/>
        </w:rPr>
        <w:t>(IL)]</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small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molecules</w:t>
      </w:r>
      <w:r w:rsidR="00150010" w:rsidRPr="00004362">
        <w:rPr>
          <w:rFonts w:ascii="Book Antiqua" w:eastAsia="Book Antiqua" w:hAnsi="Book Antiqua" w:cs="Book Antiqua"/>
          <w:color w:val="000000"/>
        </w:rPr>
        <w:t xml:space="preserve"> </w:t>
      </w:r>
      <w:r w:rsidR="00F677F6" w:rsidRPr="00004362">
        <w:rPr>
          <w:rFonts w:ascii="Book Antiqua" w:eastAsia="Book Antiqua" w:hAnsi="Book Antiqua" w:cs="Book Antiqua"/>
          <w:color w:val="000000"/>
        </w:rPr>
        <w:t>(</w:t>
      </w:r>
      <w:r w:rsidRPr="00004362">
        <w:rPr>
          <w:rFonts w:ascii="Book Antiqua" w:eastAsia="Book Antiqua" w:hAnsi="Book Antiqua" w:cs="Book Antiqua"/>
          <w:color w:val="000000"/>
        </w:rPr>
        <w:t>Janus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kinase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inhibitors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sphingosine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1-phosphate</w:t>
      </w:r>
      <w:r w:rsidR="00150010" w:rsidRPr="00004362">
        <w:rPr>
          <w:rFonts w:ascii="Book Antiqua" w:eastAsia="Book Antiqua" w:hAnsi="Book Antiqua" w:cs="Book Antiqua"/>
          <w:color w:val="000000"/>
          <w:shd w:val="clear" w:color="auto" w:fill="FFFFFF"/>
        </w:rPr>
        <w:t xml:space="preserve"> </w:t>
      </w:r>
      <w:r w:rsidRPr="00004362">
        <w:rPr>
          <w:rFonts w:ascii="Book Antiqua" w:eastAsia="Book Antiqua" w:hAnsi="Book Antiqua" w:cs="Book Antiqua"/>
          <w:color w:val="000000"/>
          <w:shd w:val="clear" w:color="auto" w:fill="FFFFFF"/>
        </w:rPr>
        <w:t>receptor</w:t>
      </w:r>
      <w:r w:rsidR="00150010" w:rsidRPr="00004362">
        <w:rPr>
          <w:rFonts w:ascii="Book Antiqua" w:eastAsia="Book Antiqua" w:hAnsi="Book Antiqua" w:cs="Book Antiqua"/>
          <w:color w:val="000000"/>
          <w:shd w:val="clear" w:color="auto" w:fill="FFFFFF"/>
        </w:rPr>
        <w:t xml:space="preserve"> </w:t>
      </w:r>
      <w:r w:rsidRPr="00004362">
        <w:rPr>
          <w:rFonts w:ascii="Book Antiqua" w:eastAsia="Book Antiqua" w:hAnsi="Book Antiqua" w:cs="Book Antiqua"/>
          <w:color w:val="000000"/>
        </w:rPr>
        <w:t>modulators</w:t>
      </w:r>
      <w:r w:rsidR="00F677F6"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having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recently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been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added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possible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advanced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treatments</w:t>
      </w:r>
      <w:r w:rsidRPr="00004362">
        <w:rPr>
          <w:rFonts w:ascii="Book Antiqua" w:eastAsia="Book Antiqua" w:hAnsi="Book Antiqua" w:cs="Book Antiqua"/>
          <w:color w:val="000000"/>
          <w:szCs w:val="30"/>
          <w:vertAlign w:val="superscript"/>
        </w:rPr>
        <w:t>[2-5]</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p>
    <w:p w14:paraId="55D20785" w14:textId="3D6B4628" w:rsidR="00A77B3E" w:rsidRPr="00004362" w:rsidRDefault="00D462C0" w:rsidP="002F1D4F">
      <w:pPr>
        <w:spacing w:line="360" w:lineRule="auto"/>
        <w:ind w:firstLineChars="112" w:firstLine="269"/>
        <w:jc w:val="both"/>
      </w:pPr>
      <w:r w:rsidRPr="00004362">
        <w:rPr>
          <w:rFonts w:ascii="Book Antiqua" w:eastAsia="Book Antiqua" w:hAnsi="Book Antiqua" w:cs="Book Antiqua"/>
          <w:color w:val="000000"/>
        </w:rPr>
        <w:t>After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onset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focused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achieving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therapeutic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goals</w:t>
      </w:r>
      <w:r w:rsidR="00F9652A"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which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include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improvement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normalization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clinical,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biochemical,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endoscopic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variables</w:t>
      </w:r>
      <w:r w:rsidR="00F9652A"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also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quality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life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disability</w:t>
      </w:r>
      <w:r w:rsidRPr="00004362">
        <w:rPr>
          <w:rFonts w:ascii="Book Antiqua" w:eastAsia="Book Antiqua" w:hAnsi="Book Antiqua" w:cs="Book Antiqua"/>
          <w:color w:val="000000"/>
          <w:szCs w:val="30"/>
          <w:vertAlign w:val="superscript"/>
        </w:rPr>
        <w:t>[6]</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00F9652A" w:rsidRPr="00004362">
        <w:rPr>
          <w:rFonts w:ascii="Book Antiqua" w:eastAsia="Book Antiqua" w:hAnsi="Book Antiqua" w:cs="Book Antiqua"/>
          <w:color w:val="000000"/>
        </w:rPr>
        <w:t>Despite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multiple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available,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about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40%</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refractory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several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different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mechanisms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present</w:t>
      </w:r>
      <w:r w:rsidR="00150010" w:rsidRPr="00004362">
        <w:rPr>
          <w:rFonts w:ascii="Book Antiqua" w:eastAsia="Book Antiqua" w:hAnsi="Book Antiqua" w:cs="Book Antiqua"/>
          <w:color w:val="000000"/>
        </w:rPr>
        <w:t xml:space="preserve"> </w:t>
      </w:r>
      <w:r w:rsidR="00F9652A" w:rsidRPr="00004362">
        <w:rPr>
          <w:rFonts w:ascii="Book Antiqua" w:eastAsia="Book Antiqua" w:hAnsi="Book Antiqua" w:cs="Book Antiqua"/>
          <w:color w:val="000000"/>
        </w:rPr>
        <w:t xml:space="preserve">with </w:t>
      </w:r>
      <w:r w:rsidRPr="00004362">
        <w:rPr>
          <w:rFonts w:ascii="Book Antiqua" w:eastAsia="Book Antiqua" w:hAnsi="Book Antiqua" w:cs="Book Antiqua"/>
          <w:color w:val="000000"/>
        </w:rPr>
        <w:t>persistent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symptoms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often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great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impact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their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quality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life,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due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hospitalization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requirement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surgery,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which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carried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out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several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times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some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cases</w:t>
      </w:r>
      <w:r w:rsidRPr="00004362">
        <w:rPr>
          <w:rFonts w:ascii="Book Antiqua" w:eastAsia="Book Antiqua" w:hAnsi="Book Antiqua" w:cs="Book Antiqua"/>
          <w:color w:val="000000"/>
          <w:szCs w:val="30"/>
          <w:vertAlign w:val="superscript"/>
        </w:rPr>
        <w:t>[7]</w:t>
      </w:r>
      <w:r w:rsidRPr="00004362">
        <w:rPr>
          <w:rFonts w:ascii="Book Antiqua" w:eastAsia="Book Antiqua" w:hAnsi="Book Antiqua" w:cs="Book Antiqua"/>
          <w:color w:val="000000"/>
        </w:rPr>
        <w:t>.</w:t>
      </w:r>
    </w:p>
    <w:p w14:paraId="75776476" w14:textId="576F3E47" w:rsidR="00A77B3E" w:rsidRPr="00004362" w:rsidRDefault="00D462C0" w:rsidP="002F1D4F">
      <w:pPr>
        <w:spacing w:line="360" w:lineRule="auto"/>
        <w:ind w:firstLineChars="112" w:firstLine="269"/>
        <w:jc w:val="both"/>
      </w:pPr>
      <w:r w:rsidRPr="00004362">
        <w:rPr>
          <w:rFonts w:ascii="Book Antiqua" w:eastAsia="Book Antiqua" w:hAnsi="Book Antiqua" w:cs="Book Antiqua"/>
          <w:color w:val="000000"/>
        </w:rPr>
        <w:t>Extraintestinal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manifestations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(EIM)</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present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about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one</w:t>
      </w:r>
      <w:r w:rsidR="00F9652A" w:rsidRPr="00004362">
        <w:rPr>
          <w:rFonts w:ascii="Book Antiqua" w:eastAsia="Book Antiqua" w:hAnsi="Book Antiqua" w:cs="Book Antiqua"/>
          <w:color w:val="000000"/>
        </w:rPr>
        <w:t>-</w:t>
      </w:r>
      <w:r w:rsidRPr="00004362">
        <w:rPr>
          <w:rFonts w:ascii="Book Antiqua" w:eastAsia="Book Antiqua" w:hAnsi="Book Antiqua" w:cs="Book Antiqua"/>
          <w:color w:val="000000"/>
        </w:rPr>
        <w:t>third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after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diagnosis</w:t>
      </w:r>
      <w:r w:rsidRPr="00004362">
        <w:rPr>
          <w:rFonts w:ascii="Book Antiqua" w:eastAsia="Book Antiqua" w:hAnsi="Book Antiqua" w:cs="Book Antiqua"/>
          <w:color w:val="000000"/>
          <w:szCs w:val="30"/>
          <w:vertAlign w:val="superscript"/>
        </w:rPr>
        <w:t>[8]</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mainly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involve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osteoarticular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dermatological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manifestations.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Some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EIM</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independent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activity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require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independent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therapeutic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management.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addition,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some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multiple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comorbidities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throughout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course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disease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associated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prolonged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corticosteroid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(diabetes,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osteoporosis,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adrenal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insufficiency</w:t>
      </w:r>
      <w:r w:rsidR="00F9652A"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others),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which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frequently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suboptimal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response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advanced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treatments</w:t>
      </w:r>
      <w:r w:rsidRPr="00004362">
        <w:rPr>
          <w:rFonts w:ascii="Book Antiqua" w:eastAsia="Book Antiqua" w:hAnsi="Book Antiqua" w:cs="Book Antiqua"/>
          <w:color w:val="000000"/>
          <w:szCs w:val="30"/>
          <w:vertAlign w:val="superscript"/>
        </w:rPr>
        <w:t>[9]</w:t>
      </w:r>
      <w:r w:rsidRPr="00004362">
        <w:rPr>
          <w:rFonts w:ascii="Book Antiqua" w:eastAsia="Book Antiqua" w:hAnsi="Book Antiqua" w:cs="Book Antiqua"/>
          <w:color w:val="000000"/>
        </w:rPr>
        <w:t>.</w:t>
      </w:r>
    </w:p>
    <w:p w14:paraId="0055F955" w14:textId="43780EA1" w:rsidR="00A77B3E" w:rsidRPr="00004362" w:rsidRDefault="00D462C0" w:rsidP="002F1D4F">
      <w:pPr>
        <w:spacing w:line="360" w:lineRule="auto"/>
        <w:ind w:firstLineChars="112" w:firstLine="269"/>
        <w:jc w:val="both"/>
      </w:pPr>
      <w:r w:rsidRPr="00004362">
        <w:rPr>
          <w:rFonts w:ascii="Book Antiqua" w:eastAsia="Book Antiqua" w:hAnsi="Book Antiqua" w:cs="Book Antiqua"/>
          <w:color w:val="000000"/>
        </w:rPr>
        <w:t>Different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studies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described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therapeutic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window</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opportunity,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which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implies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early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advanced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especially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early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t>
      </w:r>
      <w:r w:rsidR="002E18A0">
        <w:rPr>
          <w:rFonts w:ascii="Book Antiqua" w:eastAsia="Book Antiqua" w:hAnsi="Book Antiqua" w:cs="Book Antiqua"/>
          <w:color w:val="000000"/>
        </w:rPr>
        <w:t>&lt;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2</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years)</w:t>
      </w:r>
      <w:r w:rsidRPr="00004362">
        <w:rPr>
          <w:rFonts w:ascii="Book Antiqua" w:eastAsia="Book Antiqua" w:hAnsi="Book Antiqua" w:cs="Book Antiqua"/>
          <w:color w:val="000000"/>
          <w:szCs w:val="30"/>
          <w:vertAlign w:val="superscript"/>
        </w:rPr>
        <w:t>[10]</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interventions</w:t>
      </w:r>
      <w:r w:rsidR="00150010" w:rsidRPr="00004362">
        <w:rPr>
          <w:rFonts w:ascii="Book Antiqua" w:eastAsia="Book Antiqua" w:hAnsi="Book Antiqua" w:cs="Book Antiqua"/>
          <w:color w:val="000000"/>
        </w:rPr>
        <w:t xml:space="preserve"> </w:t>
      </w:r>
      <w:r w:rsidR="00F9652A"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associated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decrease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progression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intestinal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damage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complications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stenosis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fistulas,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consequently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reducing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hospitalization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surgery</w:t>
      </w:r>
      <w:r w:rsidRPr="00004362">
        <w:rPr>
          <w:rFonts w:ascii="Book Antiqua" w:eastAsia="Book Antiqua" w:hAnsi="Book Antiqua" w:cs="Book Antiqua"/>
          <w:color w:val="000000"/>
          <w:szCs w:val="30"/>
          <w:vertAlign w:val="superscript"/>
        </w:rPr>
        <w:t>[10]</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Finally,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long-standing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lastRenderedPageBreak/>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persistent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inflammatory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activity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represent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group</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higher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risk</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development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colorectal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cancer,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which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develops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different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sequence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non-IBD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colorectal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cancer</w:t>
      </w:r>
      <w:r w:rsidRPr="00004362">
        <w:rPr>
          <w:rFonts w:ascii="Book Antiqua" w:eastAsia="Book Antiqua" w:hAnsi="Book Antiqua" w:cs="Book Antiqua"/>
          <w:color w:val="000000"/>
          <w:szCs w:val="30"/>
          <w:vertAlign w:val="superscript"/>
        </w:rPr>
        <w:t>[11]</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also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been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described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better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control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inflammatory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activity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impact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development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complication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during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long-term</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evolution</w:t>
      </w:r>
      <w:r w:rsidRPr="00004362">
        <w:rPr>
          <w:rFonts w:ascii="Book Antiqua" w:eastAsia="Book Antiqua" w:hAnsi="Book Antiqua" w:cs="Book Antiqua"/>
          <w:color w:val="000000"/>
          <w:szCs w:val="30"/>
          <w:vertAlign w:val="superscript"/>
        </w:rPr>
        <w:t>[12,13]</w:t>
      </w:r>
      <w:r w:rsidRPr="00004362">
        <w:rPr>
          <w:rFonts w:ascii="Book Antiqua" w:eastAsia="Book Antiqua" w:hAnsi="Book Antiqua" w:cs="Book Antiqua"/>
          <w:color w:val="000000"/>
        </w:rPr>
        <w:t>.</w:t>
      </w:r>
    </w:p>
    <w:p w14:paraId="7D4AEC18" w14:textId="77777777" w:rsidR="00A77B3E" w:rsidRPr="00004362" w:rsidRDefault="00A77B3E">
      <w:pPr>
        <w:spacing w:line="360" w:lineRule="auto"/>
        <w:jc w:val="both"/>
      </w:pPr>
    </w:p>
    <w:p w14:paraId="3E505A18" w14:textId="1715B592" w:rsidR="00A77B3E" w:rsidRPr="00004362" w:rsidRDefault="00D462C0">
      <w:pPr>
        <w:spacing w:line="360" w:lineRule="auto"/>
        <w:jc w:val="both"/>
      </w:pPr>
      <w:r w:rsidRPr="00004362">
        <w:rPr>
          <w:rFonts w:ascii="Book Antiqua" w:eastAsia="Book Antiqua" w:hAnsi="Book Antiqua" w:cs="Book Antiqua"/>
          <w:b/>
          <w:bCs/>
          <w:caps/>
          <w:color w:val="000000"/>
          <w:u w:val="single"/>
        </w:rPr>
        <w:t>Definition</w:t>
      </w:r>
      <w:r w:rsidR="00150010" w:rsidRPr="00004362">
        <w:rPr>
          <w:rFonts w:ascii="Book Antiqua" w:eastAsia="Book Antiqua" w:hAnsi="Book Antiqua" w:cs="Book Antiqua"/>
          <w:b/>
          <w:bCs/>
          <w:caps/>
          <w:color w:val="000000"/>
          <w:u w:val="single"/>
        </w:rPr>
        <w:t xml:space="preserve"> </w:t>
      </w:r>
      <w:r w:rsidRPr="00004362">
        <w:rPr>
          <w:rFonts w:ascii="Book Antiqua" w:eastAsia="Book Antiqua" w:hAnsi="Book Antiqua" w:cs="Book Antiqua"/>
          <w:b/>
          <w:bCs/>
          <w:caps/>
          <w:color w:val="000000"/>
          <w:u w:val="single"/>
        </w:rPr>
        <w:t>and</w:t>
      </w:r>
      <w:r w:rsidR="00150010" w:rsidRPr="00004362">
        <w:rPr>
          <w:rFonts w:ascii="Book Antiqua" w:eastAsia="Book Antiqua" w:hAnsi="Book Antiqua" w:cs="Book Antiqua"/>
          <w:b/>
          <w:bCs/>
          <w:caps/>
          <w:color w:val="000000"/>
          <w:u w:val="single"/>
        </w:rPr>
        <w:t xml:space="preserve"> </w:t>
      </w:r>
      <w:r w:rsidRPr="00004362">
        <w:rPr>
          <w:rFonts w:ascii="Book Antiqua" w:eastAsia="Book Antiqua" w:hAnsi="Book Antiqua" w:cs="Book Antiqua"/>
          <w:b/>
          <w:bCs/>
          <w:caps/>
          <w:color w:val="000000"/>
          <w:u w:val="single"/>
        </w:rPr>
        <w:t>indications</w:t>
      </w:r>
      <w:r w:rsidR="00150010" w:rsidRPr="00004362">
        <w:rPr>
          <w:rFonts w:ascii="Book Antiqua" w:eastAsia="Book Antiqua" w:hAnsi="Book Antiqua" w:cs="Book Antiqua"/>
          <w:b/>
          <w:bCs/>
          <w:caps/>
          <w:color w:val="000000"/>
          <w:u w:val="single"/>
        </w:rPr>
        <w:t xml:space="preserve"> </w:t>
      </w:r>
      <w:r w:rsidRPr="00004362">
        <w:rPr>
          <w:rFonts w:ascii="Book Antiqua" w:eastAsia="Book Antiqua" w:hAnsi="Book Antiqua" w:cs="Book Antiqua"/>
          <w:b/>
          <w:bCs/>
          <w:caps/>
          <w:color w:val="000000"/>
          <w:u w:val="single"/>
        </w:rPr>
        <w:t>of</w:t>
      </w:r>
      <w:r w:rsidR="00150010" w:rsidRPr="00004362">
        <w:rPr>
          <w:rFonts w:ascii="Book Antiqua" w:eastAsia="Book Antiqua" w:hAnsi="Book Antiqua" w:cs="Book Antiqua"/>
          <w:b/>
          <w:bCs/>
          <w:caps/>
          <w:color w:val="000000"/>
          <w:u w:val="single"/>
        </w:rPr>
        <w:t xml:space="preserve"> </w:t>
      </w:r>
      <w:r w:rsidRPr="00004362">
        <w:rPr>
          <w:rFonts w:ascii="Book Antiqua" w:eastAsia="Book Antiqua" w:hAnsi="Book Antiqua" w:cs="Book Antiqua"/>
          <w:b/>
          <w:bCs/>
          <w:caps/>
          <w:color w:val="000000"/>
          <w:u w:val="single"/>
        </w:rPr>
        <w:t>dual</w:t>
      </w:r>
      <w:r w:rsidR="00150010" w:rsidRPr="00004362">
        <w:rPr>
          <w:rFonts w:ascii="Book Antiqua" w:eastAsia="Book Antiqua" w:hAnsi="Book Antiqua" w:cs="Book Antiqua"/>
          <w:b/>
          <w:bCs/>
          <w:caps/>
          <w:color w:val="000000"/>
          <w:u w:val="single"/>
        </w:rPr>
        <w:t xml:space="preserve"> </w:t>
      </w:r>
      <w:r w:rsidRPr="00004362">
        <w:rPr>
          <w:rFonts w:ascii="Book Antiqua" w:eastAsia="Book Antiqua" w:hAnsi="Book Antiqua" w:cs="Book Antiqua"/>
          <w:b/>
          <w:bCs/>
          <w:caps/>
          <w:color w:val="000000"/>
          <w:u w:val="single"/>
        </w:rPr>
        <w:t>therapy</w:t>
      </w:r>
    </w:p>
    <w:p w14:paraId="2B9D18DF" w14:textId="1FEAFE1B" w:rsidR="00A77B3E" w:rsidRPr="00004362" w:rsidRDefault="00D462C0">
      <w:pPr>
        <w:spacing w:line="360" w:lineRule="auto"/>
        <w:jc w:val="both"/>
      </w:pP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development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new</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molecules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implementation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new</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strategies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necessary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achieve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better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control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activity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refractory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currently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available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treatments</w:t>
      </w:r>
      <w:r w:rsidRPr="00004362">
        <w:rPr>
          <w:rFonts w:ascii="Book Antiqua" w:eastAsia="Book Antiqua" w:hAnsi="Book Antiqua" w:cs="Book Antiqua"/>
          <w:color w:val="000000"/>
          <w:szCs w:val="30"/>
          <w:vertAlign w:val="superscript"/>
        </w:rPr>
        <w:t>[14]</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However,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multiple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pathways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inflammatory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activity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activated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reason,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monotherapies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not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sufficient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management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all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Pr="00004362">
        <w:rPr>
          <w:rFonts w:ascii="Book Antiqua" w:eastAsia="Book Antiqua" w:hAnsi="Book Antiqua" w:cs="Book Antiqua"/>
          <w:color w:val="000000"/>
          <w:szCs w:val="30"/>
          <w:vertAlign w:val="superscript"/>
        </w:rPr>
        <w:t>[15]</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Related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many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scenarios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medicine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which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dual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both</w:t>
      </w:r>
      <w:r w:rsidR="00C410EB" w:rsidRPr="00004362">
        <w:rPr>
          <w:rFonts w:ascii="Book Antiqua" w:eastAsia="Book Antiqua" w:hAnsi="Book Antiqua" w:cs="Book Antiqua"/>
          <w:color w:val="000000"/>
        </w:rPr>
        <w:t xml:space="preserve"> 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induction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maintenance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strategy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involves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two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aim</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achieving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optimal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control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pathologies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different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therapeutic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targets.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Indeed,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modality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seen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great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development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oncological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hematological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treatments</w:t>
      </w:r>
      <w:r w:rsidRPr="00004362">
        <w:rPr>
          <w:rFonts w:ascii="Book Antiqua" w:eastAsia="Book Antiqua" w:hAnsi="Book Antiqua" w:cs="Book Antiqua"/>
          <w:color w:val="000000"/>
          <w:szCs w:val="30"/>
          <w:vertAlign w:val="superscript"/>
        </w:rPr>
        <w:t>[14]</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Similarly,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rheumatologic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pathologies,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approach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some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subgroups</w:t>
      </w:r>
      <w:r w:rsidRPr="00004362">
        <w:rPr>
          <w:rFonts w:ascii="Book Antiqua" w:eastAsia="Book Antiqua" w:hAnsi="Book Antiqua" w:cs="Book Antiqua"/>
          <w:color w:val="000000"/>
          <w:szCs w:val="30"/>
          <w:vertAlign w:val="superscript"/>
        </w:rPr>
        <w:t>[16]</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approach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also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applicable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refractory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advanced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(dual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two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biologics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simultaneously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biologic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small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molecule</w:t>
      </w:r>
      <w:r w:rsidRPr="00004362">
        <w:rPr>
          <w:rFonts w:ascii="Book Antiqua" w:eastAsia="Book Antiqua" w:hAnsi="Book Antiqua" w:cs="Book Antiqua"/>
          <w:color w:val="000000"/>
          <w:szCs w:val="30"/>
          <w:vertAlign w:val="superscript"/>
        </w:rPr>
        <w:t>[16,17]</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two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distinct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scenarios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which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can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used:</w:t>
      </w:r>
      <w:r w:rsidR="00150010" w:rsidRPr="00004362">
        <w:rPr>
          <w:rFonts w:ascii="Book Antiqua" w:eastAsia="Book Antiqua" w:hAnsi="Book Antiqua" w:cs="Book Antiqua"/>
          <w:color w:val="000000"/>
        </w:rPr>
        <w:t xml:space="preserve"> </w:t>
      </w:r>
      <w:r w:rsidR="00E11292" w:rsidRPr="00004362">
        <w:rPr>
          <w:rFonts w:ascii="Book Antiqua" w:eastAsia="Book Antiqua" w:hAnsi="Book Antiqua" w:cs="Book Antiqua"/>
          <w:color w:val="000000"/>
        </w:rPr>
        <w:t>(1</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refractory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without</w:t>
      </w:r>
      <w:r w:rsidR="00150010" w:rsidRPr="00004362">
        <w:rPr>
          <w:rFonts w:ascii="Book Antiqua" w:eastAsia="Book Antiqua" w:hAnsi="Book Antiqua" w:cs="Book Antiqua"/>
          <w:color w:val="000000"/>
        </w:rPr>
        <w:t xml:space="preserve"> </w:t>
      </w:r>
      <w:r w:rsidR="00E870DB" w:rsidRPr="00004362">
        <w:rPr>
          <w:rFonts w:ascii="Book Antiqua" w:eastAsia="Book Antiqua" w:hAnsi="Book Antiqua" w:cs="Book Antiqua"/>
          <w:color w:val="000000"/>
        </w:rPr>
        <w:t>EIM</w:t>
      </w:r>
      <w:r w:rsidR="00E11292"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00E11292" w:rsidRPr="00004362">
        <w:rPr>
          <w:rFonts w:ascii="Book Antiqua" w:eastAsia="Book Antiqua" w:hAnsi="Book Antiqua" w:cs="Book Antiqua"/>
          <w:color w:val="000000"/>
        </w:rPr>
        <w:t>(2</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remission,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but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active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EIM</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immune-mediated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inflammatory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diseases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(IMID)</w:t>
      </w:r>
      <w:r w:rsidRPr="00004362">
        <w:rPr>
          <w:rFonts w:ascii="Book Antiqua" w:eastAsia="Book Antiqua" w:hAnsi="Book Antiqua" w:cs="Book Antiqua"/>
          <w:color w:val="000000"/>
          <w:szCs w:val="30"/>
          <w:vertAlign w:val="superscript"/>
        </w:rPr>
        <w:t>[18]</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p>
    <w:p w14:paraId="44CFE7CC" w14:textId="77777777" w:rsidR="00A77B3E" w:rsidRPr="00004362" w:rsidRDefault="00A77B3E">
      <w:pPr>
        <w:spacing w:line="360" w:lineRule="auto"/>
        <w:jc w:val="both"/>
      </w:pPr>
    </w:p>
    <w:p w14:paraId="76FC4D34" w14:textId="54B96246" w:rsidR="00A77B3E" w:rsidRPr="00004362" w:rsidRDefault="00D462C0">
      <w:pPr>
        <w:spacing w:line="360" w:lineRule="auto"/>
        <w:jc w:val="both"/>
      </w:pPr>
      <w:r w:rsidRPr="00004362">
        <w:rPr>
          <w:rFonts w:ascii="Book Antiqua" w:eastAsia="Book Antiqua" w:hAnsi="Book Antiqua" w:cs="Book Antiqua"/>
          <w:b/>
          <w:bCs/>
          <w:caps/>
          <w:color w:val="000000"/>
          <w:u w:val="single"/>
        </w:rPr>
        <w:t>Evidence</w:t>
      </w:r>
      <w:r w:rsidR="00150010" w:rsidRPr="00004362">
        <w:rPr>
          <w:rFonts w:ascii="Book Antiqua" w:eastAsia="Book Antiqua" w:hAnsi="Book Antiqua" w:cs="Book Antiqua"/>
          <w:b/>
          <w:bCs/>
          <w:caps/>
          <w:color w:val="000000"/>
          <w:u w:val="single"/>
        </w:rPr>
        <w:t xml:space="preserve"> </w:t>
      </w:r>
      <w:r w:rsidRPr="00004362">
        <w:rPr>
          <w:rFonts w:ascii="Book Antiqua" w:eastAsia="Book Antiqua" w:hAnsi="Book Antiqua" w:cs="Book Antiqua"/>
          <w:b/>
          <w:bCs/>
          <w:caps/>
          <w:color w:val="000000"/>
          <w:u w:val="single"/>
        </w:rPr>
        <w:t>related</w:t>
      </w:r>
      <w:r w:rsidR="00150010" w:rsidRPr="00004362">
        <w:rPr>
          <w:rFonts w:ascii="Book Antiqua" w:eastAsia="Book Antiqua" w:hAnsi="Book Antiqua" w:cs="Book Antiqua"/>
          <w:b/>
          <w:bCs/>
          <w:caps/>
          <w:color w:val="000000"/>
          <w:u w:val="single"/>
        </w:rPr>
        <w:t xml:space="preserve"> </w:t>
      </w:r>
      <w:r w:rsidRPr="00004362">
        <w:rPr>
          <w:rFonts w:ascii="Book Antiqua" w:eastAsia="Book Antiqua" w:hAnsi="Book Antiqua" w:cs="Book Antiqua"/>
          <w:b/>
          <w:bCs/>
          <w:caps/>
          <w:color w:val="000000"/>
          <w:u w:val="single"/>
        </w:rPr>
        <w:t>to</w:t>
      </w:r>
      <w:r w:rsidR="00150010" w:rsidRPr="00004362">
        <w:rPr>
          <w:rFonts w:ascii="Book Antiqua" w:eastAsia="Book Antiqua" w:hAnsi="Book Antiqua" w:cs="Book Antiqua"/>
          <w:b/>
          <w:bCs/>
          <w:caps/>
          <w:color w:val="000000"/>
          <w:u w:val="single"/>
        </w:rPr>
        <w:t xml:space="preserve"> </w:t>
      </w:r>
      <w:r w:rsidRPr="00004362">
        <w:rPr>
          <w:rFonts w:ascii="Book Antiqua" w:eastAsia="Book Antiqua" w:hAnsi="Book Antiqua" w:cs="Book Antiqua"/>
          <w:b/>
          <w:bCs/>
          <w:caps/>
          <w:color w:val="000000"/>
          <w:u w:val="single"/>
        </w:rPr>
        <w:t>dual</w:t>
      </w:r>
      <w:r w:rsidR="00150010" w:rsidRPr="00004362">
        <w:rPr>
          <w:rFonts w:ascii="Book Antiqua" w:eastAsia="Book Antiqua" w:hAnsi="Book Antiqua" w:cs="Book Antiqua"/>
          <w:b/>
          <w:bCs/>
          <w:caps/>
          <w:color w:val="000000"/>
          <w:u w:val="single"/>
        </w:rPr>
        <w:t xml:space="preserve"> </w:t>
      </w:r>
      <w:r w:rsidRPr="00004362">
        <w:rPr>
          <w:rFonts w:ascii="Book Antiqua" w:eastAsia="Book Antiqua" w:hAnsi="Book Antiqua" w:cs="Book Antiqua"/>
          <w:b/>
          <w:bCs/>
          <w:caps/>
          <w:color w:val="000000"/>
          <w:u w:val="single"/>
        </w:rPr>
        <w:t>therapy</w:t>
      </w:r>
    </w:p>
    <w:p w14:paraId="482ACAC3" w14:textId="1523025D" w:rsidR="00A77B3E" w:rsidRPr="00004362" w:rsidRDefault="00D462C0">
      <w:pPr>
        <w:spacing w:line="360" w:lineRule="auto"/>
        <w:jc w:val="both"/>
      </w:pP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first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clinical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trial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assessed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biologics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developed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2007</w:t>
      </w:r>
      <w:r w:rsidRPr="00004362">
        <w:rPr>
          <w:rFonts w:ascii="Book Antiqua" w:eastAsia="Book Antiqua" w:hAnsi="Book Antiqua" w:cs="Book Antiqua"/>
          <w:color w:val="000000"/>
          <w:szCs w:val="30"/>
          <w:vertAlign w:val="superscript"/>
        </w:rPr>
        <w:t>[19</w:t>
      </w:r>
      <w:r w:rsidR="00732E8C" w:rsidRPr="00004362">
        <w:rPr>
          <w:rFonts w:ascii="Book Antiqua" w:eastAsia="Book Antiqua" w:hAnsi="Book Antiqua" w:cs="Book Antiqua"/>
          <w:color w:val="000000"/>
          <w:szCs w:val="30"/>
          <w:vertAlign w:val="superscript"/>
        </w:rPr>
        <w:t>,</w:t>
      </w:r>
      <w:r w:rsidRPr="00004362">
        <w:rPr>
          <w:rFonts w:ascii="Book Antiqua" w:eastAsia="Book Antiqua" w:hAnsi="Book Antiqua" w:cs="Book Antiqua"/>
          <w:color w:val="000000"/>
          <w:szCs w:val="30"/>
          <w:vertAlign w:val="superscript"/>
        </w:rPr>
        <w:t>20]</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Later,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2010,</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SONIC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trial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demonstrated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association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infliximab</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azathioprine</w:t>
      </w:r>
      <w:r w:rsidR="00150010" w:rsidRPr="00004362">
        <w:rPr>
          <w:rFonts w:ascii="Book Antiqua" w:eastAsia="Book Antiqua" w:hAnsi="Book Antiqua" w:cs="Book Antiqua"/>
          <w:color w:val="000000"/>
        </w:rPr>
        <w:t xml:space="preserve"> </w:t>
      </w:r>
      <w:r w:rsidR="00C410EB" w:rsidRPr="00004362">
        <w:rPr>
          <w:rFonts w:ascii="Book Antiqua" w:eastAsia="Book Antiqua" w:hAnsi="Book Antiqua" w:cs="Book Antiqua"/>
          <w:color w:val="000000"/>
        </w:rPr>
        <w:t xml:space="preserve">is </w:t>
      </w:r>
      <w:r w:rsidRPr="00004362">
        <w:rPr>
          <w:rFonts w:ascii="Book Antiqua" w:eastAsia="Book Antiqua" w:hAnsi="Book Antiqua" w:cs="Book Antiqua"/>
          <w:color w:val="000000"/>
        </w:rPr>
        <w:t>more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effective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compared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either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infliximab</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azathioprine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monotherapy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since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which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time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multiple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publications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described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lastRenderedPageBreak/>
        <w:t>results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different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advanced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drugs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both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adults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pediatric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population</w:t>
      </w:r>
      <w:r w:rsidRPr="00004362">
        <w:rPr>
          <w:rFonts w:ascii="Book Antiqua" w:eastAsia="Book Antiqua" w:hAnsi="Book Antiqua" w:cs="Book Antiqua"/>
          <w:color w:val="000000"/>
          <w:szCs w:val="30"/>
          <w:vertAlign w:val="superscript"/>
        </w:rPr>
        <w:t>[21-35]</w:t>
      </w:r>
      <w:r w:rsidR="00BA3C63" w:rsidRPr="00004362">
        <w:rPr>
          <w:rFonts w:ascii="Book Antiqua" w:eastAsia="Book Antiqua" w:hAnsi="Book Antiqua" w:cs="Book Antiqua"/>
          <w:color w:val="000000"/>
          <w:szCs w:val="30"/>
          <w:vertAlign w:val="superscript"/>
        </w:rPr>
        <w:t xml:space="preserve"> </w:t>
      </w:r>
      <w:r w:rsidR="00BA3C63" w:rsidRPr="00004362">
        <w:rPr>
          <w:rFonts w:ascii="Book Antiqua" w:eastAsia="Book Antiqua" w:hAnsi="Book Antiqua" w:cs="Book Antiqua"/>
          <w:color w:val="000000"/>
          <w:szCs w:val="30"/>
        </w:rPr>
        <w:t>(Figure 1)</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varied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according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availability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practical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experience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drugs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were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approved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after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anti-TNFs.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Table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1</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shows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data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from</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publications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related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drug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major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limitation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dual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data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mostly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retrospective</w:t>
      </w:r>
      <w:r w:rsidRPr="00004362">
        <w:rPr>
          <w:rFonts w:ascii="Book Antiqua" w:eastAsia="Book Antiqua" w:hAnsi="Book Antiqua" w:cs="Book Antiqua"/>
          <w:color w:val="000000"/>
          <w:szCs w:val="30"/>
          <w:vertAlign w:val="superscript"/>
        </w:rPr>
        <w:t>[19]</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reason,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definitions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response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evaluation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(clinical,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endoscopic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biochemical)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abbreviated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exception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few</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series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only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described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short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periods</w:t>
      </w:r>
      <w:r w:rsidRPr="00004362">
        <w:rPr>
          <w:rFonts w:ascii="Book Antiqua" w:eastAsia="Book Antiqua" w:hAnsi="Book Antiqua" w:cs="Book Antiqua"/>
          <w:color w:val="000000"/>
          <w:szCs w:val="30"/>
          <w:vertAlign w:val="superscript"/>
        </w:rPr>
        <w:t>[33]</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addition,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definition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complications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requirement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hospitalization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surgery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can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subject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biases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related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follow-up</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time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clinical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condition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prior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start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w:t>
      </w:r>
      <w:r w:rsidRPr="00004362">
        <w:rPr>
          <w:rFonts w:ascii="Book Antiqua" w:eastAsia="Book Antiqua" w:hAnsi="Book Antiqua" w:cs="Book Antiqua"/>
          <w:color w:val="000000"/>
          <w:szCs w:val="30"/>
          <w:vertAlign w:val="superscript"/>
        </w:rPr>
        <w:t>[16]</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Also,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differential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evaluation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strategy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i/>
          <w:iCs/>
          <w:color w:val="000000"/>
        </w:rPr>
        <w:t>vs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not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reported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many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publications,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which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makes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assessment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difficult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some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cases.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Finally,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some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series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include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data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received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one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possible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effectiveness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adverse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events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could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different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depending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sequencing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order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combinations.</w:t>
      </w:r>
    </w:p>
    <w:p w14:paraId="2CB172E2" w14:textId="77777777" w:rsidR="00A77B3E" w:rsidRPr="00004362" w:rsidRDefault="00A77B3E">
      <w:pPr>
        <w:spacing w:line="360" w:lineRule="auto"/>
        <w:jc w:val="both"/>
      </w:pPr>
    </w:p>
    <w:p w14:paraId="2E910BFD" w14:textId="39EEE92E" w:rsidR="00A77B3E" w:rsidRPr="00004362" w:rsidRDefault="00D462C0">
      <w:pPr>
        <w:spacing w:line="360" w:lineRule="auto"/>
        <w:jc w:val="both"/>
      </w:pPr>
      <w:r w:rsidRPr="00004362">
        <w:rPr>
          <w:rFonts w:ascii="Book Antiqua" w:eastAsia="Book Antiqua" w:hAnsi="Book Antiqua" w:cs="Book Antiqua"/>
          <w:b/>
          <w:bCs/>
          <w:i/>
          <w:iCs/>
          <w:color w:val="000000"/>
        </w:rPr>
        <w:t>Effectiveness</w:t>
      </w:r>
    </w:p>
    <w:p w14:paraId="0D85B21E" w14:textId="3CC0AD38" w:rsidR="00A77B3E" w:rsidRPr="00004362" w:rsidRDefault="00D462C0">
      <w:pPr>
        <w:spacing w:line="360" w:lineRule="auto"/>
        <w:jc w:val="both"/>
      </w:pP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partial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complete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response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indication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dual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refractory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been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evaluated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different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meta-analyses</w:t>
      </w:r>
      <w:r w:rsidRPr="00004362">
        <w:rPr>
          <w:rFonts w:ascii="Book Antiqua" w:eastAsia="Book Antiqua" w:hAnsi="Book Antiqua" w:cs="Book Antiqua"/>
          <w:color w:val="000000"/>
          <w:szCs w:val="30"/>
          <w:vertAlign w:val="superscript"/>
        </w:rPr>
        <w:t>[16,19,36]</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studies,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included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were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mainly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those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(70%),</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great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majority,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indication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dual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refractory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endoluminal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activity</w:t>
      </w:r>
      <w:r w:rsidRPr="00004362">
        <w:rPr>
          <w:rFonts w:ascii="Book Antiqua" w:eastAsia="Book Antiqua" w:hAnsi="Book Antiqua" w:cs="Book Antiqua"/>
          <w:color w:val="000000"/>
          <w:szCs w:val="30"/>
          <w:vertAlign w:val="superscript"/>
        </w:rPr>
        <w:t>[16]</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Overall,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observed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clinical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response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varied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between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60</w:t>
      </w:r>
      <w:r w:rsidR="00CC43C2" w:rsidRPr="00004362">
        <w:rPr>
          <w:rFonts w:ascii="Book Antiqua" w:eastAsia="Book Antiqua" w:hAnsi="Book Antiqua" w:cs="Book Antiqua"/>
          <w:color w:val="000000"/>
        </w:rPr>
        <w:t>%</w:t>
      </w:r>
      <w:r w:rsidR="00E44316" w:rsidRPr="00004362">
        <w:rPr>
          <w:rFonts w:ascii="Book Antiqua" w:eastAsia="Book Antiqua" w:hAnsi="Book Antiqua" w:cs="Book Antiqua"/>
          <w:color w:val="000000"/>
        </w:rPr>
        <w:t xml:space="preserve"> and </w:t>
      </w:r>
      <w:r w:rsidRPr="00004362">
        <w:rPr>
          <w:rFonts w:ascii="Book Antiqua" w:eastAsia="Book Antiqua" w:hAnsi="Book Antiqua" w:cs="Book Antiqua"/>
          <w:color w:val="000000"/>
        </w:rPr>
        <w:t>84%</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most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publications</w:t>
      </w:r>
      <w:r w:rsidRPr="00004362">
        <w:rPr>
          <w:rFonts w:ascii="Book Antiqua" w:eastAsia="Book Antiqua" w:hAnsi="Book Antiqua" w:cs="Book Antiqua"/>
          <w:color w:val="000000"/>
          <w:szCs w:val="30"/>
          <w:vertAlign w:val="superscript"/>
        </w:rPr>
        <w:t>[16,19]</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However,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clinical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remission,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which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difficult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clinical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situation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achieve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considering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multi</w:t>
      </w:r>
      <w:r w:rsidR="00E44316" w:rsidRPr="00004362">
        <w:rPr>
          <w:rFonts w:ascii="Book Antiqua" w:eastAsia="Book Antiqua" w:hAnsi="Book Antiqua" w:cs="Book Antiqua"/>
          <w:color w:val="000000"/>
        </w:rPr>
        <w:t>-</w:t>
      </w:r>
      <w:r w:rsidRPr="00004362">
        <w:rPr>
          <w:rFonts w:ascii="Book Antiqua" w:eastAsia="Book Antiqua" w:hAnsi="Book Antiqua" w:cs="Book Antiqua"/>
          <w:color w:val="000000"/>
        </w:rPr>
        <w:t>refractory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ranged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between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47</w:t>
      </w:r>
      <w:r w:rsidR="00CC43C2" w:rsidRPr="00004362">
        <w:rPr>
          <w:rFonts w:ascii="Book Antiqua" w:eastAsia="Book Antiqua" w:hAnsi="Book Antiqua" w:cs="Book Antiqua"/>
          <w:color w:val="000000"/>
        </w:rPr>
        <w:t>%</w:t>
      </w:r>
      <w:r w:rsidR="00E44316" w:rsidRPr="00004362">
        <w:rPr>
          <w:rFonts w:ascii="Book Antiqua" w:eastAsia="Book Antiqua" w:hAnsi="Book Antiqua" w:cs="Book Antiqua"/>
          <w:color w:val="000000"/>
        </w:rPr>
        <w:t xml:space="preserve"> and </w:t>
      </w:r>
      <w:r w:rsidRPr="00004362">
        <w:rPr>
          <w:rFonts w:ascii="Book Antiqua" w:eastAsia="Book Antiqua" w:hAnsi="Book Antiqua" w:cs="Book Antiqua"/>
          <w:color w:val="000000"/>
        </w:rPr>
        <w:t>80%</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received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therapy</w:t>
      </w:r>
      <w:r w:rsidRPr="00004362">
        <w:rPr>
          <w:rFonts w:ascii="Book Antiqua" w:eastAsia="Book Antiqua" w:hAnsi="Book Antiqua" w:cs="Book Antiqua"/>
          <w:color w:val="000000"/>
          <w:szCs w:val="30"/>
          <w:vertAlign w:val="superscript"/>
        </w:rPr>
        <w:t>[16,18]</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therapeutic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response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different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not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been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reported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reveal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significant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variation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respect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indication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(refractory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luminal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activity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i/>
          <w:iCs/>
          <w:color w:val="000000"/>
        </w:rPr>
        <w:t>vs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active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EIM</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w:t>
      </w:r>
      <w:r w:rsidR="00E870DB" w:rsidRPr="00004362">
        <w:rPr>
          <w:rFonts w:ascii="Book Antiqua" w:eastAsia="Book Antiqua" w:hAnsi="Book Antiqua" w:cs="Book Antiqua"/>
          <w:color w:val="000000"/>
        </w:rPr>
        <w:t>I</w:t>
      </w:r>
      <w:r w:rsidRPr="00004362">
        <w:rPr>
          <w:rFonts w:ascii="Book Antiqua" w:eastAsia="Book Antiqua" w:hAnsi="Book Antiqua" w:cs="Book Antiqua"/>
          <w:color w:val="000000"/>
        </w:rPr>
        <w:t>D)</w:t>
      </w:r>
      <w:r w:rsidRPr="00004362">
        <w:rPr>
          <w:rFonts w:ascii="Book Antiqua" w:eastAsia="Book Antiqua" w:hAnsi="Book Antiqua" w:cs="Book Antiqua"/>
          <w:color w:val="000000"/>
          <w:szCs w:val="30"/>
          <w:vertAlign w:val="superscript"/>
        </w:rPr>
        <w:t>[16]</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Persistence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dual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varies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according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follow-up</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period.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been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published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globally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45%</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discontinue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dual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scheme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during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evolution,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loss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response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lastRenderedPageBreak/>
        <w:t>being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cause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(64%)</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intolerance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together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adverse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effects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representing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smaller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percentage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(12%)</w:t>
      </w:r>
      <w:r w:rsidRPr="00004362">
        <w:rPr>
          <w:rFonts w:ascii="Book Antiqua" w:eastAsia="Book Antiqua" w:hAnsi="Book Antiqua" w:cs="Book Antiqua"/>
          <w:color w:val="000000"/>
          <w:szCs w:val="30"/>
          <w:vertAlign w:val="superscript"/>
        </w:rPr>
        <w:t>[33]</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noteworthy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recent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study</w:t>
      </w:r>
      <w:r w:rsidR="00E44316"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21%</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were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able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discontinue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one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drugs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without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impacting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subsequent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evolution</w:t>
      </w:r>
      <w:r w:rsidRPr="00004362">
        <w:rPr>
          <w:rFonts w:ascii="Book Antiqua" w:eastAsia="Book Antiqua" w:hAnsi="Book Antiqua" w:cs="Book Antiqua"/>
          <w:color w:val="000000"/>
          <w:szCs w:val="30"/>
          <w:vertAlign w:val="superscript"/>
        </w:rPr>
        <w:t>[33]</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important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mention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many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series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included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recycling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strategy.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involves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drug</w:t>
      </w:r>
      <w:r w:rsidR="00E44316"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which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not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respond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Pr="00004362">
        <w:rPr>
          <w:rFonts w:ascii="Book Antiqua" w:eastAsia="Book Antiqua" w:hAnsi="Book Antiqua" w:cs="Book Antiqua"/>
          <w:color w:val="000000"/>
          <w:szCs w:val="30"/>
          <w:vertAlign w:val="superscript"/>
        </w:rPr>
        <w:t>[14]</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Several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publications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mentioned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situation,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observed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response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similar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observed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those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not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been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previously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exposed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drug</w:t>
      </w:r>
      <w:r w:rsidRPr="00004362">
        <w:rPr>
          <w:rFonts w:ascii="Book Antiqua" w:eastAsia="Book Antiqua" w:hAnsi="Book Antiqua" w:cs="Book Antiqua"/>
          <w:color w:val="000000"/>
          <w:szCs w:val="30"/>
          <w:vertAlign w:val="superscript"/>
        </w:rPr>
        <w:t>[18]</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strategy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requires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further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evolution,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especially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limited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resources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access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new</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advanced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treatments.</w:t>
      </w:r>
      <w:r w:rsidR="00150010" w:rsidRPr="00004362">
        <w:rPr>
          <w:rFonts w:ascii="Book Antiqua" w:eastAsia="Book Antiqua" w:hAnsi="Book Antiqua" w:cs="Book Antiqua"/>
          <w:color w:val="000000"/>
        </w:rPr>
        <w:t xml:space="preserve"> </w:t>
      </w:r>
    </w:p>
    <w:p w14:paraId="5D0EEE21" w14:textId="77777777" w:rsidR="00A77B3E" w:rsidRPr="00004362" w:rsidRDefault="00A77B3E">
      <w:pPr>
        <w:spacing w:line="360" w:lineRule="auto"/>
        <w:jc w:val="both"/>
      </w:pPr>
    </w:p>
    <w:p w14:paraId="20D261E6" w14:textId="10983A90" w:rsidR="00A77B3E" w:rsidRPr="00004362" w:rsidRDefault="00D462C0">
      <w:pPr>
        <w:spacing w:line="360" w:lineRule="auto"/>
        <w:jc w:val="both"/>
      </w:pPr>
      <w:r w:rsidRPr="00004362">
        <w:rPr>
          <w:rFonts w:ascii="Book Antiqua" w:eastAsia="Book Antiqua" w:hAnsi="Book Antiqua" w:cs="Book Antiqua"/>
          <w:b/>
          <w:bCs/>
          <w:i/>
          <w:iCs/>
          <w:color w:val="000000"/>
        </w:rPr>
        <w:t>Safety</w:t>
      </w:r>
    </w:p>
    <w:p w14:paraId="42027C56" w14:textId="50E3995E" w:rsidR="00A77B3E" w:rsidRPr="00004362" w:rsidRDefault="00D462C0">
      <w:pPr>
        <w:spacing w:line="360" w:lineRule="auto"/>
        <w:jc w:val="both"/>
      </w:pP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two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biologics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biologic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plus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small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molecule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been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associated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higher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rate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complications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other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indications</w:t>
      </w:r>
      <w:r w:rsidRPr="00004362">
        <w:rPr>
          <w:rFonts w:ascii="Book Antiqua" w:eastAsia="Book Antiqua" w:hAnsi="Book Antiqua" w:cs="Book Antiqua"/>
          <w:color w:val="000000"/>
          <w:szCs w:val="30"/>
          <w:vertAlign w:val="superscript"/>
        </w:rPr>
        <w:t>[17,18]</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been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observed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studies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rheumatologic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diseases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received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therapy</w:t>
      </w:r>
      <w:r w:rsidRPr="00004362">
        <w:rPr>
          <w:rFonts w:ascii="Book Antiqua" w:eastAsia="Book Antiqua" w:hAnsi="Book Antiqua" w:cs="Book Antiqua"/>
          <w:color w:val="000000"/>
          <w:szCs w:val="30"/>
          <w:vertAlign w:val="superscript"/>
        </w:rPr>
        <w:t>[14]</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However,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series,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significant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percentage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received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different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medications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present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higher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rate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adverse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events,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rituximab,</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abatacept</w:t>
      </w:r>
      <w:r w:rsidR="00E44316"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tocilizumab</w:t>
      </w:r>
      <w:r w:rsidRPr="00004362">
        <w:rPr>
          <w:rFonts w:ascii="Book Antiqua" w:eastAsia="Book Antiqua" w:hAnsi="Book Antiqua" w:cs="Book Antiqua"/>
          <w:color w:val="000000"/>
          <w:szCs w:val="30"/>
          <w:vertAlign w:val="superscript"/>
        </w:rPr>
        <w:t>[18]</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other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most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proposed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include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drugs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high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relevant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safety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profile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vedolizumab</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ustekinumab,</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which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both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pediatric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adult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populations</w:t>
      </w:r>
      <w:r w:rsidRPr="00004362">
        <w:rPr>
          <w:rFonts w:ascii="Book Antiqua" w:eastAsia="Book Antiqua" w:hAnsi="Book Antiqua" w:cs="Book Antiqua"/>
          <w:color w:val="000000"/>
          <w:szCs w:val="30"/>
          <w:vertAlign w:val="superscript"/>
        </w:rPr>
        <w:t>[25,29]</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recent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meta-analysis,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presence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adverse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events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varied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from</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6</w:t>
      </w:r>
      <w:r w:rsidR="0066005E" w:rsidRPr="00004362">
        <w:rPr>
          <w:rFonts w:ascii="Book Antiqua" w:eastAsia="Book Antiqua" w:hAnsi="Book Antiqua" w:cs="Book Antiqua"/>
          <w:color w:val="000000"/>
        </w:rPr>
        <w:t>%</w:t>
      </w:r>
      <w:r w:rsidRPr="00004362">
        <w:rPr>
          <w:rFonts w:ascii="Book Antiqua" w:eastAsia="Book Antiqua" w:hAnsi="Book Antiqua" w:cs="Book Antiqua"/>
          <w:color w:val="000000"/>
        </w:rPr>
        <w:t>-24%</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according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combinations</w:t>
      </w:r>
      <w:r w:rsidRPr="00004362">
        <w:rPr>
          <w:rFonts w:ascii="Book Antiqua" w:eastAsia="Book Antiqua" w:hAnsi="Book Antiqua" w:cs="Book Antiqua"/>
          <w:color w:val="000000"/>
          <w:szCs w:val="30"/>
          <w:vertAlign w:val="superscript"/>
        </w:rPr>
        <w:t>[16]</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However,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presence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severe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adverse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events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indication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hospitalization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surgery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only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present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0</w:t>
      </w:r>
      <w:r w:rsidR="0066005E" w:rsidRPr="00004362">
        <w:rPr>
          <w:rFonts w:ascii="Book Antiqua" w:eastAsia="Book Antiqua" w:hAnsi="Book Antiqua" w:cs="Book Antiqua"/>
          <w:color w:val="000000"/>
        </w:rPr>
        <w:t>%</w:t>
      </w:r>
      <w:r w:rsidRPr="00004362">
        <w:rPr>
          <w:rFonts w:ascii="Book Antiqua" w:eastAsia="Book Antiqua" w:hAnsi="Book Antiqua" w:cs="Book Antiqua"/>
          <w:color w:val="000000"/>
        </w:rPr>
        <w:t>-12%</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Pr="00004362">
        <w:rPr>
          <w:rFonts w:ascii="Book Antiqua" w:eastAsia="Book Antiqua" w:hAnsi="Book Antiqua" w:cs="Book Antiqua"/>
          <w:color w:val="000000"/>
          <w:szCs w:val="30"/>
          <w:vertAlign w:val="superscript"/>
        </w:rPr>
        <w:t>[16]</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severe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adverse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events,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75%</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were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due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both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intestinal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soft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tissue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infections</w:t>
      </w:r>
      <w:r w:rsidRPr="00004362">
        <w:rPr>
          <w:rFonts w:ascii="Book Antiqua" w:eastAsia="Book Antiqua" w:hAnsi="Book Antiqua" w:cs="Book Antiqua"/>
          <w:color w:val="000000"/>
          <w:szCs w:val="30"/>
          <w:vertAlign w:val="superscript"/>
        </w:rPr>
        <w:t>[16]</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recently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published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European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series,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higher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number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infections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requiring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hospitalization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observed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received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anti-TNF,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corticosteroids</w:t>
      </w:r>
      <w:r w:rsidR="002A46EC"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immunomodulators,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concomitant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diagnosis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IMID/EIM</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(most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frequently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ankylosing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spondylitis)</w:t>
      </w:r>
      <w:r w:rsidRPr="00004362">
        <w:rPr>
          <w:rFonts w:ascii="Book Antiqua" w:eastAsia="Book Antiqua" w:hAnsi="Book Antiqua" w:cs="Book Antiqua"/>
          <w:color w:val="000000"/>
          <w:szCs w:val="30"/>
          <w:vertAlign w:val="superscript"/>
        </w:rPr>
        <w:t>[33]</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Nevertheless,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series,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complications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developed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only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Importantly,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case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reactivation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herpes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zoster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been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reported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publication.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Although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one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case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herpetic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lastRenderedPageBreak/>
        <w:t>meningoencephalitis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diagnosed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43-year-old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received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including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certolizumab,</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vedolizumab</w:t>
      </w:r>
      <w:r w:rsidR="008958C2"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methotrexate,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resolved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after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w:t>
      </w:r>
      <w:r w:rsidRPr="00004362">
        <w:rPr>
          <w:rFonts w:ascii="Book Antiqua" w:eastAsia="Book Antiqua" w:hAnsi="Book Antiqua" w:cs="Book Antiqua"/>
          <w:color w:val="000000"/>
          <w:szCs w:val="30"/>
          <w:vertAlign w:val="superscript"/>
        </w:rPr>
        <w:t>[33]</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Finally,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one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incident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case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benign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skin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neoplasia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(clear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cell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acanthoma)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one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case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recurrence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basal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cell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skin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cancer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were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reported</w:t>
      </w:r>
      <w:r w:rsidRPr="00004362">
        <w:rPr>
          <w:rFonts w:ascii="Book Antiqua" w:eastAsia="Book Antiqua" w:hAnsi="Book Antiqua" w:cs="Book Antiqua"/>
          <w:color w:val="000000"/>
          <w:szCs w:val="30"/>
          <w:vertAlign w:val="superscript"/>
        </w:rPr>
        <w:t>[33,35]</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other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cancers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treatment-related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deaths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been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reported.</w:t>
      </w:r>
    </w:p>
    <w:p w14:paraId="7468C987" w14:textId="77777777" w:rsidR="00A77B3E" w:rsidRPr="00004362" w:rsidRDefault="00A77B3E">
      <w:pPr>
        <w:spacing w:line="360" w:lineRule="auto"/>
        <w:jc w:val="both"/>
      </w:pPr>
    </w:p>
    <w:p w14:paraId="73083B86" w14:textId="653C37A6" w:rsidR="00A77B3E" w:rsidRPr="00004362" w:rsidRDefault="00D462C0">
      <w:pPr>
        <w:spacing w:line="360" w:lineRule="auto"/>
        <w:jc w:val="both"/>
      </w:pPr>
      <w:r w:rsidRPr="00004362">
        <w:rPr>
          <w:rFonts w:ascii="Book Antiqua" w:eastAsia="Book Antiqua" w:hAnsi="Book Antiqua" w:cs="Book Antiqua"/>
          <w:b/>
          <w:bCs/>
          <w:i/>
          <w:iCs/>
          <w:color w:val="000000"/>
        </w:rPr>
        <w:t>Data</w:t>
      </w:r>
      <w:r w:rsidR="00150010" w:rsidRPr="00004362">
        <w:rPr>
          <w:rFonts w:ascii="Book Antiqua" w:eastAsia="Book Antiqua" w:hAnsi="Book Antiqua" w:cs="Book Antiqua"/>
          <w:b/>
          <w:bCs/>
          <w:i/>
          <w:iCs/>
          <w:color w:val="000000"/>
        </w:rPr>
        <w:t xml:space="preserve"> </w:t>
      </w:r>
      <w:r w:rsidRPr="00004362">
        <w:rPr>
          <w:rFonts w:ascii="Book Antiqua" w:eastAsia="Book Antiqua" w:hAnsi="Book Antiqua" w:cs="Book Antiqua"/>
          <w:b/>
          <w:bCs/>
          <w:i/>
          <w:iCs/>
          <w:color w:val="000000"/>
        </w:rPr>
        <w:t>in</w:t>
      </w:r>
      <w:r w:rsidR="00150010" w:rsidRPr="00004362">
        <w:rPr>
          <w:rFonts w:ascii="Book Antiqua" w:eastAsia="Book Antiqua" w:hAnsi="Book Antiqua" w:cs="Book Antiqua"/>
          <w:b/>
          <w:bCs/>
          <w:i/>
          <w:iCs/>
          <w:color w:val="000000"/>
        </w:rPr>
        <w:t xml:space="preserve"> </w:t>
      </w:r>
      <w:r w:rsidRPr="00004362">
        <w:rPr>
          <w:rFonts w:ascii="Book Antiqua" w:eastAsia="Book Antiqua" w:hAnsi="Book Antiqua" w:cs="Book Antiqua"/>
          <w:b/>
          <w:bCs/>
          <w:i/>
          <w:iCs/>
          <w:color w:val="000000"/>
        </w:rPr>
        <w:t>pediatric</w:t>
      </w:r>
      <w:r w:rsidR="00150010" w:rsidRPr="00004362">
        <w:rPr>
          <w:rFonts w:ascii="Book Antiqua" w:eastAsia="Book Antiqua" w:hAnsi="Book Antiqua" w:cs="Book Antiqua"/>
          <w:b/>
          <w:bCs/>
          <w:i/>
          <w:iCs/>
          <w:color w:val="000000"/>
        </w:rPr>
        <w:t xml:space="preserve"> </w:t>
      </w:r>
      <w:r w:rsidRPr="00004362">
        <w:rPr>
          <w:rFonts w:ascii="Book Antiqua" w:eastAsia="Book Antiqua" w:hAnsi="Book Antiqua" w:cs="Book Antiqua"/>
          <w:b/>
          <w:bCs/>
          <w:i/>
          <w:iCs/>
          <w:color w:val="000000"/>
        </w:rPr>
        <w:t>population</w:t>
      </w:r>
    </w:p>
    <w:p w14:paraId="1DE06AB5" w14:textId="139B4E88" w:rsidR="00A77B3E" w:rsidRPr="00004362" w:rsidRDefault="00D462C0">
      <w:pPr>
        <w:spacing w:line="360" w:lineRule="auto"/>
        <w:jc w:val="both"/>
      </w:pPr>
      <w:r w:rsidRPr="00004362">
        <w:rPr>
          <w:rFonts w:ascii="Book Antiqua" w:eastAsia="Book Antiqua" w:hAnsi="Book Antiqua" w:cs="Book Antiqua"/>
          <w:color w:val="000000"/>
        </w:rPr>
        <w:t>Different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case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series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pediatric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reported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results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various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both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UC</w:t>
      </w:r>
      <w:r w:rsidRPr="00004362">
        <w:rPr>
          <w:rFonts w:ascii="Book Antiqua" w:eastAsia="Book Antiqua" w:hAnsi="Book Antiqua" w:cs="Book Antiqua"/>
          <w:color w:val="000000"/>
          <w:szCs w:val="30"/>
          <w:vertAlign w:val="superscript"/>
        </w:rPr>
        <w:t>[37]</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one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study,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75%</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luminal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activity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achieved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clinical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remission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free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corticosteroids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6</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median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time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achieve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goal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88</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w:t>
      </w:r>
      <w:r w:rsidRPr="00004362">
        <w:rPr>
          <w:rFonts w:ascii="Book Antiqua" w:eastAsia="Book Antiqua" w:hAnsi="Book Antiqua" w:cs="Book Antiqua"/>
          <w:color w:val="000000"/>
          <w:szCs w:val="30"/>
          <w:vertAlign w:val="superscript"/>
        </w:rPr>
        <w:t>[31]</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Interestingly,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another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potential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indication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been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described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pediatric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dual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(vedolizumab</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tofacitinib)</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acute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severe</w:t>
      </w:r>
      <w:r w:rsidR="00150010" w:rsidRPr="00004362">
        <w:rPr>
          <w:rFonts w:ascii="Book Antiqua" w:eastAsia="Book Antiqua" w:hAnsi="Book Antiqua" w:cs="Book Antiqua"/>
          <w:color w:val="000000"/>
        </w:rPr>
        <w:t xml:space="preserve"> </w:t>
      </w:r>
      <w:r w:rsidR="008958C2" w:rsidRPr="00004362">
        <w:rPr>
          <w:rFonts w:ascii="Book Antiqua" w:eastAsia="Book Antiqua" w:hAnsi="Book Antiqua" w:cs="Book Antiqua"/>
          <w:color w:val="000000"/>
        </w:rPr>
        <w:t>UC</w:t>
      </w:r>
      <w:r w:rsidRPr="00004362">
        <w:rPr>
          <w:rFonts w:ascii="Book Antiqua" w:eastAsia="Book Antiqua" w:hAnsi="Book Antiqua" w:cs="Book Antiqua"/>
          <w:color w:val="000000"/>
          <w:szCs w:val="30"/>
          <w:vertAlign w:val="superscript"/>
        </w:rPr>
        <w:t>[31]</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Nevertheless,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data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needed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explore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indication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urgent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severe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situation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Different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adverse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events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been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described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pediatric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but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general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less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frequent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adult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Pr="00004362">
        <w:rPr>
          <w:rFonts w:ascii="Book Antiqua" w:eastAsia="Book Antiqua" w:hAnsi="Book Antiqua" w:cs="Book Antiqua"/>
          <w:color w:val="000000"/>
          <w:szCs w:val="30"/>
          <w:vertAlign w:val="superscript"/>
        </w:rPr>
        <w:t>[25]</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series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16</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pediatric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1</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(6%)</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presented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septic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arthritis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subsequent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deep</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vein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thrombosis</w:t>
      </w:r>
      <w:r w:rsidRPr="00004362">
        <w:rPr>
          <w:rFonts w:ascii="Book Antiqua" w:eastAsia="Book Antiqua" w:hAnsi="Book Antiqua" w:cs="Book Antiqua"/>
          <w:color w:val="000000"/>
          <w:szCs w:val="30"/>
          <w:vertAlign w:val="superscript"/>
        </w:rPr>
        <w:t>[31]</w:t>
      </w:r>
      <w:r w:rsidRPr="00004362">
        <w:rPr>
          <w:rFonts w:ascii="Book Antiqua" w:eastAsia="Book Antiqua" w:hAnsi="Book Antiqua" w:cs="Book Antiqua"/>
          <w:color w:val="000000"/>
        </w:rPr>
        <w:t>.</w:t>
      </w:r>
    </w:p>
    <w:p w14:paraId="456A724D" w14:textId="77777777" w:rsidR="00A77B3E" w:rsidRPr="00004362" w:rsidRDefault="00A77B3E">
      <w:pPr>
        <w:spacing w:line="360" w:lineRule="auto"/>
        <w:jc w:val="both"/>
      </w:pPr>
    </w:p>
    <w:p w14:paraId="1FAFD7EE" w14:textId="0C03AC1F" w:rsidR="00A77B3E" w:rsidRPr="00004362" w:rsidRDefault="00D462C0">
      <w:pPr>
        <w:spacing w:line="360" w:lineRule="auto"/>
        <w:jc w:val="both"/>
      </w:pPr>
      <w:r w:rsidRPr="00004362">
        <w:rPr>
          <w:rFonts w:ascii="Book Antiqua" w:eastAsia="Book Antiqua" w:hAnsi="Book Antiqua" w:cs="Book Antiqua"/>
          <w:b/>
          <w:bCs/>
          <w:caps/>
          <w:color w:val="000000"/>
          <w:u w:val="single"/>
        </w:rPr>
        <w:t>New</w:t>
      </w:r>
      <w:r w:rsidR="00150010" w:rsidRPr="00004362">
        <w:rPr>
          <w:rFonts w:ascii="Book Antiqua" w:eastAsia="Book Antiqua" w:hAnsi="Book Antiqua" w:cs="Book Antiqua"/>
          <w:b/>
          <w:bCs/>
          <w:caps/>
          <w:color w:val="000000"/>
          <w:u w:val="single"/>
        </w:rPr>
        <w:t xml:space="preserve"> </w:t>
      </w:r>
      <w:r w:rsidRPr="00004362">
        <w:rPr>
          <w:rFonts w:ascii="Book Antiqua" w:eastAsia="Book Antiqua" w:hAnsi="Book Antiqua" w:cs="Book Antiqua"/>
          <w:b/>
          <w:bCs/>
          <w:caps/>
          <w:color w:val="000000"/>
          <w:u w:val="single"/>
        </w:rPr>
        <w:t>Horizons</w:t>
      </w:r>
    </w:p>
    <w:p w14:paraId="37FB84C7" w14:textId="1FA586C8" w:rsidR="00A77B3E" w:rsidRPr="00004362" w:rsidRDefault="00D462C0">
      <w:pPr>
        <w:spacing w:line="360" w:lineRule="auto"/>
        <w:jc w:val="both"/>
      </w:pPr>
      <w:r w:rsidRPr="00004362">
        <w:rPr>
          <w:rFonts w:ascii="Book Antiqua" w:eastAsia="Book Antiqua" w:hAnsi="Book Antiqua" w:cs="Book Antiqua"/>
          <w:color w:val="000000"/>
        </w:rPr>
        <w:t>It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necessary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establish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new</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strategies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advanced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refractory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which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must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take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account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health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costs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order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sustainable</w:t>
      </w:r>
      <w:r w:rsidRPr="00004362">
        <w:rPr>
          <w:rFonts w:ascii="Book Antiqua" w:eastAsia="Book Antiqua" w:hAnsi="Book Antiqua" w:cs="Book Antiqua"/>
          <w:color w:val="000000"/>
          <w:szCs w:val="30"/>
          <w:vertAlign w:val="superscript"/>
        </w:rPr>
        <w:t>[14]</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sequencing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biologics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small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molecules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remission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strategy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probably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results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better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cost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balance.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Related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some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series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described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achieved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remission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two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biologics,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subsequent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suspension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one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(usually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anti-TNF)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not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leading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presence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disease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reactivation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during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follow-up</w:t>
      </w:r>
      <w:r w:rsidRPr="00004362">
        <w:rPr>
          <w:rFonts w:ascii="Book Antiqua" w:eastAsia="Book Antiqua" w:hAnsi="Book Antiqua" w:cs="Book Antiqua"/>
          <w:color w:val="000000"/>
          <w:szCs w:val="30"/>
          <w:vertAlign w:val="superscript"/>
        </w:rPr>
        <w:t>[22]</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addition,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other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studies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shown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remission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infliximab</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were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able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maintain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their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clinical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status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after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initiation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vedolizumab</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discontinuation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anti-TNF</w:t>
      </w:r>
      <w:r w:rsidRPr="00004362">
        <w:rPr>
          <w:rFonts w:ascii="Book Antiqua" w:eastAsia="Book Antiqua" w:hAnsi="Book Antiqua" w:cs="Book Antiqua"/>
          <w:color w:val="000000"/>
          <w:szCs w:val="30"/>
          <w:vertAlign w:val="superscript"/>
        </w:rPr>
        <w:t>[38]</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implementation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strategies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lastRenderedPageBreak/>
        <w:t>requires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further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research,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particular</w:t>
      </w:r>
      <w:r w:rsidR="00005EB2"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clinical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trials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needed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establish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their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effectiveness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during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long-term</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follow-up.</w:t>
      </w:r>
      <w:r w:rsidR="00150010" w:rsidRPr="00004362">
        <w:rPr>
          <w:rFonts w:ascii="Book Antiqua" w:eastAsia="Book Antiqua" w:hAnsi="Book Antiqua" w:cs="Book Antiqua"/>
          <w:color w:val="000000"/>
        </w:rPr>
        <w:t xml:space="preserve"> </w:t>
      </w:r>
    </w:p>
    <w:p w14:paraId="47218C6D" w14:textId="2C307B07" w:rsidR="00A77B3E" w:rsidRPr="00004362" w:rsidRDefault="00D462C0" w:rsidP="002F1D4F">
      <w:pPr>
        <w:spacing w:line="360" w:lineRule="auto"/>
        <w:ind w:firstLineChars="112" w:firstLine="269"/>
        <w:jc w:val="both"/>
      </w:pP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artificial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intelligence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implementation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new</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biomarkers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future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will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possibly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able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differentiate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will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benefit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from</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certain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schemes.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Artificial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intelligence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also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enable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remote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monitoring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provide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new</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data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well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algorithms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ensure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better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decision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making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refractory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Pr="00004362">
        <w:rPr>
          <w:rFonts w:ascii="Book Antiqua" w:eastAsia="Book Antiqua" w:hAnsi="Book Antiqua" w:cs="Book Antiqua"/>
          <w:color w:val="000000"/>
          <w:szCs w:val="30"/>
          <w:vertAlign w:val="superscript"/>
        </w:rPr>
        <w:t>[39]</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addition,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biomarkers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might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improve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stratification.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Recent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data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w:t>
      </w:r>
      <w:r w:rsidR="00005EB2" w:rsidRPr="00004362">
        <w:rPr>
          <w:rFonts w:ascii="Book Antiqua" w:eastAsia="Book Antiqua" w:hAnsi="Book Antiqua" w:cs="Book Antiqua"/>
          <w:color w:val="000000"/>
        </w:rPr>
        <w:t>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shown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HLA-DQA1*05</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non-uniformly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distributed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without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anti-TNF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failure</w:t>
      </w:r>
      <w:r w:rsidRPr="00004362">
        <w:rPr>
          <w:rFonts w:ascii="Book Antiqua" w:eastAsia="Book Antiqua" w:hAnsi="Book Antiqua" w:cs="Book Antiqua"/>
          <w:color w:val="000000"/>
          <w:szCs w:val="30"/>
          <w:vertAlign w:val="superscript"/>
        </w:rPr>
        <w:t>[40]</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Likewise,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IL-23</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receptor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expansion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mechanism</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anti-TNF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resistance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reflected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secondary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loss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response</w:t>
      </w:r>
      <w:r w:rsidRPr="00004362">
        <w:rPr>
          <w:rFonts w:ascii="Book Antiqua" w:eastAsia="Book Antiqua" w:hAnsi="Book Antiqua" w:cs="Book Antiqua"/>
          <w:color w:val="000000"/>
          <w:szCs w:val="30"/>
          <w:vertAlign w:val="superscript"/>
        </w:rPr>
        <w:t>[41]</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According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ustekinumab</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allow</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regained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response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prior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anti-TNF.</w:t>
      </w:r>
      <w:r w:rsidR="00150010" w:rsidRPr="00004362">
        <w:rPr>
          <w:rFonts w:ascii="Book Antiqua" w:eastAsia="Book Antiqua" w:hAnsi="Book Antiqua" w:cs="Book Antiqua"/>
          <w:color w:val="000000"/>
        </w:rPr>
        <w:t xml:space="preserve"> </w:t>
      </w:r>
    </w:p>
    <w:p w14:paraId="6D150C09" w14:textId="65D49DCB" w:rsidR="00A77B3E" w:rsidRPr="00004362" w:rsidRDefault="00D462C0" w:rsidP="002F1D4F">
      <w:pPr>
        <w:spacing w:line="360" w:lineRule="auto"/>
        <w:ind w:firstLineChars="112" w:firstLine="269"/>
        <w:jc w:val="both"/>
      </w:pPr>
      <w:r w:rsidRPr="00004362">
        <w:rPr>
          <w:rFonts w:ascii="Book Antiqua" w:eastAsia="Book Antiqua" w:hAnsi="Book Antiqua" w:cs="Book Antiqua"/>
          <w:color w:val="000000"/>
        </w:rPr>
        <w:t>It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possible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near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future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new</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different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effectiveness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safety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profile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will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described,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ozanimod,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upadacitinib,</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risankizumab,</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guselkumab</w:t>
      </w:r>
      <w:r w:rsidR="00A773D4"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mirikizumab,</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among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others,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expanding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current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options</w:t>
      </w:r>
      <w:r w:rsidRPr="00004362">
        <w:rPr>
          <w:rFonts w:ascii="Book Antiqua" w:eastAsia="Book Antiqua" w:hAnsi="Book Antiqua" w:cs="Book Antiqua"/>
          <w:color w:val="000000"/>
          <w:szCs w:val="30"/>
          <w:vertAlign w:val="superscript"/>
        </w:rPr>
        <w:t>[18]</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regard,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important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note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future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clinical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trials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will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developed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compare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current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two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biologic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(golimumab</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guselkumab)</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two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biologics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(vedolizumab</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adalimumab)</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immunomodulator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(methotrexate)</w:t>
      </w:r>
      <w:r w:rsidRPr="00004362">
        <w:rPr>
          <w:rFonts w:ascii="Book Antiqua" w:eastAsia="Book Antiqua" w:hAnsi="Book Antiqua" w:cs="Book Antiqua"/>
          <w:color w:val="000000"/>
          <w:szCs w:val="30"/>
          <w:vertAlign w:val="superscript"/>
        </w:rPr>
        <w:t>[42-44]</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Moreover,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design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new</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pivotal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studies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been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modified.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Recently,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phase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2</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study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compared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different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doses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guselkumab</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placebo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but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also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included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ustekinumab</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arm</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provides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better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comparative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information</w:t>
      </w:r>
      <w:r w:rsidRPr="00004362">
        <w:rPr>
          <w:rFonts w:ascii="Book Antiqua" w:eastAsia="Book Antiqua" w:hAnsi="Book Antiqua" w:cs="Book Antiqua"/>
          <w:color w:val="000000"/>
          <w:szCs w:val="30"/>
          <w:vertAlign w:val="superscript"/>
        </w:rPr>
        <w:t>[45]</w:t>
      </w:r>
      <w:r w:rsidRPr="00004362">
        <w:rPr>
          <w:rFonts w:ascii="Book Antiqua" w:eastAsia="Book Antiqua" w:hAnsi="Book Antiqua" w:cs="Book Antiqua"/>
          <w:color w:val="000000"/>
        </w:rPr>
        <w:t>.</w:t>
      </w:r>
    </w:p>
    <w:p w14:paraId="5B7B9853" w14:textId="1D667166" w:rsidR="00A77B3E" w:rsidRPr="00004362" w:rsidRDefault="00D462C0" w:rsidP="002F1D4F">
      <w:pPr>
        <w:spacing w:line="360" w:lineRule="auto"/>
        <w:ind w:firstLineChars="112" w:firstLine="269"/>
        <w:jc w:val="both"/>
      </w:pPr>
      <w:r w:rsidRPr="00004362">
        <w:rPr>
          <w:rFonts w:ascii="Book Antiqua" w:eastAsia="Book Antiqua" w:hAnsi="Book Antiqua" w:cs="Book Antiqua"/>
          <w:color w:val="000000"/>
        </w:rPr>
        <w:t>Another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point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consider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some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good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results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been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reported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after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change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formulation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(from</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intravenous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subcutaneous)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same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drug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case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infliximab</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vedolizumab</w:t>
      </w:r>
      <w:r w:rsidRPr="00004362">
        <w:rPr>
          <w:rFonts w:ascii="Book Antiqua" w:eastAsia="Book Antiqua" w:hAnsi="Book Antiqua" w:cs="Book Antiqua"/>
          <w:color w:val="000000"/>
          <w:szCs w:val="30"/>
          <w:vertAlign w:val="superscript"/>
        </w:rPr>
        <w:t>[46,47]</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could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important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future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since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would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facilitate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logistics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reduce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associated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costs.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addition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biological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drugs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small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molecules,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future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role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other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approaches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should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determined,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probiotics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gut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flora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regulators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well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role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microbiota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transplantation</w:t>
      </w:r>
      <w:r w:rsidRPr="00004362">
        <w:rPr>
          <w:rFonts w:ascii="Book Antiqua" w:eastAsia="Book Antiqua" w:hAnsi="Book Antiqua" w:cs="Book Antiqua"/>
          <w:color w:val="000000"/>
          <w:szCs w:val="30"/>
          <w:vertAlign w:val="superscript"/>
        </w:rPr>
        <w:t>[48,49]</w:t>
      </w:r>
      <w:r w:rsidRPr="00004362">
        <w:rPr>
          <w:rFonts w:ascii="Book Antiqua" w:eastAsia="Book Antiqua" w:hAnsi="Book Antiqua" w:cs="Book Antiqua"/>
          <w:color w:val="000000"/>
        </w:rPr>
        <w:t>.</w:t>
      </w:r>
    </w:p>
    <w:p w14:paraId="2F8F86F0" w14:textId="54C91A68" w:rsidR="00A77B3E" w:rsidRPr="00004362" w:rsidRDefault="00D462C0" w:rsidP="002F1D4F">
      <w:pPr>
        <w:spacing w:line="360" w:lineRule="auto"/>
        <w:ind w:firstLineChars="112" w:firstLine="269"/>
        <w:jc w:val="both"/>
      </w:pPr>
      <w:r w:rsidRPr="00004362">
        <w:rPr>
          <w:rFonts w:ascii="Book Antiqua" w:eastAsia="Book Antiqua" w:hAnsi="Book Antiqua" w:cs="Book Antiqua"/>
          <w:color w:val="000000"/>
        </w:rPr>
        <w:lastRenderedPageBreak/>
        <w:t>Finally,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development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real-life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evidence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will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great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importance.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Currently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most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data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from</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Europe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North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America</w:t>
      </w:r>
      <w:r w:rsidRPr="00004362">
        <w:rPr>
          <w:rFonts w:ascii="Book Antiqua" w:eastAsia="Book Antiqua" w:hAnsi="Book Antiqua" w:cs="Book Antiqua"/>
          <w:color w:val="000000"/>
          <w:szCs w:val="30"/>
          <w:vertAlign w:val="superscript"/>
        </w:rPr>
        <w:t>[16]</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sense,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would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very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useful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develop</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international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registries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involving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several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countries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currently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experiencing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clear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increase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incidence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such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Latin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America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Asia,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which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have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greater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difficulty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accessing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advanced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treatments</w:t>
      </w:r>
      <w:r w:rsidRPr="00004362">
        <w:rPr>
          <w:rFonts w:ascii="Book Antiqua" w:eastAsia="Book Antiqua" w:hAnsi="Book Antiqua" w:cs="Book Antiqua"/>
          <w:color w:val="000000"/>
          <w:szCs w:val="30"/>
          <w:vertAlign w:val="superscript"/>
        </w:rPr>
        <w:t>[50-52]</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regard,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costs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associated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dual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limitation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access,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which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restrict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provision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personalized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treatment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indication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strategy</w:t>
      </w:r>
      <w:r w:rsidRPr="00004362">
        <w:rPr>
          <w:rFonts w:ascii="Book Antiqua" w:eastAsia="Book Antiqua" w:hAnsi="Book Antiqua" w:cs="Book Antiqua"/>
          <w:color w:val="000000"/>
          <w:szCs w:val="30"/>
          <w:vertAlign w:val="superscript"/>
        </w:rPr>
        <w:t>[53]</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Moreover,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great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relevance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inform</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health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insurance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about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objectives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advantages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dual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strategy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obtain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appropriate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approval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timely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manner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indication.</w:t>
      </w:r>
      <w:r w:rsidR="00150010" w:rsidRPr="00004362">
        <w:rPr>
          <w:rFonts w:ascii="Book Antiqua" w:eastAsia="Book Antiqua" w:hAnsi="Book Antiqua" w:cs="Book Antiqua"/>
          <w:color w:val="000000"/>
        </w:rPr>
        <w:t xml:space="preserve"> </w:t>
      </w:r>
    </w:p>
    <w:p w14:paraId="30387669" w14:textId="77777777" w:rsidR="00A77B3E" w:rsidRPr="00004362" w:rsidRDefault="00A77B3E">
      <w:pPr>
        <w:spacing w:line="360" w:lineRule="auto"/>
        <w:jc w:val="both"/>
      </w:pPr>
    </w:p>
    <w:p w14:paraId="01237017" w14:textId="77777777" w:rsidR="00A77B3E" w:rsidRPr="00004362" w:rsidRDefault="00D462C0">
      <w:pPr>
        <w:spacing w:line="360" w:lineRule="auto"/>
        <w:jc w:val="both"/>
      </w:pPr>
      <w:r w:rsidRPr="00004362">
        <w:rPr>
          <w:rFonts w:ascii="Book Antiqua" w:eastAsia="Book Antiqua" w:hAnsi="Book Antiqua" w:cs="Book Antiqua"/>
          <w:b/>
          <w:caps/>
          <w:color w:val="000000"/>
          <w:u w:val="single"/>
        </w:rPr>
        <w:t>CONCLUSION</w:t>
      </w:r>
    </w:p>
    <w:p w14:paraId="478FE2F2" w14:textId="20999971" w:rsidR="00A77B3E" w:rsidRPr="00004362" w:rsidRDefault="00D462C0">
      <w:pPr>
        <w:spacing w:line="360" w:lineRule="auto"/>
        <w:jc w:val="both"/>
      </w:pP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biologics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small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molecules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strategy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applicable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refractory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two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distinct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scenarios:</w:t>
      </w:r>
      <w:r w:rsidR="00150010" w:rsidRPr="00004362">
        <w:rPr>
          <w:rFonts w:ascii="Book Antiqua" w:eastAsia="Book Antiqua" w:hAnsi="Book Antiqua" w:cs="Book Antiqua"/>
          <w:color w:val="000000"/>
        </w:rPr>
        <w:t xml:space="preserve"> </w:t>
      </w:r>
      <w:r w:rsidR="000D1EC6" w:rsidRPr="00004362">
        <w:rPr>
          <w:rFonts w:ascii="Book Antiqua" w:eastAsia="Book Antiqua" w:hAnsi="Book Antiqua" w:cs="Book Antiqua"/>
          <w:color w:val="000000"/>
        </w:rPr>
        <w:t>(1</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refractory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active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luminal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disease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without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extraintestinal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manifestations</w:t>
      </w:r>
      <w:r w:rsidR="000D1EC6"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000D1EC6"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000D1EC6" w:rsidRPr="00004362">
        <w:rPr>
          <w:rFonts w:ascii="Book Antiqua" w:eastAsia="Book Antiqua" w:hAnsi="Book Antiqua" w:cs="Book Antiqua"/>
          <w:color w:val="000000"/>
        </w:rPr>
        <w:t>(2</w:t>
      </w:r>
      <w:r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IBD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remission,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but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active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extraintestinal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manifestations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immune-mediated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inflammatory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diseases.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observed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clinical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response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strategy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varied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between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60</w:t>
      </w:r>
      <w:r w:rsidR="000D1EC6" w:rsidRPr="00004362">
        <w:rPr>
          <w:rFonts w:ascii="Book Antiqua" w:eastAsia="Book Antiqua" w:hAnsi="Book Antiqua" w:cs="Book Antiqua"/>
          <w:color w:val="000000"/>
        </w:rPr>
        <w:t>%</w:t>
      </w:r>
      <w:r w:rsidR="00382D8F" w:rsidRPr="00004362">
        <w:rPr>
          <w:rFonts w:ascii="Book Antiqua" w:eastAsia="Book Antiqua" w:hAnsi="Book Antiqua" w:cs="Book Antiqua"/>
          <w:color w:val="000000"/>
        </w:rPr>
        <w:t xml:space="preserve"> and </w:t>
      </w:r>
      <w:r w:rsidRPr="00004362">
        <w:rPr>
          <w:rFonts w:ascii="Book Antiqua" w:eastAsia="Book Antiqua" w:hAnsi="Book Antiqua" w:cs="Book Antiqua"/>
          <w:color w:val="000000"/>
        </w:rPr>
        <w:t>84%</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most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publications</w:t>
      </w:r>
      <w:r w:rsidR="008F65E5"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severe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adverse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events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were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observed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008F65E5" w:rsidRPr="00004362">
        <w:rPr>
          <w:rFonts w:ascii="Book Antiqua" w:eastAsia="Book Antiqua" w:hAnsi="Book Antiqua" w:cs="Book Antiqua"/>
          <w:color w:val="000000"/>
        </w:rPr>
        <w:t xml:space="preserve">a </w:t>
      </w:r>
      <w:r w:rsidRPr="00004362">
        <w:rPr>
          <w:rFonts w:ascii="Book Antiqua" w:eastAsia="Book Antiqua" w:hAnsi="Book Antiqua" w:cs="Book Antiqua"/>
          <w:color w:val="000000"/>
        </w:rPr>
        <w:t>few</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patients.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However,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most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data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dual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retrospective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short-term</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follow-up.</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New</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clinical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trials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needed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establish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dual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therapy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effectiveness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safety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during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long-term</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follow-up.</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Finally,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expected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new</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combinations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new</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drugs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different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efficacy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safety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profiles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will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described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years,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expanding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current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options.</w:t>
      </w:r>
    </w:p>
    <w:p w14:paraId="7602276B" w14:textId="77777777" w:rsidR="00A77B3E" w:rsidRPr="00004362" w:rsidRDefault="00A77B3E">
      <w:pPr>
        <w:spacing w:line="360" w:lineRule="auto"/>
        <w:jc w:val="both"/>
      </w:pPr>
    </w:p>
    <w:p w14:paraId="4BAF2071" w14:textId="77777777" w:rsidR="00A77B3E" w:rsidRPr="00004362" w:rsidRDefault="00D462C0">
      <w:pPr>
        <w:spacing w:line="360" w:lineRule="auto"/>
        <w:jc w:val="both"/>
      </w:pPr>
      <w:r w:rsidRPr="00004362">
        <w:rPr>
          <w:rFonts w:ascii="Book Antiqua" w:eastAsia="Book Antiqua" w:hAnsi="Book Antiqua" w:cs="Book Antiqua"/>
          <w:b/>
          <w:caps/>
          <w:color w:val="000000"/>
          <w:u w:val="single"/>
        </w:rPr>
        <w:t>ACKNOWLEDGEMENTS</w:t>
      </w:r>
    </w:p>
    <w:p w14:paraId="187C7089" w14:textId="1C092277" w:rsidR="00A77B3E" w:rsidRPr="00004362" w:rsidRDefault="00D462C0">
      <w:pPr>
        <w:spacing w:line="360" w:lineRule="auto"/>
        <w:jc w:val="both"/>
      </w:pP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author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thanks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Paul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Hobson,</w:t>
      </w:r>
      <w:r w:rsidR="00150010" w:rsidRPr="00004362">
        <w:rPr>
          <w:rFonts w:ascii="Book Antiqua" w:eastAsia="Book Antiqua" w:hAnsi="Book Antiqua" w:cs="Book Antiqua"/>
          <w:color w:val="000000"/>
        </w:rPr>
        <w:t xml:space="preserve"> </w:t>
      </w:r>
      <w:r w:rsidR="008F65E5" w:rsidRPr="00004362">
        <w:rPr>
          <w:rFonts w:ascii="Book Antiqua" w:eastAsia="Book Antiqua" w:hAnsi="Book Antiqua" w:cs="Book Antiqua"/>
          <w:color w:val="000000"/>
        </w:rPr>
        <w:t xml:space="preserve">a </w:t>
      </w:r>
      <w:r w:rsidRPr="00004362">
        <w:rPr>
          <w:rFonts w:ascii="Book Antiqua" w:eastAsia="Book Antiqua" w:hAnsi="Book Antiqua" w:cs="Book Antiqua"/>
          <w:color w:val="000000"/>
        </w:rPr>
        <w:t>native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speaker,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English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edition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of</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manuscript.</w:t>
      </w:r>
      <w:r w:rsidR="00150010" w:rsidRPr="00004362">
        <w:rPr>
          <w:rFonts w:ascii="Book Antiqua" w:eastAsia="Book Antiqua" w:hAnsi="Book Antiqua" w:cs="Book Antiqua"/>
          <w:color w:val="000000"/>
        </w:rPr>
        <w:t xml:space="preserve"> </w:t>
      </w:r>
    </w:p>
    <w:p w14:paraId="78F5F74E" w14:textId="77777777" w:rsidR="00A77B3E" w:rsidRPr="00004362" w:rsidRDefault="00A77B3E">
      <w:pPr>
        <w:spacing w:line="360" w:lineRule="auto"/>
        <w:jc w:val="both"/>
      </w:pPr>
    </w:p>
    <w:p w14:paraId="0F1D6CBE" w14:textId="77777777" w:rsidR="00A77B3E" w:rsidRPr="00004362" w:rsidRDefault="00D462C0">
      <w:pPr>
        <w:spacing w:line="360" w:lineRule="auto"/>
        <w:jc w:val="both"/>
      </w:pPr>
      <w:r w:rsidRPr="00004362">
        <w:rPr>
          <w:rFonts w:ascii="Book Antiqua" w:eastAsia="Book Antiqua" w:hAnsi="Book Antiqua" w:cs="Book Antiqua"/>
          <w:b/>
          <w:color w:val="000000"/>
        </w:rPr>
        <w:t>REFERENCES</w:t>
      </w:r>
    </w:p>
    <w:p w14:paraId="1C344147" w14:textId="66D3CB11"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lastRenderedPageBreak/>
        <w:t xml:space="preserve">1 </w:t>
      </w:r>
      <w:r w:rsidRPr="00004362">
        <w:rPr>
          <w:rFonts w:ascii="Book Antiqua" w:hAnsi="Book Antiqua"/>
          <w:b/>
          <w:bCs/>
        </w:rPr>
        <w:t>van der Have M</w:t>
      </w:r>
      <w:r w:rsidRPr="00004362">
        <w:rPr>
          <w:rFonts w:ascii="Book Antiqua" w:hAnsi="Book Antiqua"/>
        </w:rPr>
        <w:t xml:space="preserve">, Mangen MJ, van der Valk ME, Smeets HM, van Bodegraven A, Dijkstra G, Fidder HH, de Jong DJ, Pierik M, Ponsioen CY, van der Meulen-de Jong AE, van der Woude CJ, van de Meeberg PC, Romberg-Camps MJ, Clemens CH, Jansen JM, Mahmmod N, Bolwerk CJ, Vermeijden JR, Siersema PD, Leenders M, Oldenburg B; COIN Study Group; Dutch Initiative on Crohn and Colitis. Effect of aging on healthcare costs of inflammatory bowel disease: a glimpse into the future. </w:t>
      </w:r>
      <w:r w:rsidRPr="00004362">
        <w:rPr>
          <w:rFonts w:ascii="Book Antiqua" w:hAnsi="Book Antiqua"/>
          <w:i/>
          <w:iCs/>
        </w:rPr>
        <w:t>Inflamm Bowel Dis</w:t>
      </w:r>
      <w:r w:rsidRPr="00004362">
        <w:rPr>
          <w:rFonts w:ascii="Book Antiqua" w:hAnsi="Book Antiqua"/>
        </w:rPr>
        <w:t xml:space="preserve"> 2014; </w:t>
      </w:r>
      <w:r w:rsidRPr="00004362">
        <w:rPr>
          <w:rFonts w:ascii="Book Antiqua" w:hAnsi="Book Antiqua"/>
          <w:b/>
          <w:bCs/>
        </w:rPr>
        <w:t>20</w:t>
      </w:r>
      <w:r w:rsidRPr="00004362">
        <w:rPr>
          <w:rFonts w:ascii="Book Antiqua" w:hAnsi="Book Antiqua"/>
        </w:rPr>
        <w:t>: 637-645 [PMID: 24518606 DOI: 10.1097/01.MIB.0000442677.55051.03]</w:t>
      </w:r>
    </w:p>
    <w:p w14:paraId="1BB9031B" w14:textId="6A62F8EA"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2 </w:t>
      </w:r>
      <w:r w:rsidRPr="00004362">
        <w:rPr>
          <w:rFonts w:ascii="Book Antiqua" w:hAnsi="Book Antiqua"/>
          <w:b/>
          <w:bCs/>
        </w:rPr>
        <w:t>Feuerstein JD</w:t>
      </w:r>
      <w:r w:rsidRPr="00004362">
        <w:rPr>
          <w:rFonts w:ascii="Book Antiqua" w:hAnsi="Book Antiqua"/>
        </w:rPr>
        <w:t xml:space="preserve">, Isaacs KL, Schneider Y, Siddique SM, Falck-Ytter Y, Singh S; AGA Institute Clinical Guidelines Committee. AGA Clinical Practice Guidelines on the Management of Moderate to Severe Ulcerative Colitis. </w:t>
      </w:r>
      <w:r w:rsidRPr="00004362">
        <w:rPr>
          <w:rFonts w:ascii="Book Antiqua" w:hAnsi="Book Antiqua"/>
          <w:i/>
          <w:iCs/>
        </w:rPr>
        <w:t>Gastroenterology</w:t>
      </w:r>
      <w:r w:rsidRPr="00004362">
        <w:rPr>
          <w:rFonts w:ascii="Book Antiqua" w:hAnsi="Book Antiqua"/>
        </w:rPr>
        <w:t xml:space="preserve"> 2020; </w:t>
      </w:r>
      <w:r w:rsidRPr="00004362">
        <w:rPr>
          <w:rFonts w:ascii="Book Antiqua" w:hAnsi="Book Antiqua"/>
          <w:b/>
          <w:bCs/>
        </w:rPr>
        <w:t>158</w:t>
      </w:r>
      <w:r w:rsidRPr="00004362">
        <w:rPr>
          <w:rFonts w:ascii="Book Antiqua" w:hAnsi="Book Antiqua"/>
        </w:rPr>
        <w:t>: 1450-1461 [PMID: 31945371 DOI: 10.1053/j.gastro.2020.01.006]</w:t>
      </w:r>
    </w:p>
    <w:p w14:paraId="23B8F322" w14:textId="29C69D1A"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3 </w:t>
      </w:r>
      <w:r w:rsidRPr="00004362">
        <w:rPr>
          <w:rFonts w:ascii="Book Antiqua" w:hAnsi="Book Antiqua"/>
          <w:b/>
          <w:bCs/>
        </w:rPr>
        <w:t>Raine T</w:t>
      </w:r>
      <w:r w:rsidRPr="00004362">
        <w:rPr>
          <w:rFonts w:ascii="Book Antiqua" w:hAnsi="Book Antiqua"/>
        </w:rPr>
        <w:t xml:space="preserve">, Bonovas S, Burisch J, Kucharzik T, Adamina M, Annese V, Bachmann O, Bettenworth D, Chaparro M, Czuber-Dochan W, Eder P, Ellul P, Fidalgo C, Fiorino G, Gionchetti P, Gisbert JP, Gordon H, Hedin C, Holubar S, Iacucci M, Karmiris K, Katsanos K, Kopylov U, Lakatos PL, Lytras T, Lyutakov I, Noor N, Pellino G, Piovani D, Savarino E, Selvaggi F, Verstockt B, Spinelli A, Panis Y, Doherty G. ECCO Guidelines on Therapeutics in Ulcerative Colitis: Medical Treatment. </w:t>
      </w:r>
      <w:r w:rsidRPr="00004362">
        <w:rPr>
          <w:rFonts w:ascii="Book Antiqua" w:hAnsi="Book Antiqua"/>
          <w:i/>
          <w:iCs/>
        </w:rPr>
        <w:t>J Crohns Colitis</w:t>
      </w:r>
      <w:r w:rsidRPr="00004362">
        <w:rPr>
          <w:rFonts w:ascii="Book Antiqua" w:hAnsi="Book Antiqua"/>
        </w:rPr>
        <w:t xml:space="preserve"> 2022; </w:t>
      </w:r>
      <w:r w:rsidRPr="00004362">
        <w:rPr>
          <w:rFonts w:ascii="Book Antiqua" w:hAnsi="Book Antiqua"/>
          <w:b/>
          <w:bCs/>
        </w:rPr>
        <w:t>16</w:t>
      </w:r>
      <w:r w:rsidRPr="00004362">
        <w:rPr>
          <w:rFonts w:ascii="Book Antiqua" w:hAnsi="Book Antiqua"/>
        </w:rPr>
        <w:t>: 2-17 [PMID: 34635919 DOI: 10.1093/ecco-jcc/jjab178]</w:t>
      </w:r>
    </w:p>
    <w:p w14:paraId="09542E68" w14:textId="5574D547"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4 </w:t>
      </w:r>
      <w:r w:rsidRPr="00004362">
        <w:rPr>
          <w:rFonts w:ascii="Book Antiqua" w:hAnsi="Book Antiqua"/>
          <w:b/>
          <w:bCs/>
        </w:rPr>
        <w:t>Torres J</w:t>
      </w:r>
      <w:r w:rsidRPr="00004362">
        <w:rPr>
          <w:rFonts w:ascii="Book Antiqua" w:hAnsi="Book Antiqua"/>
        </w:rPr>
        <w:t xml:space="preserve">, Bonovas S, Doherty G, Kucharzik T, Gisbert JP, Raine T, Adamina M, Armuzzi A, Bachmann O, Bager P, Biancone L, Bokemeyer B, Bossuyt P, Burisch J, Collins P, El-Hussuna A, Ellul P, Frei-Lanter C, Furfaro F, Gingert C, Gionchetti P, Gomollon F, González-Lorenzo M, Gordon H, Hlavaty T, Juillerat P, Katsanos K, Kopylov U, Krustins E, Lytras T, Maaser C, Magro F, Marshall JK, Myrelid P, Pellino G, Rosa I, Sabino J, Savarino E, Spinelli A, Stassen L, Uzzan M, Vavricka S, Verstockt B, Warusavitarne J, Zmora O, Fiorino G. ECCO Guidelines on Therapeutics in Crohn's Disease: Medical Treatment. </w:t>
      </w:r>
      <w:r w:rsidRPr="00004362">
        <w:rPr>
          <w:rFonts w:ascii="Book Antiqua" w:hAnsi="Book Antiqua"/>
          <w:i/>
          <w:iCs/>
        </w:rPr>
        <w:t>J Crohns Colitis</w:t>
      </w:r>
      <w:r w:rsidRPr="00004362">
        <w:rPr>
          <w:rFonts w:ascii="Book Antiqua" w:hAnsi="Book Antiqua"/>
        </w:rPr>
        <w:t xml:space="preserve"> 2020; </w:t>
      </w:r>
      <w:r w:rsidRPr="00004362">
        <w:rPr>
          <w:rFonts w:ascii="Book Antiqua" w:hAnsi="Book Antiqua"/>
          <w:b/>
          <w:bCs/>
        </w:rPr>
        <w:t>14</w:t>
      </w:r>
      <w:r w:rsidRPr="00004362">
        <w:rPr>
          <w:rFonts w:ascii="Book Antiqua" w:hAnsi="Book Antiqua"/>
        </w:rPr>
        <w:t>: 4-22 [PMID: 31711158 DOI: 10.1093/ecco-jcc/jjz180]</w:t>
      </w:r>
    </w:p>
    <w:p w14:paraId="7D84F118" w14:textId="1DEC0F13"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5 </w:t>
      </w:r>
      <w:r w:rsidRPr="00004362">
        <w:rPr>
          <w:rFonts w:ascii="Book Antiqua" w:hAnsi="Book Antiqua"/>
          <w:b/>
          <w:bCs/>
        </w:rPr>
        <w:t>Feuerstein JD</w:t>
      </w:r>
      <w:r w:rsidRPr="00004362">
        <w:rPr>
          <w:rFonts w:ascii="Book Antiqua" w:hAnsi="Book Antiqua"/>
        </w:rPr>
        <w:t xml:space="preserve">, Ho EY, Shmidt E, Singh H, Falck-Ytter Y, Sultan S, Terdiman JP; American Gastroenterological Association Institute Clinical Guidelines Committee. AGA Clinical Practice Guidelines on the Medical Management of Moderate to Severe Luminal </w:t>
      </w:r>
      <w:r w:rsidRPr="00004362">
        <w:rPr>
          <w:rFonts w:ascii="Book Antiqua" w:hAnsi="Book Antiqua"/>
        </w:rPr>
        <w:lastRenderedPageBreak/>
        <w:t xml:space="preserve">and Perianal Fistulizing Crohn's Disease. </w:t>
      </w:r>
      <w:r w:rsidRPr="00004362">
        <w:rPr>
          <w:rFonts w:ascii="Book Antiqua" w:hAnsi="Book Antiqua"/>
          <w:i/>
          <w:iCs/>
        </w:rPr>
        <w:t>Gastroenterology</w:t>
      </w:r>
      <w:r w:rsidRPr="00004362">
        <w:rPr>
          <w:rFonts w:ascii="Book Antiqua" w:hAnsi="Book Antiqua"/>
        </w:rPr>
        <w:t xml:space="preserve"> 2021; </w:t>
      </w:r>
      <w:r w:rsidRPr="00004362">
        <w:rPr>
          <w:rFonts w:ascii="Book Antiqua" w:hAnsi="Book Antiqua"/>
          <w:b/>
          <w:bCs/>
        </w:rPr>
        <w:t>160</w:t>
      </w:r>
      <w:r w:rsidRPr="00004362">
        <w:rPr>
          <w:rFonts w:ascii="Book Antiqua" w:hAnsi="Book Antiqua"/>
        </w:rPr>
        <w:t>: 2496-2508 [PMID: 34051983 DOI: 10.1053/j.gastro.2021.04.022]</w:t>
      </w:r>
    </w:p>
    <w:p w14:paraId="70221117" w14:textId="427BFF7F"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6 </w:t>
      </w:r>
      <w:r w:rsidRPr="00004362">
        <w:rPr>
          <w:rFonts w:ascii="Book Antiqua" w:hAnsi="Book Antiqua"/>
          <w:b/>
          <w:bCs/>
        </w:rPr>
        <w:t>Turner D</w:t>
      </w:r>
      <w:r w:rsidRPr="00004362">
        <w:rPr>
          <w:rFonts w:ascii="Book Antiqua" w:hAnsi="Book Antiqua"/>
        </w:rPr>
        <w:t xml:space="preserve">, Ricciuto A, Lewis A, D'Amico F, Dhaliwal J, Griffiths AM, Bettenworth D, Sandborn WJ, Sands BE, Reinisch W, Schölmerich J, Bemelman W, Danese S, Mary JY, Rubin D, Colombel JF, Peyrin-Biroulet L, Dotan I, Abreu MT, Dignass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sidRPr="00004362">
        <w:rPr>
          <w:rFonts w:ascii="Book Antiqua" w:hAnsi="Book Antiqua"/>
          <w:i/>
          <w:iCs/>
        </w:rPr>
        <w:t>Gastroenterology</w:t>
      </w:r>
      <w:r w:rsidRPr="00004362">
        <w:rPr>
          <w:rFonts w:ascii="Book Antiqua" w:hAnsi="Book Antiqua"/>
        </w:rPr>
        <w:t xml:space="preserve"> 2021; </w:t>
      </w:r>
      <w:r w:rsidRPr="00004362">
        <w:rPr>
          <w:rFonts w:ascii="Book Antiqua" w:hAnsi="Book Antiqua"/>
          <w:b/>
          <w:bCs/>
        </w:rPr>
        <w:t>160</w:t>
      </w:r>
      <w:r w:rsidRPr="00004362">
        <w:rPr>
          <w:rFonts w:ascii="Book Antiqua" w:hAnsi="Book Antiqua"/>
        </w:rPr>
        <w:t>: 1570-1583 [PMID: 33359090 DOI: 10.1053/j.gastro.2020.12.031]</w:t>
      </w:r>
    </w:p>
    <w:p w14:paraId="65F6846F" w14:textId="2D388144" w:rsidR="00150010" w:rsidRPr="00305BD3"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lang w:val="es-AR"/>
        </w:rPr>
      </w:pPr>
      <w:r w:rsidRPr="00004362">
        <w:rPr>
          <w:rFonts w:ascii="Book Antiqua" w:hAnsi="Book Antiqua"/>
        </w:rPr>
        <w:t xml:space="preserve">7 </w:t>
      </w:r>
      <w:r w:rsidRPr="00004362">
        <w:rPr>
          <w:rFonts w:ascii="Book Antiqua" w:hAnsi="Book Antiqua"/>
          <w:b/>
          <w:bCs/>
        </w:rPr>
        <w:t>Peyrin-Biroulet L</w:t>
      </w:r>
      <w:r w:rsidRPr="00004362">
        <w:rPr>
          <w:rFonts w:ascii="Book Antiqua" w:hAnsi="Book Antiqua"/>
        </w:rPr>
        <w:t xml:space="preserve">, Lémann M. Review article: remission rates achievable by current therapies for inflammatory bowel disease. </w:t>
      </w:r>
      <w:r w:rsidRPr="00305BD3">
        <w:rPr>
          <w:rFonts w:ascii="Book Antiqua" w:hAnsi="Book Antiqua"/>
          <w:i/>
          <w:iCs/>
          <w:lang w:val="es-AR"/>
        </w:rPr>
        <w:t>Aliment Pharmacol Ther</w:t>
      </w:r>
      <w:r w:rsidRPr="00305BD3">
        <w:rPr>
          <w:rFonts w:ascii="Book Antiqua" w:hAnsi="Book Antiqua"/>
          <w:lang w:val="es-AR"/>
        </w:rPr>
        <w:t xml:space="preserve"> 2011; </w:t>
      </w:r>
      <w:r w:rsidRPr="00305BD3">
        <w:rPr>
          <w:rFonts w:ascii="Book Antiqua" w:hAnsi="Book Antiqua"/>
          <w:b/>
          <w:bCs/>
          <w:lang w:val="es-AR"/>
        </w:rPr>
        <w:t>33</w:t>
      </w:r>
      <w:r w:rsidRPr="00305BD3">
        <w:rPr>
          <w:rFonts w:ascii="Book Antiqua" w:hAnsi="Book Antiqua"/>
          <w:lang w:val="es-AR"/>
        </w:rPr>
        <w:t>: 870-879 [PMID: 21323689 DOI: 10.1111/j.1365-2036.2011.04599.x]</w:t>
      </w:r>
    </w:p>
    <w:p w14:paraId="3D437183" w14:textId="041D30AF"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305BD3">
        <w:rPr>
          <w:rFonts w:ascii="Book Antiqua" w:hAnsi="Book Antiqua"/>
          <w:lang w:val="es-AR"/>
        </w:rPr>
        <w:t xml:space="preserve">8 </w:t>
      </w:r>
      <w:r w:rsidRPr="00305BD3">
        <w:rPr>
          <w:rFonts w:ascii="Book Antiqua" w:hAnsi="Book Antiqua"/>
          <w:b/>
          <w:bCs/>
          <w:lang w:val="es-AR"/>
        </w:rPr>
        <w:t>Balderramo D</w:t>
      </w:r>
      <w:r w:rsidRPr="00305BD3">
        <w:rPr>
          <w:rFonts w:ascii="Book Antiqua" w:hAnsi="Book Antiqua"/>
          <w:lang w:val="es-AR"/>
        </w:rPr>
        <w:t xml:space="preserve">, Trakal J, Herrera Najum P, Vivas M, Gonzalez R, Benavidez A, López Villa D, Daino D, Raiden K, Germán A, Corzo MA, Ponce de León J, Ferrer L, Germán C, Bálzola S, Idoeta A, Zárate F, Defagó MR; Grupo Córdoba de Cooperación para el Manejo y Estudio de la Enfermedad Inflamatoria Intestinal (CEMEI Group). </w:t>
      </w:r>
      <w:r w:rsidRPr="00004362">
        <w:rPr>
          <w:rFonts w:ascii="Book Antiqua" w:hAnsi="Book Antiqua"/>
        </w:rPr>
        <w:t>High</w:t>
      </w:r>
      <w:r w:rsidRPr="005B72FF">
        <w:rPr>
          <w:rFonts w:ascii="Book Antiqua" w:hAnsi="Book Antiqua"/>
        </w:rPr>
        <w:t xml:space="preserve"> </w:t>
      </w:r>
      <w:r w:rsidRPr="00004362">
        <w:rPr>
          <w:rFonts w:ascii="Book Antiqua" w:hAnsi="Book Antiqua"/>
        </w:rPr>
        <w:t xml:space="preserve">ulcerative colitis and Crohn's disease ratio in a population-based registry from Córdoba, Argentina. </w:t>
      </w:r>
      <w:r w:rsidRPr="00004362">
        <w:rPr>
          <w:rFonts w:ascii="Book Antiqua" w:hAnsi="Book Antiqua"/>
          <w:i/>
          <w:iCs/>
        </w:rPr>
        <w:t>Dig Liver Dis</w:t>
      </w:r>
      <w:r w:rsidRPr="00004362">
        <w:rPr>
          <w:rFonts w:ascii="Book Antiqua" w:hAnsi="Book Antiqua"/>
        </w:rPr>
        <w:t xml:space="preserve"> 2021; </w:t>
      </w:r>
      <w:r w:rsidRPr="00004362">
        <w:rPr>
          <w:rFonts w:ascii="Book Antiqua" w:hAnsi="Book Antiqua"/>
          <w:b/>
          <w:bCs/>
        </w:rPr>
        <w:t>53</w:t>
      </w:r>
      <w:r w:rsidRPr="00004362">
        <w:rPr>
          <w:rFonts w:ascii="Book Antiqua" w:hAnsi="Book Antiqua"/>
        </w:rPr>
        <w:t>: 852-857 [PMID: 33531211 DOI: 10.1016/j.dld.2021.01.006]</w:t>
      </w:r>
    </w:p>
    <w:p w14:paraId="5F668A9A" w14:textId="4185C8CB"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9 </w:t>
      </w:r>
      <w:r w:rsidR="00B03C5A" w:rsidRPr="00004362">
        <w:rPr>
          <w:rFonts w:ascii="Book Antiqua" w:hAnsi="Book Antiqua"/>
          <w:b/>
          <w:bCs/>
        </w:rPr>
        <w:t>McDonnell M</w:t>
      </w:r>
      <w:r w:rsidR="00B03C5A" w:rsidRPr="00004362">
        <w:rPr>
          <w:rFonts w:ascii="Book Antiqua" w:hAnsi="Book Antiqua"/>
        </w:rPr>
        <w:t xml:space="preserve">, Harris RJ, Borca F, Mills T, Downey L, Dharmasiri S, Patel M, Zare B, Stammers M, Smith TR, Felwick R, Cummings JRF, Phan HTT, Gwiggner M. High incidence of glucocorticoid-induced hyperglycaemia in inflammatory bowel disease: metabolic and clinical predictors identified by machine learning. </w:t>
      </w:r>
      <w:r w:rsidR="00B03C5A" w:rsidRPr="00004362">
        <w:rPr>
          <w:rFonts w:ascii="Book Antiqua" w:hAnsi="Book Antiqua"/>
          <w:i/>
          <w:iCs/>
        </w:rPr>
        <w:t>BMJ Open Gastroenterol</w:t>
      </w:r>
      <w:r w:rsidR="00B03C5A" w:rsidRPr="00004362">
        <w:rPr>
          <w:rFonts w:ascii="Book Antiqua" w:hAnsi="Book Antiqua"/>
        </w:rPr>
        <w:t xml:space="preserve"> 2020; </w:t>
      </w:r>
      <w:r w:rsidR="00B03C5A" w:rsidRPr="00004362">
        <w:rPr>
          <w:rFonts w:ascii="Book Antiqua" w:hAnsi="Book Antiqua"/>
          <w:b/>
          <w:bCs/>
        </w:rPr>
        <w:t>7</w:t>
      </w:r>
      <w:r w:rsidR="00B03C5A" w:rsidRPr="00004362">
        <w:rPr>
          <w:rFonts w:ascii="Book Antiqua" w:hAnsi="Book Antiqua"/>
        </w:rPr>
        <w:t>: e000532 [PMID: 33187976 DOI: 10.1136/bmjgast-2020-000532]</w:t>
      </w:r>
    </w:p>
    <w:p w14:paraId="7BE011E1" w14:textId="3515F262"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10 </w:t>
      </w:r>
      <w:r w:rsidRPr="00004362">
        <w:rPr>
          <w:rFonts w:ascii="Book Antiqua" w:hAnsi="Book Antiqua"/>
          <w:b/>
          <w:bCs/>
        </w:rPr>
        <w:t>Ungaro RC</w:t>
      </w:r>
      <w:r w:rsidRPr="00004362">
        <w:rPr>
          <w:rFonts w:ascii="Book Antiqua" w:hAnsi="Book Antiqua"/>
        </w:rPr>
        <w:t xml:space="preserve">, Aggarwal S, Topaloglu O, Lee WJ, Clark R, Colombel JF. Systematic review and meta-analysis: efficacy and safety of early biologic treatment in adult and paediatric patients with Crohn's disease. </w:t>
      </w:r>
      <w:r w:rsidRPr="00004362">
        <w:rPr>
          <w:rFonts w:ascii="Book Antiqua" w:hAnsi="Book Antiqua"/>
          <w:i/>
          <w:iCs/>
        </w:rPr>
        <w:t>Aliment Pharmacol Ther</w:t>
      </w:r>
      <w:r w:rsidRPr="00004362">
        <w:rPr>
          <w:rFonts w:ascii="Book Antiqua" w:hAnsi="Book Antiqua"/>
        </w:rPr>
        <w:t xml:space="preserve"> 2020; </w:t>
      </w:r>
      <w:r w:rsidRPr="00004362">
        <w:rPr>
          <w:rFonts w:ascii="Book Antiqua" w:hAnsi="Book Antiqua"/>
          <w:b/>
          <w:bCs/>
        </w:rPr>
        <w:t>51</w:t>
      </w:r>
      <w:r w:rsidRPr="00004362">
        <w:rPr>
          <w:rFonts w:ascii="Book Antiqua" w:hAnsi="Book Antiqua"/>
        </w:rPr>
        <w:t>: 831-842 [PMID: 32202328 DOI: 10.1111/apt.15685]</w:t>
      </w:r>
    </w:p>
    <w:p w14:paraId="5E1AE012" w14:textId="22AC7091"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lastRenderedPageBreak/>
        <w:t xml:space="preserve">11 </w:t>
      </w:r>
      <w:r w:rsidRPr="00004362">
        <w:rPr>
          <w:rFonts w:ascii="Book Antiqua" w:hAnsi="Book Antiqua"/>
          <w:b/>
          <w:bCs/>
        </w:rPr>
        <w:t>Rajamäki K</w:t>
      </w:r>
      <w:r w:rsidRPr="00004362">
        <w:rPr>
          <w:rFonts w:ascii="Book Antiqua" w:hAnsi="Book Antiqua"/>
        </w:rPr>
        <w:t xml:space="preserve">, Taira A, Katainen R, Välimäki N, Kuosmanen A, Plaketti RM, Seppälä TT, Ahtiainen M, Wirta EV, Vartiainen E, Sulo P, Ravantti J, Lehtipuro S, Granberg KJ, Nykter M, Tanskanen T, Ristimäki A, Koskensalo S, Renkonen-Sinisalo L, Lepistö A, Böhm J, Taipale J, Mecklin JP, Aavikko M, Palin K, Aaltonen LA. Genetic and Epigenetic Characteristics of Inflammatory Bowel Disease-Associated Colorectal Cancer. </w:t>
      </w:r>
      <w:r w:rsidRPr="00004362">
        <w:rPr>
          <w:rFonts w:ascii="Book Antiqua" w:hAnsi="Book Antiqua"/>
          <w:i/>
          <w:iCs/>
        </w:rPr>
        <w:t>Gastroenterology</w:t>
      </w:r>
      <w:r w:rsidRPr="00004362">
        <w:rPr>
          <w:rFonts w:ascii="Book Antiqua" w:hAnsi="Book Antiqua"/>
        </w:rPr>
        <w:t xml:space="preserve"> 2021; </w:t>
      </w:r>
      <w:r w:rsidRPr="00004362">
        <w:rPr>
          <w:rFonts w:ascii="Book Antiqua" w:hAnsi="Book Antiqua"/>
          <w:b/>
          <w:bCs/>
        </w:rPr>
        <w:t>161</w:t>
      </w:r>
      <w:r w:rsidRPr="00004362">
        <w:rPr>
          <w:rFonts w:ascii="Book Antiqua" w:hAnsi="Book Antiqua"/>
        </w:rPr>
        <w:t>: 592-607 [PMID: 33930428 DOI: 10.1053/j.gastro.2021.04.042]</w:t>
      </w:r>
    </w:p>
    <w:p w14:paraId="4812EBA1" w14:textId="0D376DFF"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12 </w:t>
      </w:r>
      <w:r w:rsidRPr="00004362">
        <w:rPr>
          <w:rFonts w:ascii="Book Antiqua" w:hAnsi="Book Antiqua"/>
          <w:b/>
          <w:bCs/>
        </w:rPr>
        <w:t>Bonovas S</w:t>
      </w:r>
      <w:r w:rsidRPr="00004362">
        <w:rPr>
          <w:rFonts w:ascii="Book Antiqua" w:hAnsi="Book Antiqua"/>
        </w:rPr>
        <w:t xml:space="preserve">, Fiorino G, Lytras T, Nikolopoulos G, Peyrin-Biroulet L, Danese S. Systematic review with meta-analysis: use of 5-aminosalicylates and risk of colorectal neoplasia in patients with inflammatory bowel disease. </w:t>
      </w:r>
      <w:r w:rsidRPr="00004362">
        <w:rPr>
          <w:rFonts w:ascii="Book Antiqua" w:hAnsi="Book Antiqua"/>
          <w:i/>
          <w:iCs/>
        </w:rPr>
        <w:t>Aliment Pharmacol Ther</w:t>
      </w:r>
      <w:r w:rsidRPr="00004362">
        <w:rPr>
          <w:rFonts w:ascii="Book Antiqua" w:hAnsi="Book Antiqua"/>
        </w:rPr>
        <w:t xml:space="preserve"> 2017; </w:t>
      </w:r>
      <w:r w:rsidRPr="00004362">
        <w:rPr>
          <w:rFonts w:ascii="Book Antiqua" w:hAnsi="Book Antiqua"/>
          <w:b/>
          <w:bCs/>
        </w:rPr>
        <w:t>45</w:t>
      </w:r>
      <w:r w:rsidRPr="00004362">
        <w:rPr>
          <w:rFonts w:ascii="Book Antiqua" w:hAnsi="Book Antiqua"/>
        </w:rPr>
        <w:t>: 1179-1192 [PMID: 28261835 DOI: 10.1111/apt.14023]</w:t>
      </w:r>
    </w:p>
    <w:p w14:paraId="18E65835" w14:textId="40E83ED9"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13 </w:t>
      </w:r>
      <w:r w:rsidRPr="00004362">
        <w:rPr>
          <w:rFonts w:ascii="Book Antiqua" w:hAnsi="Book Antiqua"/>
          <w:b/>
          <w:bCs/>
        </w:rPr>
        <w:t>Wijnands AM</w:t>
      </w:r>
      <w:r w:rsidRPr="00004362">
        <w:rPr>
          <w:rFonts w:ascii="Book Antiqua" w:hAnsi="Book Antiqua"/>
        </w:rPr>
        <w:t xml:space="preserve">, de Jong ME, Lutgens MWMD, Hoentjen F, Elias SG, Oldenburg B; Dutch Initiative on Crohn and Colitis (ICC). Prognostic Factors for Advanced Colorectal Neoplasia in Inflammatory Bowel Disease: Systematic Review and Meta-analysis. </w:t>
      </w:r>
      <w:r w:rsidRPr="00004362">
        <w:rPr>
          <w:rFonts w:ascii="Book Antiqua" w:hAnsi="Book Antiqua"/>
          <w:i/>
          <w:iCs/>
        </w:rPr>
        <w:t>Gastroenterology</w:t>
      </w:r>
      <w:r w:rsidRPr="00004362">
        <w:rPr>
          <w:rFonts w:ascii="Book Antiqua" w:hAnsi="Book Antiqua"/>
        </w:rPr>
        <w:t xml:space="preserve"> 2021; </w:t>
      </w:r>
      <w:r w:rsidRPr="00004362">
        <w:rPr>
          <w:rFonts w:ascii="Book Antiqua" w:hAnsi="Book Antiqua"/>
          <w:b/>
          <w:bCs/>
        </w:rPr>
        <w:t>160</w:t>
      </w:r>
      <w:r w:rsidRPr="00004362">
        <w:rPr>
          <w:rFonts w:ascii="Book Antiqua" w:hAnsi="Book Antiqua"/>
        </w:rPr>
        <w:t>: 1584-1598 [PMID: 33385426 DOI: 10.1053/j.gastro.2020.12.036]</w:t>
      </w:r>
    </w:p>
    <w:p w14:paraId="57D29F20" w14:textId="308618AB"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14 </w:t>
      </w:r>
      <w:r w:rsidRPr="00004362">
        <w:rPr>
          <w:rFonts w:ascii="Book Antiqua" w:hAnsi="Book Antiqua"/>
          <w:b/>
          <w:bCs/>
        </w:rPr>
        <w:t>Privitera G</w:t>
      </w:r>
      <w:r w:rsidRPr="00004362">
        <w:rPr>
          <w:rFonts w:ascii="Book Antiqua" w:hAnsi="Book Antiqua"/>
        </w:rPr>
        <w:t xml:space="preserve">, Pugliese D, Lopetuso LR, Scaldaferri F, Neri M, Guidi L, Gasbarrini A, Armuzzi A. Novel trends with biologics in inflammatory bowel disease: sequential and combined approaches. </w:t>
      </w:r>
      <w:r w:rsidRPr="00004362">
        <w:rPr>
          <w:rFonts w:ascii="Book Antiqua" w:hAnsi="Book Antiqua"/>
          <w:i/>
          <w:iCs/>
        </w:rPr>
        <w:t>Therap Adv Gastroenterol</w:t>
      </w:r>
      <w:r w:rsidRPr="00004362">
        <w:rPr>
          <w:rFonts w:ascii="Book Antiqua" w:hAnsi="Book Antiqua"/>
        </w:rPr>
        <w:t xml:space="preserve"> 2021; </w:t>
      </w:r>
      <w:r w:rsidRPr="00004362">
        <w:rPr>
          <w:rFonts w:ascii="Book Antiqua" w:hAnsi="Book Antiqua"/>
          <w:b/>
          <w:bCs/>
        </w:rPr>
        <w:t>14</w:t>
      </w:r>
      <w:r w:rsidRPr="00004362">
        <w:rPr>
          <w:rFonts w:ascii="Book Antiqua" w:hAnsi="Book Antiqua"/>
        </w:rPr>
        <w:t>: 17562848211006669 [PMID: 33995579 DOI: 10.1177/17562848211006669]</w:t>
      </w:r>
    </w:p>
    <w:p w14:paraId="462F7F78" w14:textId="01FEDC76"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15 </w:t>
      </w:r>
      <w:r w:rsidRPr="00004362">
        <w:rPr>
          <w:rFonts w:ascii="Book Antiqua" w:hAnsi="Book Antiqua"/>
          <w:b/>
          <w:bCs/>
        </w:rPr>
        <w:t>Graham DB</w:t>
      </w:r>
      <w:r w:rsidRPr="00004362">
        <w:rPr>
          <w:rFonts w:ascii="Book Antiqua" w:hAnsi="Book Antiqua"/>
        </w:rPr>
        <w:t xml:space="preserve">, Xavier RJ. Pathway paradigms revealed from the genetics of inflammatory bowel disease. </w:t>
      </w:r>
      <w:r w:rsidRPr="00004362">
        <w:rPr>
          <w:rFonts w:ascii="Book Antiqua" w:hAnsi="Book Antiqua"/>
          <w:i/>
          <w:iCs/>
        </w:rPr>
        <w:t>Nature</w:t>
      </w:r>
      <w:r w:rsidRPr="00004362">
        <w:rPr>
          <w:rFonts w:ascii="Book Antiqua" w:hAnsi="Book Antiqua"/>
        </w:rPr>
        <w:t xml:space="preserve"> 2020; </w:t>
      </w:r>
      <w:r w:rsidRPr="00004362">
        <w:rPr>
          <w:rFonts w:ascii="Book Antiqua" w:hAnsi="Book Antiqua"/>
          <w:b/>
          <w:bCs/>
        </w:rPr>
        <w:t>578</w:t>
      </w:r>
      <w:r w:rsidRPr="00004362">
        <w:rPr>
          <w:rFonts w:ascii="Book Antiqua" w:hAnsi="Book Antiqua"/>
        </w:rPr>
        <w:t>: 527-539 [PMID: 32103191 DOI: 10.1038/s41586-020-2025-2]</w:t>
      </w:r>
    </w:p>
    <w:p w14:paraId="2739E733" w14:textId="0E156B8F"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16 </w:t>
      </w:r>
      <w:r w:rsidR="00B03C5A" w:rsidRPr="00004362">
        <w:rPr>
          <w:rFonts w:ascii="Book Antiqua" w:hAnsi="Book Antiqua"/>
          <w:b/>
          <w:bCs/>
        </w:rPr>
        <w:t>Alayo QA</w:t>
      </w:r>
      <w:r w:rsidR="00B03C5A" w:rsidRPr="00004362">
        <w:rPr>
          <w:rFonts w:ascii="Book Antiqua" w:hAnsi="Book Antiqua"/>
        </w:rPr>
        <w:t xml:space="preserve">, Fenster M, Altayar O, Glassner KL, Llano E, Clark-Snustad K, Patel A, Kwapisz L, Yarur AJ, Cohen BL, Ciorba MA, Thomas D, Lee SD, Loftus EV Jr, Fudman DI, Abraham BP, Colombel JF, Deepak P. Systematic Review With Meta-analysis: Safety and Effectiveness of Combining Biologics and Small Molecules in Inflammatory Bowel Disease. </w:t>
      </w:r>
      <w:r w:rsidR="00B03C5A" w:rsidRPr="00004362">
        <w:rPr>
          <w:rFonts w:ascii="Book Antiqua" w:hAnsi="Book Antiqua"/>
          <w:i/>
          <w:iCs/>
        </w:rPr>
        <w:t>Crohns Colitis 360</w:t>
      </w:r>
      <w:r w:rsidR="00B03C5A" w:rsidRPr="00004362">
        <w:rPr>
          <w:rFonts w:ascii="Book Antiqua" w:hAnsi="Book Antiqua"/>
        </w:rPr>
        <w:t xml:space="preserve"> 2022; </w:t>
      </w:r>
      <w:r w:rsidR="00B03C5A" w:rsidRPr="00004362">
        <w:rPr>
          <w:rFonts w:ascii="Book Antiqua" w:hAnsi="Book Antiqua"/>
          <w:b/>
          <w:bCs/>
        </w:rPr>
        <w:t>4</w:t>
      </w:r>
      <w:r w:rsidR="00B03C5A" w:rsidRPr="00004362">
        <w:rPr>
          <w:rFonts w:ascii="Book Antiqua" w:hAnsi="Book Antiqua"/>
        </w:rPr>
        <w:t>: otac002 [PMID: 35310082 DOI: 10.1093/crocol/otac002]</w:t>
      </w:r>
    </w:p>
    <w:p w14:paraId="736769BD" w14:textId="0A585475"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17 </w:t>
      </w:r>
      <w:r w:rsidRPr="00004362">
        <w:rPr>
          <w:rFonts w:ascii="Book Antiqua" w:hAnsi="Book Antiqua"/>
          <w:b/>
          <w:bCs/>
        </w:rPr>
        <w:t>Abreu MT</w:t>
      </w:r>
      <w:r w:rsidRPr="00004362">
        <w:rPr>
          <w:rFonts w:ascii="Book Antiqua" w:hAnsi="Book Antiqua"/>
        </w:rPr>
        <w:t xml:space="preserve">. Combining Biologic Agents in Inflammatory Bowel Disease. </w:t>
      </w:r>
      <w:r w:rsidRPr="00004362">
        <w:rPr>
          <w:rFonts w:ascii="Book Antiqua" w:hAnsi="Book Antiqua"/>
          <w:i/>
          <w:iCs/>
        </w:rPr>
        <w:t>Gastroenterol Hepatol (N Y)</w:t>
      </w:r>
      <w:r w:rsidRPr="00004362">
        <w:rPr>
          <w:rFonts w:ascii="Book Antiqua" w:hAnsi="Book Antiqua"/>
        </w:rPr>
        <w:t xml:space="preserve"> 2019; </w:t>
      </w:r>
      <w:r w:rsidRPr="00004362">
        <w:rPr>
          <w:rFonts w:ascii="Book Antiqua" w:hAnsi="Book Antiqua"/>
          <w:b/>
          <w:bCs/>
        </w:rPr>
        <w:t>15</w:t>
      </w:r>
      <w:r w:rsidRPr="00004362">
        <w:rPr>
          <w:rFonts w:ascii="Book Antiqua" w:hAnsi="Book Antiqua"/>
        </w:rPr>
        <w:t>: 549-551 [PMID: 31802979]</w:t>
      </w:r>
    </w:p>
    <w:p w14:paraId="61506C2C" w14:textId="157D7566"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lastRenderedPageBreak/>
        <w:t xml:space="preserve">18 </w:t>
      </w:r>
      <w:r w:rsidRPr="00004362">
        <w:rPr>
          <w:rFonts w:ascii="Book Antiqua" w:hAnsi="Book Antiqua"/>
          <w:b/>
          <w:bCs/>
        </w:rPr>
        <w:t>Gold SL</w:t>
      </w:r>
      <w:r w:rsidRPr="00004362">
        <w:rPr>
          <w:rFonts w:ascii="Book Antiqua" w:hAnsi="Book Antiqua"/>
        </w:rPr>
        <w:t xml:space="preserve">, Steinlauf AF. Efficacy and Safety of Dual Biologic Therapy in Patients With Inflammatory Bowel Disease: A Review of the Literature. </w:t>
      </w:r>
      <w:r w:rsidRPr="00004362">
        <w:rPr>
          <w:rFonts w:ascii="Book Antiqua" w:hAnsi="Book Antiqua"/>
          <w:i/>
          <w:iCs/>
        </w:rPr>
        <w:t>Gastroenterol Hepatol (N Y)</w:t>
      </w:r>
      <w:r w:rsidRPr="00004362">
        <w:rPr>
          <w:rFonts w:ascii="Book Antiqua" w:hAnsi="Book Antiqua"/>
        </w:rPr>
        <w:t xml:space="preserve"> 2021; </w:t>
      </w:r>
      <w:r w:rsidRPr="00004362">
        <w:rPr>
          <w:rFonts w:ascii="Book Antiqua" w:hAnsi="Book Antiqua"/>
          <w:b/>
          <w:bCs/>
        </w:rPr>
        <w:t>17</w:t>
      </w:r>
      <w:r w:rsidRPr="00004362">
        <w:rPr>
          <w:rFonts w:ascii="Book Antiqua" w:hAnsi="Book Antiqua"/>
        </w:rPr>
        <w:t>: 406-414 [PMID: 34602905]</w:t>
      </w:r>
    </w:p>
    <w:p w14:paraId="6552BF34" w14:textId="0BF2903D"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19 </w:t>
      </w:r>
      <w:r w:rsidRPr="00004362">
        <w:rPr>
          <w:rFonts w:ascii="Book Antiqua" w:hAnsi="Book Antiqua"/>
          <w:b/>
          <w:bCs/>
        </w:rPr>
        <w:t>Ahmed W</w:t>
      </w:r>
      <w:r w:rsidRPr="00004362">
        <w:rPr>
          <w:rFonts w:ascii="Book Antiqua" w:hAnsi="Book Antiqua"/>
        </w:rPr>
        <w:t xml:space="preserve">, Galati J, Kumar A, Christos PJ, Longman R, Lukin DJ, Scherl E, Battat R. Dual Biologic or Small Molecule Therapy for Treatment of Inflammatory Bowel Disease: A Systematic Review and Meta-analysis. </w:t>
      </w:r>
      <w:r w:rsidRPr="00004362">
        <w:rPr>
          <w:rFonts w:ascii="Book Antiqua" w:hAnsi="Book Antiqua"/>
          <w:i/>
          <w:iCs/>
        </w:rPr>
        <w:t>Clin Gastroenterol Hepatol</w:t>
      </w:r>
      <w:r w:rsidRPr="00004362">
        <w:rPr>
          <w:rFonts w:ascii="Book Antiqua" w:hAnsi="Book Antiqua"/>
        </w:rPr>
        <w:t xml:space="preserve"> 2022; </w:t>
      </w:r>
      <w:r w:rsidRPr="00004362">
        <w:rPr>
          <w:rFonts w:ascii="Book Antiqua" w:hAnsi="Book Antiqua"/>
          <w:b/>
          <w:bCs/>
        </w:rPr>
        <w:t>20</w:t>
      </w:r>
      <w:r w:rsidRPr="00004362">
        <w:rPr>
          <w:rFonts w:ascii="Book Antiqua" w:hAnsi="Book Antiqua"/>
        </w:rPr>
        <w:t>: e361-e379 [PMID: 33798711 DOI: 10.1016/j.cgh.2021.03.034]</w:t>
      </w:r>
    </w:p>
    <w:p w14:paraId="327E2B52" w14:textId="3295EDE2"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20 </w:t>
      </w:r>
      <w:r w:rsidRPr="00004362">
        <w:rPr>
          <w:rFonts w:ascii="Book Antiqua" w:hAnsi="Book Antiqua"/>
          <w:b/>
          <w:bCs/>
        </w:rPr>
        <w:t>Sands BE</w:t>
      </w:r>
      <w:r w:rsidRPr="00004362">
        <w:rPr>
          <w:rFonts w:ascii="Book Antiqua" w:hAnsi="Book Antiqua"/>
        </w:rPr>
        <w:t xml:space="preserve">, Kozarek R, Spainhour J, Barish CF, Becker S, Goldberg L, Katz S, Goldblum R, Harrigan R, Hilton D, Hanauer SB. Safety and tolerability of concurrent natalizumab treatment for patients with Crohn's disease not in remission while receiving infliximab. </w:t>
      </w:r>
      <w:r w:rsidRPr="00004362">
        <w:rPr>
          <w:rFonts w:ascii="Book Antiqua" w:hAnsi="Book Antiqua"/>
          <w:i/>
          <w:iCs/>
        </w:rPr>
        <w:t>Inflamm Bowel Dis</w:t>
      </w:r>
      <w:r w:rsidRPr="00004362">
        <w:rPr>
          <w:rFonts w:ascii="Book Antiqua" w:hAnsi="Book Antiqua"/>
        </w:rPr>
        <w:t xml:space="preserve"> 2007; </w:t>
      </w:r>
      <w:r w:rsidRPr="00004362">
        <w:rPr>
          <w:rFonts w:ascii="Book Antiqua" w:hAnsi="Book Antiqua"/>
          <w:b/>
          <w:bCs/>
        </w:rPr>
        <w:t>13</w:t>
      </w:r>
      <w:r w:rsidRPr="00004362">
        <w:rPr>
          <w:rFonts w:ascii="Book Antiqua" w:hAnsi="Book Antiqua"/>
        </w:rPr>
        <w:t>: 2-11 [PMID: 17206633 DOI: 10.1002/ibd.20014]</w:t>
      </w:r>
    </w:p>
    <w:p w14:paraId="2D50C52D" w14:textId="06F10AAF"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21 </w:t>
      </w:r>
      <w:r w:rsidRPr="00004362">
        <w:rPr>
          <w:rFonts w:ascii="Book Antiqua" w:hAnsi="Book Antiqua"/>
          <w:b/>
          <w:bCs/>
        </w:rPr>
        <w:t>Colombel JF</w:t>
      </w:r>
      <w:r w:rsidRPr="00004362">
        <w:rPr>
          <w:rFonts w:ascii="Book Antiqua" w:hAnsi="Book Antiqua"/>
        </w:rPr>
        <w:t xml:space="preserve">, Sandborn WJ, Reinisch W, Mantzaris GJ, Kornbluth A, Rachmilewitz D, Lichtiger S, D'Haens G, Diamond RH, Broussard DL, Tang KL, van der Woude CJ, Rutgeerts P; SONIC Study Group. Infliximab, azathioprine, or combination therapy for Crohn's disease. </w:t>
      </w:r>
      <w:r w:rsidRPr="00004362">
        <w:rPr>
          <w:rFonts w:ascii="Book Antiqua" w:hAnsi="Book Antiqua"/>
          <w:i/>
          <w:iCs/>
        </w:rPr>
        <w:t>N Engl J Med</w:t>
      </w:r>
      <w:r w:rsidRPr="00004362">
        <w:rPr>
          <w:rFonts w:ascii="Book Antiqua" w:hAnsi="Book Antiqua"/>
        </w:rPr>
        <w:t xml:space="preserve"> 2010; </w:t>
      </w:r>
      <w:r w:rsidRPr="00004362">
        <w:rPr>
          <w:rFonts w:ascii="Book Antiqua" w:hAnsi="Book Antiqua"/>
          <w:b/>
          <w:bCs/>
        </w:rPr>
        <w:t>362</w:t>
      </w:r>
      <w:r w:rsidRPr="00004362">
        <w:rPr>
          <w:rFonts w:ascii="Book Antiqua" w:hAnsi="Book Antiqua"/>
        </w:rPr>
        <w:t>: 1383-1395 [PMID: 20393175 DOI: 10.1056/NEJMoa0904492]</w:t>
      </w:r>
    </w:p>
    <w:p w14:paraId="0EA927C4" w14:textId="518CF07B"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22 </w:t>
      </w:r>
      <w:r w:rsidRPr="00004362">
        <w:rPr>
          <w:rFonts w:ascii="Book Antiqua" w:hAnsi="Book Antiqua"/>
          <w:b/>
          <w:bCs/>
        </w:rPr>
        <w:t>Buer LCT</w:t>
      </w:r>
      <w:r w:rsidRPr="00004362">
        <w:rPr>
          <w:rFonts w:ascii="Book Antiqua" w:hAnsi="Book Antiqua"/>
        </w:rPr>
        <w:t xml:space="preserve">, Høivik ML, Warren DJ, Medhus AW, Moum BA. Combining Anti-TNF-α and Vedolizumab in the Treatment of Inflammatory Bowel Disease: A Case Series. </w:t>
      </w:r>
      <w:r w:rsidRPr="00004362">
        <w:rPr>
          <w:rFonts w:ascii="Book Antiqua" w:hAnsi="Book Antiqua"/>
          <w:i/>
          <w:iCs/>
        </w:rPr>
        <w:t>Inflamm Bowel Dis</w:t>
      </w:r>
      <w:r w:rsidRPr="00004362">
        <w:rPr>
          <w:rFonts w:ascii="Book Antiqua" w:hAnsi="Book Antiqua"/>
        </w:rPr>
        <w:t xml:space="preserve"> 2018; </w:t>
      </w:r>
      <w:r w:rsidRPr="00004362">
        <w:rPr>
          <w:rFonts w:ascii="Book Antiqua" w:hAnsi="Book Antiqua"/>
          <w:b/>
          <w:bCs/>
        </w:rPr>
        <w:t>24</w:t>
      </w:r>
      <w:r w:rsidRPr="00004362">
        <w:rPr>
          <w:rFonts w:ascii="Book Antiqua" w:hAnsi="Book Antiqua"/>
        </w:rPr>
        <w:t>: 997-1004 [PMID: 29668901 DOI: 10.1093/ibd/izx110]</w:t>
      </w:r>
    </w:p>
    <w:p w14:paraId="0A674A92" w14:textId="2EF1A7C8"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23 </w:t>
      </w:r>
      <w:r w:rsidRPr="00004362">
        <w:rPr>
          <w:rFonts w:ascii="Book Antiqua" w:hAnsi="Book Antiqua"/>
          <w:b/>
          <w:bCs/>
        </w:rPr>
        <w:t>Mao EJ</w:t>
      </w:r>
      <w:r w:rsidRPr="00004362">
        <w:rPr>
          <w:rFonts w:ascii="Book Antiqua" w:hAnsi="Book Antiqua"/>
        </w:rPr>
        <w:t xml:space="preserve">, Lewin S, Terdiman JP, Beck K. Safety of dual biological therapy in Crohn's disease: a case series of vedolizumab in combination with other biologics. </w:t>
      </w:r>
      <w:r w:rsidRPr="00004362">
        <w:rPr>
          <w:rFonts w:ascii="Book Antiqua" w:hAnsi="Book Antiqua"/>
          <w:i/>
          <w:iCs/>
        </w:rPr>
        <w:t>BMJ Open Gastroenterol</w:t>
      </w:r>
      <w:r w:rsidRPr="00004362">
        <w:rPr>
          <w:rFonts w:ascii="Book Antiqua" w:hAnsi="Book Antiqua"/>
        </w:rPr>
        <w:t xml:space="preserve"> 2018; </w:t>
      </w:r>
      <w:r w:rsidRPr="00004362">
        <w:rPr>
          <w:rFonts w:ascii="Book Antiqua" w:hAnsi="Book Antiqua"/>
          <w:b/>
          <w:bCs/>
        </w:rPr>
        <w:t>5</w:t>
      </w:r>
      <w:r w:rsidRPr="00004362">
        <w:rPr>
          <w:rFonts w:ascii="Book Antiqua" w:hAnsi="Book Antiqua"/>
        </w:rPr>
        <w:t>: e000243 [PMID: 30538822 DOI: 10.1136/bmjgast-2018-000243]</w:t>
      </w:r>
    </w:p>
    <w:p w14:paraId="37A477A4" w14:textId="42C85F04"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24 </w:t>
      </w:r>
      <w:r w:rsidRPr="00004362">
        <w:rPr>
          <w:rFonts w:ascii="Book Antiqua" w:hAnsi="Book Antiqua"/>
          <w:b/>
          <w:bCs/>
        </w:rPr>
        <w:t>Kwapisz L</w:t>
      </w:r>
      <w:r w:rsidRPr="00004362">
        <w:rPr>
          <w:rFonts w:ascii="Book Antiqua" w:hAnsi="Book Antiqua"/>
        </w:rPr>
        <w:t xml:space="preserve">, Raffals LE, Bruining DH, Pardi DS, Tremaine WJ, Kane SV, Papadakis KA, Coelho-Prabhu N, Kisiel JB, Heron V, Faubion WA, Loftus EV Jr. Combination Biologic Therapy in Inflammatory Bowel Disease: Experience From a Tertiary Care Center. </w:t>
      </w:r>
      <w:r w:rsidRPr="00004362">
        <w:rPr>
          <w:rFonts w:ascii="Book Antiqua" w:hAnsi="Book Antiqua"/>
          <w:i/>
          <w:iCs/>
        </w:rPr>
        <w:t>Clin Gastroenterol Hepatol</w:t>
      </w:r>
      <w:r w:rsidRPr="00004362">
        <w:rPr>
          <w:rFonts w:ascii="Book Antiqua" w:hAnsi="Book Antiqua"/>
        </w:rPr>
        <w:t xml:space="preserve"> 2021; </w:t>
      </w:r>
      <w:r w:rsidRPr="00004362">
        <w:rPr>
          <w:rFonts w:ascii="Book Antiqua" w:hAnsi="Book Antiqua"/>
          <w:b/>
          <w:bCs/>
        </w:rPr>
        <w:t>19</w:t>
      </w:r>
      <w:r w:rsidRPr="00004362">
        <w:rPr>
          <w:rFonts w:ascii="Book Antiqua" w:hAnsi="Book Antiqua"/>
        </w:rPr>
        <w:t>: 616-617 [PMID: 32068149 DOI: 10.1016/j.cgh.2020.02.017]</w:t>
      </w:r>
    </w:p>
    <w:p w14:paraId="3B8E95B0" w14:textId="1F24F631"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25 </w:t>
      </w:r>
      <w:r w:rsidRPr="00004362">
        <w:rPr>
          <w:rFonts w:ascii="Book Antiqua" w:hAnsi="Book Antiqua"/>
          <w:b/>
          <w:bCs/>
        </w:rPr>
        <w:t>Olbjørn C</w:t>
      </w:r>
      <w:r w:rsidRPr="00004362">
        <w:rPr>
          <w:rFonts w:ascii="Book Antiqua" w:hAnsi="Book Antiqua"/>
        </w:rPr>
        <w:t xml:space="preserve">, Rove JB, Jahnsen J. Combination of Biological Agents in Moderate to Severe Pediatric Inflammatory Bowel Disease: A Case Series and Review of the Literature. </w:t>
      </w:r>
      <w:r w:rsidRPr="00004362">
        <w:rPr>
          <w:rFonts w:ascii="Book Antiqua" w:hAnsi="Book Antiqua"/>
          <w:i/>
          <w:iCs/>
        </w:rPr>
        <w:t>Paediatr Drugs</w:t>
      </w:r>
      <w:r w:rsidRPr="00004362">
        <w:rPr>
          <w:rFonts w:ascii="Book Antiqua" w:hAnsi="Book Antiqua"/>
        </w:rPr>
        <w:t xml:space="preserve"> 2020; </w:t>
      </w:r>
      <w:r w:rsidRPr="00004362">
        <w:rPr>
          <w:rFonts w:ascii="Book Antiqua" w:hAnsi="Book Antiqua"/>
          <w:b/>
          <w:bCs/>
        </w:rPr>
        <w:t>22</w:t>
      </w:r>
      <w:r w:rsidRPr="00004362">
        <w:rPr>
          <w:rFonts w:ascii="Book Antiqua" w:hAnsi="Book Antiqua"/>
        </w:rPr>
        <w:t>: 409-416 [PMID: 32378002 DOI: 10.1007/s40272-020-00396-1]</w:t>
      </w:r>
    </w:p>
    <w:p w14:paraId="681142DF" w14:textId="3FF2162A"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lastRenderedPageBreak/>
        <w:t xml:space="preserve">26 </w:t>
      </w:r>
      <w:r w:rsidRPr="00004362">
        <w:rPr>
          <w:rFonts w:ascii="Book Antiqua" w:hAnsi="Book Antiqua"/>
          <w:b/>
          <w:bCs/>
        </w:rPr>
        <w:t>Fumery M</w:t>
      </w:r>
      <w:r w:rsidRPr="00004362">
        <w:rPr>
          <w:rFonts w:ascii="Book Antiqua" w:hAnsi="Book Antiqua"/>
        </w:rPr>
        <w:t xml:space="preserve">, Yzet C, Brazier F. Letter: combination of biologics in inflammatory bowel diseases. </w:t>
      </w:r>
      <w:r w:rsidRPr="00004362">
        <w:rPr>
          <w:rFonts w:ascii="Book Antiqua" w:hAnsi="Book Antiqua"/>
          <w:i/>
          <w:iCs/>
        </w:rPr>
        <w:t>Aliment Pharmacol Ther</w:t>
      </w:r>
      <w:r w:rsidRPr="00004362">
        <w:rPr>
          <w:rFonts w:ascii="Book Antiqua" w:hAnsi="Book Antiqua"/>
        </w:rPr>
        <w:t xml:space="preserve"> 2020; </w:t>
      </w:r>
      <w:r w:rsidRPr="00004362">
        <w:rPr>
          <w:rFonts w:ascii="Book Antiqua" w:hAnsi="Book Antiqua"/>
          <w:b/>
          <w:bCs/>
        </w:rPr>
        <w:t>52</w:t>
      </w:r>
      <w:r w:rsidRPr="00004362">
        <w:rPr>
          <w:rFonts w:ascii="Book Antiqua" w:hAnsi="Book Antiqua"/>
        </w:rPr>
        <w:t>: 566-567 [PMID: 32656825 DOI: 10.1111/apt.15891]</w:t>
      </w:r>
    </w:p>
    <w:p w14:paraId="793F5F37" w14:textId="6417FFFB"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27 </w:t>
      </w:r>
      <w:r w:rsidRPr="00004362">
        <w:rPr>
          <w:rFonts w:ascii="Book Antiqua" w:hAnsi="Book Antiqua"/>
          <w:b/>
          <w:bCs/>
        </w:rPr>
        <w:t>Glassner K</w:t>
      </w:r>
      <w:r w:rsidRPr="00004362">
        <w:rPr>
          <w:rFonts w:ascii="Book Antiqua" w:hAnsi="Book Antiqua"/>
        </w:rPr>
        <w:t xml:space="preserve">, Oglat A, Duran A, Koduru P, Perry C, Wilhite A, Abraham BP. The use of combination biological or small molecule therapy in inflammatory bowel disease: A retrospective cohort study. </w:t>
      </w:r>
      <w:r w:rsidRPr="00004362">
        <w:rPr>
          <w:rFonts w:ascii="Book Antiqua" w:hAnsi="Book Antiqua"/>
          <w:i/>
          <w:iCs/>
        </w:rPr>
        <w:t>J Dig Dis</w:t>
      </w:r>
      <w:r w:rsidRPr="00004362">
        <w:rPr>
          <w:rFonts w:ascii="Book Antiqua" w:hAnsi="Book Antiqua"/>
        </w:rPr>
        <w:t xml:space="preserve"> 2020; </w:t>
      </w:r>
      <w:r w:rsidRPr="00004362">
        <w:rPr>
          <w:rFonts w:ascii="Book Antiqua" w:hAnsi="Book Antiqua"/>
          <w:b/>
          <w:bCs/>
        </w:rPr>
        <w:t>21</w:t>
      </w:r>
      <w:r w:rsidRPr="00004362">
        <w:rPr>
          <w:rFonts w:ascii="Book Antiqua" w:hAnsi="Book Antiqua"/>
        </w:rPr>
        <w:t>: 264-271 [PMID: 32324969 DOI: 10.1111/1751-2980.12867]</w:t>
      </w:r>
    </w:p>
    <w:p w14:paraId="0F34CB00" w14:textId="4CF612A1"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28 </w:t>
      </w:r>
      <w:r w:rsidRPr="00004362">
        <w:rPr>
          <w:rFonts w:ascii="Book Antiqua" w:hAnsi="Book Antiqua"/>
          <w:b/>
          <w:bCs/>
        </w:rPr>
        <w:t>Privitera G</w:t>
      </w:r>
      <w:r w:rsidRPr="00004362">
        <w:rPr>
          <w:rFonts w:ascii="Book Antiqua" w:hAnsi="Book Antiqua"/>
        </w:rPr>
        <w:t xml:space="preserve">, Onali S, Pugliese D, Renna S, Savarino E, Viola A, Ribaldone DG, Buda A, Bezzio C, Fiorino G, Fantini MC, Scaldaferri F, Guidi L, Danese S, Gasbarrini A, Orlando A, Armuzzi A. Dual Targeted Therapy: a possible option for the management of refractory Inflammatory Bowel Disease. </w:t>
      </w:r>
      <w:r w:rsidRPr="00004362">
        <w:rPr>
          <w:rFonts w:ascii="Book Antiqua" w:hAnsi="Book Antiqua"/>
          <w:i/>
          <w:iCs/>
        </w:rPr>
        <w:t>J Crohns Colitis</w:t>
      </w:r>
      <w:r w:rsidRPr="00004362">
        <w:rPr>
          <w:rFonts w:ascii="Book Antiqua" w:hAnsi="Book Antiqua"/>
        </w:rPr>
        <w:t xml:space="preserve"> 2020 [PMID: 32674156 DOI: 10.1093/ecco-jcc/jjaa149]</w:t>
      </w:r>
    </w:p>
    <w:p w14:paraId="775C88CD" w14:textId="4A29D1B7"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29 </w:t>
      </w:r>
      <w:r w:rsidRPr="00004362">
        <w:rPr>
          <w:rFonts w:ascii="Book Antiqua" w:hAnsi="Book Antiqua"/>
          <w:b/>
          <w:bCs/>
        </w:rPr>
        <w:t>Yang E</w:t>
      </w:r>
      <w:r w:rsidRPr="00004362">
        <w:rPr>
          <w:rFonts w:ascii="Book Antiqua" w:hAnsi="Book Antiqua"/>
        </w:rPr>
        <w:t xml:space="preserve">, Panaccione N, Whitmire N, Dulai PS, Vande Casteele N, Singh S, Boland BS, Collins A, Sandborn WJ, Panaccione R, Battat R. Efficacy and safety of simultaneous treatment with two biologic medications in refractory Crohn's disease. </w:t>
      </w:r>
      <w:r w:rsidRPr="00004362">
        <w:rPr>
          <w:rFonts w:ascii="Book Antiqua" w:hAnsi="Book Antiqua"/>
          <w:i/>
          <w:iCs/>
        </w:rPr>
        <w:t>Aliment Pharmacol Ther</w:t>
      </w:r>
      <w:r w:rsidRPr="00004362">
        <w:rPr>
          <w:rFonts w:ascii="Book Antiqua" w:hAnsi="Book Antiqua"/>
        </w:rPr>
        <w:t xml:space="preserve"> 2020; </w:t>
      </w:r>
      <w:r w:rsidRPr="00004362">
        <w:rPr>
          <w:rFonts w:ascii="Book Antiqua" w:hAnsi="Book Antiqua"/>
          <w:b/>
          <w:bCs/>
        </w:rPr>
        <w:t>51</w:t>
      </w:r>
      <w:r w:rsidRPr="00004362">
        <w:rPr>
          <w:rFonts w:ascii="Book Antiqua" w:hAnsi="Book Antiqua"/>
        </w:rPr>
        <w:t>: 1031-1038 [PMID: 32329532 DOI: 10.1111/apt.15719]</w:t>
      </w:r>
    </w:p>
    <w:p w14:paraId="33F91D74" w14:textId="2A3792E1"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30 </w:t>
      </w:r>
      <w:r w:rsidRPr="00004362">
        <w:rPr>
          <w:rFonts w:ascii="Book Antiqua" w:hAnsi="Book Antiqua"/>
          <w:b/>
          <w:bCs/>
        </w:rPr>
        <w:t>Alayo QA</w:t>
      </w:r>
      <w:r w:rsidRPr="00004362">
        <w:rPr>
          <w:rFonts w:ascii="Book Antiqua" w:hAnsi="Book Antiqua"/>
        </w:rPr>
        <w:t xml:space="preserve">, Khatiwada A, Patel A, Zulfiqar M, Gremida A, Gutierrez A, Rood RP, Ciorba MA, Christophi G, Deepak P. Effectiveness and Safety of Combining Tofacitinib With a Biologic in Patients With Refractory Inflammatory Bowel Diseases. </w:t>
      </w:r>
      <w:r w:rsidRPr="00004362">
        <w:rPr>
          <w:rFonts w:ascii="Book Antiqua" w:hAnsi="Book Antiqua"/>
          <w:i/>
          <w:iCs/>
        </w:rPr>
        <w:t>Inflamm Bowel Dis</w:t>
      </w:r>
      <w:r w:rsidRPr="00004362">
        <w:rPr>
          <w:rFonts w:ascii="Book Antiqua" w:hAnsi="Book Antiqua"/>
        </w:rPr>
        <w:t xml:space="preserve"> 2021; </w:t>
      </w:r>
      <w:r w:rsidRPr="00004362">
        <w:rPr>
          <w:rFonts w:ascii="Book Antiqua" w:hAnsi="Book Antiqua"/>
          <w:b/>
          <w:bCs/>
        </w:rPr>
        <w:t>27</w:t>
      </w:r>
      <w:r w:rsidRPr="00004362">
        <w:rPr>
          <w:rFonts w:ascii="Book Antiqua" w:hAnsi="Book Antiqua"/>
        </w:rPr>
        <w:t>: 1698-1702 [PMID: 34037225 DOI: 10.1093/ibd/izab112]</w:t>
      </w:r>
    </w:p>
    <w:p w14:paraId="76EBC414" w14:textId="36FD3D76"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31 </w:t>
      </w:r>
      <w:r w:rsidRPr="00004362">
        <w:rPr>
          <w:rFonts w:ascii="Book Antiqua" w:hAnsi="Book Antiqua"/>
          <w:b/>
          <w:bCs/>
        </w:rPr>
        <w:t>Dolinger MT</w:t>
      </w:r>
      <w:r w:rsidRPr="00004362">
        <w:rPr>
          <w:rFonts w:ascii="Book Antiqua" w:hAnsi="Book Antiqua"/>
        </w:rPr>
        <w:t xml:space="preserve">, Spencer EA, Lai J, Dunkin D, Dubinsky MC. Dual Biologic and Small Molecule Therapy for the Treatment of Refractory Pediatric Inflammatory Bowel Disease. </w:t>
      </w:r>
      <w:r w:rsidRPr="00004362">
        <w:rPr>
          <w:rFonts w:ascii="Book Antiqua" w:hAnsi="Book Antiqua"/>
          <w:i/>
          <w:iCs/>
        </w:rPr>
        <w:t>Inflamm Bowel Dis</w:t>
      </w:r>
      <w:r w:rsidRPr="00004362">
        <w:rPr>
          <w:rFonts w:ascii="Book Antiqua" w:hAnsi="Book Antiqua"/>
        </w:rPr>
        <w:t xml:space="preserve"> 2021; </w:t>
      </w:r>
      <w:r w:rsidRPr="00004362">
        <w:rPr>
          <w:rFonts w:ascii="Book Antiqua" w:hAnsi="Book Antiqua"/>
          <w:b/>
          <w:bCs/>
        </w:rPr>
        <w:t>27</w:t>
      </w:r>
      <w:r w:rsidRPr="00004362">
        <w:rPr>
          <w:rFonts w:ascii="Book Antiqua" w:hAnsi="Book Antiqua"/>
        </w:rPr>
        <w:t>: 1210-1214 [PMID: 33125058 DOI: 10.1093/ibd/izaa277]</w:t>
      </w:r>
    </w:p>
    <w:p w14:paraId="4DCE2468" w14:textId="2FABE226"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32 </w:t>
      </w:r>
      <w:r w:rsidRPr="00004362">
        <w:rPr>
          <w:rFonts w:ascii="Book Antiqua" w:hAnsi="Book Antiqua"/>
          <w:b/>
          <w:bCs/>
        </w:rPr>
        <w:t>Llano EM,</w:t>
      </w:r>
      <w:r w:rsidRPr="00004362">
        <w:rPr>
          <w:rFonts w:ascii="Book Antiqua" w:hAnsi="Book Antiqua"/>
        </w:rPr>
        <w:t xml:space="preserve"> Shrestha S, Burstein E, Boktor M, Fudman DI. Favorable outcomes combining vedolizumab with other biologics or tofacitinib for treatment of inflammatory bowel disease. </w:t>
      </w:r>
      <w:r w:rsidR="00B03C5A" w:rsidRPr="00004362">
        <w:rPr>
          <w:rFonts w:ascii="Book Antiqua" w:hAnsi="Book Antiqua"/>
          <w:i/>
          <w:iCs/>
        </w:rPr>
        <w:t>Crohns Colitis 360</w:t>
      </w:r>
      <w:r w:rsidRPr="00004362">
        <w:rPr>
          <w:rFonts w:ascii="Book Antiqua" w:hAnsi="Book Antiqua"/>
        </w:rPr>
        <w:t xml:space="preserve"> 2021; </w:t>
      </w:r>
      <w:r w:rsidRPr="00004362">
        <w:rPr>
          <w:rFonts w:ascii="Book Antiqua" w:hAnsi="Book Antiqua"/>
          <w:b/>
          <w:bCs/>
        </w:rPr>
        <w:t>3</w:t>
      </w:r>
      <w:r w:rsidRPr="00004362">
        <w:rPr>
          <w:rFonts w:ascii="Book Antiqua" w:hAnsi="Book Antiqua"/>
        </w:rPr>
        <w:t xml:space="preserve">: otab030 [DOI: </w:t>
      </w:r>
      <w:r w:rsidR="00B03C5A" w:rsidRPr="00004362">
        <w:rPr>
          <w:rFonts w:ascii="Book Antiqua" w:hAnsi="Book Antiqua"/>
        </w:rPr>
        <w:t>10.1093/crocol/otab030</w:t>
      </w:r>
      <w:r w:rsidRPr="00004362">
        <w:rPr>
          <w:rFonts w:ascii="Book Antiqua" w:hAnsi="Book Antiqua"/>
        </w:rPr>
        <w:t>]</w:t>
      </w:r>
    </w:p>
    <w:p w14:paraId="78578E42" w14:textId="20D128EA"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33 </w:t>
      </w:r>
      <w:r w:rsidRPr="00004362">
        <w:rPr>
          <w:rFonts w:ascii="Book Antiqua" w:hAnsi="Book Antiqua"/>
          <w:b/>
          <w:bCs/>
        </w:rPr>
        <w:t>Goessens L</w:t>
      </w:r>
      <w:r w:rsidRPr="00004362">
        <w:rPr>
          <w:rFonts w:ascii="Book Antiqua" w:hAnsi="Book Antiqua"/>
        </w:rPr>
        <w:t xml:space="preserve">, Colombel JF, Outtier A, Ferrante M, Sabino J, Judge C, Saeidi R, Rabbitt L, Armuzzi A, Domenech E, Michalopoulos G, Cremer A, García-Alonso FJ, Molnar T, Karmiris K, Gecse K, Van Oostrom J, Löwenberg M, Farkas K, Atreya R, Ribaldone DG, </w:t>
      </w:r>
      <w:r w:rsidRPr="00004362">
        <w:rPr>
          <w:rFonts w:ascii="Book Antiqua" w:hAnsi="Book Antiqua"/>
        </w:rPr>
        <w:lastRenderedPageBreak/>
        <w:t xml:space="preserve">Selinger C, Hoentjen F, Bihin B, Sebastian S; European COMBIO study group, Rahier JF. Safety and efficacy of combining biologics or small molecules for inflammatory bowel disease or immune-mediated inflammatory diseases: A European retrospective observational study. </w:t>
      </w:r>
      <w:r w:rsidRPr="00004362">
        <w:rPr>
          <w:rFonts w:ascii="Book Antiqua" w:hAnsi="Book Antiqua"/>
          <w:i/>
          <w:iCs/>
        </w:rPr>
        <w:t>United European Gastroenterol J</w:t>
      </w:r>
      <w:r w:rsidRPr="00004362">
        <w:rPr>
          <w:rFonts w:ascii="Book Antiqua" w:hAnsi="Book Antiqua"/>
        </w:rPr>
        <w:t xml:space="preserve"> 2021; </w:t>
      </w:r>
      <w:r w:rsidRPr="00004362">
        <w:rPr>
          <w:rFonts w:ascii="Book Antiqua" w:hAnsi="Book Antiqua"/>
          <w:b/>
          <w:bCs/>
        </w:rPr>
        <w:t>9</w:t>
      </w:r>
      <w:r w:rsidRPr="00004362">
        <w:rPr>
          <w:rFonts w:ascii="Book Antiqua" w:hAnsi="Book Antiqua"/>
        </w:rPr>
        <w:t>: 1136-1147 [PMID: 34694746 DOI: 10.1002/ueg2.12170]</w:t>
      </w:r>
    </w:p>
    <w:p w14:paraId="51F96A12" w14:textId="1F6D9406"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34 </w:t>
      </w:r>
      <w:r w:rsidRPr="00004362">
        <w:rPr>
          <w:rFonts w:ascii="Book Antiqua" w:hAnsi="Book Antiqua"/>
          <w:b/>
          <w:bCs/>
        </w:rPr>
        <w:t>Howard G</w:t>
      </w:r>
      <w:r w:rsidRPr="00004362">
        <w:rPr>
          <w:rFonts w:ascii="Book Antiqua" w:hAnsi="Book Antiqua"/>
        </w:rPr>
        <w:t xml:space="preserve">, Weiner D, Bar-Or I, Levine A. Dual biologic therapy with Vedolizumab and Ustekinumab for refractory Crohn's disease in children. </w:t>
      </w:r>
      <w:r w:rsidRPr="00004362">
        <w:rPr>
          <w:rFonts w:ascii="Book Antiqua" w:hAnsi="Book Antiqua"/>
          <w:i/>
          <w:iCs/>
        </w:rPr>
        <w:t>Eur J Gastroenterol Hepatol</w:t>
      </w:r>
      <w:r w:rsidRPr="00004362">
        <w:rPr>
          <w:rFonts w:ascii="Book Antiqua" w:hAnsi="Book Antiqua"/>
        </w:rPr>
        <w:t xml:space="preserve"> 2022; </w:t>
      </w:r>
      <w:r w:rsidRPr="00004362">
        <w:rPr>
          <w:rFonts w:ascii="Book Antiqua" w:hAnsi="Book Antiqua"/>
          <w:b/>
          <w:bCs/>
        </w:rPr>
        <w:t>34</w:t>
      </w:r>
      <w:r w:rsidRPr="00004362">
        <w:rPr>
          <w:rFonts w:ascii="Book Antiqua" w:hAnsi="Book Antiqua"/>
        </w:rPr>
        <w:t>: 372-374 [PMID: 34034281 DOI: 10.1097/MEG.0000000000002203]</w:t>
      </w:r>
    </w:p>
    <w:p w14:paraId="68670430" w14:textId="3382682A"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35 </w:t>
      </w:r>
      <w:r w:rsidRPr="00004362">
        <w:rPr>
          <w:rFonts w:ascii="Book Antiqua" w:hAnsi="Book Antiqua"/>
          <w:b/>
          <w:bCs/>
        </w:rPr>
        <w:t>Lee SD</w:t>
      </w:r>
      <w:r w:rsidRPr="00004362">
        <w:rPr>
          <w:rFonts w:ascii="Book Antiqua" w:hAnsi="Book Antiqua"/>
        </w:rPr>
        <w:t xml:space="preserve">, Singla A, Harper J, Barahimi M, Jacobs J, Kamp KJ, Clark-Snustad KD. Safety and Efficacy of Tofacitinib in Combination With Biologic Therapy for Refractory Crohn's Disease. </w:t>
      </w:r>
      <w:r w:rsidRPr="00004362">
        <w:rPr>
          <w:rFonts w:ascii="Book Antiqua" w:hAnsi="Book Antiqua"/>
          <w:i/>
          <w:iCs/>
        </w:rPr>
        <w:t>Inflamm Bowel Dis</w:t>
      </w:r>
      <w:r w:rsidRPr="00004362">
        <w:rPr>
          <w:rFonts w:ascii="Book Antiqua" w:hAnsi="Book Antiqua"/>
        </w:rPr>
        <w:t xml:space="preserve"> 2022; </w:t>
      </w:r>
      <w:r w:rsidRPr="00004362">
        <w:rPr>
          <w:rFonts w:ascii="Book Antiqua" w:hAnsi="Book Antiqua"/>
          <w:b/>
          <w:bCs/>
        </w:rPr>
        <w:t>28</w:t>
      </w:r>
      <w:r w:rsidRPr="00004362">
        <w:rPr>
          <w:rFonts w:ascii="Book Antiqua" w:hAnsi="Book Antiqua"/>
        </w:rPr>
        <w:t>: 309-313 [PMID: 34347103 DOI: 10.1093/ibd/izab176]</w:t>
      </w:r>
    </w:p>
    <w:p w14:paraId="5318827F" w14:textId="08D5D1F4"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36 </w:t>
      </w:r>
      <w:r w:rsidRPr="00004362">
        <w:rPr>
          <w:rFonts w:ascii="Book Antiqua" w:hAnsi="Book Antiqua"/>
          <w:b/>
          <w:bCs/>
        </w:rPr>
        <w:t>Ribaldone DG</w:t>
      </w:r>
      <w:r w:rsidRPr="00004362">
        <w:rPr>
          <w:rFonts w:ascii="Book Antiqua" w:hAnsi="Book Antiqua"/>
        </w:rPr>
        <w:t xml:space="preserve">, Pellicano R, Vernero M, Caviglia GP, Saracco GM, Morino M, Astegiano M. Dual biological therapy with anti-TNF, vedolizumab or ustekinumab in inflammatory bowel disease: a systematic review with pool analysis. </w:t>
      </w:r>
      <w:r w:rsidRPr="00004362">
        <w:rPr>
          <w:rFonts w:ascii="Book Antiqua" w:hAnsi="Book Antiqua"/>
          <w:i/>
          <w:iCs/>
        </w:rPr>
        <w:t>Scand J Gastroenterol</w:t>
      </w:r>
      <w:r w:rsidRPr="00004362">
        <w:rPr>
          <w:rFonts w:ascii="Book Antiqua" w:hAnsi="Book Antiqua"/>
        </w:rPr>
        <w:t xml:space="preserve"> 2019; </w:t>
      </w:r>
      <w:r w:rsidRPr="00004362">
        <w:rPr>
          <w:rFonts w:ascii="Book Antiqua" w:hAnsi="Book Antiqua"/>
          <w:b/>
          <w:bCs/>
        </w:rPr>
        <w:t>54</w:t>
      </w:r>
      <w:r w:rsidRPr="00004362">
        <w:rPr>
          <w:rFonts w:ascii="Book Antiqua" w:hAnsi="Book Antiqua"/>
        </w:rPr>
        <w:t>: 407-413 [PMID: 30945576 DOI: 10.1080/00365521.2019.1597159]</w:t>
      </w:r>
    </w:p>
    <w:p w14:paraId="6E5332E7" w14:textId="30B680BF"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37 </w:t>
      </w:r>
      <w:r w:rsidRPr="00004362">
        <w:rPr>
          <w:rFonts w:ascii="Book Antiqua" w:hAnsi="Book Antiqua"/>
          <w:b/>
          <w:bCs/>
        </w:rPr>
        <w:t>Wlazło M</w:t>
      </w:r>
      <w:r w:rsidRPr="00004362">
        <w:rPr>
          <w:rFonts w:ascii="Book Antiqua" w:hAnsi="Book Antiqua"/>
        </w:rPr>
        <w:t xml:space="preserve">, Kierkuś J. Dual Biologic Therapy for the Treatment of Pediatric Inflammatory Bowel Disease: A Review of the Literature. </w:t>
      </w:r>
      <w:r w:rsidRPr="00004362">
        <w:rPr>
          <w:rFonts w:ascii="Book Antiqua" w:hAnsi="Book Antiqua"/>
          <w:i/>
          <w:iCs/>
        </w:rPr>
        <w:t>J Clin Med</w:t>
      </w:r>
      <w:r w:rsidRPr="00004362">
        <w:rPr>
          <w:rFonts w:ascii="Book Antiqua" w:hAnsi="Book Antiqua"/>
        </w:rPr>
        <w:t xml:space="preserve"> 2022; </w:t>
      </w:r>
      <w:r w:rsidRPr="00004362">
        <w:rPr>
          <w:rFonts w:ascii="Book Antiqua" w:hAnsi="Book Antiqua"/>
          <w:b/>
          <w:bCs/>
        </w:rPr>
        <w:t>11</w:t>
      </w:r>
      <w:r w:rsidRPr="00004362">
        <w:rPr>
          <w:rFonts w:ascii="Book Antiqua" w:hAnsi="Book Antiqua"/>
        </w:rPr>
        <w:t xml:space="preserve"> [PMID: 35407612 DOI: 10.3390/jcm11072004]</w:t>
      </w:r>
    </w:p>
    <w:p w14:paraId="08D4AFEC" w14:textId="7C023FB7"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38 </w:t>
      </w:r>
      <w:r w:rsidRPr="00004362">
        <w:rPr>
          <w:rFonts w:ascii="Book Antiqua" w:hAnsi="Book Antiqua"/>
          <w:b/>
          <w:bCs/>
        </w:rPr>
        <w:t>Wang Y</w:t>
      </w:r>
      <w:r w:rsidRPr="00004362">
        <w:rPr>
          <w:rFonts w:ascii="Book Antiqua" w:hAnsi="Book Antiqua"/>
        </w:rPr>
        <w:t xml:space="preserve">, Wang J, Pekow J, Dalal S, Cohen RD, Ollech J, Israel A, Shogan BD, Micic D, Cannon L, Umanskiy K, Hurst R, Hyman N, Rubin DT, Sakuraba A. Outcome of elective switching to vedolizumab in inflammatory bowel disease patients under tumor necrosis factor antagonist-maintained clinical remission. </w:t>
      </w:r>
      <w:r w:rsidRPr="00004362">
        <w:rPr>
          <w:rFonts w:ascii="Book Antiqua" w:hAnsi="Book Antiqua"/>
          <w:i/>
          <w:iCs/>
        </w:rPr>
        <w:t>J Gastroenterol Hepatol</w:t>
      </w:r>
      <w:r w:rsidRPr="00004362">
        <w:rPr>
          <w:rFonts w:ascii="Book Antiqua" w:hAnsi="Book Antiqua"/>
        </w:rPr>
        <w:t xml:space="preserve"> 2019; </w:t>
      </w:r>
      <w:r w:rsidRPr="00004362">
        <w:rPr>
          <w:rFonts w:ascii="Book Antiqua" w:hAnsi="Book Antiqua"/>
          <w:b/>
          <w:bCs/>
        </w:rPr>
        <w:t>34</w:t>
      </w:r>
      <w:r w:rsidRPr="00004362">
        <w:rPr>
          <w:rFonts w:ascii="Book Antiqua" w:hAnsi="Book Antiqua"/>
        </w:rPr>
        <w:t>: 2090-2095 [PMID: 31169926 DOI: 10.1111/jgh.14751]</w:t>
      </w:r>
    </w:p>
    <w:p w14:paraId="626DA8B4" w14:textId="39247AC5"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39 </w:t>
      </w:r>
      <w:r w:rsidRPr="00004362">
        <w:rPr>
          <w:rFonts w:ascii="Book Antiqua" w:hAnsi="Book Antiqua"/>
          <w:b/>
          <w:bCs/>
        </w:rPr>
        <w:t>Gubatan J</w:t>
      </w:r>
      <w:r w:rsidRPr="00004362">
        <w:rPr>
          <w:rFonts w:ascii="Book Antiqua" w:hAnsi="Book Antiqua"/>
        </w:rPr>
        <w:t xml:space="preserve">, Levitte S, Patel A, Balabanis T, Wei MT, Sinha SR. Artificial intelligence applications in inflammatory bowel disease: Emerging technologies and future directions. </w:t>
      </w:r>
      <w:r w:rsidRPr="00004362">
        <w:rPr>
          <w:rFonts w:ascii="Book Antiqua" w:hAnsi="Book Antiqua"/>
          <w:i/>
          <w:iCs/>
        </w:rPr>
        <w:t>World J Gastroenterol</w:t>
      </w:r>
      <w:r w:rsidRPr="00004362">
        <w:rPr>
          <w:rFonts w:ascii="Book Antiqua" w:hAnsi="Book Antiqua"/>
        </w:rPr>
        <w:t xml:space="preserve"> 2021; </w:t>
      </w:r>
      <w:r w:rsidRPr="00004362">
        <w:rPr>
          <w:rFonts w:ascii="Book Antiqua" w:hAnsi="Book Antiqua"/>
          <w:b/>
          <w:bCs/>
        </w:rPr>
        <w:t>27</w:t>
      </w:r>
      <w:r w:rsidRPr="00004362">
        <w:rPr>
          <w:rFonts w:ascii="Book Antiqua" w:hAnsi="Book Antiqua"/>
        </w:rPr>
        <w:t>: 1920-1935 [PMID: 34007130 DOI: 10.3748/wjg.v27.i17.1920]</w:t>
      </w:r>
    </w:p>
    <w:p w14:paraId="23EDF588" w14:textId="6C8201DB"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40 </w:t>
      </w:r>
      <w:r w:rsidRPr="00004362">
        <w:rPr>
          <w:rFonts w:ascii="Book Antiqua" w:hAnsi="Book Antiqua"/>
          <w:b/>
          <w:bCs/>
        </w:rPr>
        <w:t>Sazonovs A</w:t>
      </w:r>
      <w:r w:rsidRPr="00004362">
        <w:rPr>
          <w:rFonts w:ascii="Book Antiqua" w:hAnsi="Book Antiqua"/>
        </w:rPr>
        <w:t xml:space="preserve">, Kennedy NA, Moutsianas L, Heap GA, Rice DL, Reppell M, Bewshea CM, Chanchlani N, Walker GJ, Perry MH, McDonald TJ, Lees CW, Cummings JRF, Parkes M, Mansfield JC, Irving PM, Barrett JC, McGovern D, Goodhand JR, Anderson CA, Ahmad </w:t>
      </w:r>
      <w:r w:rsidRPr="00004362">
        <w:rPr>
          <w:rFonts w:ascii="Book Antiqua" w:hAnsi="Book Antiqua"/>
        </w:rPr>
        <w:lastRenderedPageBreak/>
        <w:t xml:space="preserve">T; PANTS Consortium. HLA-DQA1*05 Carriage Associated With Development of Anti-Drug Antibodies to Infliximab and Adalimumab in Patients With Crohn's Disease. </w:t>
      </w:r>
      <w:r w:rsidRPr="00004362">
        <w:rPr>
          <w:rFonts w:ascii="Book Antiqua" w:hAnsi="Book Antiqua"/>
          <w:i/>
          <w:iCs/>
        </w:rPr>
        <w:t>Gastroenterology</w:t>
      </w:r>
      <w:r w:rsidRPr="00004362">
        <w:rPr>
          <w:rFonts w:ascii="Book Antiqua" w:hAnsi="Book Antiqua"/>
        </w:rPr>
        <w:t xml:space="preserve"> 2020; </w:t>
      </w:r>
      <w:r w:rsidRPr="00004362">
        <w:rPr>
          <w:rFonts w:ascii="Book Antiqua" w:hAnsi="Book Antiqua"/>
          <w:b/>
          <w:bCs/>
        </w:rPr>
        <w:t>158</w:t>
      </w:r>
      <w:r w:rsidRPr="00004362">
        <w:rPr>
          <w:rFonts w:ascii="Book Antiqua" w:hAnsi="Book Antiqua"/>
        </w:rPr>
        <w:t>: 189-199 [PMID: 31600487 DOI: 10.1053/j.gastro.2019.09.041]</w:t>
      </w:r>
    </w:p>
    <w:p w14:paraId="7AF12AB5" w14:textId="45236175"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41 </w:t>
      </w:r>
      <w:r w:rsidRPr="00004362">
        <w:rPr>
          <w:rFonts w:ascii="Book Antiqua" w:hAnsi="Book Antiqua"/>
          <w:b/>
          <w:bCs/>
        </w:rPr>
        <w:t>Schmitt H</w:t>
      </w:r>
      <w:r w:rsidRPr="00004362">
        <w:rPr>
          <w:rFonts w:ascii="Book Antiqua" w:hAnsi="Book Antiqua"/>
        </w:rPr>
        <w:t xml:space="preserve">, Billmeier U, Dieterich W, Rath T, Sonnewald S, Reid S, Hirschmann S, Hildner K, Waldner MJ, Mudter J, Hartmann A, Grützmann R, Neufert C, Münster T, Neurath MF, Atreya R. Expansion of IL-23 receptor bearing TNFR2+ T cells is associated with molecular resistance to anti-TNF therapy in Crohn's disease. </w:t>
      </w:r>
      <w:r w:rsidRPr="00004362">
        <w:rPr>
          <w:rFonts w:ascii="Book Antiqua" w:hAnsi="Book Antiqua"/>
          <w:i/>
          <w:iCs/>
        </w:rPr>
        <w:t>Gut</w:t>
      </w:r>
      <w:r w:rsidRPr="00004362">
        <w:rPr>
          <w:rFonts w:ascii="Book Antiqua" w:hAnsi="Book Antiqua"/>
        </w:rPr>
        <w:t xml:space="preserve"> 2019; </w:t>
      </w:r>
      <w:r w:rsidRPr="00004362">
        <w:rPr>
          <w:rFonts w:ascii="Book Antiqua" w:hAnsi="Book Antiqua"/>
          <w:b/>
          <w:bCs/>
        </w:rPr>
        <w:t>68</w:t>
      </w:r>
      <w:r w:rsidRPr="00004362">
        <w:rPr>
          <w:rFonts w:ascii="Book Antiqua" w:hAnsi="Book Antiqua"/>
        </w:rPr>
        <w:t>: 814-828 [PMID: 29848778 DOI: 10.1136/gutjnl-2017-315671]</w:t>
      </w:r>
    </w:p>
    <w:p w14:paraId="11006CD3" w14:textId="4793869F"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42 Efficacy and Safety of Combination Induction Therapy With Guselkumab and Golimumab in Participants With Moderately to Severely Active Ulcerative Colitis: Results Through Week 12 of a Phase 2a Randomized, Double-Blind, Active-Controlled, Parallel-Group, Multicenter, Proof-of-Concept Study. </w:t>
      </w:r>
      <w:r w:rsidRPr="00004362">
        <w:rPr>
          <w:rFonts w:ascii="Book Antiqua" w:hAnsi="Book Antiqua"/>
          <w:i/>
          <w:iCs/>
        </w:rPr>
        <w:t>Gastroenterol Hepatol (N Y)</w:t>
      </w:r>
      <w:r w:rsidRPr="00004362">
        <w:rPr>
          <w:rFonts w:ascii="Book Antiqua" w:hAnsi="Book Antiqua"/>
        </w:rPr>
        <w:t xml:space="preserve"> 2022; </w:t>
      </w:r>
      <w:r w:rsidRPr="00004362">
        <w:rPr>
          <w:rFonts w:ascii="Book Antiqua" w:hAnsi="Book Antiqua"/>
          <w:b/>
          <w:bCs/>
        </w:rPr>
        <w:t>18</w:t>
      </w:r>
      <w:r w:rsidRPr="00004362">
        <w:rPr>
          <w:rFonts w:ascii="Book Antiqua" w:hAnsi="Book Antiqua"/>
        </w:rPr>
        <w:t>: 9-10 [PMID: 35610992]</w:t>
      </w:r>
    </w:p>
    <w:p w14:paraId="585B92EC" w14:textId="286A712D"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43 . A Study of Combination Therapy with Guselkumab and Golimumab in Participants with Moderately to Severely Active Ulcerative Colitis. [accessed 2022 Sept 10]. In: ClinicalTrials.gov [Internet]. Bethesda (MD): U.S. National Library of Medicine. Available from: http://clinicaltrials.gov/show/NCT05242484 ClinicalTrials.gov Identifier: NCT05242484</w:t>
      </w:r>
    </w:p>
    <w:p w14:paraId="4C205162" w14:textId="3D7154F3"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44 Triple Combination Therapy in High-Risk Crohn's Disease. [accessed 2022 Sept 10]. In: ClinicalTrials.gov [Internet]. Bethesda (MD): U.S. National Library of Medicine. Available from: http://clinicaltrials.gov/show/NCT02764762 ClinicalTrials.gov Identifier: NCT02764762</w:t>
      </w:r>
    </w:p>
    <w:p w14:paraId="0EDEFACA" w14:textId="151E0B47"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45 </w:t>
      </w:r>
      <w:r w:rsidRPr="00004362">
        <w:rPr>
          <w:rFonts w:ascii="Book Antiqua" w:hAnsi="Book Antiqua"/>
          <w:b/>
          <w:bCs/>
        </w:rPr>
        <w:t>Sandborn WJ</w:t>
      </w:r>
      <w:r w:rsidRPr="00004362">
        <w:rPr>
          <w:rFonts w:ascii="Book Antiqua" w:hAnsi="Book Antiqua"/>
        </w:rPr>
        <w:t xml:space="preserve">, D'Haens GR, Reinisch W, Panés J, Chan D, Gonzalez S, Weisel K, Germinaro M, Frustaci ME, Yang Z, Adedokun OJ, Han C, Panaccione R, Hisamatsu T, Danese S, Rubin DT, Sands BE, Afzali A, Andrews JM, Feagan BG; GALAXI-1 Investigators. Guselkumab for the Treatment of Crohn's Disease: Induction Results From the Phase 2 GALAXI-1 Study. </w:t>
      </w:r>
      <w:r w:rsidRPr="00004362">
        <w:rPr>
          <w:rFonts w:ascii="Book Antiqua" w:hAnsi="Book Antiqua"/>
          <w:i/>
          <w:iCs/>
        </w:rPr>
        <w:t>Gastroenterology</w:t>
      </w:r>
      <w:r w:rsidRPr="00004362">
        <w:rPr>
          <w:rFonts w:ascii="Book Antiqua" w:hAnsi="Book Antiqua"/>
        </w:rPr>
        <w:t xml:space="preserve"> 2022; </w:t>
      </w:r>
      <w:r w:rsidRPr="00004362">
        <w:rPr>
          <w:rFonts w:ascii="Book Antiqua" w:hAnsi="Book Antiqua"/>
          <w:b/>
          <w:bCs/>
        </w:rPr>
        <w:t>162</w:t>
      </w:r>
      <w:r w:rsidRPr="00004362">
        <w:rPr>
          <w:rFonts w:ascii="Book Antiqua" w:hAnsi="Book Antiqua"/>
        </w:rPr>
        <w:t>: 1650-1664.e8 [PMID: 35134323 DOI: 10.1053/j.gastro.2022.01.047]</w:t>
      </w:r>
    </w:p>
    <w:p w14:paraId="1B47D739" w14:textId="3D4AF53F"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lastRenderedPageBreak/>
        <w:t xml:space="preserve">46 </w:t>
      </w:r>
      <w:r w:rsidRPr="00004362">
        <w:rPr>
          <w:rFonts w:ascii="Book Antiqua" w:hAnsi="Book Antiqua"/>
          <w:b/>
          <w:bCs/>
        </w:rPr>
        <w:t>Buisson A</w:t>
      </w:r>
      <w:r w:rsidRPr="00004362">
        <w:rPr>
          <w:rFonts w:ascii="Book Antiqua" w:hAnsi="Book Antiqua"/>
        </w:rPr>
        <w:t xml:space="preserve">, Nachury M, Reymond M, Yzet C, Wils P, Payen K, Laugie M, Manlay L, Mathieu N, Pereira B, Fumery M. Effectiveness of Switching From Intravenous to Subcutaneous Infliximab in Patients With Inflammatory Bowel Diseases: the REMSWITCH Study. </w:t>
      </w:r>
      <w:r w:rsidRPr="00004362">
        <w:rPr>
          <w:rFonts w:ascii="Book Antiqua" w:hAnsi="Book Antiqua"/>
          <w:i/>
          <w:iCs/>
        </w:rPr>
        <w:t>Clin Gastroenterol Hepatol</w:t>
      </w:r>
      <w:r w:rsidRPr="00004362">
        <w:rPr>
          <w:rFonts w:ascii="Book Antiqua" w:hAnsi="Book Antiqua"/>
        </w:rPr>
        <w:t xml:space="preserve"> 2022 [PMID: 35987302 DOI: 10.1016/j.cgh.2022.08.011]</w:t>
      </w:r>
    </w:p>
    <w:p w14:paraId="2E187642" w14:textId="4CE4FD7E" w:rsidR="00150010" w:rsidRPr="00305BD3"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lang w:val="es-AR"/>
        </w:rPr>
      </w:pPr>
      <w:r w:rsidRPr="00004362">
        <w:rPr>
          <w:rFonts w:ascii="Book Antiqua" w:hAnsi="Book Antiqua"/>
        </w:rPr>
        <w:t xml:space="preserve">47 </w:t>
      </w:r>
      <w:r w:rsidRPr="00004362">
        <w:rPr>
          <w:rFonts w:ascii="Book Antiqua" w:hAnsi="Book Antiqua"/>
          <w:b/>
          <w:bCs/>
        </w:rPr>
        <w:t>Sandborn WJ</w:t>
      </w:r>
      <w:r w:rsidRPr="00004362">
        <w:rPr>
          <w:rFonts w:ascii="Book Antiqua" w:hAnsi="Book Antiqua"/>
        </w:rPr>
        <w:t xml:space="preserve">, Baert F, Danese S, Krznarić Ž, Kobayashi T, Yao X, Chen J, Rosario M, Bhatia S, Kisfalvi K, D'Haens G, Vermeire S. Efficacy and Safety of Vedolizumab Subcutaneous Formulation in a Randomized Trial of Patients With Ulcerative Colitis. </w:t>
      </w:r>
      <w:r w:rsidRPr="00305BD3">
        <w:rPr>
          <w:rFonts w:ascii="Book Antiqua" w:hAnsi="Book Antiqua"/>
          <w:i/>
          <w:iCs/>
          <w:lang w:val="es-AR"/>
        </w:rPr>
        <w:t>Gastroenterology</w:t>
      </w:r>
      <w:r w:rsidRPr="00305BD3">
        <w:rPr>
          <w:rFonts w:ascii="Book Antiqua" w:hAnsi="Book Antiqua"/>
          <w:lang w:val="es-AR"/>
        </w:rPr>
        <w:t xml:space="preserve"> 2020; </w:t>
      </w:r>
      <w:r w:rsidRPr="00305BD3">
        <w:rPr>
          <w:rFonts w:ascii="Book Antiqua" w:hAnsi="Book Antiqua"/>
          <w:b/>
          <w:bCs/>
          <w:lang w:val="es-AR"/>
        </w:rPr>
        <w:t>158</w:t>
      </w:r>
      <w:r w:rsidRPr="00305BD3">
        <w:rPr>
          <w:rFonts w:ascii="Book Antiqua" w:hAnsi="Book Antiqua"/>
          <w:lang w:val="es-AR"/>
        </w:rPr>
        <w:t>: 562-572.e12 [PMID: 31470005 DOI: 10.1053/j.gastro.2019.08.027]</w:t>
      </w:r>
    </w:p>
    <w:p w14:paraId="7B7D7F90" w14:textId="590222C0"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305BD3">
        <w:rPr>
          <w:rFonts w:ascii="Book Antiqua" w:hAnsi="Book Antiqua"/>
          <w:lang w:val="es-AR"/>
        </w:rPr>
        <w:t xml:space="preserve">48 </w:t>
      </w:r>
      <w:r w:rsidRPr="00305BD3">
        <w:rPr>
          <w:rFonts w:ascii="Book Antiqua" w:hAnsi="Book Antiqua"/>
          <w:b/>
          <w:bCs/>
          <w:lang w:val="es-AR"/>
        </w:rPr>
        <w:t>Parada Venegas D</w:t>
      </w:r>
      <w:r w:rsidRPr="00305BD3">
        <w:rPr>
          <w:rFonts w:ascii="Book Antiqua" w:hAnsi="Book Antiqua"/>
          <w:lang w:val="es-AR"/>
        </w:rPr>
        <w:t xml:space="preserve">, De la Fuente MK, Landskron G, González MJ, Quera R, Dijkstra G, Harmsen HJM, Faber KN, Hermoso MA. </w:t>
      </w:r>
      <w:r w:rsidRPr="00004362">
        <w:rPr>
          <w:rFonts w:ascii="Book Antiqua" w:hAnsi="Book Antiqua"/>
        </w:rPr>
        <w:t>Short</w:t>
      </w:r>
      <w:r w:rsidRPr="005B72FF">
        <w:rPr>
          <w:rFonts w:ascii="Book Antiqua" w:hAnsi="Book Antiqua"/>
        </w:rPr>
        <w:t xml:space="preserve"> </w:t>
      </w:r>
      <w:r w:rsidRPr="00004362">
        <w:rPr>
          <w:rFonts w:ascii="Book Antiqua" w:hAnsi="Book Antiqua"/>
        </w:rPr>
        <w:t xml:space="preserve">Chain Fatty Acids (SCFAs)-Mediated Gut Epithelial and Immune Regulation and Its Relevance for Inflammatory Bowel Diseases. </w:t>
      </w:r>
      <w:r w:rsidRPr="00004362">
        <w:rPr>
          <w:rFonts w:ascii="Book Antiqua" w:hAnsi="Book Antiqua"/>
          <w:i/>
          <w:iCs/>
        </w:rPr>
        <w:t>Front Immunol</w:t>
      </w:r>
      <w:r w:rsidRPr="00004362">
        <w:rPr>
          <w:rFonts w:ascii="Book Antiqua" w:hAnsi="Book Antiqua"/>
        </w:rPr>
        <w:t xml:space="preserve"> 2019; </w:t>
      </w:r>
      <w:r w:rsidRPr="00004362">
        <w:rPr>
          <w:rFonts w:ascii="Book Antiqua" w:hAnsi="Book Antiqua"/>
          <w:b/>
          <w:bCs/>
        </w:rPr>
        <w:t>10</w:t>
      </w:r>
      <w:r w:rsidRPr="00004362">
        <w:rPr>
          <w:rFonts w:ascii="Book Antiqua" w:hAnsi="Book Antiqua"/>
        </w:rPr>
        <w:t>: 277 [PMID: 30915065 DOI: 10.3389/fimmu.2019.00277]</w:t>
      </w:r>
    </w:p>
    <w:p w14:paraId="1893C35B" w14:textId="3F963B8B"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49 </w:t>
      </w:r>
      <w:r w:rsidRPr="00004362">
        <w:rPr>
          <w:rFonts w:ascii="Book Antiqua" w:hAnsi="Book Antiqua"/>
          <w:b/>
          <w:bCs/>
        </w:rPr>
        <w:t>Pu D</w:t>
      </w:r>
      <w:r w:rsidRPr="00004362">
        <w:rPr>
          <w:rFonts w:ascii="Book Antiqua" w:hAnsi="Book Antiqua"/>
        </w:rPr>
        <w:t xml:space="preserve">, Zhang Z, Feng B. Alterations and Potential Applications of Gut Microbiota in Biological Therapy for Inflammatory Bowel Diseases. </w:t>
      </w:r>
      <w:r w:rsidRPr="00004362">
        <w:rPr>
          <w:rFonts w:ascii="Book Antiqua" w:hAnsi="Book Antiqua"/>
          <w:i/>
          <w:iCs/>
        </w:rPr>
        <w:t>Front Pharmacol</w:t>
      </w:r>
      <w:r w:rsidRPr="00004362">
        <w:rPr>
          <w:rFonts w:ascii="Book Antiqua" w:hAnsi="Book Antiqua"/>
        </w:rPr>
        <w:t xml:space="preserve"> 2022; </w:t>
      </w:r>
      <w:r w:rsidRPr="00004362">
        <w:rPr>
          <w:rFonts w:ascii="Book Antiqua" w:hAnsi="Book Antiqua"/>
          <w:b/>
          <w:bCs/>
        </w:rPr>
        <w:t>13</w:t>
      </w:r>
      <w:r w:rsidRPr="00004362">
        <w:rPr>
          <w:rFonts w:ascii="Book Antiqua" w:hAnsi="Book Antiqua"/>
        </w:rPr>
        <w:t>: 906419 [PMID: 35734396 DOI: 10.3389/fphar.2022.906419]</w:t>
      </w:r>
    </w:p>
    <w:p w14:paraId="77BA4043" w14:textId="627DFC18"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50 </w:t>
      </w:r>
      <w:r w:rsidRPr="00004362">
        <w:rPr>
          <w:rFonts w:ascii="Book Antiqua" w:hAnsi="Book Antiqua"/>
          <w:b/>
          <w:bCs/>
        </w:rPr>
        <w:t>Windsor JW</w:t>
      </w:r>
      <w:r w:rsidRPr="00004362">
        <w:rPr>
          <w:rFonts w:ascii="Book Antiqua" w:hAnsi="Book Antiqua"/>
        </w:rPr>
        <w:t xml:space="preserve">, Kaplan GG. Evolving Epidemiology of IBD. </w:t>
      </w:r>
      <w:r w:rsidRPr="00004362">
        <w:rPr>
          <w:rFonts w:ascii="Book Antiqua" w:hAnsi="Book Antiqua"/>
          <w:i/>
          <w:iCs/>
        </w:rPr>
        <w:t>Curr Gastroenterol Rep</w:t>
      </w:r>
      <w:r w:rsidRPr="00004362">
        <w:rPr>
          <w:rFonts w:ascii="Book Antiqua" w:hAnsi="Book Antiqua"/>
        </w:rPr>
        <w:t xml:space="preserve"> 2019; </w:t>
      </w:r>
      <w:r w:rsidRPr="00004362">
        <w:rPr>
          <w:rFonts w:ascii="Book Antiqua" w:hAnsi="Book Antiqua"/>
          <w:b/>
          <w:bCs/>
        </w:rPr>
        <w:t>21</w:t>
      </w:r>
      <w:r w:rsidRPr="00004362">
        <w:rPr>
          <w:rFonts w:ascii="Book Antiqua" w:hAnsi="Book Antiqua"/>
        </w:rPr>
        <w:t>: 40 [PMID: 31338613 DOI: 10.1007/s11894-019-0705-6]</w:t>
      </w:r>
    </w:p>
    <w:p w14:paraId="3F40521C" w14:textId="5D1DD345"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51 </w:t>
      </w:r>
      <w:r w:rsidRPr="00004362">
        <w:rPr>
          <w:rFonts w:ascii="Book Antiqua" w:hAnsi="Book Antiqua"/>
          <w:b/>
          <w:bCs/>
        </w:rPr>
        <w:t>Kaplan GG</w:t>
      </w:r>
      <w:r w:rsidRPr="00004362">
        <w:rPr>
          <w:rFonts w:ascii="Book Antiqua" w:hAnsi="Book Antiqua"/>
        </w:rPr>
        <w:t xml:space="preserve">. The global burden of IBD: from 2015 to 2025. </w:t>
      </w:r>
      <w:r w:rsidRPr="00004362">
        <w:rPr>
          <w:rFonts w:ascii="Book Antiqua" w:hAnsi="Book Antiqua"/>
          <w:i/>
          <w:iCs/>
        </w:rPr>
        <w:t>Nat Rev Gastroenterol Hepatol</w:t>
      </w:r>
      <w:r w:rsidRPr="00004362">
        <w:rPr>
          <w:rFonts w:ascii="Book Antiqua" w:hAnsi="Book Antiqua"/>
        </w:rPr>
        <w:t xml:space="preserve"> 2015; </w:t>
      </w:r>
      <w:r w:rsidRPr="00004362">
        <w:rPr>
          <w:rFonts w:ascii="Book Antiqua" w:hAnsi="Book Antiqua"/>
          <w:b/>
          <w:bCs/>
        </w:rPr>
        <w:t>12</w:t>
      </w:r>
      <w:r w:rsidRPr="00004362">
        <w:rPr>
          <w:rFonts w:ascii="Book Antiqua" w:hAnsi="Book Antiqua"/>
        </w:rPr>
        <w:t>: 720-727 [PMID: 26323879 DOI: 10.1038/nrgastro.2015.150]</w:t>
      </w:r>
    </w:p>
    <w:p w14:paraId="219ADB1C" w14:textId="40E9E519"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52 </w:t>
      </w:r>
      <w:r w:rsidRPr="00004362">
        <w:rPr>
          <w:rFonts w:ascii="Book Antiqua" w:hAnsi="Book Antiqua"/>
          <w:b/>
          <w:bCs/>
        </w:rPr>
        <w:t>Kotze PG</w:t>
      </w:r>
      <w:r w:rsidRPr="00004362">
        <w:rPr>
          <w:rFonts w:ascii="Book Antiqua" w:hAnsi="Book Antiqua"/>
        </w:rPr>
        <w:t xml:space="preserve">, Underwood FE, Damião AOMC, Ferraz JGP, Saad-Hossne R, Toro M, Iade B, Bosques-Padilla F, Teixeira FV, Juliao-Banos F, Simian D, Ghosh S, Panaccione R, Ng SC, Kaplan GG. Progression of Inflammatory Bowel Diseases Throughout Latin America and the Caribbean: A Systematic Review. </w:t>
      </w:r>
      <w:r w:rsidRPr="00004362">
        <w:rPr>
          <w:rFonts w:ascii="Book Antiqua" w:hAnsi="Book Antiqua"/>
          <w:i/>
          <w:iCs/>
        </w:rPr>
        <w:t>Clin Gastroenterol Hepatol</w:t>
      </w:r>
      <w:r w:rsidRPr="00004362">
        <w:rPr>
          <w:rFonts w:ascii="Book Antiqua" w:hAnsi="Book Antiqua"/>
        </w:rPr>
        <w:t xml:space="preserve"> 2020; </w:t>
      </w:r>
      <w:r w:rsidRPr="00004362">
        <w:rPr>
          <w:rFonts w:ascii="Book Antiqua" w:hAnsi="Book Antiqua"/>
          <w:b/>
          <w:bCs/>
        </w:rPr>
        <w:t>18</w:t>
      </w:r>
      <w:r w:rsidRPr="00004362">
        <w:rPr>
          <w:rFonts w:ascii="Book Antiqua" w:hAnsi="Book Antiqua"/>
        </w:rPr>
        <w:t>: 304-312 [PMID: 31252191 DOI: 10.1016/j.cgh.2019.06.030]</w:t>
      </w:r>
    </w:p>
    <w:p w14:paraId="4CD479F8" w14:textId="7EDDB218" w:rsidR="00150010" w:rsidRPr="00004362" w:rsidRDefault="00150010" w:rsidP="00150010">
      <w:pPr>
        <w:pStyle w:val="a7"/>
        <w:shd w:val="clear" w:color="auto" w:fill="FFFFFF"/>
        <w:adjustRightInd w:val="0"/>
        <w:snapToGrid w:val="0"/>
        <w:spacing w:before="0" w:beforeAutospacing="0" w:after="0" w:afterAutospacing="0" w:line="360" w:lineRule="auto"/>
        <w:jc w:val="both"/>
        <w:rPr>
          <w:rFonts w:ascii="Book Antiqua" w:hAnsi="Book Antiqua"/>
        </w:rPr>
      </w:pPr>
      <w:r w:rsidRPr="00004362">
        <w:rPr>
          <w:rFonts w:ascii="Book Antiqua" w:hAnsi="Book Antiqua"/>
        </w:rPr>
        <w:t xml:space="preserve">53 </w:t>
      </w:r>
      <w:r w:rsidRPr="00004362">
        <w:rPr>
          <w:rFonts w:ascii="Book Antiqua" w:hAnsi="Book Antiqua"/>
          <w:b/>
          <w:bCs/>
        </w:rPr>
        <w:t>Santiago M</w:t>
      </w:r>
      <w:r w:rsidRPr="00004362">
        <w:rPr>
          <w:rFonts w:ascii="Book Antiqua" w:hAnsi="Book Antiqua"/>
        </w:rPr>
        <w:t xml:space="preserve">, Dias CC, Alves C, Ministro P, Gonçalves R, Carvalho D, Portela F, Correia L, Lago P, Magro F. The Magnitude of Crohn's Disease Direct Costs in Health Care </w:t>
      </w:r>
      <w:r w:rsidRPr="00004362">
        <w:rPr>
          <w:rFonts w:ascii="Book Antiqua" w:hAnsi="Book Antiqua"/>
        </w:rPr>
        <w:lastRenderedPageBreak/>
        <w:t xml:space="preserve">Systems (from Different Perspectives): A Systematic Review. </w:t>
      </w:r>
      <w:r w:rsidRPr="00004362">
        <w:rPr>
          <w:rFonts w:ascii="Book Antiqua" w:hAnsi="Book Antiqua"/>
          <w:i/>
          <w:iCs/>
        </w:rPr>
        <w:t>Inflamm Bowel Dis</w:t>
      </w:r>
      <w:r w:rsidRPr="00004362">
        <w:rPr>
          <w:rFonts w:ascii="Book Antiqua" w:hAnsi="Book Antiqua"/>
        </w:rPr>
        <w:t xml:space="preserve"> 2022; </w:t>
      </w:r>
      <w:r w:rsidRPr="00004362">
        <w:rPr>
          <w:rFonts w:ascii="Book Antiqua" w:hAnsi="Book Antiqua"/>
          <w:b/>
          <w:bCs/>
        </w:rPr>
        <w:t>28</w:t>
      </w:r>
      <w:r w:rsidRPr="00004362">
        <w:rPr>
          <w:rFonts w:ascii="Book Antiqua" w:hAnsi="Book Antiqua"/>
        </w:rPr>
        <w:t>: 1527-1536 [PMID: 35179190 DOI: 10.1093/ibd/izab334]</w:t>
      </w:r>
    </w:p>
    <w:p w14:paraId="1BC2D689" w14:textId="34D99C11" w:rsidR="00A77B3E" w:rsidRPr="00004362" w:rsidRDefault="00A77B3E">
      <w:pPr>
        <w:spacing w:line="360" w:lineRule="auto"/>
        <w:jc w:val="both"/>
      </w:pPr>
    </w:p>
    <w:p w14:paraId="1CACF55A" w14:textId="77777777" w:rsidR="00A77B3E" w:rsidRPr="00004362" w:rsidRDefault="00A77B3E">
      <w:pPr>
        <w:spacing w:line="360" w:lineRule="auto"/>
        <w:jc w:val="both"/>
        <w:sectPr w:rsidR="00A77B3E" w:rsidRPr="00004362">
          <w:pgSz w:w="12240" w:h="15840"/>
          <w:pgMar w:top="1440" w:right="1440" w:bottom="1440" w:left="1440" w:header="720" w:footer="720" w:gutter="0"/>
          <w:cols w:space="720"/>
          <w:docGrid w:linePitch="360"/>
        </w:sectPr>
      </w:pPr>
    </w:p>
    <w:p w14:paraId="324D3E49" w14:textId="77777777" w:rsidR="00A77B3E" w:rsidRPr="00004362" w:rsidRDefault="00D462C0">
      <w:pPr>
        <w:spacing w:line="360" w:lineRule="auto"/>
        <w:jc w:val="both"/>
      </w:pPr>
      <w:r w:rsidRPr="00004362">
        <w:rPr>
          <w:rFonts w:ascii="Book Antiqua" w:eastAsia="Book Antiqua" w:hAnsi="Book Antiqua" w:cs="Book Antiqua"/>
          <w:b/>
          <w:color w:val="000000"/>
        </w:rPr>
        <w:lastRenderedPageBreak/>
        <w:t>Footnotes</w:t>
      </w:r>
    </w:p>
    <w:p w14:paraId="585B4006" w14:textId="1CF44895" w:rsidR="00A77B3E" w:rsidRPr="00004362" w:rsidRDefault="00D462C0">
      <w:pPr>
        <w:spacing w:line="360" w:lineRule="auto"/>
        <w:jc w:val="both"/>
      </w:pPr>
      <w:r w:rsidRPr="00004362">
        <w:rPr>
          <w:rFonts w:ascii="Book Antiqua" w:eastAsia="Book Antiqua" w:hAnsi="Book Antiqua" w:cs="Book Antiqua"/>
          <w:b/>
          <w:bCs/>
          <w:color w:val="000000"/>
        </w:rPr>
        <w:t>Conflict-of-interest</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statement:</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color w:val="000000"/>
          <w:shd w:val="clear" w:color="auto" w:fill="FFFFFF"/>
        </w:rPr>
        <w:t>Balderramo</w:t>
      </w:r>
      <w:r w:rsidR="00150010" w:rsidRPr="00004362">
        <w:rPr>
          <w:rFonts w:ascii="Book Antiqua" w:eastAsia="Book Antiqua" w:hAnsi="Book Antiqua" w:cs="Book Antiqua"/>
          <w:color w:val="000000"/>
          <w:shd w:val="clear" w:color="auto" w:fill="FFFFFF"/>
        </w:rPr>
        <w:t xml:space="preserve"> </w:t>
      </w:r>
      <w:r w:rsidR="005700E7" w:rsidRPr="00004362">
        <w:rPr>
          <w:rFonts w:ascii="Book Antiqua" w:eastAsia="Book Antiqua" w:hAnsi="Book Antiqua" w:cs="Book Antiqua"/>
          <w:color w:val="000000"/>
          <w:shd w:val="clear" w:color="auto" w:fill="FFFFFF"/>
        </w:rPr>
        <w:t xml:space="preserve">D </w:t>
      </w:r>
      <w:r w:rsidRPr="00004362">
        <w:rPr>
          <w:rFonts w:ascii="Book Antiqua" w:eastAsia="Book Antiqua" w:hAnsi="Book Antiqua" w:cs="Book Antiqua"/>
          <w:color w:val="000000"/>
          <w:shd w:val="clear" w:color="auto" w:fill="FFFFFF"/>
        </w:rPr>
        <w:t>reports</w:t>
      </w:r>
      <w:r w:rsidR="00150010" w:rsidRPr="00004362">
        <w:rPr>
          <w:rFonts w:ascii="Book Antiqua" w:eastAsia="Book Antiqua" w:hAnsi="Book Antiqua" w:cs="Book Antiqua"/>
          <w:color w:val="000000"/>
          <w:shd w:val="clear" w:color="auto" w:fill="FFFFFF"/>
        </w:rPr>
        <w:t xml:space="preserve"> </w:t>
      </w:r>
      <w:r w:rsidRPr="00004362">
        <w:rPr>
          <w:rFonts w:ascii="Book Antiqua" w:eastAsia="Book Antiqua" w:hAnsi="Book Antiqua" w:cs="Book Antiqua"/>
          <w:color w:val="000000"/>
          <w:shd w:val="clear" w:color="auto" w:fill="FFFFFF"/>
        </w:rPr>
        <w:t>receiving</w:t>
      </w:r>
      <w:r w:rsidR="00150010" w:rsidRPr="00004362">
        <w:rPr>
          <w:rFonts w:ascii="Book Antiqua" w:eastAsia="Book Antiqua" w:hAnsi="Book Antiqua" w:cs="Book Antiqua"/>
          <w:color w:val="000000"/>
          <w:shd w:val="clear" w:color="auto" w:fill="FFFFFF"/>
        </w:rPr>
        <w:t xml:space="preserve"> </w:t>
      </w:r>
      <w:r w:rsidRPr="00004362">
        <w:rPr>
          <w:rFonts w:ascii="Book Antiqua" w:eastAsia="Book Antiqua" w:hAnsi="Book Antiqua" w:cs="Book Antiqua"/>
          <w:color w:val="000000"/>
          <w:shd w:val="clear" w:color="auto" w:fill="FFFFFF"/>
        </w:rPr>
        <w:t>payment</w:t>
      </w:r>
      <w:r w:rsidR="00150010" w:rsidRPr="00004362">
        <w:rPr>
          <w:rFonts w:ascii="Book Antiqua" w:eastAsia="Book Antiqua" w:hAnsi="Book Antiqua" w:cs="Book Antiqua"/>
          <w:color w:val="000000"/>
          <w:shd w:val="clear" w:color="auto" w:fill="FFFFFF"/>
        </w:rPr>
        <w:t xml:space="preserve"> </w:t>
      </w:r>
      <w:r w:rsidRPr="00004362">
        <w:rPr>
          <w:rFonts w:ascii="Book Antiqua" w:eastAsia="Book Antiqua" w:hAnsi="Book Antiqua" w:cs="Book Antiqua"/>
          <w:color w:val="000000"/>
          <w:shd w:val="clear" w:color="auto" w:fill="FFFFFF"/>
        </w:rPr>
        <w:t>for</w:t>
      </w:r>
      <w:r w:rsidR="00150010" w:rsidRPr="00004362">
        <w:rPr>
          <w:rFonts w:ascii="Book Antiqua" w:eastAsia="Book Antiqua" w:hAnsi="Book Antiqua" w:cs="Book Antiqua"/>
          <w:color w:val="000000"/>
          <w:shd w:val="clear" w:color="auto" w:fill="FFFFFF"/>
        </w:rPr>
        <w:t xml:space="preserve"> </w:t>
      </w:r>
      <w:r w:rsidRPr="00004362">
        <w:rPr>
          <w:rFonts w:ascii="Book Antiqua" w:eastAsia="Book Antiqua" w:hAnsi="Book Antiqua" w:cs="Book Antiqua"/>
          <w:color w:val="000000"/>
          <w:shd w:val="clear" w:color="auto" w:fill="FFFFFF"/>
        </w:rPr>
        <w:t>speaker´s</w:t>
      </w:r>
      <w:r w:rsidR="00150010" w:rsidRPr="00004362">
        <w:rPr>
          <w:rFonts w:ascii="Book Antiqua" w:eastAsia="Book Antiqua" w:hAnsi="Book Antiqua" w:cs="Book Antiqua"/>
          <w:color w:val="000000"/>
          <w:shd w:val="clear" w:color="auto" w:fill="FFFFFF"/>
        </w:rPr>
        <w:t xml:space="preserve"> </w:t>
      </w:r>
      <w:r w:rsidRPr="00004362">
        <w:rPr>
          <w:rFonts w:ascii="Book Antiqua" w:eastAsia="Book Antiqua" w:hAnsi="Book Antiqua" w:cs="Book Antiqua"/>
          <w:color w:val="000000"/>
          <w:shd w:val="clear" w:color="auto" w:fill="FFFFFF"/>
        </w:rPr>
        <w:t>fee</w:t>
      </w:r>
      <w:r w:rsidR="00150010" w:rsidRPr="00004362">
        <w:rPr>
          <w:rFonts w:ascii="Book Antiqua" w:eastAsia="Book Antiqua" w:hAnsi="Book Antiqua" w:cs="Book Antiqua"/>
          <w:color w:val="000000"/>
          <w:shd w:val="clear" w:color="auto" w:fill="FFFFFF"/>
        </w:rPr>
        <w:t xml:space="preserve"> </w:t>
      </w:r>
      <w:r w:rsidRPr="00004362">
        <w:rPr>
          <w:rFonts w:ascii="Book Antiqua" w:eastAsia="Book Antiqua" w:hAnsi="Book Antiqua" w:cs="Book Antiqua"/>
          <w:color w:val="000000"/>
          <w:shd w:val="clear" w:color="auto" w:fill="FFFFFF"/>
        </w:rPr>
        <w:t>from</w:t>
      </w:r>
      <w:r w:rsidR="00150010" w:rsidRPr="00004362">
        <w:rPr>
          <w:rFonts w:ascii="Book Antiqua" w:eastAsia="Book Antiqua" w:hAnsi="Book Antiqua" w:cs="Book Antiqua"/>
          <w:color w:val="000000"/>
          <w:shd w:val="clear" w:color="auto" w:fill="FFFFFF"/>
        </w:rPr>
        <w:t xml:space="preserve"> </w:t>
      </w:r>
      <w:r w:rsidRPr="00004362">
        <w:rPr>
          <w:rFonts w:ascii="Book Antiqua" w:eastAsia="Book Antiqua" w:hAnsi="Book Antiqua" w:cs="Book Antiqua"/>
          <w:color w:val="000000"/>
          <w:shd w:val="clear" w:color="auto" w:fill="FFFFFF"/>
        </w:rPr>
        <w:t>AbbVie,</w:t>
      </w:r>
      <w:r w:rsidR="00150010" w:rsidRPr="00004362">
        <w:rPr>
          <w:rFonts w:ascii="Book Antiqua" w:eastAsia="Book Antiqua" w:hAnsi="Book Antiqua" w:cs="Book Antiqua"/>
          <w:color w:val="000000"/>
          <w:shd w:val="clear" w:color="auto" w:fill="FFFFFF"/>
        </w:rPr>
        <w:t xml:space="preserve"> </w:t>
      </w:r>
      <w:r w:rsidRPr="00004362">
        <w:rPr>
          <w:rFonts w:ascii="Book Antiqua" w:eastAsia="Book Antiqua" w:hAnsi="Book Antiqua" w:cs="Book Antiqua"/>
          <w:color w:val="000000"/>
          <w:shd w:val="clear" w:color="auto" w:fill="FFFFFF"/>
        </w:rPr>
        <w:t>Takeda</w:t>
      </w:r>
      <w:r w:rsidR="008F65E5" w:rsidRPr="00004362">
        <w:rPr>
          <w:rFonts w:ascii="Book Antiqua" w:eastAsia="Book Antiqua" w:hAnsi="Book Antiqua" w:cs="Book Antiqua"/>
          <w:color w:val="000000"/>
          <w:shd w:val="clear" w:color="auto" w:fill="FFFFFF"/>
        </w:rPr>
        <w:t>,</w:t>
      </w:r>
      <w:r w:rsidR="00150010" w:rsidRPr="00004362">
        <w:rPr>
          <w:rFonts w:ascii="Book Antiqua" w:eastAsia="Book Antiqua" w:hAnsi="Book Antiqua" w:cs="Book Antiqua"/>
          <w:color w:val="000000"/>
          <w:shd w:val="clear" w:color="auto" w:fill="FFFFFF"/>
        </w:rPr>
        <w:t xml:space="preserve"> </w:t>
      </w:r>
      <w:r w:rsidRPr="00004362">
        <w:rPr>
          <w:rFonts w:ascii="Book Antiqua" w:eastAsia="Book Antiqua" w:hAnsi="Book Antiqua" w:cs="Book Antiqua"/>
          <w:color w:val="000000"/>
          <w:shd w:val="clear" w:color="auto" w:fill="FFFFFF"/>
        </w:rPr>
        <w:t>and</w:t>
      </w:r>
      <w:r w:rsidR="00150010" w:rsidRPr="00004362">
        <w:rPr>
          <w:rFonts w:ascii="Book Antiqua" w:eastAsia="Book Antiqua" w:hAnsi="Book Antiqua" w:cs="Book Antiqua"/>
          <w:color w:val="000000"/>
          <w:shd w:val="clear" w:color="auto" w:fill="FFFFFF"/>
        </w:rPr>
        <w:t xml:space="preserve"> </w:t>
      </w:r>
      <w:r w:rsidRPr="00004362">
        <w:rPr>
          <w:rFonts w:ascii="Book Antiqua" w:eastAsia="Book Antiqua" w:hAnsi="Book Antiqua" w:cs="Book Antiqua"/>
          <w:color w:val="000000"/>
          <w:shd w:val="clear" w:color="auto" w:fill="FFFFFF"/>
        </w:rPr>
        <w:t>Janssen,</w:t>
      </w:r>
      <w:r w:rsidR="00150010" w:rsidRPr="00004362">
        <w:rPr>
          <w:rFonts w:ascii="Book Antiqua" w:eastAsia="Book Antiqua" w:hAnsi="Book Antiqua" w:cs="Book Antiqua"/>
          <w:color w:val="000000"/>
          <w:shd w:val="clear" w:color="auto" w:fill="FFFFFF"/>
        </w:rPr>
        <w:t xml:space="preserve"> </w:t>
      </w:r>
      <w:r w:rsidRPr="00004362">
        <w:rPr>
          <w:rFonts w:ascii="Book Antiqua" w:eastAsia="Book Antiqua" w:hAnsi="Book Antiqua" w:cs="Book Antiqua"/>
          <w:color w:val="000000"/>
          <w:shd w:val="clear" w:color="auto" w:fill="FFFFFF"/>
        </w:rPr>
        <w:t>and</w:t>
      </w:r>
      <w:r w:rsidR="00150010" w:rsidRPr="00004362">
        <w:rPr>
          <w:rFonts w:ascii="Book Antiqua" w:eastAsia="Book Antiqua" w:hAnsi="Book Antiqua" w:cs="Book Antiqua"/>
          <w:color w:val="000000"/>
          <w:shd w:val="clear" w:color="auto" w:fill="FFFFFF"/>
        </w:rPr>
        <w:t xml:space="preserve"> </w:t>
      </w:r>
      <w:r w:rsidRPr="00004362">
        <w:rPr>
          <w:rFonts w:ascii="Book Antiqua" w:eastAsia="Book Antiqua" w:hAnsi="Book Antiqua" w:cs="Book Antiqua"/>
          <w:color w:val="000000"/>
          <w:shd w:val="clear" w:color="auto" w:fill="FFFFFF"/>
        </w:rPr>
        <w:t>receiving</w:t>
      </w:r>
      <w:r w:rsidR="00150010" w:rsidRPr="00004362">
        <w:rPr>
          <w:rFonts w:ascii="Book Antiqua" w:eastAsia="Book Antiqua" w:hAnsi="Book Antiqua" w:cs="Book Antiqua"/>
          <w:color w:val="000000"/>
          <w:shd w:val="clear" w:color="auto" w:fill="FFFFFF"/>
        </w:rPr>
        <w:t xml:space="preserve"> </w:t>
      </w:r>
      <w:r w:rsidRPr="00004362">
        <w:rPr>
          <w:rFonts w:ascii="Book Antiqua" w:eastAsia="Book Antiqua" w:hAnsi="Book Antiqua" w:cs="Book Antiqua"/>
          <w:color w:val="000000"/>
          <w:shd w:val="clear" w:color="auto" w:fill="FFFFFF"/>
        </w:rPr>
        <w:t>consulting</w:t>
      </w:r>
      <w:r w:rsidR="00150010" w:rsidRPr="00004362">
        <w:rPr>
          <w:rFonts w:ascii="Book Antiqua" w:eastAsia="Book Antiqua" w:hAnsi="Book Antiqua" w:cs="Book Antiqua"/>
          <w:color w:val="000000"/>
          <w:shd w:val="clear" w:color="auto" w:fill="FFFFFF"/>
        </w:rPr>
        <w:t xml:space="preserve"> </w:t>
      </w:r>
      <w:r w:rsidRPr="00004362">
        <w:rPr>
          <w:rFonts w:ascii="Book Antiqua" w:eastAsia="Book Antiqua" w:hAnsi="Book Antiqua" w:cs="Book Antiqua"/>
          <w:color w:val="000000"/>
          <w:shd w:val="clear" w:color="auto" w:fill="FFFFFF"/>
        </w:rPr>
        <w:t>fees</w:t>
      </w:r>
      <w:r w:rsidR="00150010" w:rsidRPr="00004362">
        <w:rPr>
          <w:rFonts w:ascii="Book Antiqua" w:eastAsia="Book Antiqua" w:hAnsi="Book Antiqua" w:cs="Book Antiqua"/>
          <w:color w:val="000000"/>
          <w:shd w:val="clear" w:color="auto" w:fill="FFFFFF"/>
        </w:rPr>
        <w:t xml:space="preserve"> </w:t>
      </w:r>
      <w:r w:rsidRPr="00004362">
        <w:rPr>
          <w:rFonts w:ascii="Book Antiqua" w:eastAsia="Book Antiqua" w:hAnsi="Book Antiqua" w:cs="Book Antiqua"/>
          <w:color w:val="000000"/>
          <w:shd w:val="clear" w:color="auto" w:fill="FFFFFF"/>
        </w:rPr>
        <w:t>from</w:t>
      </w:r>
      <w:r w:rsidR="00150010" w:rsidRPr="00004362">
        <w:rPr>
          <w:rFonts w:ascii="Book Antiqua" w:eastAsia="Book Antiqua" w:hAnsi="Book Antiqua" w:cs="Book Antiqua"/>
          <w:color w:val="000000"/>
          <w:shd w:val="clear" w:color="auto" w:fill="FFFFFF"/>
        </w:rPr>
        <w:t xml:space="preserve"> </w:t>
      </w:r>
      <w:r w:rsidRPr="00004362">
        <w:rPr>
          <w:rFonts w:ascii="Book Antiqua" w:eastAsia="Book Antiqua" w:hAnsi="Book Antiqua" w:cs="Book Antiqua"/>
          <w:color w:val="000000"/>
          <w:shd w:val="clear" w:color="auto" w:fill="FFFFFF"/>
        </w:rPr>
        <w:t>AbbVie,</w:t>
      </w:r>
      <w:r w:rsidR="00150010" w:rsidRPr="00004362">
        <w:rPr>
          <w:rFonts w:ascii="Book Antiqua" w:eastAsia="Book Antiqua" w:hAnsi="Book Antiqua" w:cs="Book Antiqua"/>
          <w:color w:val="000000"/>
          <w:shd w:val="clear" w:color="auto" w:fill="FFFFFF"/>
        </w:rPr>
        <w:t xml:space="preserve"> </w:t>
      </w:r>
      <w:r w:rsidRPr="00004362">
        <w:rPr>
          <w:rFonts w:ascii="Book Antiqua" w:eastAsia="Book Antiqua" w:hAnsi="Book Antiqua" w:cs="Book Antiqua"/>
          <w:color w:val="000000"/>
          <w:shd w:val="clear" w:color="auto" w:fill="FFFFFF"/>
        </w:rPr>
        <w:t>Takeda,</w:t>
      </w:r>
      <w:r w:rsidR="00150010" w:rsidRPr="00004362">
        <w:rPr>
          <w:rFonts w:ascii="Book Antiqua" w:eastAsia="Book Antiqua" w:hAnsi="Book Antiqua" w:cs="Book Antiqua"/>
          <w:color w:val="000000"/>
          <w:shd w:val="clear" w:color="auto" w:fill="FFFFFF"/>
        </w:rPr>
        <w:t xml:space="preserve"> </w:t>
      </w:r>
      <w:r w:rsidRPr="00004362">
        <w:rPr>
          <w:rFonts w:ascii="Book Antiqua" w:eastAsia="Book Antiqua" w:hAnsi="Book Antiqua" w:cs="Book Antiqua"/>
          <w:color w:val="000000"/>
          <w:shd w:val="clear" w:color="auto" w:fill="FFFFFF"/>
        </w:rPr>
        <w:t>Janssen</w:t>
      </w:r>
      <w:r w:rsidR="008F65E5" w:rsidRPr="00004362">
        <w:rPr>
          <w:rFonts w:ascii="Book Antiqua" w:eastAsia="Book Antiqua" w:hAnsi="Book Antiqua" w:cs="Book Antiqua"/>
          <w:color w:val="000000"/>
          <w:shd w:val="clear" w:color="auto" w:fill="FFFFFF"/>
        </w:rPr>
        <w:t>,</w:t>
      </w:r>
      <w:r w:rsidR="00150010" w:rsidRPr="00004362">
        <w:rPr>
          <w:rFonts w:ascii="Book Antiqua" w:eastAsia="Book Antiqua" w:hAnsi="Book Antiqua" w:cs="Book Antiqua"/>
          <w:color w:val="000000"/>
          <w:shd w:val="clear" w:color="auto" w:fill="FFFFFF"/>
        </w:rPr>
        <w:t xml:space="preserve"> </w:t>
      </w:r>
      <w:r w:rsidRPr="00004362">
        <w:rPr>
          <w:rFonts w:ascii="Book Antiqua" w:eastAsia="Book Antiqua" w:hAnsi="Book Antiqua" w:cs="Book Antiqua"/>
          <w:color w:val="000000"/>
          <w:shd w:val="clear" w:color="auto" w:fill="FFFFFF"/>
        </w:rPr>
        <w:t>and</w:t>
      </w:r>
      <w:r w:rsidR="00150010" w:rsidRPr="00004362">
        <w:rPr>
          <w:rFonts w:ascii="Book Antiqua" w:eastAsia="Book Antiqua" w:hAnsi="Book Antiqua" w:cs="Book Antiqua"/>
          <w:color w:val="000000"/>
          <w:shd w:val="clear" w:color="auto" w:fill="FFFFFF"/>
        </w:rPr>
        <w:t xml:space="preserve"> </w:t>
      </w:r>
      <w:r w:rsidRPr="00004362">
        <w:rPr>
          <w:rFonts w:ascii="Book Antiqua" w:eastAsia="Book Antiqua" w:hAnsi="Book Antiqua" w:cs="Book Antiqua"/>
          <w:color w:val="000000"/>
          <w:shd w:val="clear" w:color="auto" w:fill="FFFFFF"/>
        </w:rPr>
        <w:t>Amgen.</w:t>
      </w:r>
    </w:p>
    <w:p w14:paraId="3FB40749" w14:textId="77777777" w:rsidR="00A77B3E" w:rsidRPr="00004362" w:rsidRDefault="00A77B3E">
      <w:pPr>
        <w:spacing w:line="360" w:lineRule="auto"/>
        <w:jc w:val="both"/>
      </w:pPr>
    </w:p>
    <w:p w14:paraId="788864F1" w14:textId="437C4D14" w:rsidR="00A77B3E" w:rsidRPr="00004362" w:rsidRDefault="00D462C0">
      <w:pPr>
        <w:spacing w:line="360" w:lineRule="auto"/>
        <w:jc w:val="both"/>
      </w:pPr>
      <w:r w:rsidRPr="00004362">
        <w:rPr>
          <w:rFonts w:ascii="Book Antiqua" w:eastAsia="Book Antiqua" w:hAnsi="Book Antiqua" w:cs="Book Antiqua"/>
          <w:b/>
          <w:bCs/>
          <w:color w:val="000000"/>
        </w:rPr>
        <w:t>Open-Access:</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article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open-access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article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that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was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selected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in-house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editor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fully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peer-reviewed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external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reviewers.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distributed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accordance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with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Creative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Commons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Attribution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NonCommercial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BY-NC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4.0)</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license,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which</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permits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others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to</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distribute,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remix,</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adapt,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build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upon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work</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non-commercially,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license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their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derivative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works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on</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different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terms,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provided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original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work</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properly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cited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the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use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non-commercial.</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See: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https://creativecommons.org/Licenses/by-nc/4.0/</w:t>
      </w:r>
    </w:p>
    <w:p w14:paraId="23956132" w14:textId="77777777" w:rsidR="00A77B3E" w:rsidRPr="00004362" w:rsidRDefault="00A77B3E">
      <w:pPr>
        <w:spacing w:line="360" w:lineRule="auto"/>
        <w:jc w:val="both"/>
      </w:pPr>
    </w:p>
    <w:p w14:paraId="34BE875E" w14:textId="3564F31F" w:rsidR="00A77B3E" w:rsidRPr="00004362" w:rsidRDefault="00D462C0">
      <w:pPr>
        <w:spacing w:line="360" w:lineRule="auto"/>
        <w:jc w:val="both"/>
      </w:pPr>
      <w:r w:rsidRPr="00004362">
        <w:rPr>
          <w:rFonts w:ascii="Book Antiqua" w:eastAsia="Book Antiqua" w:hAnsi="Book Antiqua" w:cs="Book Antiqua"/>
          <w:b/>
          <w:color w:val="000000"/>
        </w:rPr>
        <w:t>Provenance</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and</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peer</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review:</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color w:val="000000"/>
        </w:rPr>
        <w:t>Invited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article;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Externally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peer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reviewed.</w:t>
      </w:r>
    </w:p>
    <w:p w14:paraId="0C5BF093" w14:textId="1B88E9F1" w:rsidR="00A77B3E" w:rsidRPr="00004362" w:rsidRDefault="00D462C0">
      <w:pPr>
        <w:spacing w:line="360" w:lineRule="auto"/>
        <w:jc w:val="both"/>
      </w:pPr>
      <w:r w:rsidRPr="00004362">
        <w:rPr>
          <w:rFonts w:ascii="Book Antiqua" w:eastAsia="Book Antiqua" w:hAnsi="Book Antiqua" w:cs="Book Antiqua"/>
          <w:b/>
          <w:color w:val="000000"/>
        </w:rPr>
        <w:t>Peer-review</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model:</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color w:val="000000"/>
        </w:rPr>
        <w:t>Single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blind</w:t>
      </w:r>
    </w:p>
    <w:p w14:paraId="3E28FF8F" w14:textId="77777777" w:rsidR="00A77B3E" w:rsidRPr="00004362" w:rsidRDefault="00A77B3E">
      <w:pPr>
        <w:spacing w:line="360" w:lineRule="auto"/>
        <w:jc w:val="both"/>
      </w:pPr>
    </w:p>
    <w:p w14:paraId="45E0E7B7" w14:textId="5CB7E881" w:rsidR="00A77B3E" w:rsidRPr="00004362" w:rsidRDefault="00D462C0">
      <w:pPr>
        <w:spacing w:line="360" w:lineRule="auto"/>
        <w:jc w:val="both"/>
      </w:pPr>
      <w:r w:rsidRPr="00004362">
        <w:rPr>
          <w:rFonts w:ascii="Book Antiqua" w:eastAsia="Book Antiqua" w:hAnsi="Book Antiqua" w:cs="Book Antiqua"/>
          <w:b/>
          <w:color w:val="000000"/>
        </w:rPr>
        <w:t>Peer-review</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started:</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color w:val="000000"/>
        </w:rPr>
        <w:t>September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22,</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2022</w:t>
      </w:r>
    </w:p>
    <w:p w14:paraId="60263E5B" w14:textId="1422C3B7" w:rsidR="00A77B3E" w:rsidRPr="00004362" w:rsidRDefault="00D462C0">
      <w:pPr>
        <w:spacing w:line="360" w:lineRule="auto"/>
        <w:jc w:val="both"/>
      </w:pPr>
      <w:r w:rsidRPr="00004362">
        <w:rPr>
          <w:rFonts w:ascii="Book Antiqua" w:eastAsia="Book Antiqua" w:hAnsi="Book Antiqua" w:cs="Book Antiqua"/>
          <w:b/>
          <w:color w:val="000000"/>
        </w:rPr>
        <w:t>First</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decision:</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color w:val="000000"/>
        </w:rPr>
        <w:t>October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18,</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2022</w:t>
      </w:r>
    </w:p>
    <w:p w14:paraId="363311F6" w14:textId="0A841FA2" w:rsidR="00A77B3E" w:rsidRPr="00004362" w:rsidRDefault="00D462C0">
      <w:pPr>
        <w:spacing w:line="360" w:lineRule="auto"/>
        <w:jc w:val="both"/>
      </w:pPr>
      <w:r w:rsidRPr="00004362">
        <w:rPr>
          <w:rFonts w:ascii="Book Antiqua" w:eastAsia="Book Antiqua" w:hAnsi="Book Antiqua" w:cs="Book Antiqua"/>
          <w:b/>
          <w:color w:val="000000"/>
        </w:rPr>
        <w:t>Article</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in</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press:</w:t>
      </w:r>
      <w:r w:rsidR="00150010" w:rsidRPr="00004362">
        <w:rPr>
          <w:rFonts w:ascii="Book Antiqua" w:eastAsia="Book Antiqua" w:hAnsi="Book Antiqua" w:cs="Book Antiqua"/>
          <w:b/>
          <w:color w:val="000000"/>
        </w:rPr>
        <w:t xml:space="preserve"> </w:t>
      </w:r>
      <w:r w:rsidR="00BF41F7" w:rsidRPr="00BF41F7">
        <w:rPr>
          <w:rFonts w:ascii="Book Antiqua" w:eastAsia="Book Antiqua" w:hAnsi="Book Antiqua" w:cs="Book Antiqua"/>
          <w:color w:val="000000"/>
        </w:rPr>
        <w:t>November 27, 2022</w:t>
      </w:r>
    </w:p>
    <w:p w14:paraId="6044C93B" w14:textId="77777777" w:rsidR="00A77B3E" w:rsidRPr="00004362" w:rsidRDefault="00A77B3E">
      <w:pPr>
        <w:spacing w:line="360" w:lineRule="auto"/>
        <w:jc w:val="both"/>
      </w:pPr>
    </w:p>
    <w:p w14:paraId="49E8C57C" w14:textId="771893F2" w:rsidR="00A77B3E" w:rsidRPr="00004362" w:rsidRDefault="00D462C0">
      <w:pPr>
        <w:spacing w:line="360" w:lineRule="auto"/>
        <w:jc w:val="both"/>
      </w:pPr>
      <w:r w:rsidRPr="00004362">
        <w:rPr>
          <w:rFonts w:ascii="Book Antiqua" w:eastAsia="Book Antiqua" w:hAnsi="Book Antiqua" w:cs="Book Antiqua"/>
          <w:b/>
          <w:color w:val="000000"/>
        </w:rPr>
        <w:t>Specialty</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type:</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color w:val="000000"/>
        </w:rPr>
        <w:t>Gastroenterology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and</w:t>
      </w:r>
      <w:r w:rsidR="00150010" w:rsidRPr="00004362">
        <w:rPr>
          <w:rFonts w:ascii="Book Antiqua" w:eastAsia="Book Antiqua" w:hAnsi="Book Antiqua" w:cs="Book Antiqua"/>
          <w:color w:val="000000"/>
        </w:rPr>
        <w:t xml:space="preserve"> </w:t>
      </w:r>
      <w:r w:rsidR="00607E81" w:rsidRPr="00004362">
        <w:rPr>
          <w:rFonts w:ascii="Book Antiqua" w:eastAsia="Book Antiqua" w:hAnsi="Book Antiqua" w:cs="Book Antiqua"/>
          <w:color w:val="000000"/>
        </w:rPr>
        <w:t>h</w:t>
      </w:r>
      <w:r w:rsidRPr="00004362">
        <w:rPr>
          <w:rFonts w:ascii="Book Antiqua" w:eastAsia="Book Antiqua" w:hAnsi="Book Antiqua" w:cs="Book Antiqua"/>
          <w:color w:val="000000"/>
        </w:rPr>
        <w:t>epatology</w:t>
      </w:r>
    </w:p>
    <w:p w14:paraId="01ECF2DA" w14:textId="28852367" w:rsidR="00A77B3E" w:rsidRPr="00004362" w:rsidRDefault="00D462C0">
      <w:pPr>
        <w:spacing w:line="360" w:lineRule="auto"/>
        <w:jc w:val="both"/>
      </w:pPr>
      <w:r w:rsidRPr="00004362">
        <w:rPr>
          <w:rFonts w:ascii="Book Antiqua" w:eastAsia="Book Antiqua" w:hAnsi="Book Antiqua" w:cs="Book Antiqua"/>
          <w:b/>
          <w:color w:val="000000"/>
        </w:rPr>
        <w:t>Country/Territory</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of</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origin:</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color w:val="000000"/>
        </w:rPr>
        <w:t>Argentina</w:t>
      </w:r>
    </w:p>
    <w:p w14:paraId="7A2D4FA3" w14:textId="7680F0DC" w:rsidR="00A77B3E" w:rsidRPr="00004362" w:rsidRDefault="00D462C0">
      <w:pPr>
        <w:spacing w:line="360" w:lineRule="auto"/>
        <w:jc w:val="both"/>
      </w:pPr>
      <w:r w:rsidRPr="00004362">
        <w:rPr>
          <w:rFonts w:ascii="Book Antiqua" w:eastAsia="Book Antiqua" w:hAnsi="Book Antiqua" w:cs="Book Antiqua"/>
          <w:b/>
          <w:color w:val="000000"/>
        </w:rPr>
        <w:t>Peer-review</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report’s</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scientific</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quality</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classification</w:t>
      </w:r>
    </w:p>
    <w:p w14:paraId="37551422" w14:textId="08255DE4" w:rsidR="00A77B3E" w:rsidRPr="00004362" w:rsidRDefault="00D462C0">
      <w:pPr>
        <w:spacing w:line="360" w:lineRule="auto"/>
        <w:jc w:val="both"/>
      </w:pPr>
      <w:r w:rsidRPr="00004362">
        <w:rPr>
          <w:rFonts w:ascii="Book Antiqua" w:eastAsia="Book Antiqua" w:hAnsi="Book Antiqua" w:cs="Book Antiqua"/>
          <w:color w:val="000000"/>
        </w:rPr>
        <w:t>Grade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(Excellent):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0</w:t>
      </w:r>
    </w:p>
    <w:p w14:paraId="55F226C1" w14:textId="2FDD45F1" w:rsidR="00A77B3E" w:rsidRPr="00004362" w:rsidRDefault="00D462C0">
      <w:pPr>
        <w:spacing w:line="360" w:lineRule="auto"/>
        <w:jc w:val="both"/>
      </w:pPr>
      <w:r w:rsidRPr="00004362">
        <w:rPr>
          <w:rFonts w:ascii="Book Antiqua" w:eastAsia="Book Antiqua" w:hAnsi="Book Antiqua" w:cs="Book Antiqua"/>
          <w:color w:val="000000"/>
        </w:rPr>
        <w:t>Grade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(Very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good):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w:t>
      </w:r>
    </w:p>
    <w:p w14:paraId="45C5A21D" w14:textId="1DC44962" w:rsidR="00A77B3E" w:rsidRPr="00004362" w:rsidRDefault="00D462C0">
      <w:pPr>
        <w:spacing w:line="360" w:lineRule="auto"/>
        <w:jc w:val="both"/>
      </w:pPr>
      <w:r w:rsidRPr="00004362">
        <w:rPr>
          <w:rFonts w:ascii="Book Antiqua" w:eastAsia="Book Antiqua" w:hAnsi="Book Antiqua" w:cs="Book Antiqua"/>
          <w:color w:val="000000"/>
        </w:rPr>
        <w:t>Grade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(Good):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C</w:t>
      </w:r>
    </w:p>
    <w:p w14:paraId="49E910DF" w14:textId="1AF6EB3C" w:rsidR="00A77B3E" w:rsidRPr="00004362" w:rsidRDefault="00D462C0">
      <w:pPr>
        <w:spacing w:line="360" w:lineRule="auto"/>
        <w:jc w:val="both"/>
      </w:pPr>
      <w:r w:rsidRPr="00004362">
        <w:rPr>
          <w:rFonts w:ascii="Book Antiqua" w:eastAsia="Book Antiqua" w:hAnsi="Book Antiqua" w:cs="Book Antiqua"/>
          <w:color w:val="000000"/>
        </w:rPr>
        <w:t>Grade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(Fair):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0</w:t>
      </w:r>
    </w:p>
    <w:p w14:paraId="0D3908CA" w14:textId="1F3E240B" w:rsidR="00A77B3E" w:rsidRPr="00004362" w:rsidRDefault="00D462C0">
      <w:pPr>
        <w:spacing w:line="360" w:lineRule="auto"/>
        <w:jc w:val="both"/>
      </w:pPr>
      <w:r w:rsidRPr="00004362">
        <w:rPr>
          <w:rFonts w:ascii="Book Antiqua" w:eastAsia="Book Antiqua" w:hAnsi="Book Antiqua" w:cs="Book Antiqua"/>
          <w:color w:val="000000"/>
        </w:rPr>
        <w:t>Grade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(Poor):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0</w:t>
      </w:r>
    </w:p>
    <w:p w14:paraId="6012F5B0" w14:textId="77777777" w:rsidR="00A77B3E" w:rsidRPr="00004362" w:rsidRDefault="00A77B3E">
      <w:pPr>
        <w:spacing w:line="360" w:lineRule="auto"/>
        <w:jc w:val="both"/>
      </w:pPr>
    </w:p>
    <w:p w14:paraId="1A4E6E93" w14:textId="60FDE840" w:rsidR="00607E81" w:rsidRPr="00004362" w:rsidRDefault="00D462C0">
      <w:pPr>
        <w:spacing w:line="360" w:lineRule="auto"/>
        <w:jc w:val="both"/>
        <w:rPr>
          <w:rFonts w:ascii="Book Antiqua" w:eastAsia="Book Antiqua" w:hAnsi="Book Antiqua" w:cs="Book Antiqua"/>
          <w:b/>
          <w:color w:val="000000"/>
        </w:rPr>
      </w:pPr>
      <w:r w:rsidRPr="00004362">
        <w:rPr>
          <w:rFonts w:ascii="Book Antiqua" w:eastAsia="Book Antiqua" w:hAnsi="Book Antiqua" w:cs="Book Antiqua"/>
          <w:b/>
          <w:color w:val="000000"/>
        </w:rPr>
        <w:lastRenderedPageBreak/>
        <w:t>P-Reviewer:</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color w:val="000000"/>
        </w:rPr>
        <w:t>Gravina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AG,</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Italy;</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M'Koma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AE,</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United</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States;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Parra</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RS,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Brazil</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S-Editor:</w:t>
      </w:r>
      <w:r w:rsidR="00150010" w:rsidRPr="00004362">
        <w:rPr>
          <w:rFonts w:ascii="Book Antiqua" w:eastAsia="Book Antiqua" w:hAnsi="Book Antiqua" w:cs="Book Antiqua"/>
          <w:b/>
          <w:color w:val="000000"/>
        </w:rPr>
        <w:t xml:space="preserve"> </w:t>
      </w:r>
      <w:r w:rsidR="00607E81" w:rsidRPr="00004362">
        <w:rPr>
          <w:rFonts w:ascii="Book Antiqua" w:eastAsia="Book Antiqua" w:hAnsi="Book Antiqua" w:cs="Book Antiqua"/>
          <w:bCs/>
          <w:color w:val="000000"/>
        </w:rPr>
        <w:t>Zhang H</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L-Editor:</w:t>
      </w:r>
      <w:r w:rsidR="00150010" w:rsidRPr="00004362">
        <w:rPr>
          <w:rFonts w:ascii="Book Antiqua" w:eastAsia="Book Antiqua" w:hAnsi="Book Antiqua" w:cs="Book Antiqua"/>
          <w:b/>
          <w:color w:val="000000"/>
        </w:rPr>
        <w:t xml:space="preserve"> </w:t>
      </w:r>
      <w:r w:rsidR="00891DBC" w:rsidRPr="00004362">
        <w:rPr>
          <w:rFonts w:ascii="Book Antiqua" w:eastAsia="Book Antiqua" w:hAnsi="Book Antiqua" w:cs="Book Antiqua"/>
          <w:bCs/>
          <w:color w:val="000000"/>
        </w:rPr>
        <w:t>Filipodia</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P-Editor:</w:t>
      </w:r>
      <w:r w:rsidR="002F1D4F">
        <w:rPr>
          <w:rFonts w:ascii="Book Antiqua" w:eastAsia="Book Antiqua" w:hAnsi="Book Antiqua" w:cs="Book Antiqua"/>
          <w:b/>
          <w:color w:val="000000"/>
        </w:rPr>
        <w:t xml:space="preserve"> </w:t>
      </w:r>
      <w:r w:rsidR="002F1D4F" w:rsidRPr="00004362">
        <w:rPr>
          <w:rFonts w:ascii="Book Antiqua" w:eastAsia="Book Antiqua" w:hAnsi="Book Antiqua" w:cs="Book Antiqua"/>
          <w:bCs/>
          <w:color w:val="000000"/>
        </w:rPr>
        <w:t>Zhang H</w:t>
      </w:r>
    </w:p>
    <w:p w14:paraId="526845A4" w14:textId="2F43E298" w:rsidR="00A77B3E" w:rsidRPr="00004362" w:rsidRDefault="00A77B3E">
      <w:pPr>
        <w:spacing w:line="360" w:lineRule="auto"/>
        <w:jc w:val="both"/>
        <w:sectPr w:rsidR="00A77B3E" w:rsidRPr="00004362">
          <w:pgSz w:w="12240" w:h="15840"/>
          <w:pgMar w:top="1440" w:right="1440" w:bottom="1440" w:left="1440" w:header="720" w:footer="720" w:gutter="0"/>
          <w:cols w:space="720"/>
          <w:docGrid w:linePitch="360"/>
        </w:sectPr>
      </w:pPr>
    </w:p>
    <w:p w14:paraId="05448337" w14:textId="14C0D2B8" w:rsidR="00A77B3E" w:rsidRPr="00004362" w:rsidRDefault="00D462C0">
      <w:pPr>
        <w:spacing w:line="360" w:lineRule="auto"/>
        <w:jc w:val="both"/>
      </w:pPr>
      <w:r w:rsidRPr="00004362">
        <w:rPr>
          <w:rFonts w:ascii="Book Antiqua" w:eastAsia="Book Antiqua" w:hAnsi="Book Antiqua" w:cs="Book Antiqua"/>
          <w:b/>
          <w:color w:val="000000"/>
        </w:rPr>
        <w:lastRenderedPageBreak/>
        <w:t>Figure</w:t>
      </w:r>
      <w:r w:rsidR="00150010" w:rsidRPr="00004362">
        <w:rPr>
          <w:rFonts w:ascii="Book Antiqua" w:eastAsia="Book Antiqua" w:hAnsi="Book Antiqua" w:cs="Book Antiqua"/>
          <w:b/>
          <w:color w:val="000000"/>
        </w:rPr>
        <w:t xml:space="preserve"> </w:t>
      </w:r>
      <w:r w:rsidRPr="00004362">
        <w:rPr>
          <w:rFonts w:ascii="Book Antiqua" w:eastAsia="Book Antiqua" w:hAnsi="Book Antiqua" w:cs="Book Antiqua"/>
          <w:b/>
          <w:color w:val="000000"/>
        </w:rPr>
        <w:t>Legends</w:t>
      </w:r>
    </w:p>
    <w:p w14:paraId="46A2D024" w14:textId="7AFC6A6D" w:rsidR="00CA18F9" w:rsidRPr="00004362" w:rsidRDefault="00A407A0">
      <w:pPr>
        <w:spacing w:line="360" w:lineRule="auto"/>
        <w:jc w:val="both"/>
        <w:rPr>
          <w:rFonts w:ascii="Book Antiqua" w:eastAsia="Book Antiqua" w:hAnsi="Book Antiqua" w:cs="Book Antiqua"/>
          <w:b/>
          <w:bCs/>
          <w:color w:val="000000"/>
        </w:rPr>
      </w:pPr>
      <w:r>
        <w:rPr>
          <w:noProof/>
        </w:rPr>
        <w:drawing>
          <wp:inline distT="0" distB="0" distL="0" distR="0" wp14:anchorId="5998B797" wp14:editId="49E54106">
            <wp:extent cx="4095750" cy="2247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0" cy="2247900"/>
                    </a:xfrm>
                    <a:prstGeom prst="rect">
                      <a:avLst/>
                    </a:prstGeom>
                    <a:noFill/>
                    <a:ln>
                      <a:noFill/>
                    </a:ln>
                  </pic:spPr>
                </pic:pic>
              </a:graphicData>
            </a:graphic>
          </wp:inline>
        </w:drawing>
      </w:r>
    </w:p>
    <w:p w14:paraId="7C8C58AA" w14:textId="127A5D6A" w:rsidR="00A77B3E" w:rsidRPr="00004362" w:rsidRDefault="00D462C0">
      <w:pPr>
        <w:spacing w:line="360" w:lineRule="auto"/>
        <w:jc w:val="both"/>
      </w:pPr>
      <w:r w:rsidRPr="005B72FF">
        <w:rPr>
          <w:rFonts w:ascii="Book Antiqua" w:eastAsia="Book Antiqua" w:hAnsi="Book Antiqua" w:cs="Book Antiqua"/>
          <w:b/>
          <w:bCs/>
          <w:color w:val="000000"/>
        </w:rPr>
        <w:t>Figure</w:t>
      </w:r>
      <w:r w:rsidR="00150010" w:rsidRPr="005B72FF">
        <w:rPr>
          <w:rFonts w:ascii="Book Antiqua" w:eastAsia="Book Antiqua" w:hAnsi="Book Antiqua" w:cs="Book Antiqua"/>
          <w:b/>
          <w:bCs/>
          <w:color w:val="000000"/>
        </w:rPr>
        <w:t xml:space="preserve"> </w:t>
      </w:r>
      <w:r w:rsidRPr="005B72FF">
        <w:rPr>
          <w:rFonts w:ascii="Book Antiqua" w:eastAsia="Book Antiqua" w:hAnsi="Book Antiqua" w:cs="Book Antiqua"/>
          <w:b/>
          <w:bCs/>
          <w:color w:val="000000"/>
        </w:rPr>
        <w:t>1</w:t>
      </w:r>
      <w:r w:rsidR="00150010" w:rsidRPr="005B72FF">
        <w:rPr>
          <w:rFonts w:ascii="Book Antiqua" w:eastAsia="Book Antiqua" w:hAnsi="Book Antiqua" w:cs="Book Antiqua"/>
          <w:color w:val="000000"/>
        </w:rPr>
        <w:t xml:space="preserve"> </w:t>
      </w:r>
      <w:r w:rsidRPr="00004362">
        <w:rPr>
          <w:rFonts w:ascii="Book Antiqua" w:eastAsia="Book Antiqua" w:hAnsi="Book Antiqua" w:cs="Book Antiqua"/>
          <w:b/>
          <w:bCs/>
          <w:color w:val="000000"/>
        </w:rPr>
        <w:t>Number</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of</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therapeutic</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tr</w:t>
      </w:r>
      <w:r w:rsidR="008F65E5" w:rsidRPr="00004362">
        <w:rPr>
          <w:rFonts w:ascii="Book Antiqua" w:eastAsia="Book Antiqua" w:hAnsi="Book Antiqua" w:cs="Book Antiqua"/>
          <w:b/>
          <w:bCs/>
          <w:color w:val="000000"/>
        </w:rPr>
        <w:t>ials</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described</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in</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studies</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including</w:t>
      </w:r>
      <w:r w:rsidR="00150010" w:rsidRPr="00004362">
        <w:rPr>
          <w:rFonts w:ascii="Book Antiqua" w:eastAsia="Book Antiqua" w:hAnsi="Book Antiqua" w:cs="Book Antiqua"/>
          <w:b/>
          <w:bCs/>
          <w:color w:val="000000"/>
        </w:rPr>
        <w:t xml:space="preserve"> </w:t>
      </w:r>
      <w:r w:rsidR="005B72FF">
        <w:rPr>
          <w:rFonts w:ascii="Book Antiqua" w:eastAsia="Book Antiqua" w:hAnsi="Book Antiqua" w:cs="Book Antiqua"/>
          <w:b/>
          <w:bCs/>
          <w:color w:val="000000"/>
        </w:rPr>
        <w:t>2</w:t>
      </w:r>
      <w:r w:rsidR="008F65E5" w:rsidRPr="005B72FF">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or</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more</w:t>
      </w:r>
      <w:r w:rsidR="00150010" w:rsidRPr="00004362">
        <w:rPr>
          <w:rFonts w:ascii="Book Antiqua" w:eastAsia="Book Antiqua" w:hAnsi="Book Antiqua" w:cs="Book Antiqua"/>
          <w:b/>
          <w:bCs/>
          <w:color w:val="000000"/>
        </w:rPr>
        <w:t xml:space="preserve"> </w:t>
      </w:r>
      <w:r w:rsidR="00607E81" w:rsidRPr="00004362">
        <w:rPr>
          <w:rFonts w:ascii="Book Antiqua" w:eastAsia="Book Antiqua" w:hAnsi="Book Antiqua" w:cs="Book Antiqua"/>
          <w:b/>
          <w:bCs/>
          <w:color w:val="000000"/>
        </w:rPr>
        <w:t xml:space="preserve">inflammatory bowel disease </w:t>
      </w:r>
      <w:r w:rsidRPr="00004362">
        <w:rPr>
          <w:rFonts w:ascii="Book Antiqua" w:eastAsia="Book Antiqua" w:hAnsi="Book Antiqua" w:cs="Book Antiqua"/>
          <w:b/>
          <w:bCs/>
          <w:color w:val="000000"/>
        </w:rPr>
        <w:t>patients.</w:t>
      </w:r>
      <w:r w:rsidR="00607E81" w:rsidRPr="00004362">
        <w:rPr>
          <w:lang w:eastAsia="zh-CN"/>
        </w:rPr>
        <w:t xml:space="preserve"> </w:t>
      </w:r>
      <w:r w:rsidRPr="00004362">
        <w:rPr>
          <w:rFonts w:ascii="Book Antiqua" w:eastAsia="Book Antiqua" w:hAnsi="Book Antiqua" w:cs="Book Antiqua"/>
          <w:color w:val="000000"/>
        </w:rPr>
        <w:t>TNFi</w:t>
      </w:r>
      <w:r w:rsidR="00607E81"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00607E81" w:rsidRPr="00004362">
        <w:rPr>
          <w:rFonts w:ascii="Book Antiqua" w:eastAsia="Book Antiqua" w:hAnsi="Book Antiqua" w:cs="Book Antiqua"/>
          <w:color w:val="000000"/>
        </w:rPr>
        <w:t>T</w:t>
      </w:r>
      <w:r w:rsidRPr="00004362">
        <w:rPr>
          <w:rFonts w:ascii="Book Antiqua" w:eastAsia="Book Antiqua" w:hAnsi="Book Antiqua" w:cs="Book Antiqua"/>
          <w:color w:val="000000"/>
        </w:rPr>
        <w:t>umor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necrosis</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factor</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inhibitor</w:t>
      </w:r>
      <w:r w:rsidR="00607E81"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008F65E5" w:rsidRPr="00004362">
        <w:rPr>
          <w:rFonts w:ascii="Book Antiqua" w:eastAsia="Book Antiqua" w:hAnsi="Book Antiqua" w:cs="Book Antiqua"/>
          <w:color w:val="000000"/>
        </w:rPr>
        <w:t xml:space="preserve">TOF: Tofacitinib; UST: Ustekinumab; </w:t>
      </w:r>
      <w:r w:rsidRPr="00004362">
        <w:rPr>
          <w:rFonts w:ascii="Book Antiqua" w:eastAsia="Book Antiqua" w:hAnsi="Book Antiqua" w:cs="Book Antiqua"/>
          <w:color w:val="000000"/>
        </w:rPr>
        <w:t>VDZ</w:t>
      </w:r>
      <w:r w:rsidR="00607E81"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00607E81" w:rsidRPr="00004362">
        <w:rPr>
          <w:rFonts w:ascii="Book Antiqua" w:eastAsia="Book Antiqua" w:hAnsi="Book Antiqua" w:cs="Book Antiqua"/>
          <w:color w:val="000000"/>
        </w:rPr>
        <w:t>V</w:t>
      </w:r>
      <w:r w:rsidRPr="00004362">
        <w:rPr>
          <w:rFonts w:ascii="Book Antiqua" w:eastAsia="Book Antiqua" w:hAnsi="Book Antiqua" w:cs="Book Antiqua"/>
          <w:color w:val="000000"/>
        </w:rPr>
        <w:t>edolizumab.</w:t>
      </w:r>
    </w:p>
    <w:p w14:paraId="43565DA9" w14:textId="6353F376" w:rsidR="00CA18F9" w:rsidRPr="00004362" w:rsidRDefault="00CA18F9">
      <w:pPr>
        <w:spacing w:line="360" w:lineRule="auto"/>
        <w:jc w:val="both"/>
        <w:sectPr w:rsidR="00CA18F9" w:rsidRPr="00004362">
          <w:pgSz w:w="12240" w:h="15840"/>
          <w:pgMar w:top="1440" w:right="1440" w:bottom="1440" w:left="1440" w:header="720" w:footer="720" w:gutter="0"/>
          <w:cols w:space="720"/>
          <w:docGrid w:linePitch="360"/>
        </w:sectPr>
      </w:pPr>
    </w:p>
    <w:p w14:paraId="0D043A74" w14:textId="795C5F23" w:rsidR="00A77B3E" w:rsidRPr="00004362" w:rsidRDefault="00D462C0">
      <w:pPr>
        <w:spacing w:line="360" w:lineRule="auto"/>
        <w:jc w:val="both"/>
        <w:rPr>
          <w:b/>
          <w:bCs/>
        </w:rPr>
      </w:pPr>
      <w:r w:rsidRPr="00004362">
        <w:rPr>
          <w:rFonts w:ascii="Book Antiqua" w:eastAsia="Book Antiqua" w:hAnsi="Book Antiqua" w:cs="Book Antiqua"/>
          <w:b/>
          <w:bCs/>
          <w:color w:val="000000"/>
        </w:rPr>
        <w:lastRenderedPageBreak/>
        <w:t>Table</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1</w:t>
      </w:r>
      <w:r w:rsidR="00150010" w:rsidRPr="005B72FF">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Publications</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including</w:t>
      </w:r>
      <w:r w:rsidR="00150010" w:rsidRPr="00004362">
        <w:rPr>
          <w:rFonts w:ascii="Book Antiqua" w:eastAsia="Book Antiqua" w:hAnsi="Book Antiqua" w:cs="Book Antiqua"/>
          <w:b/>
          <w:bCs/>
          <w:color w:val="000000"/>
        </w:rPr>
        <w:t xml:space="preserve"> </w:t>
      </w:r>
      <w:r w:rsidR="00004362">
        <w:rPr>
          <w:rFonts w:ascii="Book Antiqua" w:eastAsia="Book Antiqua" w:hAnsi="Book Antiqua" w:cs="Book Antiqua"/>
          <w:b/>
          <w:bCs/>
          <w:color w:val="000000"/>
        </w:rPr>
        <w:t>2</w:t>
      </w:r>
      <w:r w:rsidR="005B38B1" w:rsidRPr="00004362">
        <w:rPr>
          <w:rFonts w:ascii="Book Antiqua" w:eastAsia="Book Antiqua" w:hAnsi="Book Antiqua" w:cs="Book Antiqua"/>
          <w:b/>
          <w:bCs/>
          <w:color w:val="000000"/>
        </w:rPr>
        <w:t xml:space="preserve"> </w:t>
      </w:r>
      <w:r w:rsidRPr="005B72FF">
        <w:rPr>
          <w:rFonts w:ascii="Book Antiqua" w:eastAsia="Book Antiqua" w:hAnsi="Book Antiqua" w:cs="Book Antiqua"/>
          <w:b/>
          <w:bCs/>
          <w:color w:val="000000"/>
        </w:rPr>
        <w:t>or</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more</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adult</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or</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pediatric</w:t>
      </w:r>
      <w:r w:rsidR="00150010" w:rsidRPr="00004362">
        <w:rPr>
          <w:rFonts w:ascii="Book Antiqua" w:eastAsia="Book Antiqua" w:hAnsi="Book Antiqua" w:cs="Book Antiqua"/>
          <w:b/>
          <w:bCs/>
          <w:color w:val="000000"/>
        </w:rPr>
        <w:t xml:space="preserve"> </w:t>
      </w:r>
      <w:r w:rsidR="00607E81" w:rsidRPr="00004362">
        <w:rPr>
          <w:rFonts w:ascii="Book Antiqua" w:eastAsia="Book Antiqua" w:hAnsi="Book Antiqua" w:cs="Book Antiqua"/>
          <w:b/>
          <w:bCs/>
          <w:color w:val="000000"/>
        </w:rPr>
        <w:t xml:space="preserve">inflammatory bowel disease </w:t>
      </w:r>
      <w:r w:rsidRPr="00004362">
        <w:rPr>
          <w:rFonts w:ascii="Book Antiqua" w:eastAsia="Book Antiqua" w:hAnsi="Book Antiqua" w:cs="Book Antiqua"/>
          <w:b/>
          <w:bCs/>
          <w:color w:val="000000"/>
        </w:rPr>
        <w:t>patients</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with</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use</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of</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combination</w:t>
      </w:r>
      <w:r w:rsidR="00150010" w:rsidRPr="00004362">
        <w:rPr>
          <w:rFonts w:ascii="Book Antiqua" w:eastAsia="Book Antiqua" w:hAnsi="Book Antiqua" w:cs="Book Antiqua"/>
          <w:b/>
          <w:bCs/>
          <w:color w:val="000000"/>
        </w:rPr>
        <w:t xml:space="preserve"> </w:t>
      </w:r>
      <w:r w:rsidRPr="00004362">
        <w:rPr>
          <w:rFonts w:ascii="Book Antiqua" w:eastAsia="Book Antiqua" w:hAnsi="Book Antiqua" w:cs="Book Antiqua"/>
          <w:b/>
          <w:bCs/>
          <w:color w:val="000000"/>
        </w:rPr>
        <w:t>therapy</w:t>
      </w:r>
    </w:p>
    <w:tbl>
      <w:tblPr>
        <w:tblStyle w:val="a8"/>
        <w:tblW w:w="4923"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1624"/>
        <w:gridCol w:w="1460"/>
        <w:gridCol w:w="1425"/>
        <w:gridCol w:w="1637"/>
        <w:gridCol w:w="1891"/>
      </w:tblGrid>
      <w:tr w:rsidR="00CA18F9" w:rsidRPr="00004362" w14:paraId="119D6D5A" w14:textId="77777777" w:rsidTr="002F1D4F">
        <w:tc>
          <w:tcPr>
            <w:tcW w:w="640" w:type="pct"/>
            <w:tcBorders>
              <w:top w:val="single" w:sz="4" w:space="0" w:color="auto"/>
              <w:bottom w:val="single" w:sz="4" w:space="0" w:color="auto"/>
            </w:tcBorders>
          </w:tcPr>
          <w:p w14:paraId="685A6669" w14:textId="1CEB4F04" w:rsidR="00CA18F9" w:rsidRPr="002F1D4F" w:rsidRDefault="00CA18F9" w:rsidP="00CA18F9">
            <w:pPr>
              <w:adjustRightInd w:val="0"/>
              <w:snapToGrid w:val="0"/>
              <w:spacing w:line="360" w:lineRule="auto"/>
              <w:jc w:val="both"/>
              <w:rPr>
                <w:rFonts w:ascii="Book Antiqua" w:hAnsi="Book Antiqua"/>
                <w:b/>
                <w:lang w:val="en-US"/>
              </w:rPr>
            </w:pPr>
            <w:r w:rsidRPr="002F1D4F">
              <w:rPr>
                <w:rFonts w:ascii="Book Antiqua" w:hAnsi="Book Antiqua"/>
                <w:b/>
                <w:lang w:val="en-US"/>
              </w:rPr>
              <w:t>Ref.</w:t>
            </w:r>
          </w:p>
        </w:tc>
        <w:tc>
          <w:tcPr>
            <w:tcW w:w="881" w:type="pct"/>
            <w:tcBorders>
              <w:top w:val="single" w:sz="4" w:space="0" w:color="auto"/>
              <w:bottom w:val="single" w:sz="4" w:space="0" w:color="auto"/>
            </w:tcBorders>
          </w:tcPr>
          <w:p w14:paraId="7D30BBB8" w14:textId="77777777" w:rsidR="00CA18F9" w:rsidRPr="00004362" w:rsidRDefault="00CA18F9" w:rsidP="00CA18F9">
            <w:pPr>
              <w:adjustRightInd w:val="0"/>
              <w:snapToGrid w:val="0"/>
              <w:spacing w:line="360" w:lineRule="auto"/>
              <w:jc w:val="both"/>
              <w:rPr>
                <w:rFonts w:ascii="Book Antiqua" w:hAnsi="Book Antiqua"/>
                <w:b/>
                <w:bCs/>
                <w:lang w:val="en-US"/>
              </w:rPr>
            </w:pPr>
            <w:r w:rsidRPr="00004362">
              <w:rPr>
                <w:rFonts w:ascii="Book Antiqua" w:hAnsi="Book Antiqua"/>
                <w:b/>
                <w:bCs/>
                <w:lang w:val="en-US"/>
              </w:rPr>
              <w:t>Study type (type of patients)</w:t>
            </w:r>
          </w:p>
        </w:tc>
        <w:tc>
          <w:tcPr>
            <w:tcW w:w="792" w:type="pct"/>
            <w:tcBorders>
              <w:top w:val="single" w:sz="4" w:space="0" w:color="auto"/>
              <w:bottom w:val="single" w:sz="4" w:space="0" w:color="auto"/>
            </w:tcBorders>
          </w:tcPr>
          <w:p w14:paraId="519E76CE" w14:textId="77777777" w:rsidR="00CA18F9" w:rsidRPr="002F1D4F" w:rsidRDefault="00CA18F9" w:rsidP="00CA18F9">
            <w:pPr>
              <w:adjustRightInd w:val="0"/>
              <w:snapToGrid w:val="0"/>
              <w:spacing w:line="360" w:lineRule="auto"/>
              <w:jc w:val="both"/>
              <w:rPr>
                <w:rFonts w:ascii="Book Antiqua" w:hAnsi="Book Antiqua"/>
                <w:b/>
                <w:lang w:val="en-US"/>
              </w:rPr>
            </w:pPr>
            <w:r w:rsidRPr="002F1D4F">
              <w:rPr>
                <w:rFonts w:ascii="Book Antiqua" w:hAnsi="Book Antiqua"/>
                <w:b/>
                <w:lang w:val="en-US"/>
              </w:rPr>
              <w:t>Disease (number of patients)</w:t>
            </w:r>
          </w:p>
        </w:tc>
        <w:tc>
          <w:tcPr>
            <w:tcW w:w="773" w:type="pct"/>
            <w:tcBorders>
              <w:top w:val="single" w:sz="4" w:space="0" w:color="auto"/>
              <w:bottom w:val="single" w:sz="4" w:space="0" w:color="auto"/>
            </w:tcBorders>
          </w:tcPr>
          <w:p w14:paraId="4740AB81" w14:textId="77777777" w:rsidR="00CA18F9" w:rsidRPr="002F1D4F" w:rsidRDefault="00CA18F9" w:rsidP="00CA18F9">
            <w:pPr>
              <w:adjustRightInd w:val="0"/>
              <w:snapToGrid w:val="0"/>
              <w:spacing w:line="360" w:lineRule="auto"/>
              <w:jc w:val="both"/>
              <w:rPr>
                <w:rFonts w:ascii="Book Antiqua" w:hAnsi="Book Antiqua"/>
                <w:b/>
                <w:lang w:val="en-US"/>
              </w:rPr>
            </w:pPr>
            <w:r w:rsidRPr="002F1D4F">
              <w:rPr>
                <w:rFonts w:ascii="Book Antiqua" w:hAnsi="Book Antiqua"/>
                <w:b/>
                <w:lang w:val="en-US"/>
              </w:rPr>
              <w:t>Combinations</w:t>
            </w:r>
          </w:p>
        </w:tc>
        <w:tc>
          <w:tcPr>
            <w:tcW w:w="888" w:type="pct"/>
            <w:tcBorders>
              <w:top w:val="single" w:sz="4" w:space="0" w:color="auto"/>
              <w:bottom w:val="single" w:sz="4" w:space="0" w:color="auto"/>
            </w:tcBorders>
          </w:tcPr>
          <w:p w14:paraId="17005892" w14:textId="77777777" w:rsidR="00CA18F9" w:rsidRPr="002F1D4F" w:rsidRDefault="00CA18F9" w:rsidP="00CA18F9">
            <w:pPr>
              <w:adjustRightInd w:val="0"/>
              <w:snapToGrid w:val="0"/>
              <w:spacing w:line="360" w:lineRule="auto"/>
              <w:jc w:val="both"/>
              <w:rPr>
                <w:rFonts w:ascii="Book Antiqua" w:hAnsi="Book Antiqua"/>
                <w:b/>
                <w:lang w:val="en-US"/>
              </w:rPr>
            </w:pPr>
            <w:r w:rsidRPr="002F1D4F">
              <w:rPr>
                <w:rFonts w:ascii="Book Antiqua" w:hAnsi="Book Antiqua"/>
                <w:b/>
                <w:lang w:val="en-US"/>
              </w:rPr>
              <w:t>Efficacy</w:t>
            </w:r>
          </w:p>
        </w:tc>
        <w:tc>
          <w:tcPr>
            <w:tcW w:w="1026" w:type="pct"/>
            <w:tcBorders>
              <w:top w:val="single" w:sz="4" w:space="0" w:color="auto"/>
              <w:bottom w:val="single" w:sz="4" w:space="0" w:color="auto"/>
            </w:tcBorders>
          </w:tcPr>
          <w:p w14:paraId="03529150" w14:textId="77777777" w:rsidR="00CA18F9" w:rsidRPr="002F1D4F" w:rsidRDefault="00CA18F9" w:rsidP="00CA18F9">
            <w:pPr>
              <w:adjustRightInd w:val="0"/>
              <w:snapToGrid w:val="0"/>
              <w:spacing w:line="360" w:lineRule="auto"/>
              <w:jc w:val="both"/>
              <w:rPr>
                <w:rFonts w:ascii="Book Antiqua" w:hAnsi="Book Antiqua"/>
                <w:b/>
                <w:lang w:val="en-US"/>
              </w:rPr>
            </w:pPr>
            <w:r w:rsidRPr="002F1D4F">
              <w:rPr>
                <w:rFonts w:ascii="Book Antiqua" w:hAnsi="Book Antiqua"/>
                <w:b/>
                <w:lang w:val="en-US"/>
              </w:rPr>
              <w:t>Adverse events</w:t>
            </w:r>
          </w:p>
        </w:tc>
      </w:tr>
      <w:tr w:rsidR="00CA18F9" w:rsidRPr="00004362" w14:paraId="23F278F1" w14:textId="77777777" w:rsidTr="002F1D4F">
        <w:tc>
          <w:tcPr>
            <w:tcW w:w="640" w:type="pct"/>
            <w:tcBorders>
              <w:top w:val="single" w:sz="4" w:space="0" w:color="auto"/>
            </w:tcBorders>
          </w:tcPr>
          <w:p w14:paraId="5F78CD85" w14:textId="371AD291" w:rsidR="00CA18F9" w:rsidRPr="002F1D4F" w:rsidRDefault="00CA18F9" w:rsidP="00CA18F9">
            <w:pPr>
              <w:adjustRightInd w:val="0"/>
              <w:snapToGrid w:val="0"/>
              <w:spacing w:line="360" w:lineRule="auto"/>
              <w:jc w:val="both"/>
              <w:rPr>
                <w:rFonts w:ascii="Book Antiqua" w:hAnsi="Book Antiqua"/>
                <w:lang w:val="en-US"/>
              </w:rPr>
            </w:pPr>
            <w:r w:rsidRPr="002F1D4F">
              <w:rPr>
                <w:rFonts w:ascii="Book Antiqua" w:hAnsi="Book Antiqua"/>
                <w:lang w:val="en-US"/>
              </w:rPr>
              <w:t xml:space="preserve">Sands </w:t>
            </w:r>
            <w:r w:rsidRPr="002F1D4F">
              <w:rPr>
                <w:rFonts w:ascii="Book Antiqua" w:hAnsi="Book Antiqua"/>
                <w:i/>
                <w:lang w:val="en-US"/>
              </w:rPr>
              <w:t>et al</w:t>
            </w:r>
            <w:r w:rsidRPr="002F1D4F">
              <w:rPr>
                <w:rFonts w:ascii="Book Antiqua" w:hAnsi="Book Antiqua"/>
                <w:vertAlign w:val="superscript"/>
                <w:lang w:val="en-US"/>
              </w:rPr>
              <w:t>[20]</w:t>
            </w:r>
            <w:r w:rsidRPr="002F1D4F">
              <w:rPr>
                <w:rFonts w:ascii="Book Antiqua" w:hAnsi="Book Antiqua"/>
                <w:lang w:val="en-US"/>
              </w:rPr>
              <w:t>, 2007</w:t>
            </w:r>
          </w:p>
        </w:tc>
        <w:tc>
          <w:tcPr>
            <w:tcW w:w="881" w:type="pct"/>
            <w:tcBorders>
              <w:top w:val="single" w:sz="4" w:space="0" w:color="auto"/>
            </w:tcBorders>
          </w:tcPr>
          <w:p w14:paraId="6B6A7260" w14:textId="77777777" w:rsidR="00CA18F9" w:rsidRPr="002F1D4F" w:rsidRDefault="00CA18F9" w:rsidP="00CA18F9">
            <w:pPr>
              <w:adjustRightInd w:val="0"/>
              <w:snapToGrid w:val="0"/>
              <w:spacing w:line="360" w:lineRule="auto"/>
              <w:jc w:val="both"/>
              <w:rPr>
                <w:rFonts w:ascii="Book Antiqua" w:hAnsi="Book Antiqua"/>
                <w:lang w:val="en-US"/>
              </w:rPr>
            </w:pPr>
            <w:r w:rsidRPr="002F1D4F">
              <w:rPr>
                <w:rFonts w:ascii="Book Antiqua" w:hAnsi="Book Antiqua"/>
                <w:lang w:val="en-US"/>
              </w:rPr>
              <w:t>Randomized controlled trial (adults)</w:t>
            </w:r>
          </w:p>
        </w:tc>
        <w:tc>
          <w:tcPr>
            <w:tcW w:w="792" w:type="pct"/>
            <w:tcBorders>
              <w:top w:val="single" w:sz="4" w:space="0" w:color="auto"/>
            </w:tcBorders>
          </w:tcPr>
          <w:p w14:paraId="6DB2B1A7" w14:textId="77777777" w:rsidR="00CA18F9" w:rsidRPr="002F1D4F" w:rsidRDefault="00CA18F9" w:rsidP="00CA18F9">
            <w:pPr>
              <w:adjustRightInd w:val="0"/>
              <w:snapToGrid w:val="0"/>
              <w:spacing w:line="360" w:lineRule="auto"/>
              <w:jc w:val="both"/>
              <w:rPr>
                <w:rFonts w:ascii="Book Antiqua" w:hAnsi="Book Antiqua"/>
                <w:lang w:val="en-US"/>
              </w:rPr>
            </w:pPr>
            <w:r w:rsidRPr="002F1D4F">
              <w:rPr>
                <w:rFonts w:ascii="Book Antiqua" w:hAnsi="Book Antiqua"/>
                <w:lang w:val="en-US"/>
              </w:rPr>
              <w:t xml:space="preserve">CD (52) </w:t>
            </w:r>
          </w:p>
        </w:tc>
        <w:tc>
          <w:tcPr>
            <w:tcW w:w="773" w:type="pct"/>
            <w:tcBorders>
              <w:top w:val="single" w:sz="4" w:space="0" w:color="auto"/>
            </w:tcBorders>
          </w:tcPr>
          <w:p w14:paraId="7B563958" w14:textId="77777777" w:rsidR="00CA18F9" w:rsidRPr="002F1D4F" w:rsidRDefault="00CA18F9" w:rsidP="00CA18F9">
            <w:pPr>
              <w:adjustRightInd w:val="0"/>
              <w:snapToGrid w:val="0"/>
              <w:spacing w:line="360" w:lineRule="auto"/>
              <w:jc w:val="both"/>
              <w:rPr>
                <w:rFonts w:ascii="Book Antiqua" w:hAnsi="Book Antiqua"/>
                <w:lang w:val="en-US"/>
              </w:rPr>
            </w:pPr>
            <w:r w:rsidRPr="002F1D4F">
              <w:rPr>
                <w:rFonts w:ascii="Book Antiqua" w:hAnsi="Book Antiqua"/>
                <w:lang w:val="en-US"/>
              </w:rPr>
              <w:t>NAT + IFX</w:t>
            </w:r>
          </w:p>
        </w:tc>
        <w:tc>
          <w:tcPr>
            <w:tcW w:w="888" w:type="pct"/>
            <w:tcBorders>
              <w:top w:val="single" w:sz="4" w:space="0" w:color="auto"/>
            </w:tcBorders>
          </w:tcPr>
          <w:p w14:paraId="35E2D18A" w14:textId="77777777" w:rsidR="00CA18F9" w:rsidRPr="002F1D4F" w:rsidRDefault="00CA18F9" w:rsidP="00CA18F9">
            <w:pPr>
              <w:adjustRightInd w:val="0"/>
              <w:snapToGrid w:val="0"/>
              <w:spacing w:line="360" w:lineRule="auto"/>
              <w:jc w:val="both"/>
              <w:rPr>
                <w:rFonts w:ascii="Book Antiqua" w:hAnsi="Book Antiqua"/>
                <w:lang w:val="en-US"/>
              </w:rPr>
            </w:pPr>
            <w:r w:rsidRPr="002F1D4F">
              <w:rPr>
                <w:rFonts w:ascii="Book Antiqua" w:hAnsi="Book Antiqua"/>
                <w:lang w:val="en-US"/>
              </w:rPr>
              <w:t>Remission 37%</w:t>
            </w:r>
          </w:p>
        </w:tc>
        <w:tc>
          <w:tcPr>
            <w:tcW w:w="1026" w:type="pct"/>
            <w:tcBorders>
              <w:top w:val="single" w:sz="4" w:space="0" w:color="auto"/>
            </w:tcBorders>
          </w:tcPr>
          <w:p w14:paraId="598D7C9D"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lang w:val="en-US"/>
              </w:rPr>
              <w:t>Headache, CD exacerbation, nausea, nasopharyngitis</w:t>
            </w:r>
          </w:p>
        </w:tc>
      </w:tr>
      <w:tr w:rsidR="00CA18F9" w:rsidRPr="00004362" w14:paraId="1FCA4CDB" w14:textId="77777777" w:rsidTr="002F1D4F">
        <w:tc>
          <w:tcPr>
            <w:tcW w:w="640" w:type="pct"/>
          </w:tcPr>
          <w:p w14:paraId="28166A3A" w14:textId="7749D3F8"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 xml:space="preserve">Buer </w:t>
            </w:r>
            <w:r w:rsidRPr="002F1D4F">
              <w:rPr>
                <w:rFonts w:ascii="Book Antiqua" w:hAnsi="Book Antiqua"/>
                <w:i/>
                <w:lang w:val="en-US"/>
              </w:rPr>
              <w:t>et al</w:t>
            </w:r>
            <w:r w:rsidRPr="002F1D4F">
              <w:rPr>
                <w:rFonts w:ascii="Book Antiqua" w:hAnsi="Book Antiqua"/>
                <w:vertAlign w:val="superscript"/>
                <w:lang w:val="en-US"/>
              </w:rPr>
              <w:t>[22]</w:t>
            </w:r>
            <w:r w:rsidRPr="002F1D4F">
              <w:rPr>
                <w:rFonts w:ascii="Book Antiqua" w:hAnsi="Book Antiqua"/>
                <w:lang w:val="en-US"/>
              </w:rPr>
              <w:t>, 2018</w:t>
            </w:r>
          </w:p>
        </w:tc>
        <w:tc>
          <w:tcPr>
            <w:tcW w:w="881" w:type="pct"/>
          </w:tcPr>
          <w:p w14:paraId="3E96CC9F"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Prospective cohort (adults)</w:t>
            </w:r>
          </w:p>
        </w:tc>
        <w:tc>
          <w:tcPr>
            <w:tcW w:w="792" w:type="pct"/>
          </w:tcPr>
          <w:p w14:paraId="15523431" w14:textId="45CAE4BA"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CD (4)</w:t>
            </w:r>
            <w:r w:rsidR="00E36EAB" w:rsidRPr="00004362">
              <w:rPr>
                <w:rFonts w:ascii="Book Antiqua" w:hAnsi="Book Antiqua"/>
              </w:rPr>
              <w:t xml:space="preserve">, </w:t>
            </w:r>
            <w:r w:rsidRPr="00004362">
              <w:rPr>
                <w:rFonts w:ascii="Book Antiqua" w:hAnsi="Book Antiqua"/>
              </w:rPr>
              <w:t>UC (6)</w:t>
            </w:r>
          </w:p>
        </w:tc>
        <w:tc>
          <w:tcPr>
            <w:tcW w:w="773" w:type="pct"/>
          </w:tcPr>
          <w:p w14:paraId="24944C9B" w14:textId="4572B40E"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9 IFX + VDZ</w:t>
            </w:r>
            <w:r w:rsidR="00E36EAB" w:rsidRPr="00004362">
              <w:rPr>
                <w:rFonts w:ascii="Book Antiqua" w:hAnsi="Book Antiqua"/>
              </w:rPr>
              <w:t xml:space="preserve">, </w:t>
            </w:r>
            <w:r w:rsidRPr="00004362">
              <w:rPr>
                <w:rFonts w:ascii="Book Antiqua" w:hAnsi="Book Antiqua"/>
              </w:rPr>
              <w:t>1 ADA + UST</w:t>
            </w:r>
          </w:p>
        </w:tc>
        <w:tc>
          <w:tcPr>
            <w:tcW w:w="888" w:type="pct"/>
          </w:tcPr>
          <w:p w14:paraId="684B9A1E"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Remission 100 %</w:t>
            </w:r>
          </w:p>
        </w:tc>
        <w:tc>
          <w:tcPr>
            <w:tcW w:w="1026" w:type="pct"/>
          </w:tcPr>
          <w:p w14:paraId="37645980" w14:textId="0F2EEE4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 xml:space="preserve">3 </w:t>
            </w:r>
            <w:r w:rsidR="00E36EAB" w:rsidRPr="00004362">
              <w:rPr>
                <w:rFonts w:ascii="Book Antiqua" w:hAnsi="Book Antiqua"/>
              </w:rPr>
              <w:t>u</w:t>
            </w:r>
            <w:r w:rsidRPr="00004362">
              <w:rPr>
                <w:rFonts w:ascii="Book Antiqua" w:hAnsi="Book Antiqua"/>
              </w:rPr>
              <w:t>pper airway infections</w:t>
            </w:r>
          </w:p>
        </w:tc>
      </w:tr>
      <w:tr w:rsidR="00CA18F9" w:rsidRPr="00004362" w14:paraId="0A741B22" w14:textId="77777777" w:rsidTr="002F1D4F">
        <w:tc>
          <w:tcPr>
            <w:tcW w:w="640" w:type="pct"/>
          </w:tcPr>
          <w:p w14:paraId="2EF340BB" w14:textId="45A52A8A"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 xml:space="preserve">Mao </w:t>
            </w:r>
            <w:r w:rsidRPr="002F1D4F">
              <w:rPr>
                <w:rFonts w:ascii="Book Antiqua" w:hAnsi="Book Antiqua"/>
                <w:i/>
                <w:lang w:val="en-US"/>
              </w:rPr>
              <w:t>et al</w:t>
            </w:r>
            <w:r w:rsidRPr="002F1D4F">
              <w:rPr>
                <w:rFonts w:ascii="Book Antiqua" w:hAnsi="Book Antiqua"/>
                <w:vertAlign w:val="superscript"/>
                <w:lang w:val="en-US"/>
              </w:rPr>
              <w:t>[23]</w:t>
            </w:r>
            <w:r w:rsidRPr="002F1D4F">
              <w:rPr>
                <w:rFonts w:ascii="Book Antiqua" w:hAnsi="Book Antiqua"/>
                <w:lang w:val="en-US"/>
              </w:rPr>
              <w:t>, 2018</w:t>
            </w:r>
          </w:p>
        </w:tc>
        <w:tc>
          <w:tcPr>
            <w:tcW w:w="881" w:type="pct"/>
          </w:tcPr>
          <w:p w14:paraId="3B2D19B1"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Case series (adults)</w:t>
            </w:r>
          </w:p>
        </w:tc>
        <w:tc>
          <w:tcPr>
            <w:tcW w:w="792" w:type="pct"/>
          </w:tcPr>
          <w:p w14:paraId="4C3F6E8C"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CD (4)</w:t>
            </w:r>
          </w:p>
        </w:tc>
        <w:tc>
          <w:tcPr>
            <w:tcW w:w="773" w:type="pct"/>
          </w:tcPr>
          <w:p w14:paraId="015F1377" w14:textId="47BE814F" w:rsidR="00CA18F9" w:rsidRPr="00004362" w:rsidRDefault="00CA18F9" w:rsidP="00CA18F9">
            <w:pPr>
              <w:adjustRightInd w:val="0"/>
              <w:snapToGrid w:val="0"/>
              <w:spacing w:line="360" w:lineRule="auto"/>
              <w:jc w:val="both"/>
              <w:rPr>
                <w:rFonts w:ascii="Book Antiqua" w:hAnsi="Book Antiqua"/>
                <w:lang w:val="en-US"/>
              </w:rPr>
            </w:pPr>
            <w:r w:rsidRPr="008D0C14">
              <w:rPr>
                <w:rFonts w:ascii="Book Antiqua" w:hAnsi="Book Antiqua"/>
                <w:lang w:val="en-US"/>
              </w:rPr>
              <w:t>1 TNFi + UST/VDZ</w:t>
            </w:r>
            <w:r w:rsidR="00E36EAB" w:rsidRPr="008D0C14">
              <w:rPr>
                <w:rFonts w:ascii="Book Antiqua" w:hAnsi="Book Antiqua"/>
                <w:lang w:val="en-US" w:eastAsia="zh-CN"/>
              </w:rPr>
              <w:t xml:space="preserve">, </w:t>
            </w:r>
            <w:r w:rsidRPr="008D0C14">
              <w:rPr>
                <w:rFonts w:ascii="Book Antiqua" w:hAnsi="Book Antiqua"/>
                <w:lang w:val="en-US"/>
              </w:rPr>
              <w:t>1 VDZ + UST</w:t>
            </w:r>
            <w:r w:rsidR="00E36EAB" w:rsidRPr="008D0C14">
              <w:rPr>
                <w:rFonts w:ascii="Book Antiqua" w:hAnsi="Book Antiqua"/>
                <w:lang w:val="en-US" w:eastAsia="zh-CN"/>
              </w:rPr>
              <w:t xml:space="preserve">, </w:t>
            </w:r>
            <w:r w:rsidRPr="008D0C14">
              <w:rPr>
                <w:rFonts w:ascii="Book Antiqua" w:hAnsi="Book Antiqua"/>
                <w:lang w:val="en-US"/>
              </w:rPr>
              <w:t>2 VDZ + GOL</w:t>
            </w:r>
          </w:p>
        </w:tc>
        <w:tc>
          <w:tcPr>
            <w:tcW w:w="888" w:type="pct"/>
          </w:tcPr>
          <w:p w14:paraId="377A649E"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Remission 3/4</w:t>
            </w:r>
          </w:p>
        </w:tc>
        <w:tc>
          <w:tcPr>
            <w:tcW w:w="1026" w:type="pct"/>
          </w:tcPr>
          <w:p w14:paraId="3A9F4057" w14:textId="0635D15F" w:rsidR="00CA18F9" w:rsidRPr="00004362" w:rsidRDefault="00CA18F9" w:rsidP="00CA18F9">
            <w:pPr>
              <w:adjustRightInd w:val="0"/>
              <w:snapToGrid w:val="0"/>
              <w:spacing w:line="360" w:lineRule="auto"/>
              <w:jc w:val="both"/>
              <w:rPr>
                <w:rFonts w:ascii="Book Antiqua" w:hAnsi="Book Antiqua"/>
                <w:lang w:val="en-US"/>
              </w:rPr>
            </w:pPr>
            <w:r w:rsidRPr="008D0C14">
              <w:rPr>
                <w:rFonts w:ascii="Book Antiqua" w:hAnsi="Book Antiqua"/>
                <w:lang w:val="en-US"/>
              </w:rPr>
              <w:t xml:space="preserve">1 </w:t>
            </w:r>
            <w:r w:rsidR="00E36EAB" w:rsidRPr="008D0C14">
              <w:rPr>
                <w:rFonts w:ascii="Book Antiqua" w:hAnsi="Book Antiqua"/>
                <w:lang w:val="en-US"/>
              </w:rPr>
              <w:t>h</w:t>
            </w:r>
            <w:r w:rsidRPr="008D0C14">
              <w:rPr>
                <w:rFonts w:ascii="Book Antiqua" w:hAnsi="Book Antiqua"/>
                <w:lang w:val="en-US"/>
              </w:rPr>
              <w:t>and, foot and mouth disease</w:t>
            </w:r>
            <w:r w:rsidR="00E36EAB" w:rsidRPr="008D0C14">
              <w:rPr>
                <w:rFonts w:ascii="Book Antiqua" w:hAnsi="Book Antiqua"/>
                <w:lang w:val="en-US"/>
              </w:rPr>
              <w:t xml:space="preserve">, </w:t>
            </w:r>
            <w:r w:rsidRPr="008D0C14">
              <w:rPr>
                <w:rFonts w:ascii="Book Antiqua" w:hAnsi="Book Antiqua"/>
                <w:lang w:val="en-US"/>
              </w:rPr>
              <w:t xml:space="preserve">1 </w:t>
            </w:r>
            <w:r w:rsidR="00E36EAB" w:rsidRPr="008D0C14">
              <w:rPr>
                <w:rFonts w:ascii="Book Antiqua" w:hAnsi="Book Antiqua"/>
                <w:lang w:val="en-US"/>
              </w:rPr>
              <w:t>i</w:t>
            </w:r>
            <w:r w:rsidRPr="008D0C14">
              <w:rPr>
                <w:rFonts w:ascii="Book Antiqua" w:hAnsi="Book Antiqua"/>
                <w:lang w:val="en-US"/>
              </w:rPr>
              <w:t>nfluenza,</w:t>
            </w:r>
            <w:r w:rsidR="00E36EAB" w:rsidRPr="008D0C14">
              <w:rPr>
                <w:rFonts w:ascii="Book Antiqua" w:hAnsi="Book Antiqua"/>
                <w:lang w:val="en-US" w:eastAsia="zh-CN"/>
              </w:rPr>
              <w:t xml:space="preserve"> </w:t>
            </w:r>
            <w:r w:rsidRPr="008D0C14">
              <w:rPr>
                <w:rFonts w:ascii="Book Antiqua" w:hAnsi="Book Antiqua"/>
                <w:lang w:val="en-US"/>
              </w:rPr>
              <w:t xml:space="preserve">1 </w:t>
            </w:r>
            <w:r w:rsidRPr="008D0C14">
              <w:rPr>
                <w:rFonts w:ascii="Book Antiqua" w:hAnsi="Book Antiqua"/>
                <w:i/>
                <w:iCs/>
                <w:lang w:val="en-US"/>
              </w:rPr>
              <w:t>Clostridiodes difficile</w:t>
            </w:r>
          </w:p>
        </w:tc>
      </w:tr>
      <w:tr w:rsidR="00CA18F9" w:rsidRPr="00004362" w14:paraId="1D7300B5" w14:textId="77777777" w:rsidTr="002F1D4F">
        <w:tc>
          <w:tcPr>
            <w:tcW w:w="640" w:type="pct"/>
          </w:tcPr>
          <w:p w14:paraId="23418C71" w14:textId="5064554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 xml:space="preserve">Kwapisz </w:t>
            </w:r>
            <w:r w:rsidRPr="002F1D4F">
              <w:rPr>
                <w:rFonts w:ascii="Book Antiqua" w:hAnsi="Book Antiqua"/>
                <w:i/>
                <w:lang w:val="en-US"/>
              </w:rPr>
              <w:t>et al</w:t>
            </w:r>
            <w:r w:rsidRPr="002F1D4F">
              <w:rPr>
                <w:rFonts w:ascii="Book Antiqua" w:hAnsi="Book Antiqua"/>
                <w:vertAlign w:val="superscript"/>
                <w:lang w:val="en-US"/>
              </w:rPr>
              <w:t>[24]</w:t>
            </w:r>
            <w:r w:rsidRPr="002F1D4F">
              <w:rPr>
                <w:rFonts w:ascii="Book Antiqua" w:hAnsi="Book Antiqua"/>
                <w:lang w:val="en-US"/>
              </w:rPr>
              <w:t>, 2020</w:t>
            </w:r>
          </w:p>
        </w:tc>
        <w:tc>
          <w:tcPr>
            <w:tcW w:w="881" w:type="pct"/>
          </w:tcPr>
          <w:p w14:paraId="67023651"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Retrospective cohort (adults)</w:t>
            </w:r>
          </w:p>
        </w:tc>
        <w:tc>
          <w:tcPr>
            <w:tcW w:w="792" w:type="pct"/>
          </w:tcPr>
          <w:p w14:paraId="7A0D7AED" w14:textId="2D8C4FFB"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CD (14)</w:t>
            </w:r>
            <w:r w:rsidR="00E36EAB" w:rsidRPr="00004362">
              <w:rPr>
                <w:rFonts w:ascii="Book Antiqua" w:hAnsi="Book Antiqua"/>
              </w:rPr>
              <w:t xml:space="preserve">, </w:t>
            </w:r>
            <w:r w:rsidRPr="00004362">
              <w:rPr>
                <w:rFonts w:ascii="Book Antiqua" w:hAnsi="Book Antiqua"/>
              </w:rPr>
              <w:t>UC (1)</w:t>
            </w:r>
          </w:p>
        </w:tc>
        <w:tc>
          <w:tcPr>
            <w:tcW w:w="773" w:type="pct"/>
          </w:tcPr>
          <w:p w14:paraId="0F579BA4" w14:textId="3DAB88DC" w:rsidR="00CA18F9" w:rsidRPr="00004362" w:rsidRDefault="00CA18F9" w:rsidP="00CA18F9">
            <w:pPr>
              <w:adjustRightInd w:val="0"/>
              <w:snapToGrid w:val="0"/>
              <w:spacing w:line="360" w:lineRule="auto"/>
              <w:jc w:val="both"/>
              <w:rPr>
                <w:rFonts w:ascii="Book Antiqua" w:hAnsi="Book Antiqua"/>
                <w:lang w:val="en-US"/>
              </w:rPr>
            </w:pPr>
            <w:r w:rsidRPr="008D0C14">
              <w:rPr>
                <w:rFonts w:ascii="Book Antiqua" w:hAnsi="Book Antiqua"/>
                <w:lang w:val="en-US"/>
              </w:rPr>
              <w:t xml:space="preserve">8 VDZ + </w:t>
            </w:r>
            <w:r w:rsidR="00E36EAB" w:rsidRPr="008D0C14">
              <w:rPr>
                <w:rFonts w:ascii="Book Antiqua" w:hAnsi="Book Antiqua"/>
                <w:lang w:val="en-US"/>
              </w:rPr>
              <w:t>TNFi</w:t>
            </w:r>
            <w:r w:rsidR="00E36EAB" w:rsidRPr="008D0C14">
              <w:rPr>
                <w:rFonts w:ascii="Book Antiqua" w:hAnsi="Book Antiqua"/>
                <w:lang w:val="en-US" w:eastAsia="zh-CN"/>
              </w:rPr>
              <w:t xml:space="preserve">, </w:t>
            </w:r>
            <w:r w:rsidRPr="008D0C14">
              <w:rPr>
                <w:rFonts w:ascii="Book Antiqua" w:hAnsi="Book Antiqua"/>
                <w:lang w:val="en-US"/>
              </w:rPr>
              <w:t>5 VDZ + UST</w:t>
            </w:r>
            <w:r w:rsidR="00E36EAB" w:rsidRPr="008D0C14">
              <w:rPr>
                <w:rFonts w:ascii="Book Antiqua" w:hAnsi="Book Antiqua"/>
                <w:lang w:val="en-US" w:eastAsia="zh-CN"/>
              </w:rPr>
              <w:t xml:space="preserve">, </w:t>
            </w:r>
            <w:r w:rsidRPr="008D0C14">
              <w:rPr>
                <w:rFonts w:ascii="Book Antiqua" w:hAnsi="Book Antiqua"/>
                <w:lang w:val="en-US"/>
              </w:rPr>
              <w:t xml:space="preserve">2 UST + </w:t>
            </w:r>
            <w:r w:rsidR="00E36EAB" w:rsidRPr="008D0C14">
              <w:rPr>
                <w:rFonts w:ascii="Book Antiqua" w:hAnsi="Book Antiqua"/>
                <w:lang w:val="en-US"/>
              </w:rPr>
              <w:t>TNFi</w:t>
            </w:r>
          </w:p>
        </w:tc>
        <w:tc>
          <w:tcPr>
            <w:tcW w:w="888" w:type="pct"/>
          </w:tcPr>
          <w:p w14:paraId="2EFA8A84"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Improvement 11/15</w:t>
            </w:r>
          </w:p>
        </w:tc>
        <w:tc>
          <w:tcPr>
            <w:tcW w:w="1026" w:type="pct"/>
          </w:tcPr>
          <w:p w14:paraId="5CA0BCAC" w14:textId="77777777" w:rsidR="00CA18F9" w:rsidRPr="00004362" w:rsidRDefault="00CA18F9" w:rsidP="00CA18F9">
            <w:pPr>
              <w:adjustRightInd w:val="0"/>
              <w:snapToGrid w:val="0"/>
              <w:spacing w:line="360" w:lineRule="auto"/>
              <w:jc w:val="both"/>
              <w:rPr>
                <w:rFonts w:ascii="Book Antiqua" w:hAnsi="Book Antiqua"/>
                <w:lang w:val="en-US"/>
              </w:rPr>
            </w:pPr>
            <w:r w:rsidRPr="008D0C14">
              <w:rPr>
                <w:rFonts w:ascii="Book Antiqua" w:hAnsi="Book Antiqua"/>
                <w:i/>
                <w:iCs/>
                <w:lang w:val="en-US"/>
              </w:rPr>
              <w:t>Salmonella, Clostridiodes difficile</w:t>
            </w:r>
            <w:r w:rsidRPr="008D0C14">
              <w:rPr>
                <w:rFonts w:ascii="Book Antiqua" w:hAnsi="Book Antiqua"/>
                <w:lang w:val="en-US"/>
              </w:rPr>
              <w:t>, 4 infections, arthralgia</w:t>
            </w:r>
          </w:p>
        </w:tc>
      </w:tr>
      <w:tr w:rsidR="00CA18F9" w:rsidRPr="00004362" w14:paraId="53F2736C" w14:textId="77777777" w:rsidTr="002F1D4F">
        <w:tc>
          <w:tcPr>
            <w:tcW w:w="640" w:type="pct"/>
          </w:tcPr>
          <w:p w14:paraId="5FEEDAA5" w14:textId="5758C1F6"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color w:val="000000" w:themeColor="text1"/>
                <w:shd w:val="clear" w:color="auto" w:fill="FFFFFF"/>
              </w:rPr>
              <w:t xml:space="preserve">Olbjørn </w:t>
            </w:r>
            <w:r w:rsidRPr="002F1D4F">
              <w:rPr>
                <w:rFonts w:ascii="Book Antiqua" w:hAnsi="Book Antiqua"/>
                <w:i/>
                <w:lang w:val="en-US"/>
              </w:rPr>
              <w:t>et al</w:t>
            </w:r>
            <w:r w:rsidRPr="002F1D4F">
              <w:rPr>
                <w:rFonts w:ascii="Book Antiqua" w:hAnsi="Book Antiqua"/>
                <w:vertAlign w:val="superscript"/>
                <w:lang w:val="en-US"/>
              </w:rPr>
              <w:t>[25]</w:t>
            </w:r>
            <w:r w:rsidRPr="002F1D4F">
              <w:rPr>
                <w:rFonts w:ascii="Book Antiqua" w:hAnsi="Book Antiqua"/>
                <w:lang w:val="en-US"/>
              </w:rPr>
              <w:t>, 2020</w:t>
            </w:r>
          </w:p>
        </w:tc>
        <w:tc>
          <w:tcPr>
            <w:tcW w:w="881" w:type="pct"/>
          </w:tcPr>
          <w:p w14:paraId="5F8AE85F"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Retrospective cohort (pediatrics)</w:t>
            </w:r>
          </w:p>
        </w:tc>
        <w:tc>
          <w:tcPr>
            <w:tcW w:w="792" w:type="pct"/>
          </w:tcPr>
          <w:p w14:paraId="265EC866" w14:textId="2B3CBF55"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CD (9)</w:t>
            </w:r>
            <w:r w:rsidR="00E36EAB" w:rsidRPr="00004362">
              <w:rPr>
                <w:rFonts w:ascii="Book Antiqua" w:hAnsi="Book Antiqua"/>
              </w:rPr>
              <w:t xml:space="preserve">, </w:t>
            </w:r>
            <w:r w:rsidRPr="00004362">
              <w:rPr>
                <w:rFonts w:ascii="Book Antiqua" w:hAnsi="Book Antiqua"/>
              </w:rPr>
              <w:t>UC (4)</w:t>
            </w:r>
          </w:p>
        </w:tc>
        <w:tc>
          <w:tcPr>
            <w:tcW w:w="773" w:type="pct"/>
          </w:tcPr>
          <w:p w14:paraId="7072E84C" w14:textId="5E4AE060"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8 IFX + VDZ</w:t>
            </w:r>
            <w:r w:rsidR="00E36EAB" w:rsidRPr="00004362">
              <w:rPr>
                <w:rFonts w:ascii="Book Antiqua" w:hAnsi="Book Antiqua"/>
              </w:rPr>
              <w:t xml:space="preserve">, </w:t>
            </w:r>
            <w:r w:rsidRPr="00004362">
              <w:rPr>
                <w:rFonts w:ascii="Book Antiqua" w:hAnsi="Book Antiqua"/>
              </w:rPr>
              <w:t>5 IFX + UST</w:t>
            </w:r>
          </w:p>
        </w:tc>
        <w:tc>
          <w:tcPr>
            <w:tcW w:w="888" w:type="pct"/>
          </w:tcPr>
          <w:p w14:paraId="034695A3"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Remission 9/13</w:t>
            </w:r>
          </w:p>
        </w:tc>
        <w:tc>
          <w:tcPr>
            <w:tcW w:w="1026" w:type="pct"/>
          </w:tcPr>
          <w:p w14:paraId="45E74297" w14:textId="77777777" w:rsidR="00CA18F9" w:rsidRPr="00004362" w:rsidRDefault="00CA18F9" w:rsidP="00CA18F9">
            <w:pPr>
              <w:adjustRightInd w:val="0"/>
              <w:snapToGrid w:val="0"/>
              <w:spacing w:line="360" w:lineRule="auto"/>
              <w:jc w:val="both"/>
              <w:rPr>
                <w:rFonts w:ascii="Book Antiqua" w:hAnsi="Book Antiqua"/>
                <w:lang w:val="en-US"/>
              </w:rPr>
            </w:pPr>
            <w:r w:rsidRPr="008D0C14">
              <w:rPr>
                <w:rFonts w:ascii="Book Antiqua" w:hAnsi="Book Antiqua"/>
                <w:lang w:val="en-US"/>
              </w:rPr>
              <w:t>Elevated transaminases, eczema, skin infection</w:t>
            </w:r>
          </w:p>
        </w:tc>
      </w:tr>
      <w:tr w:rsidR="00CA18F9" w:rsidRPr="00004362" w14:paraId="4D2C57D1" w14:textId="77777777" w:rsidTr="002F1D4F">
        <w:tc>
          <w:tcPr>
            <w:tcW w:w="640" w:type="pct"/>
          </w:tcPr>
          <w:p w14:paraId="1742DB8A" w14:textId="12454AA1"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lastRenderedPageBreak/>
              <w:t xml:space="preserve">Fumery </w:t>
            </w:r>
            <w:r w:rsidRPr="002F1D4F">
              <w:rPr>
                <w:rFonts w:ascii="Book Antiqua" w:hAnsi="Book Antiqua"/>
                <w:i/>
                <w:lang w:val="en-US"/>
              </w:rPr>
              <w:t>et al</w:t>
            </w:r>
            <w:r w:rsidRPr="002F1D4F">
              <w:rPr>
                <w:rFonts w:ascii="Book Antiqua" w:hAnsi="Book Antiqua"/>
                <w:vertAlign w:val="superscript"/>
                <w:lang w:val="en-US"/>
              </w:rPr>
              <w:t>[26]</w:t>
            </w:r>
            <w:r w:rsidRPr="002F1D4F">
              <w:rPr>
                <w:rFonts w:ascii="Book Antiqua" w:hAnsi="Book Antiqua"/>
                <w:lang w:val="en-US"/>
              </w:rPr>
              <w:t>, 2020</w:t>
            </w:r>
          </w:p>
        </w:tc>
        <w:tc>
          <w:tcPr>
            <w:tcW w:w="881" w:type="pct"/>
          </w:tcPr>
          <w:p w14:paraId="594F12FE" w14:textId="044FB72B"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Case series (adults)</w:t>
            </w:r>
          </w:p>
        </w:tc>
        <w:tc>
          <w:tcPr>
            <w:tcW w:w="792" w:type="pct"/>
          </w:tcPr>
          <w:p w14:paraId="7C0F6726" w14:textId="479E708B"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CD (5)</w:t>
            </w:r>
            <w:r w:rsidR="00E36EAB" w:rsidRPr="00004362">
              <w:rPr>
                <w:rFonts w:ascii="Book Antiqua" w:hAnsi="Book Antiqua"/>
              </w:rPr>
              <w:t xml:space="preserve">, </w:t>
            </w:r>
            <w:r w:rsidRPr="00004362">
              <w:rPr>
                <w:rFonts w:ascii="Book Antiqua" w:hAnsi="Book Antiqua"/>
              </w:rPr>
              <w:t>UC (2)</w:t>
            </w:r>
          </w:p>
        </w:tc>
        <w:tc>
          <w:tcPr>
            <w:tcW w:w="773" w:type="pct"/>
          </w:tcPr>
          <w:p w14:paraId="54CBC57A" w14:textId="2F8FFA9E"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 xml:space="preserve">5 </w:t>
            </w:r>
            <w:r w:rsidR="00E36EAB" w:rsidRPr="00004362">
              <w:rPr>
                <w:rFonts w:ascii="Book Antiqua" w:hAnsi="Book Antiqua"/>
              </w:rPr>
              <w:t xml:space="preserve">TNFi </w:t>
            </w:r>
            <w:r w:rsidRPr="00004362">
              <w:rPr>
                <w:rFonts w:ascii="Book Antiqua" w:hAnsi="Book Antiqua"/>
              </w:rPr>
              <w:t>+ UST</w:t>
            </w:r>
            <w:r w:rsidR="00E36EAB" w:rsidRPr="00004362">
              <w:rPr>
                <w:rFonts w:ascii="Book Antiqua" w:hAnsi="Book Antiqua"/>
              </w:rPr>
              <w:t xml:space="preserve">, </w:t>
            </w:r>
            <w:r w:rsidRPr="00004362">
              <w:rPr>
                <w:rFonts w:ascii="Book Antiqua" w:hAnsi="Book Antiqua"/>
              </w:rPr>
              <w:t>2 TNF + VDZ</w:t>
            </w:r>
          </w:p>
        </w:tc>
        <w:tc>
          <w:tcPr>
            <w:tcW w:w="888" w:type="pct"/>
          </w:tcPr>
          <w:p w14:paraId="2863B6C2"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Remission 6/7</w:t>
            </w:r>
          </w:p>
        </w:tc>
        <w:tc>
          <w:tcPr>
            <w:tcW w:w="1026" w:type="pct"/>
          </w:tcPr>
          <w:p w14:paraId="1466F75D"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No</w:t>
            </w:r>
          </w:p>
        </w:tc>
      </w:tr>
      <w:tr w:rsidR="00CA18F9" w:rsidRPr="00004362" w14:paraId="7B423DB6" w14:textId="77777777" w:rsidTr="002F1D4F">
        <w:tc>
          <w:tcPr>
            <w:tcW w:w="640" w:type="pct"/>
          </w:tcPr>
          <w:p w14:paraId="3931CD22" w14:textId="0A946ABD"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 xml:space="preserve">Glassner </w:t>
            </w:r>
            <w:r w:rsidRPr="002F1D4F">
              <w:rPr>
                <w:rFonts w:ascii="Book Antiqua" w:hAnsi="Book Antiqua"/>
                <w:i/>
                <w:lang w:val="en-US"/>
              </w:rPr>
              <w:t>et al</w:t>
            </w:r>
            <w:r w:rsidRPr="002F1D4F">
              <w:rPr>
                <w:rFonts w:ascii="Book Antiqua" w:hAnsi="Book Antiqua"/>
                <w:vertAlign w:val="superscript"/>
                <w:lang w:val="en-US"/>
              </w:rPr>
              <w:t>[27]</w:t>
            </w:r>
            <w:r w:rsidRPr="002F1D4F">
              <w:rPr>
                <w:rFonts w:ascii="Book Antiqua" w:hAnsi="Book Antiqua"/>
                <w:lang w:val="en-US"/>
              </w:rPr>
              <w:t>, 2020</w:t>
            </w:r>
          </w:p>
        </w:tc>
        <w:tc>
          <w:tcPr>
            <w:tcW w:w="881" w:type="pct"/>
          </w:tcPr>
          <w:p w14:paraId="3B457979"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Retrospective cohort (adults)</w:t>
            </w:r>
          </w:p>
        </w:tc>
        <w:tc>
          <w:tcPr>
            <w:tcW w:w="792" w:type="pct"/>
          </w:tcPr>
          <w:p w14:paraId="45951F81" w14:textId="5B3C36D0"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CD (30)</w:t>
            </w:r>
            <w:r w:rsidR="00E36EAB" w:rsidRPr="00004362">
              <w:rPr>
                <w:rFonts w:ascii="Book Antiqua" w:hAnsi="Book Antiqua"/>
              </w:rPr>
              <w:t xml:space="preserve">, </w:t>
            </w:r>
            <w:r w:rsidRPr="00004362">
              <w:rPr>
                <w:rFonts w:ascii="Book Antiqua" w:hAnsi="Book Antiqua"/>
              </w:rPr>
              <w:t>UC (18)</w:t>
            </w:r>
            <w:r w:rsidR="00E36EAB" w:rsidRPr="00004362">
              <w:rPr>
                <w:rFonts w:ascii="Book Antiqua" w:hAnsi="Book Antiqua"/>
              </w:rPr>
              <w:t xml:space="preserve">, </w:t>
            </w:r>
            <w:r w:rsidRPr="00004362">
              <w:rPr>
                <w:rFonts w:ascii="Book Antiqua" w:hAnsi="Book Antiqua"/>
              </w:rPr>
              <w:t>IBD-U (1)</w:t>
            </w:r>
          </w:p>
        </w:tc>
        <w:tc>
          <w:tcPr>
            <w:tcW w:w="773" w:type="pct"/>
          </w:tcPr>
          <w:p w14:paraId="36266AC0" w14:textId="50AF8389" w:rsidR="00CA18F9" w:rsidRPr="00004362" w:rsidRDefault="00CA18F9" w:rsidP="00CA18F9">
            <w:pPr>
              <w:adjustRightInd w:val="0"/>
              <w:snapToGrid w:val="0"/>
              <w:spacing w:line="360" w:lineRule="auto"/>
              <w:jc w:val="both"/>
              <w:rPr>
                <w:rFonts w:ascii="Book Antiqua" w:hAnsi="Book Antiqua"/>
                <w:lang w:val="en-US"/>
              </w:rPr>
            </w:pPr>
            <w:r w:rsidRPr="008D0C14">
              <w:rPr>
                <w:rFonts w:ascii="Book Antiqua" w:hAnsi="Book Antiqua"/>
                <w:lang w:val="en-US"/>
              </w:rPr>
              <w:t xml:space="preserve">7 VDZ + </w:t>
            </w:r>
            <w:r w:rsidR="00E36EAB" w:rsidRPr="008D0C14">
              <w:rPr>
                <w:rFonts w:ascii="Book Antiqua" w:hAnsi="Book Antiqua"/>
                <w:lang w:val="en-US"/>
              </w:rPr>
              <w:t>TNFi</w:t>
            </w:r>
            <w:r w:rsidR="00E36EAB" w:rsidRPr="008D0C14">
              <w:rPr>
                <w:rFonts w:ascii="Book Antiqua" w:hAnsi="Book Antiqua"/>
                <w:lang w:val="en-US" w:eastAsia="zh-CN"/>
              </w:rPr>
              <w:t xml:space="preserve">, </w:t>
            </w:r>
            <w:r w:rsidRPr="008D0C14">
              <w:rPr>
                <w:rFonts w:ascii="Book Antiqua" w:hAnsi="Book Antiqua"/>
                <w:lang w:val="en-US"/>
              </w:rPr>
              <w:t>25 VDZ + UST</w:t>
            </w:r>
            <w:r w:rsidR="00E36EAB" w:rsidRPr="008D0C14">
              <w:rPr>
                <w:rFonts w:ascii="Book Antiqua" w:hAnsi="Book Antiqua"/>
                <w:lang w:val="en-US" w:eastAsia="zh-CN"/>
              </w:rPr>
              <w:t xml:space="preserve">, </w:t>
            </w:r>
            <w:r w:rsidRPr="008D0C14">
              <w:rPr>
                <w:rFonts w:ascii="Book Antiqua" w:hAnsi="Book Antiqua"/>
                <w:lang w:val="en-US"/>
              </w:rPr>
              <w:t xml:space="preserve">9 TOF + </w:t>
            </w:r>
            <w:r w:rsidR="00E36EAB" w:rsidRPr="008D0C14">
              <w:rPr>
                <w:rFonts w:ascii="Book Antiqua" w:hAnsi="Book Antiqua"/>
                <w:lang w:val="en-US"/>
              </w:rPr>
              <w:t>TNFi</w:t>
            </w:r>
            <w:r w:rsidR="00E36EAB" w:rsidRPr="008D0C14">
              <w:rPr>
                <w:rFonts w:ascii="Book Antiqua" w:hAnsi="Book Antiqua"/>
                <w:lang w:val="en-US" w:eastAsia="zh-CN"/>
              </w:rPr>
              <w:t xml:space="preserve">, </w:t>
            </w:r>
            <w:r w:rsidRPr="008D0C14">
              <w:rPr>
                <w:rFonts w:ascii="Book Antiqua" w:hAnsi="Book Antiqua"/>
                <w:lang w:val="en-US"/>
              </w:rPr>
              <w:t>8 TOF + VDZ</w:t>
            </w:r>
            <w:r w:rsidR="00E36EAB" w:rsidRPr="008D0C14">
              <w:rPr>
                <w:rFonts w:ascii="Book Antiqua" w:hAnsi="Book Antiqua"/>
                <w:lang w:val="en-US" w:eastAsia="zh-CN"/>
              </w:rPr>
              <w:t xml:space="preserve">, </w:t>
            </w:r>
            <w:r w:rsidRPr="008D0C14">
              <w:rPr>
                <w:rFonts w:ascii="Book Antiqua" w:hAnsi="Book Antiqua"/>
                <w:lang w:val="en-US"/>
              </w:rPr>
              <w:t>3 TOF + UST</w:t>
            </w:r>
          </w:p>
        </w:tc>
        <w:tc>
          <w:tcPr>
            <w:tcW w:w="888" w:type="pct"/>
          </w:tcPr>
          <w:p w14:paraId="7ADA19A5"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Remission 50%</w:t>
            </w:r>
          </w:p>
        </w:tc>
        <w:tc>
          <w:tcPr>
            <w:tcW w:w="1026" w:type="pct"/>
          </w:tcPr>
          <w:p w14:paraId="17B44EDD" w14:textId="6BFD5453" w:rsidR="00CA18F9" w:rsidRPr="00004362" w:rsidRDefault="00CA18F9" w:rsidP="00CA18F9">
            <w:pPr>
              <w:pStyle w:val="a7"/>
              <w:adjustRightInd w:val="0"/>
              <w:snapToGrid w:val="0"/>
              <w:spacing w:before="0" w:beforeAutospacing="0" w:after="0" w:afterAutospacing="0" w:line="360" w:lineRule="auto"/>
              <w:jc w:val="both"/>
              <w:rPr>
                <w:rFonts w:ascii="Book Antiqua" w:hAnsi="Book Antiqua"/>
                <w:lang w:val="en-US"/>
              </w:rPr>
            </w:pPr>
            <w:r w:rsidRPr="008D0C14">
              <w:rPr>
                <w:rFonts w:ascii="Book Antiqua" w:hAnsi="Book Antiqua"/>
                <w:lang w:val="en-US"/>
              </w:rPr>
              <w:t>3 bacterial enteric infections (</w:t>
            </w:r>
            <w:r w:rsidRPr="008D0C14">
              <w:rPr>
                <w:rFonts w:ascii="Book Antiqua" w:hAnsi="Book Antiqua"/>
                <w:i/>
                <w:iCs/>
                <w:lang w:val="en-US"/>
              </w:rPr>
              <w:t>E. coli</w:t>
            </w:r>
            <w:r w:rsidRPr="008D0C14">
              <w:rPr>
                <w:rFonts w:ascii="Book Antiqua" w:hAnsi="Book Antiqua"/>
                <w:lang w:val="en-US"/>
              </w:rPr>
              <w:t xml:space="preserve">), 3 </w:t>
            </w:r>
            <w:r w:rsidRPr="008D0C14">
              <w:rPr>
                <w:rFonts w:ascii="Book Antiqua" w:hAnsi="Book Antiqua"/>
                <w:i/>
                <w:iCs/>
                <w:lang w:val="en-US"/>
              </w:rPr>
              <w:t>Clostridiodes difficile</w:t>
            </w:r>
            <w:r w:rsidRPr="008D0C14">
              <w:rPr>
                <w:rFonts w:ascii="Book Antiqua" w:hAnsi="Book Antiqua"/>
                <w:lang w:val="en-US"/>
              </w:rPr>
              <w:t>, 1 peristomal cellulitis, 2 abdominal wall abscesses</w:t>
            </w:r>
          </w:p>
        </w:tc>
      </w:tr>
      <w:tr w:rsidR="00CA18F9" w:rsidRPr="00004362" w14:paraId="79FB3C5B" w14:textId="77777777" w:rsidTr="002F1D4F">
        <w:tc>
          <w:tcPr>
            <w:tcW w:w="640" w:type="pct"/>
          </w:tcPr>
          <w:p w14:paraId="37466F9F" w14:textId="7CDFE913"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 xml:space="preserve">Privitera </w:t>
            </w:r>
            <w:r w:rsidRPr="002F1D4F">
              <w:rPr>
                <w:rFonts w:ascii="Book Antiqua" w:hAnsi="Book Antiqua"/>
                <w:i/>
                <w:lang w:val="en-US"/>
              </w:rPr>
              <w:t>et al</w:t>
            </w:r>
            <w:r w:rsidRPr="002F1D4F">
              <w:rPr>
                <w:rFonts w:ascii="Book Antiqua" w:hAnsi="Book Antiqua"/>
                <w:vertAlign w:val="superscript"/>
                <w:lang w:val="en-US"/>
              </w:rPr>
              <w:t>[28]</w:t>
            </w:r>
            <w:r w:rsidRPr="002F1D4F">
              <w:rPr>
                <w:rFonts w:ascii="Book Antiqua" w:hAnsi="Book Antiqua"/>
                <w:lang w:val="en-US"/>
              </w:rPr>
              <w:t>, 2020</w:t>
            </w:r>
          </w:p>
        </w:tc>
        <w:tc>
          <w:tcPr>
            <w:tcW w:w="881" w:type="pct"/>
          </w:tcPr>
          <w:p w14:paraId="1D9C05B1"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Retrospective cohort (adults)</w:t>
            </w:r>
          </w:p>
        </w:tc>
        <w:tc>
          <w:tcPr>
            <w:tcW w:w="792" w:type="pct"/>
          </w:tcPr>
          <w:p w14:paraId="78AEDC52" w14:textId="6CC78FF8"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CD (11)</w:t>
            </w:r>
            <w:r w:rsidR="00E36EAB" w:rsidRPr="00004362">
              <w:rPr>
                <w:rFonts w:ascii="Book Antiqua" w:hAnsi="Book Antiqua"/>
              </w:rPr>
              <w:t xml:space="preserve">, </w:t>
            </w:r>
            <w:r w:rsidRPr="00004362">
              <w:rPr>
                <w:rFonts w:ascii="Book Antiqua" w:hAnsi="Book Antiqua"/>
              </w:rPr>
              <w:t>UC (5)</w:t>
            </w:r>
          </w:p>
        </w:tc>
        <w:tc>
          <w:tcPr>
            <w:tcW w:w="773" w:type="pct"/>
          </w:tcPr>
          <w:p w14:paraId="5B8FA500" w14:textId="4BA56239" w:rsidR="00CA18F9" w:rsidRPr="00004362" w:rsidRDefault="00CA18F9" w:rsidP="00CA18F9">
            <w:pPr>
              <w:adjustRightInd w:val="0"/>
              <w:snapToGrid w:val="0"/>
              <w:spacing w:line="360" w:lineRule="auto"/>
              <w:jc w:val="both"/>
              <w:rPr>
                <w:rFonts w:ascii="Book Antiqua" w:hAnsi="Book Antiqua"/>
                <w:lang w:val="en-US"/>
              </w:rPr>
            </w:pPr>
            <w:r w:rsidRPr="008D0C14">
              <w:rPr>
                <w:rFonts w:ascii="Book Antiqua" w:hAnsi="Book Antiqua"/>
                <w:lang w:val="en-US"/>
              </w:rPr>
              <w:t>3 VDZ + UST</w:t>
            </w:r>
            <w:r w:rsidR="00E36EAB" w:rsidRPr="008D0C14">
              <w:rPr>
                <w:rFonts w:ascii="Book Antiqua" w:hAnsi="Book Antiqua"/>
                <w:lang w:val="en-US"/>
              </w:rPr>
              <w:t>,</w:t>
            </w:r>
            <w:r w:rsidRPr="008D0C14">
              <w:rPr>
                <w:rFonts w:ascii="Book Antiqua" w:hAnsi="Book Antiqua"/>
                <w:lang w:val="en-US"/>
              </w:rPr>
              <w:t xml:space="preserve"> 9 VDZ + </w:t>
            </w:r>
            <w:r w:rsidR="00E36EAB" w:rsidRPr="008D0C14">
              <w:rPr>
                <w:rFonts w:ascii="Book Antiqua" w:hAnsi="Book Antiqua"/>
                <w:lang w:val="en-US"/>
              </w:rPr>
              <w:t>TNFi</w:t>
            </w:r>
            <w:r w:rsidRPr="008D0C14">
              <w:rPr>
                <w:rFonts w:ascii="Book Antiqua" w:hAnsi="Book Antiqua"/>
                <w:lang w:val="en-US"/>
              </w:rPr>
              <w:t>/other</w:t>
            </w:r>
            <w:r w:rsidR="00E36EAB" w:rsidRPr="008D0C14">
              <w:rPr>
                <w:rFonts w:ascii="Book Antiqua" w:hAnsi="Book Antiqua"/>
                <w:lang w:val="en-US"/>
              </w:rPr>
              <w:t>,</w:t>
            </w:r>
            <w:r w:rsidRPr="008D0C14">
              <w:rPr>
                <w:rFonts w:ascii="Book Antiqua" w:hAnsi="Book Antiqua"/>
                <w:lang w:val="en-US"/>
              </w:rPr>
              <w:t xml:space="preserve"> 3 VDZ + UST </w:t>
            </w:r>
          </w:p>
        </w:tc>
        <w:tc>
          <w:tcPr>
            <w:tcW w:w="888" w:type="pct"/>
          </w:tcPr>
          <w:p w14:paraId="30B9C79E"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Clinical response 43%</w:t>
            </w:r>
          </w:p>
        </w:tc>
        <w:tc>
          <w:tcPr>
            <w:tcW w:w="1026" w:type="pct"/>
          </w:tcPr>
          <w:p w14:paraId="25A9B115" w14:textId="486D160E" w:rsidR="00CA18F9" w:rsidRPr="00004362" w:rsidRDefault="00CA18F9" w:rsidP="00CA18F9">
            <w:pPr>
              <w:pStyle w:val="a7"/>
              <w:adjustRightInd w:val="0"/>
              <w:snapToGrid w:val="0"/>
              <w:spacing w:before="0" w:beforeAutospacing="0" w:after="0" w:afterAutospacing="0" w:line="360" w:lineRule="auto"/>
              <w:jc w:val="both"/>
              <w:rPr>
                <w:rFonts w:ascii="Book Antiqua" w:hAnsi="Book Antiqua"/>
                <w:lang w:val="en-US"/>
              </w:rPr>
            </w:pPr>
            <w:r w:rsidRPr="008D0C14">
              <w:rPr>
                <w:rFonts w:ascii="Book Antiqua" w:hAnsi="Book Antiqua"/>
                <w:lang w:val="en-US"/>
              </w:rPr>
              <w:t xml:space="preserve">1 </w:t>
            </w:r>
            <w:r w:rsidR="00E36EAB" w:rsidRPr="008D0C14">
              <w:rPr>
                <w:rFonts w:ascii="Book Antiqua" w:hAnsi="Book Antiqua"/>
                <w:lang w:val="en-US"/>
              </w:rPr>
              <w:t>c</w:t>
            </w:r>
            <w:r w:rsidRPr="008D0C14">
              <w:rPr>
                <w:rFonts w:ascii="Book Antiqua" w:hAnsi="Book Antiqua"/>
                <w:lang w:val="en-US"/>
              </w:rPr>
              <w:t>utaneous reaction</w:t>
            </w:r>
            <w:r w:rsidR="00E36EAB" w:rsidRPr="008D0C14">
              <w:rPr>
                <w:rFonts w:ascii="Book Antiqua" w:hAnsi="Book Antiqua"/>
                <w:lang w:val="en-US"/>
              </w:rPr>
              <w:t xml:space="preserve">, </w:t>
            </w:r>
            <w:r w:rsidRPr="008D0C14">
              <w:rPr>
                <w:rFonts w:ascii="Book Antiqua" w:hAnsi="Book Antiqua"/>
                <w:lang w:val="en-US"/>
              </w:rPr>
              <w:t xml:space="preserve">1 </w:t>
            </w:r>
            <w:r w:rsidR="00E36EAB" w:rsidRPr="008D0C14">
              <w:rPr>
                <w:rFonts w:ascii="Book Antiqua" w:hAnsi="Book Antiqua"/>
                <w:lang w:val="en-US"/>
              </w:rPr>
              <w:t>d</w:t>
            </w:r>
            <w:r w:rsidRPr="008D0C14">
              <w:rPr>
                <w:rFonts w:ascii="Book Antiqua" w:hAnsi="Book Antiqua"/>
                <w:lang w:val="en-US"/>
              </w:rPr>
              <w:t>rug-induced liver injury</w:t>
            </w:r>
            <w:r w:rsidR="00E36EAB" w:rsidRPr="008D0C14">
              <w:rPr>
                <w:rFonts w:ascii="Book Antiqua" w:hAnsi="Book Antiqua"/>
                <w:lang w:val="en-US"/>
              </w:rPr>
              <w:t xml:space="preserve">, </w:t>
            </w:r>
            <w:r w:rsidRPr="008D0C14">
              <w:rPr>
                <w:rFonts w:ascii="Book Antiqua" w:hAnsi="Book Antiqua"/>
                <w:lang w:val="en-US"/>
              </w:rPr>
              <w:t xml:space="preserve">1 </w:t>
            </w:r>
            <w:r w:rsidR="00E36EAB" w:rsidRPr="008D0C14">
              <w:rPr>
                <w:rFonts w:ascii="Book Antiqua" w:hAnsi="Book Antiqua"/>
                <w:lang w:val="en-US"/>
              </w:rPr>
              <w:t>p</w:t>
            </w:r>
            <w:r w:rsidRPr="008D0C14">
              <w:rPr>
                <w:rFonts w:ascii="Book Antiqua" w:hAnsi="Book Antiqua"/>
                <w:lang w:val="en-US"/>
              </w:rPr>
              <w:t>erianal abscess</w:t>
            </w:r>
          </w:p>
        </w:tc>
      </w:tr>
      <w:tr w:rsidR="00CA18F9" w:rsidRPr="00004362" w14:paraId="78232D6C" w14:textId="77777777" w:rsidTr="002F1D4F">
        <w:tc>
          <w:tcPr>
            <w:tcW w:w="640" w:type="pct"/>
          </w:tcPr>
          <w:p w14:paraId="36476512" w14:textId="218DF661"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 xml:space="preserve">Yang </w:t>
            </w:r>
            <w:r w:rsidRPr="002F1D4F">
              <w:rPr>
                <w:rFonts w:ascii="Book Antiqua" w:hAnsi="Book Antiqua"/>
                <w:i/>
                <w:lang w:val="en-US"/>
              </w:rPr>
              <w:t>et al</w:t>
            </w:r>
            <w:r w:rsidRPr="002F1D4F">
              <w:rPr>
                <w:rFonts w:ascii="Book Antiqua" w:hAnsi="Book Antiqua"/>
                <w:vertAlign w:val="superscript"/>
                <w:lang w:val="en-US"/>
              </w:rPr>
              <w:t>[29]</w:t>
            </w:r>
            <w:r w:rsidRPr="002F1D4F">
              <w:rPr>
                <w:rFonts w:ascii="Book Antiqua" w:hAnsi="Book Antiqua"/>
                <w:lang w:val="en-US"/>
              </w:rPr>
              <w:t>, 2020</w:t>
            </w:r>
          </w:p>
        </w:tc>
        <w:tc>
          <w:tcPr>
            <w:tcW w:w="881" w:type="pct"/>
          </w:tcPr>
          <w:p w14:paraId="6DA6FE38"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Retrospective cohort (adults)</w:t>
            </w:r>
          </w:p>
        </w:tc>
        <w:tc>
          <w:tcPr>
            <w:tcW w:w="792" w:type="pct"/>
          </w:tcPr>
          <w:p w14:paraId="3A738E39"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CD (22)</w:t>
            </w:r>
          </w:p>
        </w:tc>
        <w:tc>
          <w:tcPr>
            <w:tcW w:w="773" w:type="pct"/>
          </w:tcPr>
          <w:p w14:paraId="08A8ED95" w14:textId="5FEA65C8" w:rsidR="00CA18F9" w:rsidRPr="00004362" w:rsidRDefault="00CA18F9" w:rsidP="00CA18F9">
            <w:pPr>
              <w:adjustRightInd w:val="0"/>
              <w:snapToGrid w:val="0"/>
              <w:spacing w:line="360" w:lineRule="auto"/>
              <w:jc w:val="both"/>
              <w:rPr>
                <w:rFonts w:ascii="Book Antiqua" w:hAnsi="Book Antiqua"/>
                <w:lang w:val="en-US"/>
              </w:rPr>
            </w:pPr>
            <w:r w:rsidRPr="008D0C14">
              <w:rPr>
                <w:rFonts w:ascii="Book Antiqua" w:hAnsi="Book Antiqua"/>
                <w:lang w:val="en-US"/>
              </w:rPr>
              <w:t>8 VDZ + UST</w:t>
            </w:r>
            <w:r w:rsidR="00E36EAB" w:rsidRPr="008D0C14">
              <w:rPr>
                <w:rFonts w:ascii="Book Antiqua" w:hAnsi="Book Antiqua"/>
                <w:lang w:val="en-US" w:eastAsia="zh-CN"/>
              </w:rPr>
              <w:t xml:space="preserve">, </w:t>
            </w:r>
            <w:r w:rsidRPr="008D0C14">
              <w:rPr>
                <w:rFonts w:ascii="Book Antiqua" w:hAnsi="Book Antiqua"/>
                <w:lang w:val="en-US"/>
              </w:rPr>
              <w:t xml:space="preserve">13 VDZ + </w:t>
            </w:r>
            <w:r w:rsidR="00E36EAB" w:rsidRPr="008D0C14">
              <w:rPr>
                <w:rFonts w:ascii="Book Antiqua" w:hAnsi="Book Antiqua"/>
                <w:lang w:val="en-US"/>
              </w:rPr>
              <w:t>TNFi</w:t>
            </w:r>
            <w:r w:rsidR="00E36EAB" w:rsidRPr="008D0C14">
              <w:rPr>
                <w:rFonts w:ascii="Book Antiqua" w:hAnsi="Book Antiqua"/>
                <w:lang w:val="en-US" w:eastAsia="zh-CN"/>
              </w:rPr>
              <w:t xml:space="preserve">, </w:t>
            </w:r>
            <w:r w:rsidRPr="008D0C14">
              <w:rPr>
                <w:rFonts w:ascii="Book Antiqua" w:hAnsi="Book Antiqua"/>
                <w:lang w:val="en-US"/>
              </w:rPr>
              <w:t xml:space="preserve">3 UST + </w:t>
            </w:r>
            <w:r w:rsidR="00E36EAB" w:rsidRPr="008D0C14">
              <w:rPr>
                <w:rFonts w:ascii="Book Antiqua" w:hAnsi="Book Antiqua"/>
                <w:lang w:val="en-US"/>
              </w:rPr>
              <w:t>TNFi</w:t>
            </w:r>
          </w:p>
        </w:tc>
        <w:tc>
          <w:tcPr>
            <w:tcW w:w="888" w:type="pct"/>
          </w:tcPr>
          <w:p w14:paraId="53AF2DB7"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Remission 41%</w:t>
            </w:r>
          </w:p>
        </w:tc>
        <w:tc>
          <w:tcPr>
            <w:tcW w:w="1026" w:type="pct"/>
          </w:tcPr>
          <w:p w14:paraId="593F9AD1" w14:textId="6E93DE31"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 xml:space="preserve">1 </w:t>
            </w:r>
            <w:r w:rsidR="00E36EAB" w:rsidRPr="00004362">
              <w:rPr>
                <w:rFonts w:ascii="Book Antiqua" w:hAnsi="Book Antiqua"/>
              </w:rPr>
              <w:t>d</w:t>
            </w:r>
            <w:r w:rsidRPr="00004362">
              <w:rPr>
                <w:rFonts w:ascii="Book Antiqua" w:hAnsi="Book Antiqua"/>
              </w:rPr>
              <w:t>rug induced lupus</w:t>
            </w:r>
            <w:r w:rsidR="00E36EAB" w:rsidRPr="00004362">
              <w:rPr>
                <w:rFonts w:ascii="Book Antiqua" w:hAnsi="Book Antiqua"/>
              </w:rPr>
              <w:t xml:space="preserve">, </w:t>
            </w:r>
            <w:r w:rsidRPr="00004362">
              <w:rPr>
                <w:rFonts w:ascii="Book Antiqua" w:hAnsi="Book Antiqua"/>
              </w:rPr>
              <w:t xml:space="preserve">1 </w:t>
            </w:r>
            <w:r w:rsidR="00E36EAB" w:rsidRPr="00004362">
              <w:rPr>
                <w:rFonts w:ascii="Book Antiqua" w:hAnsi="Book Antiqua"/>
              </w:rPr>
              <w:t>p</w:t>
            </w:r>
            <w:r w:rsidRPr="00004362">
              <w:rPr>
                <w:rFonts w:ascii="Book Antiqua" w:hAnsi="Book Antiqua"/>
              </w:rPr>
              <w:t>neumonia</w:t>
            </w:r>
            <w:r w:rsidR="00E36EAB" w:rsidRPr="00004362">
              <w:rPr>
                <w:rFonts w:ascii="Book Antiqua" w:hAnsi="Book Antiqua"/>
              </w:rPr>
              <w:t xml:space="preserve">, </w:t>
            </w:r>
            <w:r w:rsidRPr="00004362">
              <w:rPr>
                <w:rFonts w:ascii="Book Antiqua" w:hAnsi="Book Antiqua"/>
              </w:rPr>
              <w:t xml:space="preserve">1 </w:t>
            </w:r>
            <w:r w:rsidRPr="00004362">
              <w:rPr>
                <w:rFonts w:ascii="Book Antiqua" w:hAnsi="Book Antiqua"/>
                <w:i/>
              </w:rPr>
              <w:t>Clostridiodes difficile</w:t>
            </w:r>
            <w:r w:rsidR="00E36EAB" w:rsidRPr="00004362">
              <w:rPr>
                <w:rFonts w:ascii="Book Antiqua" w:hAnsi="Book Antiqua"/>
              </w:rPr>
              <w:t xml:space="preserve">, </w:t>
            </w:r>
            <w:r w:rsidRPr="00004362">
              <w:rPr>
                <w:rFonts w:ascii="Book Antiqua" w:hAnsi="Book Antiqua"/>
              </w:rPr>
              <w:t xml:space="preserve">1 </w:t>
            </w:r>
            <w:r w:rsidR="00E36EAB" w:rsidRPr="00004362">
              <w:rPr>
                <w:rFonts w:ascii="Book Antiqua" w:hAnsi="Book Antiqua"/>
              </w:rPr>
              <w:t>a</w:t>
            </w:r>
            <w:r w:rsidRPr="00004362">
              <w:rPr>
                <w:rFonts w:ascii="Book Antiqua" w:hAnsi="Book Antiqua"/>
              </w:rPr>
              <w:t>cinetobacter bacteremia</w:t>
            </w:r>
          </w:p>
        </w:tc>
      </w:tr>
      <w:tr w:rsidR="00CA18F9" w:rsidRPr="00004362" w14:paraId="04148658" w14:textId="77777777" w:rsidTr="002F1D4F">
        <w:tc>
          <w:tcPr>
            <w:tcW w:w="640" w:type="pct"/>
          </w:tcPr>
          <w:p w14:paraId="78927ED8" w14:textId="259D422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lastRenderedPageBreak/>
              <w:t xml:space="preserve">Alayo </w:t>
            </w:r>
            <w:r w:rsidRPr="002F1D4F">
              <w:rPr>
                <w:rFonts w:ascii="Book Antiqua" w:hAnsi="Book Antiqua"/>
                <w:i/>
                <w:lang w:val="en-US"/>
              </w:rPr>
              <w:t>et al</w:t>
            </w:r>
            <w:r w:rsidRPr="002F1D4F">
              <w:rPr>
                <w:rFonts w:ascii="Book Antiqua" w:hAnsi="Book Antiqua"/>
                <w:vertAlign w:val="superscript"/>
                <w:lang w:val="en-US"/>
              </w:rPr>
              <w:t>[30]</w:t>
            </w:r>
            <w:r w:rsidRPr="002F1D4F">
              <w:rPr>
                <w:rFonts w:ascii="Book Antiqua" w:hAnsi="Book Antiqua"/>
                <w:lang w:val="en-US"/>
              </w:rPr>
              <w:t>, 2021</w:t>
            </w:r>
          </w:p>
        </w:tc>
        <w:tc>
          <w:tcPr>
            <w:tcW w:w="881" w:type="pct"/>
          </w:tcPr>
          <w:p w14:paraId="07FA4AC1"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Retrospective cohort (adults)</w:t>
            </w:r>
          </w:p>
        </w:tc>
        <w:tc>
          <w:tcPr>
            <w:tcW w:w="792" w:type="pct"/>
          </w:tcPr>
          <w:p w14:paraId="6C01CCFF" w14:textId="7D279DD9"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CD (10)</w:t>
            </w:r>
            <w:r w:rsidR="00E36EAB" w:rsidRPr="00004362">
              <w:rPr>
                <w:rFonts w:ascii="Book Antiqua" w:hAnsi="Book Antiqua"/>
              </w:rPr>
              <w:t xml:space="preserve">, </w:t>
            </w:r>
            <w:r w:rsidRPr="00004362">
              <w:rPr>
                <w:rFonts w:ascii="Book Antiqua" w:hAnsi="Book Antiqua"/>
              </w:rPr>
              <w:t>UC (25)</w:t>
            </w:r>
          </w:p>
        </w:tc>
        <w:tc>
          <w:tcPr>
            <w:tcW w:w="773" w:type="pct"/>
          </w:tcPr>
          <w:p w14:paraId="67D461B0" w14:textId="6CC2F0A9"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24 VDZ + TOF</w:t>
            </w:r>
            <w:r w:rsidR="00E36EAB" w:rsidRPr="00004362">
              <w:rPr>
                <w:rFonts w:ascii="Book Antiqua" w:hAnsi="Book Antiqua"/>
              </w:rPr>
              <w:t xml:space="preserve">, </w:t>
            </w:r>
            <w:r w:rsidRPr="00004362">
              <w:rPr>
                <w:rFonts w:ascii="Book Antiqua" w:hAnsi="Book Antiqua"/>
              </w:rPr>
              <w:t>5 TOF + UST</w:t>
            </w:r>
          </w:p>
        </w:tc>
        <w:tc>
          <w:tcPr>
            <w:tcW w:w="888" w:type="pct"/>
          </w:tcPr>
          <w:p w14:paraId="59B47B7F" w14:textId="68C66D3E"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Remission 70% at 26</w:t>
            </w:r>
            <w:r w:rsidR="00E36EAB" w:rsidRPr="00004362">
              <w:rPr>
                <w:rFonts w:ascii="Book Antiqua" w:hAnsi="Book Antiqua"/>
              </w:rPr>
              <w:t xml:space="preserve"> </w:t>
            </w:r>
            <w:r w:rsidRPr="00004362">
              <w:rPr>
                <w:rFonts w:ascii="Book Antiqua" w:hAnsi="Book Antiqua"/>
              </w:rPr>
              <w:t>w</w:t>
            </w:r>
            <w:r w:rsidR="00E36EAB" w:rsidRPr="00004362">
              <w:rPr>
                <w:rFonts w:ascii="Book Antiqua" w:hAnsi="Book Antiqua"/>
              </w:rPr>
              <w:t>k</w:t>
            </w:r>
          </w:p>
        </w:tc>
        <w:tc>
          <w:tcPr>
            <w:tcW w:w="1026" w:type="pct"/>
          </w:tcPr>
          <w:p w14:paraId="7E685868" w14:textId="1DD8B5E1"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 xml:space="preserve">1 </w:t>
            </w:r>
            <w:r w:rsidRPr="00004362">
              <w:rPr>
                <w:rFonts w:ascii="Book Antiqua" w:hAnsi="Book Antiqua"/>
                <w:i/>
              </w:rPr>
              <w:t>Clostridiodes difficile</w:t>
            </w:r>
            <w:r w:rsidR="00E36EAB" w:rsidRPr="00004362">
              <w:rPr>
                <w:rFonts w:ascii="Book Antiqua" w:hAnsi="Book Antiqua"/>
              </w:rPr>
              <w:t xml:space="preserve">, </w:t>
            </w:r>
            <w:r w:rsidRPr="00004362">
              <w:rPr>
                <w:rFonts w:ascii="Book Antiqua" w:hAnsi="Book Antiqua"/>
              </w:rPr>
              <w:t xml:space="preserve">1 </w:t>
            </w:r>
            <w:r w:rsidR="00E36EAB" w:rsidRPr="00004362">
              <w:rPr>
                <w:rFonts w:ascii="Book Antiqua" w:hAnsi="Book Antiqua"/>
              </w:rPr>
              <w:t>c</w:t>
            </w:r>
            <w:r w:rsidRPr="00004362">
              <w:rPr>
                <w:rFonts w:ascii="Book Antiqua" w:hAnsi="Book Antiqua"/>
              </w:rPr>
              <w:t>andida esophagitis</w:t>
            </w:r>
            <w:r w:rsidR="00E36EAB" w:rsidRPr="00004362">
              <w:rPr>
                <w:rFonts w:ascii="Book Antiqua" w:hAnsi="Book Antiqua"/>
              </w:rPr>
              <w:t>,</w:t>
            </w:r>
            <w:r w:rsidRPr="00004362">
              <w:rPr>
                <w:rFonts w:ascii="Book Antiqua" w:hAnsi="Book Antiqua"/>
              </w:rPr>
              <w:t xml:space="preserve"> 1 </w:t>
            </w:r>
            <w:r w:rsidR="00E36EAB" w:rsidRPr="00004362">
              <w:rPr>
                <w:rFonts w:ascii="Book Antiqua" w:hAnsi="Book Antiqua"/>
              </w:rPr>
              <w:t>a</w:t>
            </w:r>
            <w:r w:rsidRPr="00004362">
              <w:rPr>
                <w:rFonts w:ascii="Book Antiqua" w:hAnsi="Book Antiqua"/>
              </w:rPr>
              <w:t>bnormal lipid profile</w:t>
            </w:r>
          </w:p>
        </w:tc>
      </w:tr>
      <w:tr w:rsidR="00CA18F9" w:rsidRPr="00004362" w14:paraId="0BC75814" w14:textId="77777777" w:rsidTr="002F1D4F">
        <w:tc>
          <w:tcPr>
            <w:tcW w:w="640" w:type="pct"/>
          </w:tcPr>
          <w:p w14:paraId="22729B7D" w14:textId="74C17702"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 xml:space="preserve">Dolinger </w:t>
            </w:r>
            <w:r w:rsidRPr="002F1D4F">
              <w:rPr>
                <w:rFonts w:ascii="Book Antiqua" w:hAnsi="Book Antiqua"/>
                <w:i/>
                <w:lang w:val="en-US"/>
              </w:rPr>
              <w:t>et al</w:t>
            </w:r>
            <w:r w:rsidRPr="002F1D4F">
              <w:rPr>
                <w:rFonts w:ascii="Book Antiqua" w:hAnsi="Book Antiqua"/>
                <w:vertAlign w:val="superscript"/>
                <w:lang w:val="en-US"/>
              </w:rPr>
              <w:t>[31]</w:t>
            </w:r>
            <w:r w:rsidRPr="002F1D4F">
              <w:rPr>
                <w:rFonts w:ascii="Book Antiqua" w:hAnsi="Book Antiqua"/>
                <w:lang w:val="en-US"/>
              </w:rPr>
              <w:t>, 2021</w:t>
            </w:r>
          </w:p>
        </w:tc>
        <w:tc>
          <w:tcPr>
            <w:tcW w:w="881" w:type="pct"/>
          </w:tcPr>
          <w:p w14:paraId="6E1356BA"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Retrospective cohort (pediatrics)</w:t>
            </w:r>
          </w:p>
        </w:tc>
        <w:tc>
          <w:tcPr>
            <w:tcW w:w="792" w:type="pct"/>
          </w:tcPr>
          <w:p w14:paraId="173F5916" w14:textId="7D6BA844" w:rsidR="00CA18F9" w:rsidRPr="002F1D4F"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CD (7)</w:t>
            </w:r>
            <w:r w:rsidR="00E36EAB" w:rsidRPr="00004362">
              <w:rPr>
                <w:rFonts w:ascii="Book Antiqua" w:hAnsi="Book Antiqua"/>
                <w:lang w:eastAsia="zh-CN"/>
              </w:rPr>
              <w:t xml:space="preserve">, </w:t>
            </w:r>
            <w:r w:rsidRPr="00004362">
              <w:rPr>
                <w:rFonts w:ascii="Book Antiqua" w:hAnsi="Book Antiqua"/>
              </w:rPr>
              <w:t>UC (8)</w:t>
            </w:r>
            <w:r w:rsidR="00E36EAB" w:rsidRPr="00004362">
              <w:rPr>
                <w:rFonts w:ascii="Book Antiqua" w:hAnsi="Book Antiqua"/>
              </w:rPr>
              <w:t>,</w:t>
            </w:r>
            <w:r w:rsidRPr="00004362">
              <w:rPr>
                <w:rFonts w:ascii="Book Antiqua" w:hAnsi="Book Antiqua"/>
              </w:rPr>
              <w:t xml:space="preserve"> IBD-U (1) </w:t>
            </w:r>
          </w:p>
        </w:tc>
        <w:tc>
          <w:tcPr>
            <w:tcW w:w="773" w:type="pct"/>
          </w:tcPr>
          <w:p w14:paraId="655F064E" w14:textId="784D4239"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lang w:val="en-US"/>
              </w:rPr>
              <w:t>9 VDZ + TOF</w:t>
            </w:r>
            <w:r w:rsidR="00E36EAB" w:rsidRPr="008D0C14">
              <w:rPr>
                <w:rFonts w:ascii="Book Antiqua" w:hAnsi="Book Antiqua"/>
                <w:lang w:val="en-US" w:eastAsia="zh-CN"/>
              </w:rPr>
              <w:t xml:space="preserve">, </w:t>
            </w:r>
            <w:r w:rsidRPr="008D0C14">
              <w:rPr>
                <w:rFonts w:ascii="Book Antiqua" w:hAnsi="Book Antiqua"/>
                <w:lang w:val="en-US"/>
              </w:rPr>
              <w:t>4 VDZ + UST</w:t>
            </w:r>
            <w:r w:rsidR="00E36EAB" w:rsidRPr="008D0C14">
              <w:rPr>
                <w:rFonts w:ascii="Book Antiqua" w:hAnsi="Book Antiqua"/>
                <w:lang w:val="en-US" w:eastAsia="zh-CN"/>
              </w:rPr>
              <w:t xml:space="preserve">, </w:t>
            </w:r>
            <w:r w:rsidRPr="008D0C14">
              <w:rPr>
                <w:rFonts w:ascii="Book Antiqua" w:hAnsi="Book Antiqua"/>
                <w:lang w:val="en-US"/>
              </w:rPr>
              <w:t>3 UST + TOF</w:t>
            </w:r>
          </w:p>
        </w:tc>
        <w:tc>
          <w:tcPr>
            <w:tcW w:w="888" w:type="pct"/>
          </w:tcPr>
          <w:p w14:paraId="0981C84A"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Remission 12/16</w:t>
            </w:r>
          </w:p>
        </w:tc>
        <w:tc>
          <w:tcPr>
            <w:tcW w:w="1026" w:type="pct"/>
          </w:tcPr>
          <w:p w14:paraId="795D4FB2" w14:textId="1EB29714" w:rsidR="00CA18F9" w:rsidRPr="00004362" w:rsidRDefault="00CA18F9" w:rsidP="00CA18F9">
            <w:pPr>
              <w:adjustRightInd w:val="0"/>
              <w:snapToGrid w:val="0"/>
              <w:spacing w:line="360" w:lineRule="auto"/>
              <w:jc w:val="both"/>
              <w:rPr>
                <w:rFonts w:ascii="Book Antiqua" w:hAnsi="Book Antiqua"/>
                <w:lang w:val="en-US"/>
              </w:rPr>
            </w:pPr>
            <w:r w:rsidRPr="008D0C14">
              <w:rPr>
                <w:rFonts w:ascii="Book Antiqua" w:hAnsi="Book Antiqua"/>
                <w:lang w:val="en-US"/>
              </w:rPr>
              <w:t xml:space="preserve">1 </w:t>
            </w:r>
            <w:r w:rsidR="00E36EAB" w:rsidRPr="008D0C14">
              <w:rPr>
                <w:rFonts w:ascii="Book Antiqua" w:hAnsi="Book Antiqua"/>
                <w:lang w:val="en-US"/>
              </w:rPr>
              <w:t>s</w:t>
            </w:r>
            <w:r w:rsidRPr="008D0C14">
              <w:rPr>
                <w:rFonts w:ascii="Book Antiqua" w:hAnsi="Book Antiqua"/>
                <w:lang w:val="en-US"/>
              </w:rPr>
              <w:t>eptic arthritis,</w:t>
            </w:r>
            <w:r w:rsidR="00E36EAB" w:rsidRPr="008D0C14">
              <w:rPr>
                <w:rFonts w:ascii="Book Antiqua" w:hAnsi="Book Antiqua"/>
                <w:lang w:val="en-US" w:eastAsia="zh-CN"/>
              </w:rPr>
              <w:t xml:space="preserve"> </w:t>
            </w:r>
            <w:r w:rsidRPr="008D0C14">
              <w:rPr>
                <w:rFonts w:ascii="Book Antiqua" w:hAnsi="Book Antiqua"/>
                <w:lang w:val="en-US"/>
              </w:rPr>
              <w:t xml:space="preserve">1 </w:t>
            </w:r>
            <w:r w:rsidR="00E36EAB" w:rsidRPr="008D0C14">
              <w:rPr>
                <w:rFonts w:ascii="Book Antiqua" w:hAnsi="Book Antiqua"/>
                <w:lang w:val="en-US"/>
              </w:rPr>
              <w:t>d</w:t>
            </w:r>
            <w:r w:rsidRPr="008D0C14">
              <w:rPr>
                <w:rFonts w:ascii="Book Antiqua" w:hAnsi="Book Antiqua"/>
                <w:lang w:val="en-US"/>
              </w:rPr>
              <w:t>eep vein thrombosis</w:t>
            </w:r>
          </w:p>
        </w:tc>
      </w:tr>
      <w:tr w:rsidR="00CA18F9" w:rsidRPr="00004362" w14:paraId="2F22DF54" w14:textId="77777777" w:rsidTr="002F1D4F">
        <w:tc>
          <w:tcPr>
            <w:tcW w:w="640" w:type="pct"/>
          </w:tcPr>
          <w:p w14:paraId="798AA6D8" w14:textId="36B678B8"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 xml:space="preserve">Llano </w:t>
            </w:r>
            <w:r w:rsidRPr="002F1D4F">
              <w:rPr>
                <w:rFonts w:ascii="Book Antiqua" w:hAnsi="Book Antiqua"/>
                <w:i/>
                <w:lang w:val="en-US"/>
              </w:rPr>
              <w:t>et al</w:t>
            </w:r>
            <w:r w:rsidRPr="002F1D4F">
              <w:rPr>
                <w:rFonts w:ascii="Book Antiqua" w:hAnsi="Book Antiqua"/>
                <w:vertAlign w:val="superscript"/>
                <w:lang w:val="en-US"/>
              </w:rPr>
              <w:t>[32]</w:t>
            </w:r>
            <w:r w:rsidRPr="002F1D4F">
              <w:rPr>
                <w:rFonts w:ascii="Book Antiqua" w:hAnsi="Book Antiqua"/>
                <w:lang w:val="en-US"/>
              </w:rPr>
              <w:t>, 2021</w:t>
            </w:r>
          </w:p>
        </w:tc>
        <w:tc>
          <w:tcPr>
            <w:tcW w:w="881" w:type="pct"/>
          </w:tcPr>
          <w:p w14:paraId="57375FBD"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Retrospective cohort (adults)</w:t>
            </w:r>
          </w:p>
        </w:tc>
        <w:tc>
          <w:tcPr>
            <w:tcW w:w="792" w:type="pct"/>
          </w:tcPr>
          <w:p w14:paraId="4E7DF7C5" w14:textId="65929301"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CD (3)</w:t>
            </w:r>
            <w:r w:rsidR="00E36EAB" w:rsidRPr="00004362">
              <w:rPr>
                <w:rFonts w:ascii="Book Antiqua" w:hAnsi="Book Antiqua"/>
              </w:rPr>
              <w:t xml:space="preserve">, </w:t>
            </w:r>
            <w:r w:rsidRPr="00004362">
              <w:rPr>
                <w:rFonts w:ascii="Book Antiqua" w:hAnsi="Book Antiqua"/>
              </w:rPr>
              <w:t>UC (10)</w:t>
            </w:r>
            <w:r w:rsidR="00E36EAB" w:rsidRPr="00004362">
              <w:rPr>
                <w:rFonts w:ascii="Book Antiqua" w:hAnsi="Book Antiqua"/>
              </w:rPr>
              <w:t xml:space="preserve">, </w:t>
            </w:r>
            <w:r w:rsidRPr="00004362">
              <w:rPr>
                <w:rFonts w:ascii="Book Antiqua" w:hAnsi="Book Antiqua"/>
              </w:rPr>
              <w:t>IBD-U (1)</w:t>
            </w:r>
          </w:p>
        </w:tc>
        <w:tc>
          <w:tcPr>
            <w:tcW w:w="773" w:type="pct"/>
          </w:tcPr>
          <w:p w14:paraId="07F0C4DE" w14:textId="6399F2E1" w:rsidR="00CA18F9" w:rsidRPr="00004362" w:rsidRDefault="00CA18F9" w:rsidP="00CA18F9">
            <w:pPr>
              <w:adjustRightInd w:val="0"/>
              <w:snapToGrid w:val="0"/>
              <w:spacing w:line="360" w:lineRule="auto"/>
              <w:jc w:val="both"/>
              <w:rPr>
                <w:rFonts w:ascii="Book Antiqua" w:hAnsi="Book Antiqua"/>
                <w:lang w:val="en-US"/>
              </w:rPr>
            </w:pPr>
            <w:r w:rsidRPr="008D0C14">
              <w:rPr>
                <w:rFonts w:ascii="Book Antiqua" w:hAnsi="Book Antiqua"/>
                <w:lang w:val="en-US"/>
              </w:rPr>
              <w:t>3 UST + VDZ</w:t>
            </w:r>
            <w:r w:rsidR="00E36EAB" w:rsidRPr="008D0C14">
              <w:rPr>
                <w:rFonts w:ascii="Book Antiqua" w:hAnsi="Book Antiqua"/>
                <w:lang w:val="en-US" w:eastAsia="zh-CN"/>
              </w:rPr>
              <w:t xml:space="preserve">, </w:t>
            </w:r>
            <w:r w:rsidRPr="008D0C14">
              <w:rPr>
                <w:rFonts w:ascii="Book Antiqua" w:hAnsi="Book Antiqua"/>
                <w:lang w:val="en-US"/>
              </w:rPr>
              <w:t xml:space="preserve">2 VDZ + </w:t>
            </w:r>
            <w:r w:rsidR="00E36EAB" w:rsidRPr="008D0C14">
              <w:rPr>
                <w:rFonts w:ascii="Book Antiqua" w:hAnsi="Book Antiqua"/>
                <w:lang w:val="en-US"/>
              </w:rPr>
              <w:t>TNFi</w:t>
            </w:r>
            <w:r w:rsidR="00E36EAB" w:rsidRPr="008D0C14">
              <w:rPr>
                <w:rFonts w:ascii="Book Antiqua" w:hAnsi="Book Antiqua"/>
                <w:lang w:val="en-US" w:eastAsia="zh-CN"/>
              </w:rPr>
              <w:t xml:space="preserve">, </w:t>
            </w:r>
            <w:r w:rsidRPr="008D0C14">
              <w:rPr>
                <w:rFonts w:ascii="Book Antiqua" w:hAnsi="Book Antiqua"/>
                <w:lang w:val="en-US"/>
              </w:rPr>
              <w:t>9 VDZ + TOF</w:t>
            </w:r>
          </w:p>
        </w:tc>
        <w:tc>
          <w:tcPr>
            <w:tcW w:w="888" w:type="pct"/>
          </w:tcPr>
          <w:p w14:paraId="3ABD28FA"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Clinical or biochemical remission 50%</w:t>
            </w:r>
          </w:p>
        </w:tc>
        <w:tc>
          <w:tcPr>
            <w:tcW w:w="1026" w:type="pct"/>
          </w:tcPr>
          <w:p w14:paraId="1A32EFB6" w14:textId="1F90EE66" w:rsidR="00CA18F9" w:rsidRPr="00004362" w:rsidRDefault="00CA18F9" w:rsidP="00CA18F9">
            <w:pPr>
              <w:adjustRightInd w:val="0"/>
              <w:snapToGrid w:val="0"/>
              <w:spacing w:line="360" w:lineRule="auto"/>
              <w:jc w:val="both"/>
              <w:rPr>
                <w:rFonts w:ascii="Book Antiqua" w:hAnsi="Book Antiqua"/>
                <w:lang w:val="en-US"/>
              </w:rPr>
            </w:pPr>
            <w:r w:rsidRPr="008D0C14">
              <w:rPr>
                <w:rFonts w:ascii="Book Antiqua" w:hAnsi="Book Antiqua"/>
                <w:lang w:val="en-US"/>
              </w:rPr>
              <w:t xml:space="preserve">2 </w:t>
            </w:r>
            <w:r w:rsidRPr="008D0C14">
              <w:rPr>
                <w:rFonts w:ascii="Book Antiqua" w:hAnsi="Book Antiqua"/>
                <w:i/>
                <w:iCs/>
                <w:lang w:val="en-US"/>
              </w:rPr>
              <w:t>Clostridiodes difficile</w:t>
            </w:r>
            <w:r w:rsidRPr="008D0C14">
              <w:rPr>
                <w:rFonts w:ascii="Book Antiqua" w:hAnsi="Book Antiqua"/>
                <w:lang w:val="en-US"/>
              </w:rPr>
              <w:t xml:space="preserve">, 2 </w:t>
            </w:r>
            <w:r w:rsidR="00E36EAB" w:rsidRPr="008D0C14">
              <w:rPr>
                <w:rFonts w:ascii="Book Antiqua" w:hAnsi="Book Antiqua"/>
                <w:lang w:val="en-US"/>
              </w:rPr>
              <w:t>p</w:t>
            </w:r>
            <w:r w:rsidRPr="008D0C14">
              <w:rPr>
                <w:rFonts w:ascii="Book Antiqua" w:hAnsi="Book Antiqua"/>
                <w:lang w:val="en-US"/>
              </w:rPr>
              <w:t>neumonia</w:t>
            </w:r>
            <w:r w:rsidR="00E36EAB" w:rsidRPr="008D0C14">
              <w:rPr>
                <w:rFonts w:ascii="Book Antiqua" w:hAnsi="Book Antiqua"/>
                <w:lang w:val="en-US" w:eastAsia="zh-CN"/>
              </w:rPr>
              <w:t xml:space="preserve">, </w:t>
            </w:r>
            <w:r w:rsidRPr="008D0C14">
              <w:rPr>
                <w:rFonts w:ascii="Book Antiqua" w:hAnsi="Book Antiqua"/>
                <w:lang w:val="en-US"/>
              </w:rPr>
              <w:t xml:space="preserve">3 </w:t>
            </w:r>
            <w:r w:rsidR="00E36EAB" w:rsidRPr="008D0C14">
              <w:rPr>
                <w:rFonts w:ascii="Book Antiqua" w:hAnsi="Book Antiqua"/>
                <w:lang w:val="en-US"/>
              </w:rPr>
              <w:t>a</w:t>
            </w:r>
            <w:r w:rsidRPr="008D0C14">
              <w:rPr>
                <w:rFonts w:ascii="Book Antiqua" w:hAnsi="Book Antiqua"/>
                <w:lang w:val="en-US"/>
              </w:rPr>
              <w:t>bnormal lipid profile</w:t>
            </w:r>
          </w:p>
        </w:tc>
      </w:tr>
      <w:tr w:rsidR="00CA18F9" w:rsidRPr="00004362" w14:paraId="6F1808CF" w14:textId="77777777" w:rsidTr="002F1D4F">
        <w:tc>
          <w:tcPr>
            <w:tcW w:w="640" w:type="pct"/>
          </w:tcPr>
          <w:p w14:paraId="67DE548F" w14:textId="1C1AA268"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 xml:space="preserve">Goessens </w:t>
            </w:r>
            <w:r w:rsidRPr="002F1D4F">
              <w:rPr>
                <w:rFonts w:ascii="Book Antiqua" w:hAnsi="Book Antiqua"/>
                <w:i/>
                <w:lang w:val="en-US"/>
              </w:rPr>
              <w:t>et al</w:t>
            </w:r>
            <w:r w:rsidRPr="002F1D4F">
              <w:rPr>
                <w:rFonts w:ascii="Book Antiqua" w:hAnsi="Book Antiqua"/>
                <w:vertAlign w:val="superscript"/>
                <w:lang w:val="en-US"/>
              </w:rPr>
              <w:t>[33]</w:t>
            </w:r>
            <w:r w:rsidRPr="002F1D4F">
              <w:rPr>
                <w:rFonts w:ascii="Book Antiqua" w:hAnsi="Book Antiqua"/>
                <w:lang w:val="en-US"/>
              </w:rPr>
              <w:t>, 2021</w:t>
            </w:r>
          </w:p>
        </w:tc>
        <w:tc>
          <w:tcPr>
            <w:tcW w:w="881" w:type="pct"/>
          </w:tcPr>
          <w:p w14:paraId="6B804D42"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Retrospective cohort (adults)</w:t>
            </w:r>
          </w:p>
        </w:tc>
        <w:tc>
          <w:tcPr>
            <w:tcW w:w="792" w:type="pct"/>
          </w:tcPr>
          <w:p w14:paraId="6A005468" w14:textId="427686A2"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CD (58)</w:t>
            </w:r>
            <w:r w:rsidR="00E36EAB" w:rsidRPr="00004362">
              <w:rPr>
                <w:rFonts w:ascii="Book Antiqua" w:hAnsi="Book Antiqua"/>
              </w:rPr>
              <w:t xml:space="preserve">, </w:t>
            </w:r>
            <w:r w:rsidRPr="00004362">
              <w:rPr>
                <w:rFonts w:ascii="Book Antiqua" w:hAnsi="Book Antiqua"/>
              </w:rPr>
              <w:t>UC (40)</w:t>
            </w:r>
          </w:p>
        </w:tc>
        <w:tc>
          <w:tcPr>
            <w:tcW w:w="773" w:type="pct"/>
          </w:tcPr>
          <w:p w14:paraId="350CD6CB" w14:textId="714187CA" w:rsidR="00CA18F9" w:rsidRPr="00004362" w:rsidRDefault="00CA18F9" w:rsidP="00CA18F9">
            <w:pPr>
              <w:adjustRightInd w:val="0"/>
              <w:snapToGrid w:val="0"/>
              <w:spacing w:line="360" w:lineRule="auto"/>
              <w:jc w:val="both"/>
              <w:rPr>
                <w:rFonts w:ascii="Book Antiqua" w:hAnsi="Book Antiqua"/>
                <w:lang w:val="en-US"/>
              </w:rPr>
            </w:pPr>
            <w:r w:rsidRPr="008D0C14">
              <w:rPr>
                <w:rFonts w:ascii="Book Antiqua" w:hAnsi="Book Antiqua"/>
                <w:lang w:val="en-US"/>
              </w:rPr>
              <w:t xml:space="preserve">41 VDZ + </w:t>
            </w:r>
            <w:r w:rsidR="00E36EAB" w:rsidRPr="008D0C14">
              <w:rPr>
                <w:rFonts w:ascii="Book Antiqua" w:hAnsi="Book Antiqua"/>
                <w:lang w:val="en-US"/>
              </w:rPr>
              <w:t>TNFi</w:t>
            </w:r>
            <w:r w:rsidR="00E36EAB" w:rsidRPr="008D0C14">
              <w:rPr>
                <w:rFonts w:ascii="Book Antiqua" w:hAnsi="Book Antiqua"/>
                <w:lang w:val="en-US" w:eastAsia="zh-CN"/>
              </w:rPr>
              <w:t xml:space="preserve">, </w:t>
            </w:r>
            <w:r w:rsidRPr="008D0C14">
              <w:rPr>
                <w:rFonts w:ascii="Book Antiqua" w:hAnsi="Book Antiqua"/>
                <w:lang w:val="en-US"/>
              </w:rPr>
              <w:t>21 VDZ + UST</w:t>
            </w:r>
            <w:r w:rsidR="00E36EAB" w:rsidRPr="008D0C14">
              <w:rPr>
                <w:rFonts w:ascii="Book Antiqua" w:hAnsi="Book Antiqua"/>
                <w:lang w:val="en-US" w:eastAsia="zh-CN"/>
              </w:rPr>
              <w:t xml:space="preserve">, </w:t>
            </w:r>
            <w:r w:rsidRPr="008D0C14">
              <w:rPr>
                <w:rFonts w:ascii="Book Antiqua" w:hAnsi="Book Antiqua"/>
                <w:lang w:val="en-US"/>
              </w:rPr>
              <w:t xml:space="preserve">11 UST + </w:t>
            </w:r>
            <w:r w:rsidR="00E36EAB" w:rsidRPr="008D0C14">
              <w:rPr>
                <w:rFonts w:ascii="Book Antiqua" w:hAnsi="Book Antiqua"/>
                <w:lang w:val="en-US"/>
              </w:rPr>
              <w:t>TNFi</w:t>
            </w:r>
            <w:r w:rsidR="00E36EAB" w:rsidRPr="008D0C14">
              <w:rPr>
                <w:rFonts w:ascii="Book Antiqua" w:hAnsi="Book Antiqua"/>
                <w:lang w:val="en-US" w:eastAsia="zh-CN"/>
              </w:rPr>
              <w:t xml:space="preserve">, </w:t>
            </w:r>
            <w:r w:rsidRPr="008D0C14">
              <w:rPr>
                <w:rFonts w:ascii="Book Antiqua" w:hAnsi="Book Antiqua"/>
                <w:lang w:val="en-US"/>
              </w:rPr>
              <w:t xml:space="preserve">1 TOF + </w:t>
            </w:r>
            <w:r w:rsidR="00E36EAB" w:rsidRPr="008D0C14">
              <w:rPr>
                <w:rFonts w:ascii="Book Antiqua" w:hAnsi="Book Antiqua"/>
                <w:lang w:val="en-US"/>
              </w:rPr>
              <w:t>TNFi</w:t>
            </w:r>
            <w:r w:rsidR="00E36EAB" w:rsidRPr="008D0C14">
              <w:rPr>
                <w:rFonts w:ascii="Book Antiqua" w:hAnsi="Book Antiqua"/>
                <w:lang w:val="en-US" w:eastAsia="zh-CN"/>
              </w:rPr>
              <w:t xml:space="preserve">, </w:t>
            </w:r>
            <w:r w:rsidRPr="008D0C14">
              <w:rPr>
                <w:rFonts w:ascii="Book Antiqua" w:hAnsi="Book Antiqua"/>
                <w:lang w:val="en-US"/>
              </w:rPr>
              <w:t>13 TOF + VDZ</w:t>
            </w:r>
            <w:r w:rsidR="00E36EAB" w:rsidRPr="008D0C14">
              <w:rPr>
                <w:rFonts w:ascii="Book Antiqua" w:hAnsi="Book Antiqua"/>
                <w:lang w:val="en-US" w:eastAsia="zh-CN"/>
              </w:rPr>
              <w:t xml:space="preserve">, </w:t>
            </w:r>
            <w:r w:rsidRPr="008D0C14">
              <w:rPr>
                <w:rFonts w:ascii="Book Antiqua" w:hAnsi="Book Antiqua"/>
                <w:lang w:val="en-US"/>
              </w:rPr>
              <w:t xml:space="preserve">17 </w:t>
            </w:r>
            <w:r w:rsidR="00E36EAB" w:rsidRPr="008D0C14">
              <w:rPr>
                <w:rFonts w:ascii="Book Antiqua" w:hAnsi="Book Antiqua"/>
                <w:lang w:val="en-US"/>
              </w:rPr>
              <w:t>o</w:t>
            </w:r>
            <w:r w:rsidRPr="008D0C14">
              <w:rPr>
                <w:rFonts w:ascii="Book Antiqua" w:hAnsi="Book Antiqua"/>
                <w:lang w:val="en-US"/>
              </w:rPr>
              <w:t>ther</w:t>
            </w:r>
          </w:p>
        </w:tc>
        <w:tc>
          <w:tcPr>
            <w:tcW w:w="888" w:type="pct"/>
          </w:tcPr>
          <w:p w14:paraId="2E4004CA" w14:textId="7A034B90"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Clinical response 44%</w:t>
            </w:r>
          </w:p>
        </w:tc>
        <w:tc>
          <w:tcPr>
            <w:tcW w:w="1026" w:type="pct"/>
          </w:tcPr>
          <w:p w14:paraId="69049013" w14:textId="4669DA0C"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 xml:space="preserve">10 </w:t>
            </w:r>
            <w:r w:rsidR="00E36EAB" w:rsidRPr="00004362">
              <w:rPr>
                <w:rFonts w:ascii="Book Antiqua" w:hAnsi="Book Antiqua"/>
              </w:rPr>
              <w:t>s</w:t>
            </w:r>
            <w:r w:rsidRPr="00004362">
              <w:rPr>
                <w:rFonts w:ascii="Book Antiqua" w:hAnsi="Book Antiqua"/>
              </w:rPr>
              <w:t>erious or opportunistic infections</w:t>
            </w:r>
          </w:p>
        </w:tc>
      </w:tr>
      <w:tr w:rsidR="00CA18F9" w:rsidRPr="00004362" w14:paraId="535EB240" w14:textId="77777777" w:rsidTr="002F1D4F">
        <w:tc>
          <w:tcPr>
            <w:tcW w:w="640" w:type="pct"/>
          </w:tcPr>
          <w:p w14:paraId="0816DA39" w14:textId="755E5E1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lastRenderedPageBreak/>
              <w:t xml:space="preserve">Howard </w:t>
            </w:r>
            <w:r w:rsidRPr="002F1D4F">
              <w:rPr>
                <w:rFonts w:ascii="Book Antiqua" w:hAnsi="Book Antiqua"/>
                <w:i/>
                <w:lang w:val="en-US"/>
              </w:rPr>
              <w:t>et al</w:t>
            </w:r>
            <w:r w:rsidRPr="002F1D4F">
              <w:rPr>
                <w:rFonts w:ascii="Book Antiqua" w:hAnsi="Book Antiqua"/>
                <w:vertAlign w:val="superscript"/>
                <w:lang w:val="en-US"/>
              </w:rPr>
              <w:t>[34]</w:t>
            </w:r>
            <w:r w:rsidRPr="002F1D4F">
              <w:rPr>
                <w:rFonts w:ascii="Book Antiqua" w:hAnsi="Book Antiqua"/>
                <w:lang w:val="en-US"/>
              </w:rPr>
              <w:t>, 202</w:t>
            </w:r>
            <w:r w:rsidR="00BC378E">
              <w:rPr>
                <w:rFonts w:ascii="Book Antiqua" w:hAnsi="Book Antiqua"/>
                <w:lang w:val="en-US"/>
              </w:rPr>
              <w:t>2</w:t>
            </w:r>
          </w:p>
        </w:tc>
        <w:tc>
          <w:tcPr>
            <w:tcW w:w="881" w:type="pct"/>
          </w:tcPr>
          <w:p w14:paraId="09F38C99" w14:textId="0CA242DD"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Case series</w:t>
            </w:r>
            <w:r w:rsidR="00E36EAB" w:rsidRPr="00004362">
              <w:rPr>
                <w:rFonts w:ascii="Book Antiqua" w:hAnsi="Book Antiqua"/>
              </w:rPr>
              <w:t xml:space="preserve"> </w:t>
            </w:r>
            <w:r w:rsidRPr="00004362">
              <w:rPr>
                <w:rFonts w:ascii="Book Antiqua" w:hAnsi="Book Antiqua"/>
              </w:rPr>
              <w:t>(pediatrics)</w:t>
            </w:r>
          </w:p>
        </w:tc>
        <w:tc>
          <w:tcPr>
            <w:tcW w:w="792" w:type="pct"/>
          </w:tcPr>
          <w:p w14:paraId="5F65829A"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CD (3)</w:t>
            </w:r>
          </w:p>
        </w:tc>
        <w:tc>
          <w:tcPr>
            <w:tcW w:w="773" w:type="pct"/>
          </w:tcPr>
          <w:p w14:paraId="5450308D"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3 VDZ + UST</w:t>
            </w:r>
          </w:p>
        </w:tc>
        <w:tc>
          <w:tcPr>
            <w:tcW w:w="888" w:type="pct"/>
          </w:tcPr>
          <w:p w14:paraId="23636C90"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Clinical remission 100%</w:t>
            </w:r>
          </w:p>
        </w:tc>
        <w:tc>
          <w:tcPr>
            <w:tcW w:w="1026" w:type="pct"/>
          </w:tcPr>
          <w:p w14:paraId="384893E6"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Not reported</w:t>
            </w:r>
          </w:p>
        </w:tc>
      </w:tr>
      <w:tr w:rsidR="00CA18F9" w:rsidRPr="00004362" w14:paraId="4102AFA7" w14:textId="77777777" w:rsidTr="002F1D4F">
        <w:tc>
          <w:tcPr>
            <w:tcW w:w="640" w:type="pct"/>
          </w:tcPr>
          <w:p w14:paraId="72E916F7" w14:textId="30039DDD"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 xml:space="preserve">Lee </w:t>
            </w:r>
            <w:r w:rsidRPr="002F1D4F">
              <w:rPr>
                <w:rFonts w:ascii="Book Antiqua" w:hAnsi="Book Antiqua"/>
                <w:i/>
                <w:lang w:val="en-US"/>
              </w:rPr>
              <w:t>et al</w:t>
            </w:r>
            <w:r w:rsidRPr="002F1D4F">
              <w:rPr>
                <w:rFonts w:ascii="Book Antiqua" w:hAnsi="Book Antiqua"/>
                <w:vertAlign w:val="superscript"/>
                <w:lang w:val="en-US"/>
              </w:rPr>
              <w:t>[35]</w:t>
            </w:r>
            <w:r w:rsidRPr="002F1D4F">
              <w:rPr>
                <w:rFonts w:ascii="Book Antiqua" w:hAnsi="Book Antiqua"/>
                <w:lang w:val="en-US"/>
              </w:rPr>
              <w:t>, 2022</w:t>
            </w:r>
          </w:p>
        </w:tc>
        <w:tc>
          <w:tcPr>
            <w:tcW w:w="881" w:type="pct"/>
          </w:tcPr>
          <w:p w14:paraId="1FE30D06"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Retrospective cohort (adults)</w:t>
            </w:r>
          </w:p>
        </w:tc>
        <w:tc>
          <w:tcPr>
            <w:tcW w:w="792" w:type="pct"/>
          </w:tcPr>
          <w:p w14:paraId="64775FD7"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CD (19)</w:t>
            </w:r>
          </w:p>
        </w:tc>
        <w:tc>
          <w:tcPr>
            <w:tcW w:w="773" w:type="pct"/>
          </w:tcPr>
          <w:p w14:paraId="4A043C91" w14:textId="076FE15F" w:rsidR="00CA18F9" w:rsidRPr="00004362" w:rsidRDefault="00CA18F9" w:rsidP="00CA18F9">
            <w:pPr>
              <w:adjustRightInd w:val="0"/>
              <w:snapToGrid w:val="0"/>
              <w:spacing w:line="360" w:lineRule="auto"/>
              <w:jc w:val="both"/>
              <w:rPr>
                <w:rFonts w:ascii="Book Antiqua" w:hAnsi="Book Antiqua"/>
                <w:lang w:val="en-US"/>
              </w:rPr>
            </w:pPr>
            <w:r w:rsidRPr="008D0C14">
              <w:rPr>
                <w:rFonts w:ascii="Book Antiqua" w:hAnsi="Book Antiqua"/>
                <w:lang w:val="en-US"/>
              </w:rPr>
              <w:t>7 TOF + VDZ</w:t>
            </w:r>
            <w:r w:rsidR="00E36EAB" w:rsidRPr="008D0C14">
              <w:rPr>
                <w:rFonts w:ascii="Book Antiqua" w:hAnsi="Book Antiqua"/>
                <w:lang w:val="en-US" w:eastAsia="zh-CN"/>
              </w:rPr>
              <w:t xml:space="preserve">, </w:t>
            </w:r>
            <w:r w:rsidRPr="008D0C14">
              <w:rPr>
                <w:rFonts w:ascii="Book Antiqua" w:hAnsi="Book Antiqua"/>
                <w:lang w:val="en-US"/>
              </w:rPr>
              <w:t>11 TOF + UST</w:t>
            </w:r>
            <w:r w:rsidR="00E36EAB" w:rsidRPr="008D0C14">
              <w:rPr>
                <w:rFonts w:ascii="Book Antiqua" w:hAnsi="Book Antiqua"/>
                <w:lang w:val="en-US" w:eastAsia="zh-CN"/>
              </w:rPr>
              <w:t xml:space="preserve">, </w:t>
            </w:r>
            <w:r w:rsidRPr="008D0C14">
              <w:rPr>
                <w:rFonts w:ascii="Book Antiqua" w:hAnsi="Book Antiqua"/>
                <w:lang w:val="en-US"/>
              </w:rPr>
              <w:t xml:space="preserve">1 TOF + </w:t>
            </w:r>
            <w:r w:rsidR="00E36EAB" w:rsidRPr="008D0C14">
              <w:rPr>
                <w:rFonts w:ascii="Book Antiqua" w:hAnsi="Book Antiqua"/>
                <w:lang w:val="en-US"/>
              </w:rPr>
              <w:t>TNFi</w:t>
            </w:r>
            <w:r w:rsidRPr="008D0C14">
              <w:rPr>
                <w:rFonts w:ascii="Book Antiqua" w:hAnsi="Book Antiqua"/>
                <w:lang w:val="en-US"/>
              </w:rPr>
              <w:t xml:space="preserve"> </w:t>
            </w:r>
          </w:p>
        </w:tc>
        <w:tc>
          <w:tcPr>
            <w:tcW w:w="888" w:type="pct"/>
          </w:tcPr>
          <w:p w14:paraId="1F9472CD" w14:textId="77777777" w:rsidR="00CA18F9" w:rsidRPr="00004362" w:rsidRDefault="00CA18F9" w:rsidP="00CA18F9">
            <w:pPr>
              <w:adjustRightInd w:val="0"/>
              <w:snapToGrid w:val="0"/>
              <w:spacing w:line="360" w:lineRule="auto"/>
              <w:jc w:val="both"/>
              <w:rPr>
                <w:rFonts w:ascii="Book Antiqua" w:hAnsi="Book Antiqua"/>
                <w:lang w:val="en-US"/>
              </w:rPr>
            </w:pPr>
            <w:r w:rsidRPr="00004362">
              <w:rPr>
                <w:rFonts w:ascii="Book Antiqua" w:hAnsi="Book Antiqua"/>
              </w:rPr>
              <w:t>Remission 60%</w:t>
            </w:r>
          </w:p>
        </w:tc>
        <w:tc>
          <w:tcPr>
            <w:tcW w:w="1026" w:type="pct"/>
          </w:tcPr>
          <w:p w14:paraId="5E2EB5D6" w14:textId="4E842E51" w:rsidR="00CA18F9" w:rsidRPr="002F1D4F" w:rsidRDefault="00CA18F9" w:rsidP="00E36EAB">
            <w:pPr>
              <w:pStyle w:val="a7"/>
              <w:adjustRightInd w:val="0"/>
              <w:snapToGrid w:val="0"/>
              <w:spacing w:before="0" w:beforeAutospacing="0" w:after="0" w:afterAutospacing="0" w:line="360" w:lineRule="auto"/>
              <w:jc w:val="both"/>
              <w:rPr>
                <w:rFonts w:ascii="Book Antiqua" w:hAnsi="Book Antiqua"/>
                <w:lang w:val="en-US"/>
              </w:rPr>
            </w:pPr>
            <w:r w:rsidRPr="00004362">
              <w:rPr>
                <w:rFonts w:ascii="Book Antiqua" w:hAnsi="Book Antiqua"/>
              </w:rPr>
              <w:t xml:space="preserve">1 </w:t>
            </w:r>
            <w:r w:rsidR="00E36EAB" w:rsidRPr="00004362">
              <w:rPr>
                <w:rFonts w:ascii="Book Antiqua" w:hAnsi="Book Antiqua"/>
              </w:rPr>
              <w:t>b</w:t>
            </w:r>
            <w:r w:rsidRPr="00004362">
              <w:rPr>
                <w:rFonts w:ascii="Book Antiqua" w:hAnsi="Book Antiqua"/>
              </w:rPr>
              <w:t xml:space="preserve">asal cell carcinoma </w:t>
            </w:r>
          </w:p>
        </w:tc>
      </w:tr>
    </w:tbl>
    <w:p w14:paraId="0B8150FC" w14:textId="54E9E4EA" w:rsidR="00A77B3E" w:rsidRDefault="008F65E5">
      <w:pPr>
        <w:spacing w:line="360" w:lineRule="auto"/>
        <w:jc w:val="both"/>
        <w:rPr>
          <w:rFonts w:ascii="Book Antiqua" w:eastAsia="Book Antiqua" w:hAnsi="Book Antiqua" w:cs="Book Antiqua"/>
          <w:color w:val="000000"/>
        </w:rPr>
      </w:pPr>
      <w:r w:rsidRPr="00004362">
        <w:rPr>
          <w:rFonts w:ascii="Book Antiqua" w:eastAsia="Book Antiqua" w:hAnsi="Book Antiqua" w:cs="Book Antiqua"/>
          <w:color w:val="000000"/>
        </w:rPr>
        <w:t xml:space="preserve">ADA: Adalimumab; </w:t>
      </w:r>
      <w:r w:rsidR="00D462C0" w:rsidRPr="00004362">
        <w:rPr>
          <w:rFonts w:ascii="Book Antiqua" w:eastAsia="Book Antiqua" w:hAnsi="Book Antiqua" w:cs="Book Antiqua"/>
          <w:color w:val="000000"/>
        </w:rPr>
        <w:t>CD</w:t>
      </w:r>
      <w:r w:rsidR="00607E81"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Crohn</w:t>
      </w:r>
      <w:r w:rsidRPr="00004362">
        <w:rPr>
          <w:rFonts w:ascii="Book Antiqua" w:eastAsia="Book Antiqua" w:hAnsi="Book Antiqua" w:cs="Book Antiqua"/>
          <w:color w:val="000000"/>
        </w:rPr>
        <w:t>’</w:t>
      </w:r>
      <w:r w:rsidR="00D462C0" w:rsidRPr="00004362">
        <w:rPr>
          <w:rFonts w:ascii="Book Antiqua" w:eastAsia="Book Antiqua" w:hAnsi="Book Antiqua" w:cs="Book Antiqua"/>
          <w:color w:val="000000"/>
        </w:rPr>
        <w:t>s</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disease</w:t>
      </w:r>
      <w:r w:rsidR="00607E81"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Pr="00004362">
        <w:rPr>
          <w:rFonts w:ascii="Book Antiqua" w:eastAsia="Book Antiqua" w:hAnsi="Book Antiqua" w:cs="Book Antiqua"/>
          <w:color w:val="000000"/>
        </w:rPr>
        <w:t xml:space="preserve">GOL: Golimumab; IBD-U: Inflammatory bowel disease-unclassified; IFX: Infliximab; NAT: Natalizumab; </w:t>
      </w:r>
      <w:r w:rsidR="005B38B1" w:rsidRPr="00004362">
        <w:rPr>
          <w:rFonts w:ascii="Book Antiqua" w:eastAsia="Book Antiqua" w:hAnsi="Book Antiqua" w:cs="Book Antiqua"/>
          <w:color w:val="000000"/>
        </w:rPr>
        <w:t xml:space="preserve">TNFi: Tumor necrosis factor inhibitor; TOF: Tofacitinib; </w:t>
      </w:r>
      <w:r w:rsidR="00D462C0" w:rsidRPr="00004362">
        <w:rPr>
          <w:rFonts w:ascii="Book Antiqua" w:eastAsia="Book Antiqua" w:hAnsi="Book Antiqua" w:cs="Book Antiqua"/>
          <w:color w:val="000000"/>
        </w:rPr>
        <w:t>UC</w:t>
      </w:r>
      <w:r w:rsidR="00607E81"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00607E81" w:rsidRPr="00004362">
        <w:rPr>
          <w:rFonts w:ascii="Book Antiqua" w:eastAsia="Book Antiqua" w:hAnsi="Book Antiqua" w:cs="Book Antiqua"/>
          <w:color w:val="000000"/>
        </w:rPr>
        <w:t>U</w:t>
      </w:r>
      <w:r w:rsidR="00D462C0" w:rsidRPr="00004362">
        <w:rPr>
          <w:rFonts w:ascii="Book Antiqua" w:eastAsia="Book Antiqua" w:hAnsi="Book Antiqua" w:cs="Book Antiqua"/>
          <w:color w:val="000000"/>
        </w:rPr>
        <w:t>lcerative</w:t>
      </w:r>
      <w:r w:rsidR="00150010" w:rsidRPr="00004362">
        <w:rPr>
          <w:rFonts w:ascii="Book Antiqua" w:eastAsia="Book Antiqua" w:hAnsi="Book Antiqua" w:cs="Book Antiqua"/>
          <w:color w:val="000000"/>
        </w:rPr>
        <w:t xml:space="preserve"> </w:t>
      </w:r>
      <w:r w:rsidR="00D462C0" w:rsidRPr="00004362">
        <w:rPr>
          <w:rFonts w:ascii="Book Antiqua" w:eastAsia="Book Antiqua" w:hAnsi="Book Antiqua" w:cs="Book Antiqua"/>
          <w:color w:val="000000"/>
        </w:rPr>
        <w:t>colitis</w:t>
      </w:r>
      <w:r w:rsidR="00607E81"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005B38B1" w:rsidRPr="00004362">
        <w:rPr>
          <w:rFonts w:ascii="Book Antiqua" w:eastAsia="Book Antiqua" w:hAnsi="Book Antiqua" w:cs="Book Antiqua"/>
          <w:color w:val="000000"/>
        </w:rPr>
        <w:t xml:space="preserve">UST: Ustekinumab; </w:t>
      </w:r>
      <w:r w:rsidR="00D462C0" w:rsidRPr="00004362">
        <w:rPr>
          <w:rFonts w:ascii="Book Antiqua" w:eastAsia="Book Antiqua" w:hAnsi="Book Antiqua" w:cs="Book Antiqua"/>
          <w:color w:val="000000"/>
        </w:rPr>
        <w:t>VDZ</w:t>
      </w:r>
      <w:r w:rsidR="00607E81"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r w:rsidR="00607E81" w:rsidRPr="00004362">
        <w:rPr>
          <w:rFonts w:ascii="Book Antiqua" w:eastAsia="Book Antiqua" w:hAnsi="Book Antiqua" w:cs="Book Antiqua"/>
          <w:color w:val="000000"/>
        </w:rPr>
        <w:t>V</w:t>
      </w:r>
      <w:r w:rsidR="00D462C0" w:rsidRPr="00004362">
        <w:rPr>
          <w:rFonts w:ascii="Book Antiqua" w:eastAsia="Book Antiqua" w:hAnsi="Book Antiqua" w:cs="Book Antiqua"/>
          <w:color w:val="000000"/>
        </w:rPr>
        <w:t>edolizumab</w:t>
      </w:r>
      <w:r w:rsidR="005B38B1" w:rsidRPr="00004362">
        <w:rPr>
          <w:rFonts w:ascii="Book Antiqua" w:eastAsia="Book Antiqua" w:hAnsi="Book Antiqua" w:cs="Book Antiqua"/>
          <w:color w:val="000000"/>
        </w:rPr>
        <w:t>.</w:t>
      </w:r>
      <w:r w:rsidR="00150010" w:rsidRPr="00004362">
        <w:rPr>
          <w:rFonts w:ascii="Book Antiqua" w:eastAsia="Book Antiqua" w:hAnsi="Book Antiqua" w:cs="Book Antiqua"/>
          <w:color w:val="000000"/>
        </w:rPr>
        <w:t xml:space="preserve"> </w:t>
      </w:r>
    </w:p>
    <w:p w14:paraId="2BFFC524" w14:textId="0D2ACEE0" w:rsidR="002839A8" w:rsidRDefault="002839A8">
      <w:pPr>
        <w:spacing w:line="360" w:lineRule="auto"/>
        <w:jc w:val="both"/>
      </w:pPr>
    </w:p>
    <w:p w14:paraId="3E4F17DB" w14:textId="77777777" w:rsidR="002839A8" w:rsidRDefault="002839A8">
      <w:r>
        <w:br w:type="page"/>
      </w:r>
    </w:p>
    <w:p w14:paraId="7B52FF8A" w14:textId="77777777" w:rsidR="002839A8" w:rsidRDefault="002839A8" w:rsidP="002839A8">
      <w:pPr>
        <w:snapToGrid w:val="0"/>
        <w:ind w:leftChars="100" w:left="240"/>
        <w:jc w:val="center"/>
        <w:rPr>
          <w:rFonts w:ascii="Book Antiqua" w:hAnsi="Book Antiqua"/>
        </w:rPr>
      </w:pPr>
      <w:bookmarkStart w:id="1" w:name="_Hlk121819652"/>
    </w:p>
    <w:p w14:paraId="3A224486" w14:textId="77777777" w:rsidR="002839A8" w:rsidRDefault="002839A8" w:rsidP="002839A8">
      <w:pPr>
        <w:snapToGrid w:val="0"/>
        <w:ind w:leftChars="100" w:left="240"/>
        <w:jc w:val="center"/>
        <w:rPr>
          <w:rFonts w:ascii="Book Antiqua" w:hAnsi="Book Antiqua"/>
        </w:rPr>
      </w:pPr>
    </w:p>
    <w:p w14:paraId="4FAB9807" w14:textId="77777777" w:rsidR="002839A8" w:rsidRDefault="002839A8" w:rsidP="002839A8">
      <w:pPr>
        <w:snapToGrid w:val="0"/>
        <w:ind w:leftChars="100" w:left="240"/>
        <w:jc w:val="center"/>
        <w:rPr>
          <w:rFonts w:ascii="Book Antiqua" w:hAnsi="Book Antiqua"/>
        </w:rPr>
      </w:pPr>
    </w:p>
    <w:p w14:paraId="04F42C19" w14:textId="77777777" w:rsidR="002839A8" w:rsidRDefault="002839A8" w:rsidP="002839A8">
      <w:pPr>
        <w:snapToGrid w:val="0"/>
        <w:ind w:leftChars="100" w:left="240"/>
        <w:jc w:val="center"/>
        <w:rPr>
          <w:rFonts w:ascii="Book Antiqua" w:hAnsi="Book Antiqua"/>
        </w:rPr>
      </w:pPr>
    </w:p>
    <w:p w14:paraId="264C6F9C" w14:textId="77777777" w:rsidR="002839A8" w:rsidRDefault="002839A8" w:rsidP="002839A8">
      <w:pPr>
        <w:snapToGrid w:val="0"/>
        <w:ind w:leftChars="100" w:left="240"/>
        <w:jc w:val="center"/>
        <w:rPr>
          <w:rFonts w:ascii="Book Antiqua" w:hAnsi="Book Antiqua"/>
        </w:rPr>
      </w:pPr>
      <w:r>
        <w:rPr>
          <w:rFonts w:ascii="Book Antiqua" w:hAnsi="Book Antiqua"/>
          <w:noProof/>
        </w:rPr>
        <w:drawing>
          <wp:inline distT="0" distB="0" distL="0" distR="0" wp14:anchorId="60D6DCD8" wp14:editId="2DE334B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D6273CF" w14:textId="77777777" w:rsidR="002839A8" w:rsidRDefault="002839A8" w:rsidP="002839A8">
      <w:pPr>
        <w:snapToGrid w:val="0"/>
        <w:ind w:leftChars="100" w:left="240"/>
        <w:jc w:val="center"/>
        <w:rPr>
          <w:rFonts w:ascii="Book Antiqua" w:hAnsi="Book Antiqua"/>
        </w:rPr>
      </w:pPr>
    </w:p>
    <w:p w14:paraId="2501B89F" w14:textId="77777777" w:rsidR="002839A8" w:rsidRDefault="002839A8" w:rsidP="002839A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E147F3B" w14:textId="77777777" w:rsidR="002839A8" w:rsidRDefault="002839A8" w:rsidP="002839A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361E19D" w14:textId="77777777" w:rsidR="002839A8" w:rsidRDefault="002839A8" w:rsidP="002839A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D18FC14" w14:textId="77777777" w:rsidR="002839A8" w:rsidRDefault="002839A8" w:rsidP="002839A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28B8660" w14:textId="77777777" w:rsidR="002839A8" w:rsidRDefault="002839A8" w:rsidP="002839A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DAED50F" w14:textId="77777777" w:rsidR="002839A8" w:rsidRDefault="002839A8" w:rsidP="002839A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7308588" w14:textId="77777777" w:rsidR="002839A8" w:rsidRDefault="002839A8" w:rsidP="002839A8">
      <w:pPr>
        <w:snapToGrid w:val="0"/>
        <w:ind w:leftChars="100" w:left="240"/>
        <w:jc w:val="center"/>
        <w:rPr>
          <w:rFonts w:ascii="Book Antiqua" w:hAnsi="Book Antiqua"/>
        </w:rPr>
      </w:pPr>
    </w:p>
    <w:p w14:paraId="3B7F6728" w14:textId="77777777" w:rsidR="002839A8" w:rsidRDefault="002839A8" w:rsidP="002839A8">
      <w:pPr>
        <w:snapToGrid w:val="0"/>
        <w:ind w:leftChars="100" w:left="240"/>
        <w:jc w:val="center"/>
        <w:rPr>
          <w:rFonts w:ascii="Book Antiqua" w:hAnsi="Book Antiqua"/>
        </w:rPr>
      </w:pPr>
    </w:p>
    <w:p w14:paraId="21A53E94" w14:textId="77777777" w:rsidR="002839A8" w:rsidRDefault="002839A8" w:rsidP="002839A8">
      <w:pPr>
        <w:snapToGrid w:val="0"/>
        <w:ind w:leftChars="100" w:left="240"/>
        <w:jc w:val="center"/>
        <w:rPr>
          <w:rFonts w:ascii="Book Antiqua" w:hAnsi="Book Antiqua"/>
        </w:rPr>
      </w:pPr>
    </w:p>
    <w:p w14:paraId="5B5E6D76" w14:textId="77777777" w:rsidR="002839A8" w:rsidRDefault="002839A8" w:rsidP="002839A8">
      <w:pPr>
        <w:snapToGrid w:val="0"/>
        <w:ind w:leftChars="100" w:left="240"/>
        <w:jc w:val="center"/>
        <w:rPr>
          <w:rFonts w:ascii="Book Antiqua" w:hAnsi="Book Antiqua"/>
        </w:rPr>
      </w:pPr>
      <w:r>
        <w:rPr>
          <w:rFonts w:ascii="Book Antiqua" w:hAnsi="Book Antiqua"/>
          <w:noProof/>
        </w:rPr>
        <w:drawing>
          <wp:inline distT="0" distB="0" distL="0" distR="0" wp14:anchorId="006A400E" wp14:editId="0727F7F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09A1C76" w14:textId="77777777" w:rsidR="002839A8" w:rsidRDefault="002839A8" w:rsidP="002839A8">
      <w:pPr>
        <w:snapToGrid w:val="0"/>
        <w:ind w:leftChars="100" w:left="240"/>
        <w:jc w:val="center"/>
        <w:rPr>
          <w:rFonts w:ascii="Book Antiqua" w:hAnsi="Book Antiqua"/>
        </w:rPr>
      </w:pPr>
    </w:p>
    <w:p w14:paraId="4342B77B" w14:textId="77777777" w:rsidR="002839A8" w:rsidRDefault="002839A8" w:rsidP="002839A8">
      <w:pPr>
        <w:snapToGrid w:val="0"/>
        <w:ind w:leftChars="100" w:left="240"/>
        <w:jc w:val="center"/>
        <w:rPr>
          <w:rFonts w:ascii="Book Antiqua" w:hAnsi="Book Antiqua"/>
        </w:rPr>
      </w:pPr>
    </w:p>
    <w:p w14:paraId="7185B0A3" w14:textId="77777777" w:rsidR="002839A8" w:rsidRDefault="002839A8" w:rsidP="002839A8">
      <w:pPr>
        <w:snapToGrid w:val="0"/>
        <w:ind w:leftChars="100" w:left="240"/>
        <w:jc w:val="center"/>
        <w:rPr>
          <w:rFonts w:ascii="Book Antiqua" w:hAnsi="Book Antiqua"/>
        </w:rPr>
      </w:pPr>
    </w:p>
    <w:p w14:paraId="30D65DF1" w14:textId="77777777" w:rsidR="002839A8" w:rsidRDefault="002839A8" w:rsidP="002839A8">
      <w:pPr>
        <w:snapToGrid w:val="0"/>
        <w:ind w:leftChars="100" w:left="240"/>
        <w:jc w:val="center"/>
        <w:rPr>
          <w:rFonts w:ascii="Book Antiqua" w:hAnsi="Book Antiqua"/>
        </w:rPr>
      </w:pPr>
    </w:p>
    <w:p w14:paraId="2ADEC2CA" w14:textId="77777777" w:rsidR="002839A8" w:rsidRDefault="002839A8" w:rsidP="002839A8">
      <w:pPr>
        <w:snapToGrid w:val="0"/>
        <w:ind w:leftChars="100" w:left="240"/>
        <w:jc w:val="center"/>
        <w:rPr>
          <w:rFonts w:ascii="Book Antiqua" w:hAnsi="Book Antiqua"/>
        </w:rPr>
      </w:pPr>
    </w:p>
    <w:p w14:paraId="3EE389DD" w14:textId="77777777" w:rsidR="002839A8" w:rsidRDefault="002839A8" w:rsidP="002839A8">
      <w:pPr>
        <w:snapToGrid w:val="0"/>
        <w:ind w:leftChars="100" w:left="240"/>
        <w:jc w:val="center"/>
        <w:rPr>
          <w:rFonts w:ascii="Book Antiqua" w:hAnsi="Book Antiqua"/>
        </w:rPr>
      </w:pPr>
    </w:p>
    <w:p w14:paraId="3A2CABE4" w14:textId="77777777" w:rsidR="002839A8" w:rsidRDefault="002839A8" w:rsidP="002839A8">
      <w:pPr>
        <w:snapToGrid w:val="0"/>
        <w:ind w:leftChars="100" w:left="240"/>
        <w:jc w:val="center"/>
        <w:rPr>
          <w:rFonts w:ascii="Book Antiqua" w:hAnsi="Book Antiqua"/>
        </w:rPr>
      </w:pPr>
    </w:p>
    <w:p w14:paraId="5ECB240A" w14:textId="77777777" w:rsidR="002839A8" w:rsidRDefault="002839A8" w:rsidP="002839A8">
      <w:pPr>
        <w:snapToGrid w:val="0"/>
        <w:ind w:leftChars="100" w:left="240"/>
        <w:jc w:val="center"/>
        <w:rPr>
          <w:rFonts w:ascii="Book Antiqua" w:hAnsi="Book Antiqua"/>
        </w:rPr>
      </w:pPr>
    </w:p>
    <w:p w14:paraId="32328826" w14:textId="77777777" w:rsidR="002839A8" w:rsidRDefault="002839A8" w:rsidP="002839A8">
      <w:pPr>
        <w:snapToGrid w:val="0"/>
        <w:ind w:leftChars="100" w:left="240"/>
        <w:jc w:val="center"/>
        <w:rPr>
          <w:rFonts w:ascii="Book Antiqua" w:hAnsi="Book Antiqua"/>
        </w:rPr>
      </w:pPr>
    </w:p>
    <w:p w14:paraId="579DDE96" w14:textId="77777777" w:rsidR="002839A8" w:rsidRDefault="002839A8" w:rsidP="002839A8">
      <w:pPr>
        <w:snapToGrid w:val="0"/>
        <w:ind w:leftChars="100" w:left="240"/>
        <w:jc w:val="right"/>
        <w:rPr>
          <w:rFonts w:ascii="Book Antiqua" w:hAnsi="Book Antiqua"/>
          <w:color w:val="000000" w:themeColor="text1"/>
        </w:rPr>
      </w:pPr>
    </w:p>
    <w:p w14:paraId="5E7116F4" w14:textId="77777777" w:rsidR="002839A8" w:rsidRDefault="002839A8" w:rsidP="002839A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1"/>
    <w:p w14:paraId="338A6F26" w14:textId="77777777" w:rsidR="002839A8" w:rsidRDefault="002839A8" w:rsidP="002839A8">
      <w:pPr>
        <w:rPr>
          <w:rFonts w:ascii="Book Antiqua" w:hAnsi="Book Antiqua" w:cs="Book Antiqua"/>
          <w:b/>
          <w:bCs/>
          <w:color w:val="000000"/>
        </w:rPr>
      </w:pPr>
    </w:p>
    <w:p w14:paraId="01895913" w14:textId="77777777" w:rsidR="002839A8" w:rsidRPr="00004362" w:rsidRDefault="002839A8">
      <w:pPr>
        <w:spacing w:line="360" w:lineRule="auto"/>
        <w:jc w:val="both"/>
      </w:pPr>
    </w:p>
    <w:sectPr w:rsidR="002839A8" w:rsidRPr="00004362" w:rsidSect="00CA1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FB32" w14:textId="77777777" w:rsidR="00801FC8" w:rsidRDefault="00801FC8" w:rsidP="0084132C">
      <w:r>
        <w:separator/>
      </w:r>
    </w:p>
  </w:endnote>
  <w:endnote w:type="continuationSeparator" w:id="0">
    <w:p w14:paraId="09542119" w14:textId="77777777" w:rsidR="00801FC8" w:rsidRDefault="00801FC8" w:rsidP="0084132C">
      <w:r>
        <w:continuationSeparator/>
      </w:r>
    </w:p>
  </w:endnote>
  <w:endnote w:type="continuationNotice" w:id="1">
    <w:p w14:paraId="719D59A9" w14:textId="77777777" w:rsidR="00801FC8" w:rsidRDefault="00801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122980"/>
      <w:docPartObj>
        <w:docPartGallery w:val="Page Numbers (Bottom of Page)"/>
        <w:docPartUnique/>
      </w:docPartObj>
    </w:sdtPr>
    <w:sdtEndPr>
      <w:rPr>
        <w:rFonts w:ascii="Book Antiqua" w:hAnsi="Book Antiqua"/>
        <w:sz w:val="24"/>
      </w:rPr>
    </w:sdtEndPr>
    <w:sdtContent>
      <w:sdt>
        <w:sdtPr>
          <w:id w:val="-1769616900"/>
          <w:docPartObj>
            <w:docPartGallery w:val="Page Numbers (Top of Page)"/>
            <w:docPartUnique/>
          </w:docPartObj>
        </w:sdtPr>
        <w:sdtEndPr>
          <w:rPr>
            <w:rFonts w:ascii="Book Antiqua" w:hAnsi="Book Antiqua"/>
            <w:sz w:val="24"/>
          </w:rPr>
        </w:sdtEndPr>
        <w:sdtContent>
          <w:p w14:paraId="401EE542" w14:textId="567346B7" w:rsidR="00D462C0" w:rsidRPr="002F1D4F" w:rsidRDefault="00D462C0">
            <w:pPr>
              <w:pStyle w:val="a5"/>
              <w:jc w:val="right"/>
              <w:rPr>
                <w:rFonts w:ascii="Book Antiqua" w:hAnsi="Book Antiqua"/>
                <w:sz w:val="24"/>
              </w:rPr>
            </w:pPr>
            <w:r>
              <w:rPr>
                <w:lang w:val="zh-CN" w:eastAsia="zh-CN"/>
              </w:rPr>
              <w:t xml:space="preserve"> </w:t>
            </w:r>
            <w:r w:rsidRPr="002F1D4F">
              <w:rPr>
                <w:rFonts w:ascii="Book Antiqua" w:hAnsi="Book Antiqua"/>
                <w:sz w:val="24"/>
              </w:rPr>
              <w:fldChar w:fldCharType="begin"/>
            </w:r>
            <w:r w:rsidRPr="002F1D4F">
              <w:rPr>
                <w:rFonts w:ascii="Book Antiqua" w:hAnsi="Book Antiqua"/>
                <w:sz w:val="24"/>
              </w:rPr>
              <w:instrText>PAGE</w:instrText>
            </w:r>
            <w:r w:rsidRPr="002F1D4F">
              <w:rPr>
                <w:rFonts w:ascii="Book Antiqua" w:hAnsi="Book Antiqua"/>
                <w:sz w:val="24"/>
              </w:rPr>
              <w:fldChar w:fldCharType="separate"/>
            </w:r>
            <w:r w:rsidRPr="002F1D4F">
              <w:rPr>
                <w:rFonts w:ascii="Book Antiqua" w:hAnsi="Book Antiqua"/>
                <w:sz w:val="24"/>
                <w:lang w:val="zh-CN"/>
              </w:rPr>
              <w:t>2</w:t>
            </w:r>
            <w:r w:rsidRPr="002F1D4F">
              <w:rPr>
                <w:rFonts w:ascii="Book Antiqua" w:hAnsi="Book Antiqua"/>
                <w:sz w:val="24"/>
              </w:rPr>
              <w:fldChar w:fldCharType="end"/>
            </w:r>
            <w:r w:rsidRPr="002F1D4F">
              <w:rPr>
                <w:rFonts w:ascii="Book Antiqua" w:hAnsi="Book Antiqua"/>
                <w:sz w:val="24"/>
                <w:lang w:val="zh-CN"/>
              </w:rPr>
              <w:t xml:space="preserve"> / </w:t>
            </w:r>
            <w:r w:rsidRPr="002F1D4F">
              <w:rPr>
                <w:rFonts w:ascii="Book Antiqua" w:hAnsi="Book Antiqua"/>
                <w:sz w:val="24"/>
              </w:rPr>
              <w:fldChar w:fldCharType="begin"/>
            </w:r>
            <w:r w:rsidRPr="002F1D4F">
              <w:rPr>
                <w:rFonts w:ascii="Book Antiqua" w:hAnsi="Book Antiqua"/>
                <w:sz w:val="24"/>
              </w:rPr>
              <w:instrText>NUMPAGES</w:instrText>
            </w:r>
            <w:r w:rsidRPr="002F1D4F">
              <w:rPr>
                <w:rFonts w:ascii="Book Antiqua" w:hAnsi="Book Antiqua"/>
                <w:sz w:val="24"/>
              </w:rPr>
              <w:fldChar w:fldCharType="separate"/>
            </w:r>
            <w:r w:rsidRPr="002F1D4F">
              <w:rPr>
                <w:rFonts w:ascii="Book Antiqua" w:hAnsi="Book Antiqua"/>
                <w:sz w:val="24"/>
                <w:lang w:val="zh-CN"/>
              </w:rPr>
              <w:t>2</w:t>
            </w:r>
            <w:r w:rsidRPr="002F1D4F">
              <w:rPr>
                <w:rFonts w:ascii="Book Antiqua" w:hAnsi="Book Antiqua"/>
                <w:sz w:val="24"/>
              </w:rPr>
              <w:fldChar w:fldCharType="end"/>
            </w:r>
          </w:p>
        </w:sdtContent>
      </w:sdt>
    </w:sdtContent>
  </w:sdt>
  <w:p w14:paraId="4690B6BC" w14:textId="77777777" w:rsidR="00D462C0" w:rsidRDefault="00D462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85F5" w14:textId="77777777" w:rsidR="00801FC8" w:rsidRDefault="00801FC8" w:rsidP="0084132C">
      <w:r>
        <w:separator/>
      </w:r>
    </w:p>
  </w:footnote>
  <w:footnote w:type="continuationSeparator" w:id="0">
    <w:p w14:paraId="50495E23" w14:textId="77777777" w:rsidR="00801FC8" w:rsidRDefault="00801FC8" w:rsidP="0084132C">
      <w:r>
        <w:continuationSeparator/>
      </w:r>
    </w:p>
  </w:footnote>
  <w:footnote w:type="continuationNotice" w:id="1">
    <w:p w14:paraId="794DBC56" w14:textId="77777777" w:rsidR="00801FC8" w:rsidRDefault="00801FC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D15"/>
    <w:rsid w:val="00004362"/>
    <w:rsid w:val="00005EB2"/>
    <w:rsid w:val="0002289C"/>
    <w:rsid w:val="000848E7"/>
    <w:rsid w:val="000C5879"/>
    <w:rsid w:val="000D1EC6"/>
    <w:rsid w:val="000D1F0B"/>
    <w:rsid w:val="00150010"/>
    <w:rsid w:val="00163CBF"/>
    <w:rsid w:val="00172096"/>
    <w:rsid w:val="00186821"/>
    <w:rsid w:val="001C4AFB"/>
    <w:rsid w:val="001F50C7"/>
    <w:rsid w:val="00224C21"/>
    <w:rsid w:val="00237267"/>
    <w:rsid w:val="0026451F"/>
    <w:rsid w:val="002839A8"/>
    <w:rsid w:val="00283B3B"/>
    <w:rsid w:val="002A46EC"/>
    <w:rsid w:val="002B3D48"/>
    <w:rsid w:val="002E18A0"/>
    <w:rsid w:val="002E75F0"/>
    <w:rsid w:val="002F1D4F"/>
    <w:rsid w:val="00305BD3"/>
    <w:rsid w:val="00312B4B"/>
    <w:rsid w:val="00313093"/>
    <w:rsid w:val="00382D8F"/>
    <w:rsid w:val="003D7C98"/>
    <w:rsid w:val="004635B5"/>
    <w:rsid w:val="004C1E6F"/>
    <w:rsid w:val="004D3C0E"/>
    <w:rsid w:val="004E05C5"/>
    <w:rsid w:val="004F0EFD"/>
    <w:rsid w:val="0051269B"/>
    <w:rsid w:val="00520E90"/>
    <w:rsid w:val="0056547C"/>
    <w:rsid w:val="005700E7"/>
    <w:rsid w:val="005B38B1"/>
    <w:rsid w:val="005B72FF"/>
    <w:rsid w:val="005E3426"/>
    <w:rsid w:val="00607E81"/>
    <w:rsid w:val="00613E77"/>
    <w:rsid w:val="00640234"/>
    <w:rsid w:val="00647BCD"/>
    <w:rsid w:val="00656A5C"/>
    <w:rsid w:val="0066005E"/>
    <w:rsid w:val="00662D93"/>
    <w:rsid w:val="006817FA"/>
    <w:rsid w:val="006E2BA5"/>
    <w:rsid w:val="006E514F"/>
    <w:rsid w:val="00732E8C"/>
    <w:rsid w:val="0074316C"/>
    <w:rsid w:val="007C1DF4"/>
    <w:rsid w:val="007C24C8"/>
    <w:rsid w:val="007C3873"/>
    <w:rsid w:val="00801FC8"/>
    <w:rsid w:val="0081773E"/>
    <w:rsid w:val="0084132C"/>
    <w:rsid w:val="0084547A"/>
    <w:rsid w:val="00847CE2"/>
    <w:rsid w:val="00891DBC"/>
    <w:rsid w:val="008958C2"/>
    <w:rsid w:val="008D0C14"/>
    <w:rsid w:val="008F65E5"/>
    <w:rsid w:val="00957EE2"/>
    <w:rsid w:val="009A1909"/>
    <w:rsid w:val="009B750D"/>
    <w:rsid w:val="009D7FE2"/>
    <w:rsid w:val="00A00167"/>
    <w:rsid w:val="00A407A0"/>
    <w:rsid w:val="00A773D4"/>
    <w:rsid w:val="00A77B3E"/>
    <w:rsid w:val="00AA1789"/>
    <w:rsid w:val="00AF1951"/>
    <w:rsid w:val="00B03C5A"/>
    <w:rsid w:val="00B72909"/>
    <w:rsid w:val="00BA3C63"/>
    <w:rsid w:val="00BC378E"/>
    <w:rsid w:val="00BF41F7"/>
    <w:rsid w:val="00C055D8"/>
    <w:rsid w:val="00C219C8"/>
    <w:rsid w:val="00C257A9"/>
    <w:rsid w:val="00C410EB"/>
    <w:rsid w:val="00C953EA"/>
    <w:rsid w:val="00C97520"/>
    <w:rsid w:val="00CA18F9"/>
    <w:rsid w:val="00CA2A55"/>
    <w:rsid w:val="00CB54EF"/>
    <w:rsid w:val="00CC43C2"/>
    <w:rsid w:val="00D462C0"/>
    <w:rsid w:val="00D65A59"/>
    <w:rsid w:val="00E11292"/>
    <w:rsid w:val="00E36EAB"/>
    <w:rsid w:val="00E44316"/>
    <w:rsid w:val="00E62518"/>
    <w:rsid w:val="00E870DB"/>
    <w:rsid w:val="00EE7ACE"/>
    <w:rsid w:val="00F038AD"/>
    <w:rsid w:val="00F677F6"/>
    <w:rsid w:val="00F920CF"/>
    <w:rsid w:val="00F9652A"/>
    <w:rsid w:val="00FF6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FCAC3"/>
  <w15:docId w15:val="{6D48CB19-4CE7-4702-AD6E-A8033761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413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4132C"/>
    <w:rPr>
      <w:sz w:val="18"/>
      <w:szCs w:val="18"/>
    </w:rPr>
  </w:style>
  <w:style w:type="paragraph" w:styleId="a5">
    <w:name w:val="footer"/>
    <w:basedOn w:val="a"/>
    <w:link w:val="a6"/>
    <w:uiPriority w:val="99"/>
    <w:unhideWhenUsed/>
    <w:rsid w:val="0084132C"/>
    <w:pPr>
      <w:tabs>
        <w:tab w:val="center" w:pos="4153"/>
        <w:tab w:val="right" w:pos="8306"/>
      </w:tabs>
      <w:snapToGrid w:val="0"/>
    </w:pPr>
    <w:rPr>
      <w:sz w:val="18"/>
      <w:szCs w:val="18"/>
    </w:rPr>
  </w:style>
  <w:style w:type="character" w:customStyle="1" w:styleId="a6">
    <w:name w:val="页脚 字符"/>
    <w:basedOn w:val="a0"/>
    <w:link w:val="a5"/>
    <w:uiPriority w:val="99"/>
    <w:rsid w:val="0084132C"/>
    <w:rPr>
      <w:sz w:val="18"/>
      <w:szCs w:val="18"/>
    </w:rPr>
  </w:style>
  <w:style w:type="paragraph" w:styleId="a7">
    <w:name w:val="Normal (Web)"/>
    <w:basedOn w:val="a"/>
    <w:uiPriority w:val="99"/>
    <w:unhideWhenUsed/>
    <w:rsid w:val="00150010"/>
    <w:pPr>
      <w:spacing w:before="100" w:beforeAutospacing="1" w:after="100" w:afterAutospacing="1"/>
    </w:pPr>
    <w:rPr>
      <w:rFonts w:ascii="宋体" w:eastAsia="宋体" w:hAnsi="宋体" w:cs="宋体"/>
      <w:lang w:eastAsia="zh-CN"/>
    </w:rPr>
  </w:style>
  <w:style w:type="table" w:styleId="a8">
    <w:name w:val="Table Grid"/>
    <w:basedOn w:val="a1"/>
    <w:uiPriority w:val="39"/>
    <w:rsid w:val="00CA18F9"/>
    <w:rPr>
      <w:rFonts w:asciiTheme="minorHAnsi" w:hAnsiTheme="minorHAnsi" w:cstheme="minorBidi"/>
      <w:sz w:val="24"/>
      <w:szCs w:val="24"/>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E870DB"/>
    <w:rPr>
      <w:sz w:val="24"/>
      <w:szCs w:val="24"/>
    </w:rPr>
  </w:style>
  <w:style w:type="paragraph" w:styleId="aa">
    <w:name w:val="Balloon Text"/>
    <w:basedOn w:val="a"/>
    <w:link w:val="ab"/>
    <w:rsid w:val="00F920CF"/>
    <w:rPr>
      <w:sz w:val="18"/>
      <w:szCs w:val="18"/>
    </w:rPr>
  </w:style>
  <w:style w:type="character" w:customStyle="1" w:styleId="ab">
    <w:name w:val="批注框文本 字符"/>
    <w:basedOn w:val="a0"/>
    <w:link w:val="aa"/>
    <w:rsid w:val="00F920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96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6310</Words>
  <Characters>35973</Characters>
  <Application>Microsoft Office Word</Application>
  <DocSecurity>0</DocSecurity>
  <Lines>299</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zhanghan</dc:creator>
  <cp:lastModifiedBy>CC15613419072@163.com</cp:lastModifiedBy>
  <cp:revision>6</cp:revision>
  <dcterms:created xsi:type="dcterms:W3CDTF">2022-11-27T17:33:00Z</dcterms:created>
  <dcterms:modified xsi:type="dcterms:W3CDTF">2022-12-15T09:19:00Z</dcterms:modified>
</cp:coreProperties>
</file>