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D6" w:rsidRPr="00E65221" w:rsidRDefault="00C236D6" w:rsidP="0001774E">
      <w:pPr>
        <w:adjustRightInd w:val="0"/>
        <w:snapToGrid w:val="0"/>
        <w:spacing w:line="360" w:lineRule="auto"/>
        <w:rPr>
          <w:rFonts w:ascii="Book Antiqua" w:eastAsia="Times New Roman" w:hAnsi="Book Antiqua"/>
          <w:color w:val="000000"/>
          <w:sz w:val="21"/>
        </w:rPr>
      </w:pPr>
      <w:r w:rsidRPr="00E65221">
        <w:rPr>
          <w:rFonts w:ascii="Book Antiqua" w:eastAsia="Times New Roman" w:hAnsi="Book Antiqua" w:cs="宋体"/>
          <w:b/>
          <w:color w:val="000000"/>
          <w:sz w:val="21"/>
        </w:rPr>
        <w:t xml:space="preserve">Name of journal: </w:t>
      </w:r>
      <w:bookmarkStart w:id="0" w:name="OLE_LINK718"/>
      <w:bookmarkStart w:id="1" w:name="OLE_LINK719"/>
      <w:r w:rsidRPr="00E65221">
        <w:rPr>
          <w:rFonts w:ascii="Book Antiqua" w:eastAsia="Times New Roman" w:hAnsi="Book Antiqua" w:cs="宋体"/>
          <w:b/>
          <w:color w:val="000000"/>
          <w:sz w:val="21"/>
        </w:rPr>
        <w:t xml:space="preserve">World Journal of </w:t>
      </w:r>
      <w:bookmarkEnd w:id="0"/>
      <w:bookmarkEnd w:id="1"/>
      <w:r w:rsidRPr="00E65221">
        <w:rPr>
          <w:rFonts w:ascii="Book Antiqua" w:eastAsia="Times New Roman" w:hAnsi="Book Antiqua"/>
          <w:b/>
          <w:color w:val="000000"/>
          <w:sz w:val="21"/>
        </w:rPr>
        <w:t xml:space="preserve">Gastroenterology </w:t>
      </w:r>
    </w:p>
    <w:p w:rsidR="00C236D6" w:rsidRPr="00E65221" w:rsidRDefault="00C236D6" w:rsidP="0001774E">
      <w:pPr>
        <w:adjustRightInd w:val="0"/>
        <w:snapToGrid w:val="0"/>
        <w:spacing w:line="360" w:lineRule="auto"/>
        <w:rPr>
          <w:rFonts w:ascii="Book Antiqua" w:hAnsi="Book Antiqua" w:cs="宋体"/>
          <w:b/>
          <w:color w:val="000000"/>
          <w:sz w:val="21"/>
          <w:lang w:eastAsia="zh-CN"/>
        </w:rPr>
      </w:pPr>
      <w:r w:rsidRPr="00E65221">
        <w:rPr>
          <w:rFonts w:ascii="Book Antiqua" w:eastAsia="Times New Roman" w:hAnsi="Book Antiqua" w:cs="Arial"/>
          <w:b/>
          <w:color w:val="000000"/>
          <w:sz w:val="21"/>
        </w:rPr>
        <w:t>ESPS Manuscript NO:</w:t>
      </w:r>
      <w:r w:rsidRPr="00E65221">
        <w:rPr>
          <w:rFonts w:ascii="Book Antiqua" w:hAnsi="Book Antiqua" w:cs="Arial"/>
          <w:b/>
          <w:color w:val="000000"/>
          <w:sz w:val="21"/>
          <w:lang w:eastAsia="zh-CN"/>
        </w:rPr>
        <w:t xml:space="preserve"> 8038</w:t>
      </w:r>
    </w:p>
    <w:p w:rsidR="00C236D6" w:rsidRPr="00E65221" w:rsidRDefault="00C236D6" w:rsidP="0001774E">
      <w:pPr>
        <w:suppressAutoHyphens/>
        <w:autoSpaceDE w:val="0"/>
        <w:autoSpaceDN w:val="0"/>
        <w:adjustRightInd w:val="0"/>
        <w:snapToGrid w:val="0"/>
        <w:spacing w:line="360" w:lineRule="auto"/>
        <w:rPr>
          <w:rFonts w:ascii="Book Antiqua" w:eastAsia="Times New Roman" w:hAnsi="Book Antiqua"/>
          <w:b/>
          <w:caps/>
          <w:color w:val="000000"/>
          <w:sz w:val="21"/>
        </w:rPr>
      </w:pPr>
      <w:r w:rsidRPr="00E65221">
        <w:rPr>
          <w:rFonts w:ascii="Book Antiqua" w:eastAsia="Times New Roman" w:hAnsi="Book Antiqua"/>
          <w:b/>
          <w:color w:val="000000"/>
          <w:sz w:val="21"/>
        </w:rPr>
        <w:t xml:space="preserve">Columns: </w:t>
      </w:r>
      <w:r w:rsidRPr="00E65221">
        <w:rPr>
          <w:rFonts w:ascii="Book Antiqua" w:eastAsia="Times New Roman" w:hAnsi="Book Antiqua"/>
          <w:b/>
          <w:caps/>
          <w:color w:val="000000"/>
          <w:sz w:val="21"/>
        </w:rPr>
        <w:t>Brief Articles</w:t>
      </w:r>
    </w:p>
    <w:p w:rsidR="00C236D6" w:rsidRPr="00E65221" w:rsidRDefault="00C236D6" w:rsidP="006D26CC">
      <w:pPr>
        <w:spacing w:line="360" w:lineRule="auto"/>
        <w:jc w:val="both"/>
        <w:rPr>
          <w:rFonts w:ascii="Book Antiqua" w:eastAsia="Times New Roman" w:hAnsi="Book Antiqua"/>
          <w:b/>
          <w:color w:val="000000"/>
          <w:lang w:val="en-US"/>
        </w:rPr>
      </w:pPr>
    </w:p>
    <w:p w:rsidR="00C236D6" w:rsidRPr="00E65221" w:rsidRDefault="00C236D6" w:rsidP="006D26CC">
      <w:pPr>
        <w:spacing w:line="360" w:lineRule="auto"/>
        <w:jc w:val="both"/>
        <w:rPr>
          <w:rFonts w:ascii="Book Antiqua" w:eastAsia="Times New Roman" w:hAnsi="Book Antiqua"/>
          <w:color w:val="000000"/>
          <w:lang w:val="en-US"/>
        </w:rPr>
      </w:pPr>
      <w:r w:rsidRPr="00E65221">
        <w:rPr>
          <w:rFonts w:ascii="Book Antiqua" w:eastAsia="Times New Roman" w:hAnsi="Book Antiqua"/>
          <w:b/>
          <w:color w:val="000000"/>
          <w:lang w:val="en-US"/>
        </w:rPr>
        <w:t xml:space="preserve">Serum adipokines in inflammatory bowel disease </w:t>
      </w:r>
    </w:p>
    <w:p w:rsidR="00C236D6" w:rsidRPr="00E65221" w:rsidRDefault="00C236D6" w:rsidP="006D26CC">
      <w:pPr>
        <w:spacing w:line="360" w:lineRule="auto"/>
        <w:jc w:val="both"/>
        <w:rPr>
          <w:rFonts w:ascii="Book Antiqua" w:eastAsia="Times New Roman" w:hAnsi="Book Antiqua"/>
          <w:color w:val="000000"/>
          <w:lang w:val="en-US"/>
        </w:rPr>
      </w:pPr>
    </w:p>
    <w:p w:rsidR="00C236D6" w:rsidRPr="00E65221" w:rsidRDefault="00C236D6" w:rsidP="006D26CC">
      <w:pPr>
        <w:spacing w:line="360" w:lineRule="auto"/>
        <w:jc w:val="both"/>
        <w:rPr>
          <w:rFonts w:ascii="Book Antiqua" w:eastAsia="Times New Roman" w:hAnsi="Book Antiqua"/>
          <w:color w:val="000000"/>
          <w:lang w:val="en-US"/>
        </w:rPr>
      </w:pPr>
      <w:r w:rsidRPr="00E65221">
        <w:rPr>
          <w:rFonts w:ascii="Book Antiqua" w:eastAsia="Times New Roman" w:hAnsi="Book Antiqua"/>
          <w:color w:val="000000"/>
          <w:lang w:val="en-US"/>
        </w:rPr>
        <w:t xml:space="preserve">Waluga M </w:t>
      </w:r>
      <w:r w:rsidRPr="00E65221">
        <w:rPr>
          <w:rFonts w:ascii="Book Antiqua" w:eastAsia="Times New Roman" w:hAnsi="Book Antiqua"/>
          <w:i/>
          <w:color w:val="000000"/>
          <w:lang w:val="en-US"/>
        </w:rPr>
        <w:t>et al</w:t>
      </w:r>
      <w:r w:rsidRPr="00E65221">
        <w:rPr>
          <w:rFonts w:ascii="Book Antiqua" w:eastAsia="Times New Roman" w:hAnsi="Book Antiqua"/>
          <w:color w:val="000000"/>
          <w:lang w:val="en-US"/>
        </w:rPr>
        <w:t>. Adipokines in inflammatory bowel disease</w:t>
      </w:r>
    </w:p>
    <w:p w:rsidR="00C236D6" w:rsidRPr="00E65221" w:rsidRDefault="00C236D6" w:rsidP="006D26CC">
      <w:pPr>
        <w:spacing w:line="360" w:lineRule="auto"/>
        <w:jc w:val="both"/>
        <w:rPr>
          <w:rFonts w:ascii="Book Antiqua" w:eastAsia="Times New Roman" w:hAnsi="Book Antiqua"/>
          <w:color w:val="000000"/>
          <w:lang w:val="en-US"/>
        </w:rPr>
      </w:pPr>
    </w:p>
    <w:p w:rsidR="00C236D6" w:rsidRPr="00E65221" w:rsidRDefault="00C236D6" w:rsidP="006D26CC">
      <w:pPr>
        <w:spacing w:line="360" w:lineRule="auto"/>
        <w:jc w:val="both"/>
        <w:rPr>
          <w:rFonts w:ascii="Book Antiqua" w:eastAsia="Times New Roman" w:hAnsi="Book Antiqua"/>
          <w:color w:val="000000"/>
        </w:rPr>
      </w:pPr>
      <w:r w:rsidRPr="00E65221">
        <w:rPr>
          <w:rFonts w:ascii="Book Antiqua" w:eastAsia="Times New Roman" w:hAnsi="Book Antiqua"/>
          <w:color w:val="000000"/>
        </w:rPr>
        <w:t>Marek Waluga, Marek Hartleb, Grzegorz Boryczka, Micha³ Kukla, Krystyna ¯wirska-Korczala</w:t>
      </w:r>
    </w:p>
    <w:p w:rsidR="00C236D6" w:rsidRPr="00E65221" w:rsidRDefault="00061ED5" w:rsidP="006D26CC">
      <w:pPr>
        <w:spacing w:line="360" w:lineRule="auto"/>
        <w:jc w:val="both"/>
        <w:rPr>
          <w:rFonts w:ascii="Book Antiqua" w:eastAsia="Times New Roman" w:hAnsi="Book Antiqua"/>
          <w:color w:val="000000"/>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708015" cy="40640"/>
                <wp:effectExtent l="19050" t="19050" r="6985" b="35560"/>
                <wp:wrapThrough wrapText="bothSides">
                  <wp:wrapPolygon edited="0">
                    <wp:start x="14057" y="-10125"/>
                    <wp:lineTo x="-72" y="-10125"/>
                    <wp:lineTo x="-72" y="30375"/>
                    <wp:lineTo x="1946" y="30375"/>
                    <wp:lineTo x="9371" y="30375"/>
                    <wp:lineTo x="21554" y="10125"/>
                    <wp:lineTo x="21554" y="-10125"/>
                    <wp:lineTo x="14057" y="-10125"/>
                  </wp:wrapPolygon>
                </wp:wrapThrough>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015" cy="4064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9.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zSHgIAADcEAAAOAAAAZHJzL2Uyb0RvYy54bWysU02P2yAQvVfqf0DcE9tZJ+u14qwqO+ll&#10;2420294J4BgVAwISJ6r63zuQj27aS1X1ggcz83gz7zF/PPQS7bl1QqsKZ+MUI66oZkJtK/zldTUq&#10;MHKeKEakVrzCR+7w4+L9u/lgSj7RnZaMWwQgypWDqXDnvSmTxNGO98SNteEKDltte+Jha7cJs2QA&#10;9F4mkzSdJYO2zFhNuXPwtzkd4kXEb1tO/XPbOu6RrDBw83G1cd2ENVnMSbm1xHSCnmmQf2DRE6Hg&#10;0itUQzxBOyv+gOoFtdrp1o+p7hPdtoLy2AN0k6W/dfPSEcNjLzAcZ65jcv8Pln7ery0SDLTDSJEe&#10;JHoSiqNJmMxgXAkJtVrb0Bs9qBfzpOk3h5SuO6K2PDJ8PRooy0JFclMSNs4A/mb4pBnkkJ3XcUyH&#10;1vaolcJ8DYUBHEaBDlGX41UXfvCIws/pfVqk2RQjCmd5OsujbgkpA0woNtb5j1z3KAQVltBBBCX7&#10;J+cDrV8pIV3plZAySi8VGip8V2RpGiucloKF05Dn7HZTS4v2BNxTAIficvFNmtU7xSJaxwlbnmNP&#10;hDzFcLtUAQ/6AT7n6GSP7w/pw7JYFvkon8yWozxtmtGHVZ2PZqvsftrcNXXdZD8CtSwvO8EYV4Hd&#10;xapZ/ndWOD+ak8muZr3OIblFjwMDspdvJB2lDWqefLHR7Li2F8nBnTH5/JKC/d/uIX773hc/AQAA&#10;//8DAFBLAwQUAAYACAAAACEAPnZfsdsAAAAGAQAADwAAAGRycy9kb3ducmV2LnhtbEyPQU/DMAyF&#10;70j7D5EncWPpKjTa0nSaJnHiAKxwzxqv7dY4ocm2wq/HnOBkPT/rvc/lerKDuOAYekcKlosEBFLj&#10;TE+tgvf66S4DEaImowdHqOALA6yr2U2pC+Ou9IaXXWwFh1AotIIuRl9IGZoOrQ4L55HYO7jR6shy&#10;bKUZ9ZXD7SDTJFlJq3vihk573HbYnHZnq6DPw0f9ID+P9Hr6fn6Zoqdt7ZW6nU+bRxARp/h3DL/4&#10;jA4VM+3dmUwQgwJ+JPJ2xZPdLM9yEHsFaXoPsirlf/zqBwAA//8DAFBLAQItABQABgAIAAAAIQC2&#10;gziS/gAAAOEBAAATAAAAAAAAAAAAAAAAAAAAAABbQ29udGVudF9UeXBlc10ueG1sUEsBAi0AFAAG&#10;AAgAAAAhADj9If/WAAAAlAEAAAsAAAAAAAAAAAAAAAAALwEAAF9yZWxzLy5yZWxzUEsBAi0AFAAG&#10;AAgAAAAhAIo3rNIeAgAANwQAAA4AAAAAAAAAAAAAAAAALgIAAGRycy9lMm9Eb2MueG1sUEsBAi0A&#10;FAAGAAgAAAAhAD52X7HbAAAABgEAAA8AAAAAAAAAAAAAAAAAeAQAAGRycy9kb3ducmV2LnhtbFBL&#10;BQYAAAAABAAEAPMAAACABQAAAAA=&#10;" strokecolor="gray" strokeweight="3pt">
                <w10:wrap type="through"/>
              </v:line>
            </w:pict>
          </mc:Fallback>
        </mc:AlternateContent>
      </w:r>
    </w:p>
    <w:p w:rsidR="00C236D6" w:rsidRPr="00E65221" w:rsidRDefault="00C236D6" w:rsidP="006D26CC">
      <w:pPr>
        <w:spacing w:line="360" w:lineRule="auto"/>
        <w:jc w:val="both"/>
        <w:rPr>
          <w:rFonts w:ascii="Book Antiqua" w:eastAsia="Times New Roman" w:hAnsi="Book Antiqua"/>
          <w:color w:val="000000"/>
          <w:lang w:val="en-US"/>
        </w:rPr>
      </w:pPr>
      <w:r w:rsidRPr="00E65221">
        <w:rPr>
          <w:rFonts w:ascii="Book Antiqua" w:eastAsia="Times New Roman" w:hAnsi="Book Antiqua"/>
          <w:b/>
          <w:color w:val="000000"/>
          <w:lang w:val="en-US"/>
        </w:rPr>
        <w:t xml:space="preserve">Marek Waluga, Marek Hartleb, Grzegorz Boryczka, </w:t>
      </w:r>
      <w:r w:rsidRPr="00E65221">
        <w:rPr>
          <w:rFonts w:ascii="Book Antiqua" w:eastAsia="Times New Roman" w:hAnsi="Book Antiqua"/>
          <w:color w:val="000000"/>
          <w:lang w:val="en-US"/>
        </w:rPr>
        <w:t>Department of Gastroenterology and Hepatology, Medical University of Silesia, 40-752</w:t>
      </w:r>
      <w:r w:rsidRPr="00E65221">
        <w:rPr>
          <w:rFonts w:ascii="Book Antiqua" w:hAnsi="Book Antiqua"/>
          <w:color w:val="000000"/>
          <w:lang w:val="en-US" w:eastAsia="zh-CN"/>
        </w:rPr>
        <w:t xml:space="preserve"> </w:t>
      </w:r>
      <w:r w:rsidRPr="00E65221">
        <w:rPr>
          <w:rFonts w:ascii="Book Antiqua" w:eastAsia="Times New Roman" w:hAnsi="Book Antiqua"/>
          <w:color w:val="000000"/>
          <w:lang w:val="en-US"/>
        </w:rPr>
        <w:t>Katowice</w:t>
      </w:r>
      <w:r w:rsidRPr="00E65221">
        <w:rPr>
          <w:rFonts w:ascii="Book Antiqua" w:hAnsi="Book Antiqua"/>
          <w:color w:val="000000"/>
          <w:lang w:val="en-US" w:eastAsia="zh-CN"/>
        </w:rPr>
        <w:t xml:space="preserve">, </w:t>
      </w:r>
      <w:r w:rsidRPr="00E65221">
        <w:rPr>
          <w:rFonts w:ascii="Book Antiqua" w:eastAsia="Times New Roman" w:hAnsi="Book Antiqua"/>
          <w:color w:val="000000"/>
          <w:lang w:val="en-US"/>
        </w:rPr>
        <w:t>Poland</w:t>
      </w:r>
    </w:p>
    <w:p w:rsidR="00C236D6" w:rsidRPr="00E65221" w:rsidRDefault="00C236D6" w:rsidP="006D26CC">
      <w:pPr>
        <w:spacing w:line="360" w:lineRule="auto"/>
        <w:jc w:val="both"/>
        <w:rPr>
          <w:rFonts w:ascii="Book Antiqua" w:eastAsia="Times New Roman" w:hAnsi="Book Antiqua"/>
          <w:b/>
          <w:color w:val="000000"/>
          <w:lang w:val="en-US"/>
        </w:rPr>
      </w:pPr>
    </w:p>
    <w:p w:rsidR="00C236D6" w:rsidRPr="00E65221" w:rsidRDefault="00C236D6" w:rsidP="006D26CC">
      <w:pPr>
        <w:spacing w:line="360" w:lineRule="auto"/>
        <w:jc w:val="both"/>
        <w:rPr>
          <w:rFonts w:ascii="Book Antiqua" w:eastAsia="Times New Roman" w:hAnsi="Book Antiqua"/>
          <w:color w:val="000000"/>
          <w:lang w:val="en-US"/>
        </w:rPr>
      </w:pPr>
      <w:r w:rsidRPr="00E65221">
        <w:rPr>
          <w:rFonts w:ascii="Book Antiqua" w:eastAsia="Times New Roman" w:hAnsi="Book Antiqua"/>
          <w:b/>
          <w:color w:val="000000"/>
          <w:lang w:val="en-US"/>
        </w:rPr>
        <w:t>Micha³ Kukla, Krystyna ¯wirska-Korczala,</w:t>
      </w:r>
      <w:r w:rsidRPr="00E65221">
        <w:rPr>
          <w:rFonts w:ascii="Book Antiqua" w:eastAsia="Times New Roman" w:hAnsi="Book Antiqua"/>
          <w:color w:val="000000"/>
          <w:lang w:val="en-US"/>
        </w:rPr>
        <w:t xml:space="preserve"> Department of Physiology Zabrze, Medical University of Silesia, 40-752 Katowice, Poland</w:t>
      </w:r>
    </w:p>
    <w:p w:rsidR="00C236D6" w:rsidRPr="00E65221" w:rsidRDefault="00C236D6" w:rsidP="006D26CC">
      <w:pPr>
        <w:spacing w:line="360" w:lineRule="auto"/>
        <w:jc w:val="both"/>
        <w:rPr>
          <w:rFonts w:ascii="Book Antiqua" w:eastAsia="Times New Roman" w:hAnsi="Book Antiqua"/>
          <w:color w:val="000000"/>
          <w:lang w:val="en-US"/>
        </w:rPr>
      </w:pPr>
    </w:p>
    <w:p w:rsidR="00C236D6" w:rsidRPr="00E65221" w:rsidRDefault="00C236D6" w:rsidP="006D26CC">
      <w:pPr>
        <w:spacing w:line="360" w:lineRule="auto"/>
        <w:jc w:val="both"/>
        <w:rPr>
          <w:rFonts w:ascii="Book Antiqua" w:eastAsia="Times New Roman" w:hAnsi="Book Antiqua"/>
          <w:color w:val="000000"/>
          <w:lang w:val="en-US"/>
        </w:rPr>
      </w:pPr>
      <w:r w:rsidRPr="00E65221">
        <w:rPr>
          <w:rFonts w:ascii="Book Antiqua" w:eastAsia="Times New Roman" w:hAnsi="Book Antiqua"/>
          <w:b/>
          <w:color w:val="000000"/>
          <w:lang w:val="en-US"/>
        </w:rPr>
        <w:t>Author contributions:</w:t>
      </w:r>
      <w:r w:rsidRPr="00E65221">
        <w:rPr>
          <w:rFonts w:ascii="Book Antiqua" w:eastAsia="Times New Roman" w:hAnsi="Book Antiqua"/>
          <w:color w:val="000000"/>
          <w:lang w:val="en-US"/>
        </w:rPr>
        <w:t xml:space="preserve"> Waluga M conceived the study, analyzed the data and drafted the manuscript; Hartleb M participated in the study design and helped prepare the manuscript; Boryczka G assisted with blood samples and data collection; Kukla M and ¯wirska-Korczala K assisted with technical issues and statistical analysis; all authors read and approved the final version of the manuscript.</w:t>
      </w:r>
    </w:p>
    <w:p w:rsidR="00C236D6" w:rsidRPr="00E65221" w:rsidRDefault="00C236D6" w:rsidP="006D26CC">
      <w:pPr>
        <w:spacing w:line="360" w:lineRule="auto"/>
        <w:jc w:val="both"/>
        <w:rPr>
          <w:rFonts w:ascii="Book Antiqua" w:eastAsia="Times New Roman" w:hAnsi="Book Antiqua"/>
          <w:color w:val="000000"/>
          <w:lang w:val="en-US"/>
        </w:rPr>
      </w:pPr>
    </w:p>
    <w:p w:rsidR="00C236D6" w:rsidRPr="00E65221" w:rsidRDefault="00C236D6" w:rsidP="006D26CC">
      <w:pPr>
        <w:pStyle w:val="Tekstpodstawowy21"/>
        <w:spacing w:after="0" w:line="360" w:lineRule="auto"/>
        <w:ind w:left="0"/>
        <w:rPr>
          <w:rFonts w:ascii="Book Antiqua" w:hAnsi="Book Antiqua"/>
          <w:color w:val="000000"/>
          <w:sz w:val="24"/>
          <w:szCs w:val="24"/>
          <w:lang w:val="en-US" w:eastAsia="zh-CN"/>
        </w:rPr>
      </w:pPr>
      <w:r w:rsidRPr="00E65221">
        <w:rPr>
          <w:rFonts w:ascii="Book Antiqua" w:hAnsi="Book Antiqua"/>
          <w:b/>
          <w:color w:val="000000"/>
          <w:sz w:val="24"/>
          <w:szCs w:val="24"/>
          <w:lang w:val="en-US"/>
        </w:rPr>
        <w:t>Supported by</w:t>
      </w:r>
      <w:r w:rsidRPr="00E65221">
        <w:rPr>
          <w:rFonts w:ascii="Book Antiqua" w:hAnsi="Book Antiqua"/>
          <w:color w:val="000000"/>
          <w:sz w:val="24"/>
          <w:szCs w:val="24"/>
          <w:lang w:val="en-US"/>
        </w:rPr>
        <w:t xml:space="preserve"> </w:t>
      </w:r>
      <w:r w:rsidRPr="00E65221">
        <w:rPr>
          <w:rFonts w:ascii="Book Antiqua" w:hAnsi="Book Antiqua"/>
          <w:caps/>
          <w:color w:val="000000"/>
          <w:sz w:val="24"/>
          <w:szCs w:val="24"/>
          <w:lang w:val="en-US"/>
        </w:rPr>
        <w:t>a</w:t>
      </w:r>
      <w:r w:rsidRPr="00E65221">
        <w:rPr>
          <w:rFonts w:ascii="Book Antiqua" w:hAnsi="Book Antiqua"/>
          <w:color w:val="000000"/>
          <w:sz w:val="24"/>
          <w:szCs w:val="24"/>
          <w:lang w:val="en-US"/>
        </w:rPr>
        <w:t xml:space="preserve"> grant from the Medical University of Silesia</w:t>
      </w:r>
      <w:r w:rsidRPr="00E65221">
        <w:rPr>
          <w:rFonts w:ascii="Book Antiqua" w:hAnsi="Book Antiqua"/>
          <w:color w:val="000000"/>
          <w:sz w:val="24"/>
          <w:szCs w:val="24"/>
          <w:lang w:val="en-US" w:eastAsia="zh-CN"/>
        </w:rPr>
        <w:t xml:space="preserve">, </w:t>
      </w:r>
      <w:r>
        <w:rPr>
          <w:rFonts w:ascii="Book Antiqua" w:hAnsi="Book Antiqua"/>
          <w:color w:val="000000"/>
          <w:sz w:val="24"/>
          <w:szCs w:val="24"/>
          <w:lang w:val="en-US"/>
        </w:rPr>
        <w:t>No.</w:t>
      </w:r>
      <w:r>
        <w:rPr>
          <w:rFonts w:ascii="Book Antiqua" w:hAnsi="Book Antiqua"/>
          <w:color w:val="000000"/>
          <w:sz w:val="24"/>
          <w:szCs w:val="24"/>
          <w:lang w:val="en-US" w:eastAsia="zh-CN"/>
        </w:rPr>
        <w:t xml:space="preserve"> </w:t>
      </w:r>
      <w:r w:rsidRPr="00E65221">
        <w:rPr>
          <w:rFonts w:ascii="Book Antiqua" w:hAnsi="Book Antiqua"/>
          <w:color w:val="000000"/>
          <w:sz w:val="24"/>
          <w:szCs w:val="24"/>
          <w:lang w:val="en-US"/>
        </w:rPr>
        <w:t>KNW-1-119/P/1/0</w:t>
      </w:r>
    </w:p>
    <w:p w:rsidR="00C236D6" w:rsidRPr="00E65221" w:rsidRDefault="00C236D6" w:rsidP="006D26CC">
      <w:pPr>
        <w:pStyle w:val="Tekstpodstawowy21"/>
        <w:spacing w:after="0" w:line="360" w:lineRule="auto"/>
        <w:ind w:left="708"/>
        <w:rPr>
          <w:rFonts w:ascii="Book Antiqua" w:hAnsi="Book Antiqua"/>
          <w:b/>
          <w:color w:val="000000"/>
          <w:sz w:val="24"/>
          <w:szCs w:val="24"/>
          <w:lang w:val="en-US"/>
        </w:rPr>
      </w:pPr>
    </w:p>
    <w:p w:rsidR="00C236D6" w:rsidRPr="00E65221" w:rsidRDefault="00C236D6" w:rsidP="006D26CC">
      <w:pPr>
        <w:spacing w:line="360" w:lineRule="auto"/>
        <w:jc w:val="both"/>
        <w:rPr>
          <w:rFonts w:ascii="Book Antiqua" w:hAnsi="Book Antiqua"/>
          <w:color w:val="000000"/>
          <w:lang w:val="en-US"/>
        </w:rPr>
      </w:pPr>
      <w:r w:rsidRPr="00E65221">
        <w:rPr>
          <w:rFonts w:ascii="Book Antiqua" w:hAnsi="Book Antiqua"/>
          <w:b/>
          <w:color w:val="000000"/>
          <w:lang w:val="en-US"/>
        </w:rPr>
        <w:t xml:space="preserve">Correspondence to: Marek Waluga MD, PhD, </w:t>
      </w:r>
      <w:r w:rsidRPr="00E65221">
        <w:rPr>
          <w:rFonts w:ascii="Book Antiqua" w:hAnsi="Book Antiqua"/>
          <w:color w:val="000000"/>
          <w:lang w:val="en-US"/>
        </w:rPr>
        <w:t>Department of Gastroenterology and Hepatology, Medical University of Silesia, ul. Medyków 14, 40-752</w:t>
      </w:r>
      <w:r w:rsidRPr="00E65221">
        <w:rPr>
          <w:rFonts w:ascii="Book Antiqua" w:hAnsi="Book Antiqua"/>
          <w:color w:val="000000"/>
          <w:lang w:val="en-US" w:eastAsia="zh-CN"/>
        </w:rPr>
        <w:t xml:space="preserve"> </w:t>
      </w:r>
      <w:r w:rsidRPr="00E65221">
        <w:rPr>
          <w:rFonts w:ascii="Book Antiqua" w:hAnsi="Book Antiqua"/>
          <w:color w:val="000000"/>
          <w:lang w:val="en-US"/>
        </w:rPr>
        <w:t>Katowice, Poland. mwaluga@sum.edu.pl</w:t>
      </w:r>
    </w:p>
    <w:p w:rsidR="00C236D6" w:rsidRPr="00E65221" w:rsidRDefault="00C236D6" w:rsidP="006D26CC">
      <w:pPr>
        <w:spacing w:line="360" w:lineRule="auto"/>
        <w:jc w:val="both"/>
        <w:rPr>
          <w:rFonts w:ascii="Book Antiqua" w:hAnsi="Book Antiqua"/>
          <w:color w:val="000000"/>
          <w:lang w:val="en-US"/>
        </w:rPr>
      </w:pPr>
    </w:p>
    <w:p w:rsidR="00C236D6" w:rsidRPr="00E65221" w:rsidRDefault="00C236D6" w:rsidP="006D26CC">
      <w:pPr>
        <w:spacing w:line="360" w:lineRule="auto"/>
        <w:jc w:val="both"/>
        <w:rPr>
          <w:rFonts w:ascii="Book Antiqua" w:hAnsi="Book Antiqua"/>
          <w:color w:val="000000"/>
          <w:lang w:val="en-US" w:eastAsia="zh-CN"/>
        </w:rPr>
      </w:pPr>
      <w:r w:rsidRPr="00E65221">
        <w:rPr>
          <w:rFonts w:ascii="Book Antiqua" w:hAnsi="Book Antiqua"/>
          <w:b/>
          <w:color w:val="000000"/>
          <w:lang w:val="en-US"/>
        </w:rPr>
        <w:lastRenderedPageBreak/>
        <w:t>Telephone:</w:t>
      </w:r>
      <w:r w:rsidRPr="00E65221">
        <w:rPr>
          <w:rFonts w:ascii="Book Antiqua" w:hAnsi="Book Antiqua"/>
          <w:color w:val="000000"/>
          <w:lang w:val="en-US"/>
        </w:rPr>
        <w:t xml:space="preserve"> +48-32-7894401 </w:t>
      </w:r>
      <w:r w:rsidRPr="00E65221">
        <w:rPr>
          <w:rFonts w:ascii="Book Antiqua" w:hAnsi="Book Antiqua"/>
          <w:b/>
          <w:color w:val="000000"/>
          <w:lang w:val="en-US"/>
        </w:rPr>
        <w:t xml:space="preserve">Fax: </w:t>
      </w:r>
      <w:r w:rsidRPr="00E65221">
        <w:rPr>
          <w:rFonts w:ascii="Book Antiqua" w:hAnsi="Book Antiqua"/>
          <w:color w:val="000000"/>
          <w:lang w:val="en-US"/>
        </w:rPr>
        <w:t>+48-32-7894402</w:t>
      </w:r>
    </w:p>
    <w:p w:rsidR="00C236D6" w:rsidRPr="00E65221" w:rsidRDefault="00C236D6" w:rsidP="006D26CC">
      <w:pPr>
        <w:spacing w:line="360" w:lineRule="auto"/>
        <w:jc w:val="both"/>
        <w:rPr>
          <w:rFonts w:ascii="Book Antiqua" w:hAnsi="Book Antiqua"/>
          <w:b/>
          <w:color w:val="000000"/>
          <w:lang w:val="en-US" w:eastAsia="zh-CN"/>
        </w:rPr>
      </w:pPr>
      <w:r w:rsidRPr="00E65221">
        <w:rPr>
          <w:rFonts w:ascii="Book Antiqua" w:hAnsi="Book Antiqua"/>
          <w:b/>
          <w:color w:val="000000"/>
          <w:lang w:val="en-US"/>
        </w:rPr>
        <w:t xml:space="preserve">Received: </w:t>
      </w:r>
      <w:r w:rsidRPr="00E65221">
        <w:rPr>
          <w:rFonts w:ascii="Book Antiqua" w:hAnsi="Book Antiqua"/>
          <w:color w:val="000000"/>
        </w:rPr>
        <w:t>December</w:t>
      </w:r>
      <w:r w:rsidRPr="00E65221">
        <w:rPr>
          <w:rFonts w:ascii="Book Antiqua" w:hAnsi="Book Antiqua"/>
          <w:b/>
          <w:color w:val="000000"/>
          <w:lang w:val="en-US"/>
        </w:rPr>
        <w:t xml:space="preserve"> </w:t>
      </w:r>
      <w:r w:rsidRPr="00E65221">
        <w:rPr>
          <w:rFonts w:ascii="Book Antiqua" w:hAnsi="Book Antiqua"/>
          <w:color w:val="000000"/>
          <w:lang w:val="en-US" w:eastAsia="zh-CN"/>
        </w:rPr>
        <w:t>12, 2013</w:t>
      </w:r>
      <w:r w:rsidRPr="00E65221">
        <w:rPr>
          <w:rFonts w:ascii="Book Antiqua" w:hAnsi="Book Antiqua"/>
          <w:b/>
          <w:color w:val="000000"/>
          <w:lang w:val="en-US" w:eastAsia="zh-CN"/>
        </w:rPr>
        <w:t xml:space="preserve"> </w:t>
      </w:r>
      <w:r w:rsidRPr="00E65221">
        <w:rPr>
          <w:rFonts w:ascii="Book Antiqua" w:hAnsi="Book Antiqua"/>
          <w:b/>
          <w:color w:val="000000"/>
          <w:lang w:val="en-US"/>
        </w:rPr>
        <w:t xml:space="preserve">Revised: </w:t>
      </w:r>
      <w:r w:rsidRPr="00E65221">
        <w:rPr>
          <w:rFonts w:ascii="Book Antiqua" w:hAnsi="Book Antiqua"/>
          <w:color w:val="000000"/>
        </w:rPr>
        <w:t>February</w:t>
      </w:r>
      <w:r w:rsidRPr="00E65221">
        <w:rPr>
          <w:rFonts w:ascii="Book Antiqua" w:hAnsi="Book Antiqua"/>
          <w:color w:val="000000"/>
          <w:lang w:eastAsia="zh-CN"/>
        </w:rPr>
        <w:t xml:space="preserve"> 18, 2014</w:t>
      </w:r>
    </w:p>
    <w:p w:rsidR="00061ED5" w:rsidRPr="004B3DED" w:rsidRDefault="00C236D6" w:rsidP="00061ED5">
      <w:pPr>
        <w:rPr>
          <w:rFonts w:ascii="Book Antiqua" w:hAnsi="Book Antiqua"/>
        </w:rPr>
      </w:pPr>
      <w:r w:rsidRPr="00E65221">
        <w:rPr>
          <w:rFonts w:ascii="Book Antiqua" w:hAnsi="Book Antiqua"/>
          <w:b/>
          <w:color w:val="000000"/>
          <w:lang w:val="en-US"/>
        </w:rPr>
        <w:t xml:space="preserve">Accepted: </w:t>
      </w:r>
      <w:bookmarkStart w:id="2" w:name="OLE_LINK1"/>
      <w:bookmarkStart w:id="3" w:name="OLE_LINK2"/>
      <w:r w:rsidR="00061ED5" w:rsidRPr="004B3DED">
        <w:rPr>
          <w:rFonts w:ascii="Book Antiqua" w:hAnsi="Book Antiqua"/>
        </w:rPr>
        <w:t>March 8, 2014</w:t>
      </w:r>
      <w:bookmarkEnd w:id="2"/>
      <w:bookmarkEnd w:id="3"/>
    </w:p>
    <w:p w:rsidR="00C236D6" w:rsidRPr="00E65221" w:rsidRDefault="00C236D6" w:rsidP="006D26CC">
      <w:pPr>
        <w:spacing w:line="360" w:lineRule="auto"/>
        <w:jc w:val="both"/>
        <w:rPr>
          <w:rFonts w:ascii="Book Antiqua" w:hAnsi="Book Antiqua"/>
          <w:b/>
          <w:color w:val="000000"/>
          <w:lang w:val="en-US" w:eastAsia="zh-CN"/>
        </w:rPr>
      </w:pPr>
      <w:bookmarkStart w:id="4" w:name="_GoBack"/>
      <w:bookmarkEnd w:id="4"/>
    </w:p>
    <w:p w:rsidR="00C236D6" w:rsidRPr="00E65221" w:rsidRDefault="00C236D6" w:rsidP="006D26CC">
      <w:pPr>
        <w:spacing w:line="360" w:lineRule="auto"/>
        <w:jc w:val="both"/>
        <w:rPr>
          <w:rFonts w:ascii="Book Antiqua" w:hAnsi="Book Antiqua"/>
          <w:b/>
          <w:color w:val="000000"/>
          <w:lang w:val="en-US"/>
        </w:rPr>
      </w:pPr>
      <w:r w:rsidRPr="00E65221">
        <w:rPr>
          <w:rFonts w:ascii="Book Antiqua" w:hAnsi="Book Antiqua"/>
          <w:b/>
          <w:color w:val="000000"/>
          <w:lang w:val="en-US"/>
        </w:rPr>
        <w:t>Published online:</w:t>
      </w:r>
    </w:p>
    <w:p w:rsidR="00C236D6" w:rsidRPr="00E65221" w:rsidRDefault="00C236D6" w:rsidP="006D26CC">
      <w:pPr>
        <w:spacing w:line="360" w:lineRule="auto"/>
        <w:contextualSpacing/>
        <w:jc w:val="both"/>
        <w:rPr>
          <w:rFonts w:ascii="Book Antiqua" w:hAnsi="Book Antiqua"/>
          <w:b/>
          <w:color w:val="000000"/>
          <w:lang w:val="en-US" w:eastAsia="zh-CN"/>
        </w:rPr>
      </w:pPr>
    </w:p>
    <w:p w:rsidR="00C236D6" w:rsidRPr="00E65221" w:rsidRDefault="00C236D6" w:rsidP="006D26CC">
      <w:pPr>
        <w:spacing w:line="360" w:lineRule="auto"/>
        <w:contextualSpacing/>
        <w:jc w:val="both"/>
        <w:rPr>
          <w:rFonts w:ascii="Book Antiqua" w:hAnsi="Book Antiqua"/>
          <w:b/>
          <w:color w:val="000000"/>
          <w:lang w:val="en-US"/>
        </w:rPr>
      </w:pPr>
      <w:r w:rsidRPr="00E65221">
        <w:rPr>
          <w:rFonts w:ascii="Book Antiqua" w:hAnsi="Book Antiqua"/>
          <w:b/>
          <w:color w:val="000000"/>
          <w:lang w:val="en-US"/>
        </w:rPr>
        <w:t>Abstract</w:t>
      </w: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b/>
          <w:color w:val="000000"/>
          <w:lang w:val="en-US"/>
        </w:rPr>
        <w:t>AIM:</w:t>
      </w:r>
      <w:r w:rsidRPr="00E65221">
        <w:rPr>
          <w:rFonts w:ascii="Book Antiqua" w:hAnsi="Book Antiqua"/>
          <w:color w:val="000000"/>
          <w:lang w:val="en-US"/>
        </w:rPr>
        <w:t xml:space="preserve"> To investigate serum adipokine levels in inflammatory bowel disease (IBD) patients before treatment and after achieving clinical remission. </w:t>
      </w:r>
    </w:p>
    <w:p w:rsidR="00C236D6" w:rsidRPr="00E65221" w:rsidRDefault="00C236D6" w:rsidP="006D26CC">
      <w:pPr>
        <w:spacing w:line="360" w:lineRule="auto"/>
        <w:contextualSpacing/>
        <w:jc w:val="both"/>
        <w:rPr>
          <w:rFonts w:ascii="Book Antiqua" w:hAnsi="Book Antiqua"/>
          <w:b/>
          <w:color w:val="000000"/>
          <w:lang w:val="en-US"/>
        </w:rPr>
      </w:pP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b/>
          <w:color w:val="000000"/>
          <w:lang w:val="en-US"/>
        </w:rPr>
        <w:t>METHODS:</w:t>
      </w:r>
      <w:r w:rsidRPr="00E65221">
        <w:rPr>
          <w:rFonts w:ascii="Book Antiqua" w:hAnsi="Book Antiqua"/>
          <w:color w:val="000000"/>
          <w:lang w:val="en-US"/>
        </w:rPr>
        <w:t xml:space="preserve"> Serum concentrations of six adipokines (tissue growth factor-</w:t>
      </w:r>
      <w:r w:rsidRPr="00E65221">
        <w:rPr>
          <w:rFonts w:ascii="Book Antiqua" w:hAnsi="Book Antiqua"/>
          <w:color w:val="000000"/>
          <w:lang w:val="en-US"/>
        </w:rPr>
        <w:sym w:font="Symbol" w:char="F062"/>
      </w:r>
      <w:r w:rsidRPr="00E65221">
        <w:rPr>
          <w:rFonts w:ascii="Book Antiqua" w:hAnsi="Book Antiqua"/>
          <w:color w:val="000000"/>
          <w:lang w:val="en-US"/>
        </w:rPr>
        <w:t xml:space="preserve">1, adiponectin, leptin, chemerin, resistin, and visfatin) were studied in 40 subjects with active IBD [24 subjects with Crohn’s disease </w:t>
      </w:r>
      <w:r w:rsidRPr="00E65221">
        <w:rPr>
          <w:rFonts w:ascii="Book Antiqua" w:hAnsi="Book Antiqua"/>
          <w:color w:val="000000"/>
          <w:lang w:val="en-US" w:eastAsia="zh-CN"/>
        </w:rPr>
        <w:t>(</w:t>
      </w:r>
      <w:r w:rsidRPr="00E65221">
        <w:rPr>
          <w:rFonts w:ascii="Book Antiqua" w:hAnsi="Book Antiqua"/>
          <w:color w:val="000000"/>
          <w:lang w:val="en-US"/>
        </w:rPr>
        <w:t>CD</w:t>
      </w:r>
      <w:r w:rsidRPr="00E65221">
        <w:rPr>
          <w:rFonts w:ascii="Book Antiqua" w:hAnsi="Book Antiqua"/>
          <w:color w:val="000000"/>
          <w:lang w:val="en-US" w:eastAsia="zh-CN"/>
        </w:rPr>
        <w:t>)</w:t>
      </w:r>
      <w:r w:rsidRPr="00E65221">
        <w:rPr>
          <w:rFonts w:ascii="Book Antiqua" w:hAnsi="Book Antiqua"/>
          <w:color w:val="000000"/>
          <w:lang w:val="en-US"/>
        </w:rPr>
        <w:t xml:space="preserve"> and in 16 subjects with ulcerative colitis (UC)] before and after three months of therapy with corticosteroids and/or azathioprine. Clinical diagnoses were based on ileocolonoscopy, computed tomography or magnetic resonance enterography and histological examination of mucosal biopsies sampled during endoscopy. Serum levels of adipokines were assessed by an indirect enzyme-linked immunosorbent assay. The control group was comprised of 16 age- and sex-matched healthy volunteers. </w:t>
      </w:r>
    </w:p>
    <w:p w:rsidR="00C236D6" w:rsidRPr="00E65221" w:rsidRDefault="00C236D6" w:rsidP="006D26CC">
      <w:pPr>
        <w:spacing w:line="360" w:lineRule="auto"/>
        <w:contextualSpacing/>
        <w:jc w:val="both"/>
        <w:rPr>
          <w:rFonts w:ascii="Book Antiqua" w:hAnsi="Book Antiqua"/>
          <w:b/>
          <w:bCs/>
          <w:color w:val="000000"/>
          <w:lang w:val="en-US"/>
        </w:rPr>
      </w:pP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b/>
          <w:bCs/>
          <w:color w:val="000000"/>
          <w:lang w:val="en-US"/>
        </w:rPr>
        <w:t>RESULTS:</w:t>
      </w:r>
      <w:r w:rsidRPr="00E65221">
        <w:rPr>
          <w:rFonts w:ascii="Book Antiqua" w:hAnsi="Book Antiqua"/>
          <w:color w:val="000000"/>
          <w:lang w:val="en-US"/>
        </w:rPr>
        <w:t xml:space="preserve"> Baseline leptin concentrations were significantly decreased in both types of IBD compared to controls (8.0 ± 9.1 in CD and 8.6 ± 6.3 in UC </w:t>
      </w:r>
      <w:r w:rsidRPr="00E65221">
        <w:rPr>
          <w:rFonts w:ascii="Book Antiqua" w:hAnsi="Book Antiqua"/>
          <w:i/>
          <w:color w:val="000000"/>
          <w:lang w:val="en-US"/>
        </w:rPr>
        <w:t>vs</w:t>
      </w:r>
      <w:r w:rsidRPr="00E65221">
        <w:rPr>
          <w:rFonts w:ascii="Book Antiqua" w:hAnsi="Book Antiqua"/>
          <w:color w:val="000000"/>
          <w:lang w:val="en-US"/>
        </w:rPr>
        <w:t xml:space="preserve"> 16.5 ± 10.1 ng/mL in controls; </w:t>
      </w:r>
      <w:r w:rsidRPr="00E65221">
        <w:rPr>
          <w:rFonts w:ascii="Book Antiqua" w:hAnsi="Book Antiqua"/>
          <w:i/>
          <w:color w:val="000000"/>
          <w:lang w:val="en-US"/>
        </w:rPr>
        <w:t xml:space="preserve">P &lt; </w:t>
      </w:r>
      <w:r w:rsidRPr="00E65221">
        <w:rPr>
          <w:rFonts w:ascii="Book Antiqua" w:hAnsi="Book Antiqua"/>
          <w:color w:val="000000"/>
          <w:lang w:val="en-US"/>
        </w:rPr>
        <w:t xml:space="preserve">0.05), and significantly increased after treatment only in subjects with CD (14.9 ± 15.1 ng/mL;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Baseline serum resistin concentrations were significantly higher in CD (19.3 ± 12.5 ng/mL;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and UC subjects (23.2 ± 11.0 ng/mL;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than in healthy controls (10.7 ± 1.1 ng/mL). Treatment induced a decrease in the serum resistin concentration only in UC subjects (14.5 ± 4.0 ng/mL;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Baseline serum concentrations of visfatin were significantly higher in subjects with CD (23.2 ± 3.2 ng/mL;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and UC (18.8 ± 5.3 ng/mL;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than in healthy controls (14.1 ± 5.3 ng/mL). Treatment induced a decrease in the serum visfatin concentrations only in CD subjects (20.4 ± 4.8 ng/mL; </w:t>
      </w:r>
      <w:r w:rsidRPr="00E65221">
        <w:rPr>
          <w:rFonts w:ascii="Book Antiqua" w:hAnsi="Book Antiqua"/>
          <w:i/>
          <w:color w:val="000000"/>
          <w:lang w:val="en-US"/>
        </w:rPr>
        <w:t xml:space="preserve">P </w:t>
      </w:r>
      <w:r w:rsidRPr="00E65221">
        <w:rPr>
          <w:rFonts w:ascii="Book Antiqua" w:hAnsi="Book Antiqua"/>
          <w:color w:val="000000"/>
          <w:lang w:val="en-US"/>
        </w:rPr>
        <w:t>&lt; 0.05). Serum levels of adiponectin, chemerin and tissue growth factor-</w:t>
      </w:r>
      <w:r w:rsidRPr="00E65221">
        <w:rPr>
          <w:rFonts w:ascii="Book Antiqua" w:hAnsi="Book Antiqua"/>
          <w:color w:val="000000"/>
          <w:lang w:val="en-US"/>
        </w:rPr>
        <w:sym w:font="Symbol" w:char="F062"/>
      </w:r>
      <w:r w:rsidRPr="00E65221">
        <w:rPr>
          <w:rFonts w:ascii="Book Antiqua" w:hAnsi="Book Antiqua"/>
          <w:color w:val="000000"/>
          <w:lang w:val="en-US"/>
        </w:rPr>
        <w:t xml:space="preserve">1 did not differ between CD and </w:t>
      </w:r>
      <w:r w:rsidRPr="00E65221">
        <w:rPr>
          <w:rFonts w:ascii="Book Antiqua" w:hAnsi="Book Antiqua"/>
          <w:color w:val="000000"/>
          <w:lang w:val="en-US"/>
        </w:rPr>
        <w:lastRenderedPageBreak/>
        <w:t xml:space="preserve">UC subjects compared to healthy controls and also were not altered by anti-inflammatory therapy. Clinical indices of IBD activity did not correlate with adipokine levels. </w:t>
      </w:r>
    </w:p>
    <w:p w:rsidR="00C236D6" w:rsidRPr="00E65221" w:rsidRDefault="00C236D6" w:rsidP="006D26CC">
      <w:pPr>
        <w:spacing w:line="360" w:lineRule="auto"/>
        <w:contextualSpacing/>
        <w:jc w:val="both"/>
        <w:rPr>
          <w:rFonts w:ascii="Book Antiqua" w:hAnsi="Book Antiqua"/>
          <w:b/>
          <w:bCs/>
          <w:color w:val="000000"/>
          <w:lang w:val="en-US"/>
        </w:rPr>
      </w:pP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b/>
          <w:bCs/>
          <w:color w:val="000000"/>
          <w:lang w:val="en-US"/>
        </w:rPr>
        <w:t>CONCLUSION:</w:t>
      </w:r>
      <w:r w:rsidRPr="00E65221">
        <w:rPr>
          <w:rFonts w:ascii="Book Antiqua" w:hAnsi="Book Antiqua"/>
          <w:color w:val="000000"/>
          <w:lang w:val="en-US"/>
        </w:rPr>
        <w:t xml:space="preserve"> IBD modulates serum adipokine levels by increasing resistin and visfatin release and suppressing leptin production. </w:t>
      </w:r>
    </w:p>
    <w:p w:rsidR="00C236D6" w:rsidRPr="00E65221" w:rsidRDefault="00C236D6" w:rsidP="006D26CC">
      <w:pPr>
        <w:spacing w:line="360" w:lineRule="auto"/>
        <w:contextualSpacing/>
        <w:jc w:val="both"/>
        <w:rPr>
          <w:rFonts w:ascii="Book Antiqua" w:hAnsi="Book Antiqua"/>
          <w:color w:val="000000"/>
          <w:lang w:val="en-US"/>
        </w:rPr>
      </w:pPr>
    </w:p>
    <w:p w:rsidR="00C236D6" w:rsidRPr="00E65221" w:rsidRDefault="00C236D6" w:rsidP="006440E6">
      <w:pPr>
        <w:rPr>
          <w:rFonts w:ascii="Book Antiqua" w:hAnsi="Book Antiqua" w:cs="宋体"/>
          <w:color w:val="000000"/>
        </w:rPr>
      </w:pPr>
      <w:r w:rsidRPr="00E65221">
        <w:rPr>
          <w:rFonts w:ascii="Book Antiqua" w:hAnsi="Book Antiqua" w:cs="Tahoma"/>
          <w:color w:val="000000"/>
          <w:lang w:eastAsia="ja-JP"/>
        </w:rPr>
        <w:t>©</w:t>
      </w:r>
      <w:r w:rsidRPr="00E65221">
        <w:rPr>
          <w:rFonts w:ascii="Book Antiqua" w:hAnsi="Book Antiqua" w:cs="Tahoma"/>
          <w:color w:val="000000"/>
        </w:rPr>
        <w:t xml:space="preserve"> </w:t>
      </w:r>
      <w:r w:rsidRPr="00E65221">
        <w:rPr>
          <w:rFonts w:ascii="Book Antiqua" w:hAnsi="Book Antiqua" w:cs="宋体"/>
          <w:color w:val="000000"/>
        </w:rPr>
        <w:t>201</w:t>
      </w:r>
      <w:r w:rsidRPr="00E65221">
        <w:rPr>
          <w:rFonts w:ascii="Book Antiqua" w:eastAsia="Times New Roman" w:hAnsi="Book Antiqua" w:cs="宋体"/>
          <w:color w:val="000000"/>
        </w:rPr>
        <w:t>4</w:t>
      </w:r>
      <w:r w:rsidRPr="00E65221">
        <w:rPr>
          <w:rFonts w:ascii="Book Antiqua" w:hAnsi="Book Antiqua" w:cs="宋体"/>
          <w:color w:val="000000"/>
        </w:rPr>
        <w:t xml:space="preserve"> Baishideng Publishing Group Co., Limited. All rights reserved.</w:t>
      </w:r>
    </w:p>
    <w:p w:rsidR="00C236D6" w:rsidRPr="00E65221" w:rsidRDefault="00C236D6" w:rsidP="006D26CC">
      <w:pPr>
        <w:spacing w:line="360" w:lineRule="auto"/>
        <w:contextualSpacing/>
        <w:jc w:val="both"/>
        <w:rPr>
          <w:rFonts w:ascii="Book Antiqua" w:hAnsi="Book Antiqua"/>
          <w:b/>
          <w:color w:val="000000"/>
          <w:lang w:val="en-US"/>
        </w:rPr>
      </w:pP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b/>
          <w:color w:val="000000"/>
          <w:lang w:val="en-US"/>
        </w:rPr>
        <w:t xml:space="preserve">Key words: </w:t>
      </w:r>
      <w:r w:rsidRPr="00E65221">
        <w:rPr>
          <w:rFonts w:ascii="Book Antiqua" w:hAnsi="Book Antiqua"/>
          <w:color w:val="000000"/>
          <w:lang w:val="en-US"/>
        </w:rPr>
        <w:t>Adipokines;</w:t>
      </w:r>
      <w:r w:rsidRPr="00E65221">
        <w:rPr>
          <w:rFonts w:ascii="Book Antiqua" w:hAnsi="Book Antiqua"/>
          <w:b/>
          <w:color w:val="000000"/>
          <w:lang w:val="en-US"/>
        </w:rPr>
        <w:t xml:space="preserve"> </w:t>
      </w:r>
      <w:r w:rsidRPr="00E65221">
        <w:rPr>
          <w:rFonts w:ascii="Book Antiqua" w:hAnsi="Book Antiqua"/>
          <w:caps/>
          <w:color w:val="000000"/>
          <w:lang w:val="en-US"/>
        </w:rPr>
        <w:t>t</w:t>
      </w:r>
      <w:r w:rsidRPr="00E65221">
        <w:rPr>
          <w:rFonts w:ascii="Book Antiqua" w:hAnsi="Book Antiqua"/>
          <w:color w:val="000000"/>
          <w:lang w:val="en-US"/>
        </w:rPr>
        <w:t>umor growth factor-</w:t>
      </w:r>
      <w:r w:rsidRPr="00E65221">
        <w:rPr>
          <w:rFonts w:ascii="Book Antiqua" w:hAnsi="Book Antiqua"/>
          <w:color w:val="000000"/>
          <w:lang w:val="en-US"/>
        </w:rPr>
        <w:sym w:font="Symbol" w:char="F062"/>
      </w:r>
      <w:r w:rsidRPr="00E65221">
        <w:rPr>
          <w:rFonts w:ascii="Book Antiqua" w:hAnsi="Book Antiqua"/>
          <w:color w:val="000000"/>
          <w:lang w:val="en-US"/>
        </w:rPr>
        <w:t>1; Crohn’s disease; Ulcerative colitis; Inflammatory bowel disease</w:t>
      </w:r>
    </w:p>
    <w:p w:rsidR="00C236D6" w:rsidRPr="00E65221" w:rsidRDefault="00C236D6" w:rsidP="006D26CC">
      <w:pPr>
        <w:spacing w:line="360" w:lineRule="auto"/>
        <w:contextualSpacing/>
        <w:jc w:val="both"/>
        <w:rPr>
          <w:rFonts w:ascii="Book Antiqua" w:hAnsi="Book Antiqua"/>
          <w:b/>
          <w:color w:val="000000"/>
          <w:lang w:val="en-US"/>
        </w:rPr>
      </w:pP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b/>
          <w:color w:val="000000"/>
          <w:lang w:val="en-US"/>
        </w:rPr>
        <w:t>Core tip:</w:t>
      </w:r>
      <w:r w:rsidRPr="00E65221">
        <w:rPr>
          <w:rFonts w:ascii="Book Antiqua" w:hAnsi="Book Antiqua"/>
          <w:color w:val="000000"/>
          <w:lang w:val="en-US"/>
        </w:rPr>
        <w:t xml:space="preserve"> Recently, many adipokines with varying metabolic effects have been discovered. A bidirectional interaction between inflammation of the gut and visceral fat may exist in cases of inflammatory bowel disease (IBD). In this work, plasma levels of selected adipokines were studied in subjects with Crohn’s disease and ulcerative colitis before treatment and after achieving clinical remission. The results of this study indicate that IBD modulates serum adipokine levels by stimulating resistin and visfatin release and suppressing leptin production. </w:t>
      </w:r>
    </w:p>
    <w:p w:rsidR="00C236D6" w:rsidRPr="00E65221" w:rsidRDefault="00C236D6" w:rsidP="006D26CC">
      <w:pPr>
        <w:spacing w:line="360" w:lineRule="auto"/>
        <w:contextualSpacing/>
        <w:jc w:val="both"/>
        <w:rPr>
          <w:rFonts w:ascii="Book Antiqua" w:hAnsi="Book Antiqua"/>
          <w:b/>
          <w:color w:val="000000"/>
          <w:lang w:val="en-US"/>
        </w:rPr>
      </w:pPr>
    </w:p>
    <w:p w:rsidR="00C236D6" w:rsidRPr="00E65221" w:rsidRDefault="00C236D6" w:rsidP="006D26CC">
      <w:pPr>
        <w:spacing w:line="360" w:lineRule="auto"/>
        <w:jc w:val="both"/>
        <w:rPr>
          <w:rFonts w:ascii="Book Antiqua" w:hAnsi="Book Antiqua"/>
          <w:color w:val="000000"/>
          <w:lang w:val="en-US" w:eastAsia="zh-CN"/>
        </w:rPr>
      </w:pPr>
      <w:r w:rsidRPr="00E65221">
        <w:rPr>
          <w:rFonts w:ascii="Book Antiqua" w:hAnsi="Book Antiqua"/>
          <w:color w:val="000000"/>
        </w:rPr>
        <w:t xml:space="preserve">Waluga M, Hartleb M, Boryczka G, Kukla M, Żwirska-Korczala K. </w:t>
      </w:r>
      <w:r w:rsidRPr="00E65221">
        <w:rPr>
          <w:rFonts w:ascii="Book Antiqua" w:hAnsi="Book Antiqua"/>
          <w:color w:val="000000"/>
          <w:lang w:val="en-US"/>
        </w:rPr>
        <w:t xml:space="preserve">Serum adipokines in inflammatory bowel disease. </w:t>
      </w:r>
    </w:p>
    <w:p w:rsidR="00C236D6" w:rsidRPr="00E65221" w:rsidRDefault="00C236D6" w:rsidP="006D26CC">
      <w:pPr>
        <w:pStyle w:val="p0"/>
        <w:adjustRightInd w:val="0"/>
        <w:snapToGrid w:val="0"/>
        <w:spacing w:line="360" w:lineRule="auto"/>
        <w:jc w:val="both"/>
        <w:rPr>
          <w:rFonts w:ascii="Book Antiqua" w:hAnsi="Book Antiqua"/>
          <w:color w:val="000000"/>
          <w:sz w:val="24"/>
          <w:szCs w:val="24"/>
        </w:rPr>
      </w:pPr>
      <w:r w:rsidRPr="00E65221">
        <w:rPr>
          <w:rFonts w:ascii="Book Antiqua" w:hAnsi="Book Antiqua"/>
          <w:b/>
          <w:bCs/>
          <w:color w:val="000000"/>
          <w:sz w:val="24"/>
          <w:szCs w:val="24"/>
        </w:rPr>
        <w:t xml:space="preserve">Available from: </w:t>
      </w:r>
    </w:p>
    <w:p w:rsidR="00C236D6" w:rsidRPr="00E65221" w:rsidRDefault="00C236D6" w:rsidP="006D26CC">
      <w:pPr>
        <w:pStyle w:val="p0"/>
        <w:adjustRightInd w:val="0"/>
        <w:snapToGrid w:val="0"/>
        <w:spacing w:line="360" w:lineRule="auto"/>
        <w:jc w:val="both"/>
        <w:rPr>
          <w:rFonts w:ascii="Book Antiqua" w:hAnsi="Book Antiqua"/>
          <w:color w:val="000000"/>
          <w:kern w:val="2"/>
          <w:sz w:val="24"/>
          <w:szCs w:val="24"/>
        </w:rPr>
      </w:pPr>
      <w:r w:rsidRPr="00E65221">
        <w:rPr>
          <w:rFonts w:ascii="Book Antiqua" w:hAnsi="Book Antiqua"/>
          <w:b/>
          <w:color w:val="000000"/>
          <w:kern w:val="2"/>
          <w:sz w:val="24"/>
          <w:szCs w:val="24"/>
        </w:rPr>
        <w:t>DOI:</w:t>
      </w:r>
    </w:p>
    <w:p w:rsidR="00C236D6" w:rsidRPr="00E65221" w:rsidRDefault="00C236D6" w:rsidP="006D26CC">
      <w:pPr>
        <w:spacing w:line="360" w:lineRule="auto"/>
        <w:contextualSpacing/>
        <w:jc w:val="both"/>
        <w:rPr>
          <w:rFonts w:ascii="Book Antiqua" w:hAnsi="Book Antiqua"/>
          <w:b/>
          <w:color w:val="000000"/>
          <w:lang w:val="en-US"/>
        </w:rPr>
      </w:pPr>
    </w:p>
    <w:p w:rsidR="00C236D6" w:rsidRPr="00E65221" w:rsidRDefault="00C236D6" w:rsidP="006D26CC">
      <w:pPr>
        <w:spacing w:line="360" w:lineRule="auto"/>
        <w:contextualSpacing/>
        <w:jc w:val="both"/>
        <w:rPr>
          <w:rFonts w:ascii="Book Antiqua" w:hAnsi="Book Antiqua"/>
          <w:b/>
          <w:color w:val="000000"/>
          <w:lang w:val="en-US"/>
        </w:rPr>
      </w:pPr>
      <w:r w:rsidRPr="00E65221">
        <w:rPr>
          <w:rFonts w:ascii="Book Antiqua" w:hAnsi="Book Antiqua"/>
          <w:b/>
          <w:color w:val="000000"/>
          <w:lang w:val="en-US"/>
        </w:rPr>
        <w:t>INTRODUCTION</w:t>
      </w: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color w:val="000000"/>
          <w:lang w:val="en-US"/>
        </w:rPr>
        <w:t xml:space="preserve">Inflammatory bowel diseases (IBDs) such as Crohn’s disease (CD) and ulcerative colitis (UC) are severe and difficult to treat diseases of the digestive tract. Despite considerable progress in the field, the pathophysiology of IBD remains unclear, while its prevalence continues to rise. The most important determinant of the clinical course of IBD is the balance, levels, and ratios of proinflammatory, anti-inflammatory, and immunomodulating factors. </w:t>
      </w:r>
    </w:p>
    <w:p w:rsidR="00C236D6" w:rsidRPr="00E65221" w:rsidRDefault="00C236D6" w:rsidP="006D26CC">
      <w:pPr>
        <w:spacing w:line="360" w:lineRule="auto"/>
        <w:ind w:firstLine="420"/>
        <w:contextualSpacing/>
        <w:jc w:val="both"/>
        <w:rPr>
          <w:rFonts w:ascii="Book Antiqua" w:hAnsi="Book Antiqua"/>
          <w:color w:val="000000"/>
          <w:lang w:val="en-US"/>
        </w:rPr>
      </w:pPr>
      <w:r w:rsidRPr="00E65221">
        <w:rPr>
          <w:rFonts w:ascii="Book Antiqua" w:hAnsi="Book Antiqua"/>
          <w:color w:val="000000"/>
          <w:lang w:val="en-US"/>
        </w:rPr>
        <w:lastRenderedPageBreak/>
        <w:t>Inflammatory reactions localized in the bowel wall may penetrate the surrounding visceral adipose tissue. Imaging methods provide evidence for hypertrophy of the mesenteric adipose tissue in patients with CD</w:t>
      </w:r>
      <w:r w:rsidRPr="00E65221">
        <w:rPr>
          <w:rFonts w:ascii="Book Antiqua" w:hAnsi="Book Antiqua"/>
          <w:color w:val="000000"/>
          <w:vertAlign w:val="superscript"/>
          <w:lang w:val="en-US"/>
        </w:rPr>
        <w:t>[1-3]</w:t>
      </w:r>
      <w:r w:rsidRPr="00E65221">
        <w:rPr>
          <w:rFonts w:ascii="Book Antiqua" w:hAnsi="Book Antiqua"/>
          <w:color w:val="000000"/>
          <w:lang w:val="en-US"/>
        </w:rPr>
        <w:t>. Moreover, submucosal fat deposition (fat halo sign) in the bowel is observed in both CD and UC patients</w:t>
      </w:r>
      <w:r w:rsidRPr="00E65221">
        <w:rPr>
          <w:rFonts w:ascii="Book Antiqua" w:hAnsi="Book Antiqua"/>
          <w:color w:val="000000"/>
          <w:vertAlign w:val="superscript"/>
          <w:lang w:val="en-US"/>
        </w:rPr>
        <w:t>[4]</w:t>
      </w:r>
      <w:r w:rsidRPr="00E65221">
        <w:rPr>
          <w:rFonts w:ascii="Book Antiqua" w:hAnsi="Book Antiqua"/>
          <w:color w:val="000000"/>
          <w:lang w:val="en-US"/>
        </w:rPr>
        <w:t xml:space="preserve">. The anatomic proximity of the bowel and visceral fat favors the activation of adipocytes. Visceral adipose tissue is not only an energy storage site, but is also an active endocrine organ. Activated visceral adipocytes secrete many mediators, cytokines and adipokines, such as leptin, adiponectin, resistin, chemerin, and visfatin. Adipokines influence the immunologic system of the gastrointestinal tract, in some cases worsening IBD by amplifying inflammation </w:t>
      </w:r>
      <w:r w:rsidRPr="00E65221">
        <w:rPr>
          <w:rFonts w:ascii="Book Antiqua" w:hAnsi="Book Antiqua"/>
          <w:i/>
          <w:color w:val="000000"/>
          <w:lang w:val="en-US"/>
        </w:rPr>
        <w:t>via</w:t>
      </w:r>
      <w:r w:rsidRPr="00E65221">
        <w:rPr>
          <w:rFonts w:ascii="Book Antiqua" w:hAnsi="Book Antiqua"/>
          <w:color w:val="000000"/>
          <w:lang w:val="en-US"/>
        </w:rPr>
        <w:t xml:space="preserve"> the secretion of proinflammatory interleukins, tumor necrosis factor alpha (TNF-</w:t>
      </w:r>
      <w:r w:rsidRPr="00E65221">
        <w:rPr>
          <w:rFonts w:ascii="Book Antiqua" w:hAnsi="Book Antiqua"/>
          <w:color w:val="000000"/>
          <w:lang w:val="en-US"/>
        </w:rPr>
        <w:sym w:font="Symbol" w:char="F061"/>
      </w:r>
      <w:r w:rsidRPr="00E65221">
        <w:rPr>
          <w:rFonts w:ascii="Book Antiqua" w:hAnsi="Book Antiqua"/>
          <w:color w:val="000000"/>
          <w:lang w:val="en-US"/>
        </w:rPr>
        <w:t>) and adhesion factors. Visfatin is an example of an adipokine that increases the epithelial expression of TNF-</w:t>
      </w:r>
      <w:r w:rsidRPr="00E65221">
        <w:rPr>
          <w:rFonts w:ascii="Book Antiqua" w:hAnsi="Book Antiqua"/>
          <w:color w:val="000000"/>
          <w:lang w:val="en-US"/>
        </w:rPr>
        <w:sym w:font="Symbol" w:char="F061"/>
      </w:r>
      <w:r w:rsidRPr="00E65221">
        <w:rPr>
          <w:rFonts w:ascii="Book Antiqua" w:hAnsi="Book Antiqua"/>
          <w:color w:val="000000"/>
          <w:lang w:val="en-US"/>
        </w:rPr>
        <w:t>, interleukin (IL)-l</w:t>
      </w:r>
      <w:r w:rsidRPr="00E65221">
        <w:rPr>
          <w:color w:val="000000"/>
          <w:lang w:val="en-US"/>
        </w:rPr>
        <w:t></w:t>
      </w:r>
      <w:r w:rsidRPr="00E65221">
        <w:rPr>
          <w:rFonts w:ascii="Book Antiqua" w:hAnsi="Book Antiqua"/>
          <w:color w:val="000000"/>
          <w:lang w:val="en-US"/>
        </w:rPr>
        <w:t xml:space="preserve"> IL-6, and adhesion molecules</w:t>
      </w:r>
      <w:r w:rsidRPr="00E65221">
        <w:rPr>
          <w:rFonts w:ascii="Book Antiqua" w:hAnsi="Book Antiqua"/>
          <w:color w:val="000000"/>
          <w:vertAlign w:val="superscript"/>
          <w:lang w:val="en-US"/>
        </w:rPr>
        <w:t>[5,6]</w:t>
      </w:r>
      <w:r w:rsidRPr="00E65221">
        <w:rPr>
          <w:rFonts w:ascii="Book Antiqua" w:hAnsi="Book Antiqua"/>
          <w:color w:val="000000"/>
          <w:lang w:val="en-US"/>
        </w:rPr>
        <w:t>. Furthermore, the adipokines visfatin, chemerin, and resistin have increased tissue expression in many acute and chronic inflammatory diseases</w:t>
      </w:r>
      <w:r w:rsidRPr="00E65221">
        <w:rPr>
          <w:rFonts w:ascii="Book Antiqua" w:hAnsi="Book Antiqua"/>
          <w:color w:val="000000"/>
          <w:vertAlign w:val="superscript"/>
          <w:lang w:val="en-US"/>
        </w:rPr>
        <w:t>[6-9]</w:t>
      </w:r>
      <w:r w:rsidRPr="00E65221">
        <w:rPr>
          <w:rFonts w:ascii="Book Antiqua" w:hAnsi="Book Antiqua"/>
          <w:color w:val="000000"/>
          <w:lang w:val="en-US"/>
        </w:rPr>
        <w:t xml:space="preserve">. </w:t>
      </w:r>
    </w:p>
    <w:p w:rsidR="00C236D6" w:rsidRPr="00E65221" w:rsidRDefault="00C236D6" w:rsidP="006D26CC">
      <w:pPr>
        <w:spacing w:line="360" w:lineRule="auto"/>
        <w:ind w:firstLine="420"/>
        <w:contextualSpacing/>
        <w:jc w:val="both"/>
        <w:rPr>
          <w:rFonts w:ascii="Book Antiqua" w:hAnsi="Book Antiqua"/>
          <w:color w:val="000000"/>
          <w:lang w:val="en-US"/>
        </w:rPr>
      </w:pPr>
      <w:r w:rsidRPr="00E65221">
        <w:rPr>
          <w:rFonts w:ascii="Book Antiqua" w:hAnsi="Book Antiqua"/>
          <w:color w:val="000000"/>
          <w:lang w:val="en-US"/>
        </w:rPr>
        <w:t>The significance of adipokines for IBD pathophysiology is the subject of intensive research, as on one hand the adipokine levels might serve as an index of inflammatory activity and on the other hand, inhibition of specific adipokines could expand the spectrum of therapeutic interventions for this disease. The aim of the present study</w:t>
      </w:r>
      <w:r w:rsidRPr="00E65221">
        <w:rPr>
          <w:rFonts w:ascii="Book Antiqua" w:hAnsi="Book Antiqua"/>
          <w:b/>
          <w:color w:val="000000"/>
          <w:lang w:val="en-US"/>
        </w:rPr>
        <w:t xml:space="preserve"> </w:t>
      </w:r>
      <w:r w:rsidRPr="00E65221">
        <w:rPr>
          <w:rFonts w:ascii="Book Antiqua" w:hAnsi="Book Antiqua"/>
          <w:color w:val="000000"/>
          <w:lang w:val="en-US"/>
        </w:rPr>
        <w:t>was to determine the serum concentrations of tumor growth factor (TGF)-</w:t>
      </w:r>
      <w:r w:rsidRPr="00E65221">
        <w:rPr>
          <w:rFonts w:ascii="Book Antiqua" w:hAnsi="Book Antiqua"/>
          <w:color w:val="000000"/>
          <w:lang w:val="en-US"/>
        </w:rPr>
        <w:sym w:font="Symbol" w:char="F062"/>
      </w:r>
      <w:r w:rsidRPr="00E65221">
        <w:rPr>
          <w:rFonts w:ascii="Book Antiqua" w:hAnsi="Book Antiqua"/>
          <w:color w:val="000000"/>
          <w:lang w:val="en-US"/>
        </w:rPr>
        <w:t xml:space="preserve">1, adiponectin, leptin, chemerin, resistin, and visfatin in patients with active CD and UC in the pre-treatment stage and after three months of anti-inflammatory and/or immunosuppressive therapy. </w:t>
      </w:r>
    </w:p>
    <w:p w:rsidR="00C236D6" w:rsidRPr="00E65221" w:rsidRDefault="00C236D6" w:rsidP="006D26CC">
      <w:pPr>
        <w:spacing w:line="360" w:lineRule="auto"/>
        <w:contextualSpacing/>
        <w:jc w:val="both"/>
        <w:rPr>
          <w:rFonts w:ascii="Book Antiqua" w:hAnsi="Book Antiqua"/>
          <w:b/>
          <w:color w:val="000000"/>
          <w:lang w:val="en-US"/>
        </w:rPr>
      </w:pPr>
    </w:p>
    <w:p w:rsidR="00C236D6" w:rsidRPr="00E65221" w:rsidRDefault="00C236D6" w:rsidP="006D26CC">
      <w:pPr>
        <w:spacing w:line="360" w:lineRule="auto"/>
        <w:contextualSpacing/>
        <w:jc w:val="both"/>
        <w:rPr>
          <w:rFonts w:ascii="Book Antiqua" w:hAnsi="Book Antiqua"/>
          <w:b/>
          <w:color w:val="000000"/>
          <w:lang w:val="en-US"/>
        </w:rPr>
      </w:pPr>
      <w:r w:rsidRPr="00E65221">
        <w:rPr>
          <w:rFonts w:ascii="Book Antiqua" w:hAnsi="Book Antiqua"/>
          <w:b/>
          <w:color w:val="000000"/>
          <w:lang w:val="en-US"/>
        </w:rPr>
        <w:t>MATERIALS AND METHODS</w:t>
      </w:r>
    </w:p>
    <w:p w:rsidR="00C236D6" w:rsidRPr="00E65221" w:rsidRDefault="00C236D6" w:rsidP="006D26CC">
      <w:pPr>
        <w:spacing w:line="360" w:lineRule="auto"/>
        <w:contextualSpacing/>
        <w:jc w:val="both"/>
        <w:rPr>
          <w:rFonts w:ascii="Book Antiqua" w:hAnsi="Book Antiqua"/>
          <w:b/>
          <w:i/>
          <w:color w:val="000000"/>
          <w:lang w:val="en-US"/>
        </w:rPr>
      </w:pPr>
      <w:r w:rsidRPr="00E65221">
        <w:rPr>
          <w:rFonts w:ascii="Book Antiqua" w:hAnsi="Book Antiqua"/>
          <w:b/>
          <w:i/>
          <w:color w:val="000000"/>
          <w:lang w:val="en-US"/>
        </w:rPr>
        <w:t>Patients and study design</w:t>
      </w:r>
    </w:p>
    <w:p w:rsidR="00C236D6" w:rsidRPr="00E65221" w:rsidRDefault="00C236D6" w:rsidP="006D26CC">
      <w:pPr>
        <w:spacing w:line="360" w:lineRule="auto"/>
        <w:contextualSpacing/>
        <w:jc w:val="both"/>
        <w:rPr>
          <w:rFonts w:ascii="Book Antiqua" w:hAnsi="Book Antiqua"/>
          <w:color w:val="000000"/>
          <w:lang w:val="en-US"/>
        </w:rPr>
      </w:pPr>
      <w:r w:rsidRPr="00E65221">
        <w:rPr>
          <w:rFonts w:ascii="Book Antiqua" w:hAnsi="Book Antiqua"/>
          <w:color w:val="000000"/>
          <w:lang w:val="en-US"/>
        </w:rPr>
        <w:t xml:space="preserve">This work was carried out in accordance with the Declaration of Helsinki (2000) of the World Medical Association and was approved by the Ethics Committee of the Medical University of Silesia (resolution number KNW/0022/KB1/4/13). Subjects provided written informed consent before enrollment to the study. Individuals with clinically active IBD not treated with corticosteroids or azathioprine between the ages </w:t>
      </w:r>
      <w:r w:rsidRPr="00E65221">
        <w:rPr>
          <w:rFonts w:ascii="Book Antiqua" w:hAnsi="Book Antiqua"/>
          <w:color w:val="000000"/>
          <w:lang w:val="en-US"/>
        </w:rPr>
        <w:lastRenderedPageBreak/>
        <w:t xml:space="preserve">of 19 and 60, including those on low doses of 5-aminosalicylate (up to 2 g/d), were eligible to be included in the study. Exclusion criteria included the presence of any other inflammatory, systemic, endocrine, or metabolic disease, pregnancy, or lack of participant agreement. Patients who required surgical treatment or underwent bowel resection procedures were also excluded from the study. Volunteer subjects were included if they did not have signs of any disease and did not report any associated complaints. </w:t>
      </w:r>
    </w:p>
    <w:p w:rsidR="00C236D6" w:rsidRPr="00E65221" w:rsidRDefault="00C236D6" w:rsidP="006D26CC">
      <w:pPr>
        <w:spacing w:line="360" w:lineRule="auto"/>
        <w:ind w:firstLine="420"/>
        <w:contextualSpacing/>
        <w:jc w:val="both"/>
        <w:rPr>
          <w:rFonts w:ascii="Book Antiqua" w:hAnsi="Book Antiqua"/>
          <w:color w:val="000000"/>
          <w:lang w:val="en-US"/>
        </w:rPr>
      </w:pPr>
      <w:r w:rsidRPr="00E65221">
        <w:rPr>
          <w:rFonts w:ascii="Book Antiqua" w:hAnsi="Book Antiqua"/>
          <w:color w:val="000000"/>
          <w:lang w:val="en-US"/>
        </w:rPr>
        <w:t>A total of 56 volunteers participated in the study: 24 with CD, 16 with UC, and 16 healthy subjects. Participants in all three groups were comparable regarding demographics and clinical characteristics including age, sex, body mass index (BMI), and waist and hip circumferences (Table 1). Clinical diagnosis of IBD was based on ileocolonoscopy, computed tomography, or magnetic resonance enterography, and histological examination of mucosal biopsies sampled during endoscopy. Blood morphology, serum levels of C-reactive protein, glucose, creatinine, aspartate transaminase, alanine transaminase, gamma-glutamyl transpeptidase, and alkaline phosphatase were measured from each subject. The Vienna classification, which measures the time from initial diagnosis (A), localization of lesions in the bowel (L), and the clinical course (B), was used for CD diagnosis</w:t>
      </w:r>
      <w:r w:rsidRPr="00E65221">
        <w:rPr>
          <w:rFonts w:ascii="Book Antiqua" w:hAnsi="Book Antiqua"/>
          <w:color w:val="000000"/>
          <w:vertAlign w:val="superscript"/>
          <w:lang w:val="en-US"/>
        </w:rPr>
        <w:t>[10]</w:t>
      </w:r>
      <w:r w:rsidRPr="00E65221">
        <w:rPr>
          <w:rFonts w:ascii="Book Antiqua" w:hAnsi="Book Antiqua"/>
          <w:color w:val="000000"/>
          <w:lang w:val="en-US"/>
        </w:rPr>
        <w:t>, and the activity and extent of UC was defined according to the Montreal classification</w:t>
      </w:r>
      <w:r w:rsidRPr="00E65221">
        <w:rPr>
          <w:rFonts w:ascii="Book Antiqua" w:hAnsi="Book Antiqua"/>
          <w:color w:val="000000"/>
          <w:vertAlign w:val="superscript"/>
          <w:lang w:val="en-US"/>
        </w:rPr>
        <w:t>[11]</w:t>
      </w:r>
      <w:r w:rsidRPr="00E65221">
        <w:rPr>
          <w:rFonts w:ascii="Book Antiqua" w:hAnsi="Book Antiqua"/>
          <w:color w:val="000000"/>
          <w:lang w:val="en-US"/>
        </w:rPr>
        <w:t xml:space="preserve"> (Table 1). </w:t>
      </w:r>
    </w:p>
    <w:p w:rsidR="00C236D6" w:rsidRPr="00E65221" w:rsidRDefault="00C236D6" w:rsidP="006D26CC">
      <w:pPr>
        <w:spacing w:line="360" w:lineRule="auto"/>
        <w:ind w:firstLine="420"/>
        <w:contextualSpacing/>
        <w:jc w:val="both"/>
        <w:rPr>
          <w:rFonts w:ascii="Book Antiqua" w:hAnsi="Book Antiqua"/>
          <w:color w:val="000000"/>
          <w:lang w:val="en-US"/>
        </w:rPr>
      </w:pPr>
      <w:r w:rsidRPr="00E65221">
        <w:rPr>
          <w:rFonts w:ascii="Book Antiqua" w:hAnsi="Book Antiqua"/>
          <w:color w:val="000000"/>
          <w:lang w:val="en-US"/>
        </w:rPr>
        <w:t>We synchronized all IBD subjects according to the following corticosteroid treatment schedule: prednisone at a daily dose of 0.8 mg/kg of body mass for two weeks, then tapered by 5 mg over each of the following weeks for a total of three months. Simultaneously, subjects with CD were treated with azathioprine at a constant dose of 2 mg/kg</w:t>
      </w:r>
      <w:r w:rsidRPr="00E65221">
        <w:rPr>
          <w:rFonts w:ascii="Book Antiqua" w:hAnsi="Book Antiqua"/>
          <w:color w:val="000000"/>
          <w:lang w:val="en-US" w:eastAsia="zh-CN"/>
        </w:rPr>
        <w:t xml:space="preserve"> per </w:t>
      </w:r>
      <w:r w:rsidRPr="00E65221">
        <w:rPr>
          <w:rFonts w:ascii="Book Antiqua" w:hAnsi="Book Antiqua"/>
          <w:color w:val="000000"/>
          <w:lang w:val="en-US"/>
        </w:rPr>
        <w:t>d</w:t>
      </w:r>
      <w:r w:rsidRPr="00E65221">
        <w:rPr>
          <w:rFonts w:ascii="Book Antiqua" w:hAnsi="Book Antiqua"/>
          <w:color w:val="000000"/>
          <w:lang w:val="en-US" w:eastAsia="zh-CN"/>
        </w:rPr>
        <w:t>ay</w:t>
      </w:r>
      <w:r w:rsidRPr="00E65221">
        <w:rPr>
          <w:rFonts w:ascii="Book Antiqua" w:hAnsi="Book Antiqua"/>
          <w:color w:val="000000"/>
          <w:lang w:val="en-US"/>
        </w:rPr>
        <w:t xml:space="preserve">. All subjects were administered 5-aminosalicylate at a constant dose of 3 g/d. All subjects participated in monthly check-ups, when the subject’s complaints and any abnormalities discovered by physical examination were recorded, and medication compliance was determined. </w:t>
      </w:r>
    </w:p>
    <w:p w:rsidR="00C236D6" w:rsidRPr="00E65221" w:rsidRDefault="00C236D6" w:rsidP="006D26CC">
      <w:pPr>
        <w:spacing w:line="360" w:lineRule="auto"/>
        <w:ind w:firstLine="420"/>
        <w:contextualSpacing/>
        <w:jc w:val="both"/>
        <w:rPr>
          <w:rFonts w:ascii="Book Antiqua" w:hAnsi="Book Antiqua"/>
          <w:color w:val="000000"/>
          <w:lang w:val="en-US"/>
        </w:rPr>
      </w:pPr>
      <w:r w:rsidRPr="00E65221">
        <w:rPr>
          <w:rFonts w:ascii="Book Antiqua" w:hAnsi="Book Antiqua"/>
          <w:color w:val="000000"/>
          <w:lang w:val="en-US"/>
        </w:rPr>
        <w:t xml:space="preserve">Blood samples were collected from subjects under fasting conditions both before and after three months of treatment. </w:t>
      </w:r>
      <w:r w:rsidRPr="00E65221">
        <w:rPr>
          <w:rFonts w:ascii="Book Antiqua" w:hAnsi="Book Antiqua"/>
          <w:color w:val="000000"/>
          <w:shd w:val="clear" w:color="auto" w:fill="FFFFFF"/>
          <w:lang w:val="en-US"/>
        </w:rPr>
        <w:t>Blood was centrifuged 10 min after collection and serum samples were immediately frozen at -80</w:t>
      </w:r>
      <w:r w:rsidRPr="00E65221">
        <w:rPr>
          <w:rFonts w:ascii="Book Antiqua" w:hAnsi="Book Antiqua"/>
          <w:color w:val="000000"/>
          <w:shd w:val="clear" w:color="auto" w:fill="FFFFFF"/>
          <w:lang w:val="en-US" w:eastAsia="zh-CN"/>
        </w:rPr>
        <w:t xml:space="preserve"> </w:t>
      </w:r>
      <w:r w:rsidRPr="00E65221">
        <w:rPr>
          <w:rFonts w:ascii="Book Antiqua" w:hAnsi="Book Antiqua"/>
          <w:color w:val="000000"/>
          <w:shd w:val="clear" w:color="auto" w:fill="FFFFFF"/>
          <w:lang w:val="en-US"/>
        </w:rPr>
        <w:sym w:font="Symbol" w:char="F0B0"/>
      </w:r>
      <w:r w:rsidRPr="00E65221">
        <w:rPr>
          <w:rFonts w:ascii="Book Antiqua" w:hAnsi="Book Antiqua"/>
          <w:color w:val="000000"/>
          <w:shd w:val="clear" w:color="auto" w:fill="FFFFFF"/>
          <w:lang w:val="en-US"/>
        </w:rPr>
        <w:t xml:space="preserve">C. </w:t>
      </w:r>
      <w:r w:rsidRPr="00E65221">
        <w:rPr>
          <w:rFonts w:ascii="Book Antiqua" w:hAnsi="Book Antiqua"/>
          <w:color w:val="000000"/>
          <w:lang w:val="en-US"/>
        </w:rPr>
        <w:t xml:space="preserve">Enzyme-linked immunosorbent assays (ELISA) were used to determine serum concentrations of </w:t>
      </w:r>
      <w:r w:rsidRPr="00E65221">
        <w:rPr>
          <w:rFonts w:ascii="Book Antiqua" w:hAnsi="Book Antiqua"/>
          <w:color w:val="000000"/>
          <w:lang w:val="en-US"/>
        </w:rPr>
        <w:lastRenderedPageBreak/>
        <w:t xml:space="preserve">adiponectin, leptin, and chemerin (BioVendor, Brno, Czech Republic), resistin (Millipore Corporation, Billerica, MA, United States), visfatin (Phoenix Europe GmbH, Karlsruhe, Germany), and TGF-β1 (Gen Probe Diaclone SAS, Besancon, France). </w:t>
      </w:r>
    </w:p>
    <w:p w:rsidR="00C236D6" w:rsidRPr="00E65221" w:rsidRDefault="00C236D6" w:rsidP="006D26CC">
      <w:pPr>
        <w:spacing w:line="360" w:lineRule="auto"/>
        <w:contextualSpacing/>
        <w:jc w:val="both"/>
        <w:rPr>
          <w:rFonts w:ascii="Book Antiqua" w:hAnsi="Book Antiqua"/>
          <w:b/>
          <w:color w:val="000000"/>
          <w:lang w:val="en-US"/>
        </w:rPr>
      </w:pPr>
    </w:p>
    <w:p w:rsidR="00C236D6" w:rsidRPr="00E65221" w:rsidRDefault="00C236D6" w:rsidP="006D26CC">
      <w:pPr>
        <w:spacing w:line="360" w:lineRule="auto"/>
        <w:contextualSpacing/>
        <w:jc w:val="both"/>
        <w:rPr>
          <w:rFonts w:ascii="Book Antiqua" w:hAnsi="Book Antiqua"/>
          <w:b/>
          <w:i/>
          <w:color w:val="000000"/>
          <w:lang w:val="en-US" w:eastAsia="zh-CN"/>
        </w:rPr>
      </w:pPr>
      <w:r w:rsidRPr="00E65221">
        <w:rPr>
          <w:rFonts w:ascii="Book Antiqua" w:hAnsi="Book Antiqua"/>
          <w:b/>
          <w:i/>
          <w:color w:val="000000"/>
          <w:lang w:val="en-US"/>
        </w:rPr>
        <w:t>Statistical analysis</w:t>
      </w:r>
      <w:r w:rsidRPr="00E65221">
        <w:rPr>
          <w:rFonts w:ascii="Book Antiqua" w:hAnsi="Book Antiqua"/>
          <w:b/>
          <w:i/>
          <w:color w:val="000000"/>
          <w:lang w:val="en-US" w:eastAsia="zh-CN"/>
        </w:rPr>
        <w:t>s</w:t>
      </w:r>
    </w:p>
    <w:p w:rsidR="00C236D6" w:rsidRPr="00E65221" w:rsidRDefault="00C236D6" w:rsidP="006D26CC">
      <w:pPr>
        <w:spacing w:line="360" w:lineRule="auto"/>
        <w:contextualSpacing/>
        <w:jc w:val="both"/>
        <w:rPr>
          <w:rFonts w:ascii="Book Antiqua" w:eastAsia="Times New Roman" w:hAnsi="Book Antiqua"/>
          <w:color w:val="000000"/>
          <w:lang w:val="en-US"/>
        </w:rPr>
      </w:pPr>
      <w:r w:rsidRPr="00E65221">
        <w:rPr>
          <w:rFonts w:ascii="Book Antiqua" w:eastAsia="Times New Roman" w:hAnsi="Book Antiqua"/>
          <w:color w:val="000000"/>
          <w:lang w:val="en-US"/>
        </w:rPr>
        <w:t xml:space="preserve">All analyses were performed using Statistica PL version 10.0 (StatSoft Inc., Tulsa, OK, United States). Intergroup differences for each adipokine were analyzed using the Kruskal-Wallis test (nonparametric ANOVA) for global comparisons between CD, UC and healthy volunteer subjects. Adipokine levels were compared between groups using an unpaired Student’s </w:t>
      </w:r>
      <w:r w:rsidRPr="00E65221">
        <w:rPr>
          <w:rFonts w:ascii="Book Antiqua" w:eastAsia="Times New Roman" w:hAnsi="Book Antiqua"/>
          <w:i/>
          <w:color w:val="000000"/>
          <w:lang w:val="en-US"/>
        </w:rPr>
        <w:t>t</w:t>
      </w:r>
      <w:r w:rsidRPr="00E65221">
        <w:rPr>
          <w:rFonts w:ascii="Book Antiqua" w:eastAsia="Times New Roman" w:hAnsi="Book Antiqua"/>
          <w:color w:val="000000"/>
          <w:lang w:val="en-US"/>
        </w:rPr>
        <w:t xml:space="preserve">-test if the data showed a normal distribution; otherwise the Mann-Whitney </w:t>
      </w:r>
      <w:r w:rsidRPr="00E65221">
        <w:rPr>
          <w:rFonts w:ascii="Book Antiqua" w:eastAsia="Times New Roman" w:hAnsi="Book Antiqua"/>
          <w:i/>
          <w:color w:val="000000"/>
          <w:lang w:val="en-US"/>
        </w:rPr>
        <w:t>U</w:t>
      </w:r>
      <w:r w:rsidRPr="00E65221">
        <w:rPr>
          <w:rFonts w:ascii="Book Antiqua" w:eastAsia="Times New Roman" w:hAnsi="Book Antiqua"/>
          <w:color w:val="000000"/>
          <w:lang w:val="en-US"/>
        </w:rPr>
        <w:t xml:space="preserve"> test was used. A paired Wilcoxon test was used to independently compare data acquired before and after three months of treatment for each disease group. Linear regression analysis was performed to assess the associations between the severity of the disease, time post-diagnosis, age, waist and hip circumference, BMI (independent variables) and the levels of each adipokine </w:t>
      </w:r>
      <w:r w:rsidRPr="00E65221">
        <w:rPr>
          <w:rFonts w:ascii="Book Antiqua" w:eastAsia="Times New Roman" w:hAnsi="Book Antiqua" w:cs="Palatino-Roman"/>
          <w:color w:val="000000"/>
          <w:lang w:val="en-US"/>
        </w:rPr>
        <w:t>(dependent variables)</w:t>
      </w:r>
      <w:r w:rsidRPr="00E65221">
        <w:rPr>
          <w:rFonts w:ascii="Book Antiqua" w:eastAsia="Times New Roman" w:hAnsi="Book Antiqua"/>
          <w:color w:val="000000"/>
          <w:lang w:val="en-US"/>
        </w:rPr>
        <w:t xml:space="preserve">. Data are expressed as mean ± </w:t>
      </w:r>
      <w:r w:rsidRPr="00E65221">
        <w:rPr>
          <w:rFonts w:ascii="Book Antiqua" w:eastAsia="Times New Roman" w:hAnsi="Book Antiqua"/>
          <w:caps/>
          <w:color w:val="000000"/>
          <w:lang w:val="en-US"/>
        </w:rPr>
        <w:t>s</w:t>
      </w:r>
      <w:r w:rsidRPr="00E65221">
        <w:rPr>
          <w:rFonts w:ascii="Book Antiqua" w:hAnsi="Book Antiqua"/>
          <w:caps/>
          <w:color w:val="000000"/>
          <w:lang w:val="en-US" w:eastAsia="zh-CN"/>
        </w:rPr>
        <w:t>d</w:t>
      </w:r>
      <w:r w:rsidRPr="00E65221">
        <w:rPr>
          <w:rFonts w:ascii="Book Antiqua" w:eastAsia="Times New Roman" w:hAnsi="Book Antiqua"/>
          <w:color w:val="000000"/>
          <w:lang w:val="en-US"/>
        </w:rPr>
        <w:t xml:space="preserve">, and a </w:t>
      </w:r>
      <w:r w:rsidRPr="00E65221">
        <w:rPr>
          <w:rFonts w:ascii="Book Antiqua" w:eastAsia="Times New Roman" w:hAnsi="Book Antiqua"/>
          <w:i/>
          <w:color w:val="000000"/>
          <w:lang w:val="en-US"/>
        </w:rPr>
        <w:t>P</w:t>
      </w:r>
      <w:r w:rsidRPr="00E65221">
        <w:rPr>
          <w:rFonts w:ascii="Book Antiqua" w:eastAsia="Times New Roman" w:hAnsi="Book Antiqua"/>
          <w:color w:val="000000"/>
          <w:lang w:val="en-US"/>
        </w:rPr>
        <w:t xml:space="preserve"> value of 0.05 or less was considered as statistically significant. </w:t>
      </w:r>
    </w:p>
    <w:p w:rsidR="00C236D6" w:rsidRPr="00E65221" w:rsidRDefault="00C236D6" w:rsidP="006D26CC">
      <w:pPr>
        <w:autoSpaceDE w:val="0"/>
        <w:autoSpaceDN w:val="0"/>
        <w:adjustRightInd w:val="0"/>
        <w:spacing w:line="360" w:lineRule="auto"/>
        <w:contextualSpacing/>
        <w:jc w:val="both"/>
        <w:rPr>
          <w:rFonts w:ascii="Book Antiqua" w:hAnsi="Book Antiqua" w:cs="Palatino-Roman"/>
          <w:color w:val="000000"/>
          <w:lang w:val="en-US" w:eastAsia="zh-CN"/>
        </w:rPr>
      </w:pPr>
    </w:p>
    <w:p w:rsidR="00C236D6" w:rsidRPr="00E65221" w:rsidRDefault="00C236D6" w:rsidP="006D26CC">
      <w:pPr>
        <w:pStyle w:val="a5"/>
        <w:contextualSpacing/>
        <w:rPr>
          <w:rFonts w:ascii="Book Antiqua" w:hAnsi="Book Antiqua"/>
          <w:b/>
          <w:color w:val="000000"/>
          <w:lang w:val="en-US"/>
        </w:rPr>
      </w:pPr>
      <w:r w:rsidRPr="00E65221">
        <w:rPr>
          <w:rFonts w:ascii="Book Antiqua" w:hAnsi="Book Antiqua"/>
          <w:b/>
          <w:color w:val="000000"/>
          <w:lang w:val="en-US"/>
        </w:rPr>
        <w:t>RESULTS</w:t>
      </w:r>
    </w:p>
    <w:p w:rsidR="00C236D6" w:rsidRPr="00E65221" w:rsidRDefault="00C236D6" w:rsidP="006D26CC">
      <w:pPr>
        <w:pStyle w:val="a5"/>
        <w:contextualSpacing/>
        <w:rPr>
          <w:rFonts w:ascii="Book Antiqua" w:eastAsia="Times New Roman" w:hAnsi="Book Antiqua"/>
          <w:color w:val="000000"/>
          <w:lang w:val="en-US"/>
        </w:rPr>
      </w:pPr>
      <w:r w:rsidRPr="00E65221">
        <w:rPr>
          <w:rFonts w:ascii="Book Antiqua" w:hAnsi="Book Antiqua"/>
          <w:color w:val="000000"/>
          <w:lang w:val="en-US"/>
        </w:rPr>
        <w:t>All subjects completed the study. The serum concentrations of adiponectin, TGF-β1, and chemerin were not different between subjects with active IBD and healthy controls, and there was no effect of treatment (Table 2). Baseline serum leptin concentrations were significantly lower in subjects with CD and UC compared with healthy controls (</w:t>
      </w:r>
      <w:r w:rsidRPr="00E65221">
        <w:rPr>
          <w:rFonts w:ascii="Book Antiqua" w:hAnsi="Book Antiqua"/>
          <w:i/>
          <w:color w:val="000000"/>
          <w:lang w:val="en-US"/>
        </w:rPr>
        <w:t xml:space="preserve">P &lt; </w:t>
      </w:r>
      <w:r w:rsidRPr="00E65221">
        <w:rPr>
          <w:rFonts w:ascii="Book Antiqua" w:hAnsi="Book Antiqua"/>
          <w:color w:val="000000"/>
          <w:lang w:val="en-US"/>
        </w:rPr>
        <w:t>0.05), and significantly increased in CD subjects after three months of treatment (</w:t>
      </w:r>
      <w:r w:rsidRPr="00E65221">
        <w:rPr>
          <w:rFonts w:ascii="Book Antiqua" w:hAnsi="Book Antiqua"/>
          <w:i/>
          <w:color w:val="000000"/>
          <w:lang w:val="en-US"/>
        </w:rPr>
        <w:t xml:space="preserve">P </w:t>
      </w:r>
      <w:r w:rsidRPr="00E65221">
        <w:rPr>
          <w:rFonts w:ascii="Book Antiqua" w:hAnsi="Book Antiqua"/>
          <w:color w:val="000000"/>
          <w:lang w:val="en-US"/>
        </w:rPr>
        <w:t>&lt; 0.05). Baseline serum resistin concentrations were significantly higher in CD and UC subjects compared with healthy controls (</w:t>
      </w:r>
      <w:r w:rsidRPr="00E65221">
        <w:rPr>
          <w:rFonts w:ascii="Book Antiqua" w:hAnsi="Book Antiqua"/>
          <w:i/>
          <w:color w:val="000000"/>
          <w:lang w:val="en-US"/>
        </w:rPr>
        <w:t xml:space="preserve">P &lt; </w:t>
      </w:r>
      <w:r w:rsidRPr="00E65221">
        <w:rPr>
          <w:rFonts w:ascii="Book Antiqua" w:hAnsi="Book Antiqua"/>
          <w:color w:val="000000"/>
          <w:lang w:val="en-US"/>
        </w:rPr>
        <w:t>0.05), and treatment induced a decrease in levels only in UC subjects (</w:t>
      </w:r>
      <w:r w:rsidRPr="00E65221">
        <w:rPr>
          <w:rFonts w:ascii="Book Antiqua" w:hAnsi="Book Antiqua"/>
          <w:i/>
          <w:color w:val="000000"/>
          <w:lang w:val="en-US"/>
        </w:rPr>
        <w:t xml:space="preserve">P </w:t>
      </w:r>
      <w:r w:rsidRPr="00E65221">
        <w:rPr>
          <w:rFonts w:ascii="Book Antiqua" w:hAnsi="Book Antiqua"/>
          <w:color w:val="000000"/>
          <w:lang w:val="en-US"/>
        </w:rPr>
        <w:t>&lt; 0.05). Baseline serum concentrations of visfatin were also significantly higher in subjects with CD and UC compared to healthy controls (</w:t>
      </w:r>
      <w:r w:rsidRPr="00E65221">
        <w:rPr>
          <w:rFonts w:ascii="Book Antiqua" w:hAnsi="Book Antiqua"/>
          <w:i/>
          <w:color w:val="000000"/>
          <w:lang w:val="en-US"/>
        </w:rPr>
        <w:t xml:space="preserve">P &lt; </w:t>
      </w:r>
      <w:r w:rsidRPr="00E65221">
        <w:rPr>
          <w:rFonts w:ascii="Book Antiqua" w:hAnsi="Book Antiqua"/>
          <w:color w:val="000000"/>
          <w:lang w:val="en-US"/>
        </w:rPr>
        <w:t>0.05). Treatment induced a decrease in the serum visfatin concentration only in CD subjects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but the </w:t>
      </w:r>
      <w:r w:rsidRPr="00E65221">
        <w:rPr>
          <w:rFonts w:ascii="Book Antiqua" w:hAnsi="Book Antiqua"/>
          <w:color w:val="000000"/>
          <w:lang w:val="en-US"/>
        </w:rPr>
        <w:lastRenderedPageBreak/>
        <w:t>post-therapy level of this adipokine remained significantly higher than that in healthy controls (</w:t>
      </w:r>
      <w:r w:rsidRPr="00E65221">
        <w:rPr>
          <w:rFonts w:ascii="Book Antiqua" w:hAnsi="Book Antiqua"/>
          <w:i/>
          <w:color w:val="000000"/>
          <w:lang w:val="en-US"/>
        </w:rPr>
        <w:t xml:space="preserve">P </w:t>
      </w:r>
      <w:r w:rsidRPr="00E65221">
        <w:rPr>
          <w:rFonts w:ascii="Book Antiqua" w:hAnsi="Book Antiqua"/>
          <w:color w:val="000000"/>
          <w:lang w:val="en-US"/>
        </w:rPr>
        <w:t xml:space="preserve">&lt; 0.05) (Table 2). There were </w:t>
      </w:r>
      <w:r w:rsidRPr="00E65221">
        <w:rPr>
          <w:rFonts w:ascii="Book Antiqua" w:eastAsia="Times New Roman" w:hAnsi="Book Antiqua"/>
          <w:color w:val="000000"/>
          <w:lang w:val="en-US"/>
        </w:rPr>
        <w:t xml:space="preserve">no correlations detected between any of the adipokines examined or </w:t>
      </w:r>
      <w:r w:rsidRPr="00E65221">
        <w:rPr>
          <w:rFonts w:ascii="Book Antiqua" w:hAnsi="Book Antiqua"/>
          <w:color w:val="000000"/>
          <w:lang w:val="en-US"/>
        </w:rPr>
        <w:t xml:space="preserve">TGF-β1 and the clinical severity of IBD, </w:t>
      </w:r>
      <w:r w:rsidRPr="00E65221">
        <w:rPr>
          <w:rFonts w:ascii="Book Antiqua" w:eastAsia="Times New Roman" w:hAnsi="Book Antiqua"/>
          <w:color w:val="000000"/>
          <w:lang w:val="en-US"/>
        </w:rPr>
        <w:t xml:space="preserve">time from initial diagnosis, age, waist or hip circumference, or BMI (Table 3). </w:t>
      </w:r>
    </w:p>
    <w:p w:rsidR="00C236D6" w:rsidRPr="00E65221" w:rsidRDefault="00C236D6" w:rsidP="006D26CC">
      <w:pPr>
        <w:pStyle w:val="a5"/>
        <w:contextualSpacing/>
        <w:rPr>
          <w:rFonts w:ascii="Book Antiqua" w:hAnsi="Book Antiqua"/>
          <w:b/>
          <w:color w:val="000000"/>
          <w:lang w:val="en-US"/>
        </w:rPr>
      </w:pPr>
    </w:p>
    <w:p w:rsidR="00C236D6" w:rsidRPr="00E65221" w:rsidRDefault="00C236D6" w:rsidP="006D26CC">
      <w:pPr>
        <w:pStyle w:val="a5"/>
        <w:contextualSpacing/>
        <w:rPr>
          <w:rFonts w:ascii="Book Antiqua" w:hAnsi="Book Antiqua"/>
          <w:b/>
          <w:color w:val="000000"/>
          <w:lang w:val="en-US"/>
        </w:rPr>
      </w:pPr>
      <w:r w:rsidRPr="00E65221">
        <w:rPr>
          <w:rFonts w:ascii="Book Antiqua" w:hAnsi="Book Antiqua"/>
          <w:b/>
          <w:color w:val="000000"/>
          <w:lang w:val="en-US"/>
        </w:rPr>
        <w:t>DISCUSSION</w:t>
      </w:r>
    </w:p>
    <w:p w:rsidR="00C236D6" w:rsidRPr="00E65221" w:rsidRDefault="00C236D6" w:rsidP="006D26CC">
      <w:pPr>
        <w:pStyle w:val="a5"/>
        <w:contextualSpacing/>
        <w:rPr>
          <w:rFonts w:ascii="Book Antiqua" w:hAnsi="Book Antiqua"/>
          <w:color w:val="000000"/>
          <w:lang w:val="en-US"/>
        </w:rPr>
      </w:pPr>
      <w:r w:rsidRPr="00E65221">
        <w:rPr>
          <w:rFonts w:ascii="Book Antiqua" w:hAnsi="Book Antiqua"/>
          <w:color w:val="000000"/>
          <w:lang w:val="en-US"/>
        </w:rPr>
        <w:t>Although the etiology of IBD remains unclear, the most prevalent hypothesis is that the disease develops due to a genetic predisposition and a hyperactive gut-associated immune response to food allergens and bacteria. Individuals with IBD exhibit hypertrophy of the mesenteric adipose tissue lying in direct proximity to the inflamed bowel as well as alterations in local or serum adipokine concentrations</w:t>
      </w:r>
      <w:r w:rsidRPr="00E65221">
        <w:rPr>
          <w:rFonts w:ascii="Book Antiqua" w:hAnsi="Book Antiqua"/>
          <w:color w:val="000000"/>
          <w:vertAlign w:val="superscript"/>
          <w:lang w:val="en-US"/>
        </w:rPr>
        <w:t>[1]</w:t>
      </w:r>
      <w:r w:rsidRPr="00E65221">
        <w:rPr>
          <w:rFonts w:ascii="Book Antiqua" w:hAnsi="Book Antiqua"/>
          <w:color w:val="000000"/>
          <w:lang w:val="en-US"/>
        </w:rPr>
        <w:t xml:space="preserve">. </w:t>
      </w:r>
    </w:p>
    <w:p w:rsidR="00C236D6" w:rsidRPr="00E65221" w:rsidRDefault="00C236D6" w:rsidP="006D26CC">
      <w:pPr>
        <w:pStyle w:val="a5"/>
        <w:ind w:firstLine="420"/>
        <w:contextualSpacing/>
        <w:rPr>
          <w:rFonts w:ascii="Book Antiqua" w:hAnsi="Book Antiqua"/>
          <w:color w:val="000000"/>
          <w:lang w:val="en-US"/>
        </w:rPr>
      </w:pPr>
      <w:r w:rsidRPr="00E65221">
        <w:rPr>
          <w:rFonts w:ascii="Book Antiqua" w:hAnsi="Book Antiqua"/>
          <w:color w:val="000000"/>
          <w:lang w:val="en-US"/>
        </w:rPr>
        <w:t>Adipokines have both pro- and anti-inflammatory effects in IBD patients. Adiponectin is one of the most richly represented adipokines in the blood, exerting many metabolic effects</w:t>
      </w:r>
      <w:r w:rsidRPr="00E65221">
        <w:rPr>
          <w:rFonts w:ascii="Book Antiqua" w:hAnsi="Book Antiqua"/>
          <w:color w:val="000000"/>
          <w:vertAlign w:val="superscript"/>
          <w:lang w:val="en-US"/>
        </w:rPr>
        <w:t>[12-14]</w:t>
      </w:r>
      <w:r w:rsidRPr="00E65221">
        <w:rPr>
          <w:rFonts w:ascii="Book Antiqua" w:hAnsi="Book Antiqua"/>
          <w:color w:val="000000"/>
          <w:lang w:val="en-US"/>
        </w:rPr>
        <w:t>. It also has anti-inflammatory effects by increasing the synthesis of an interleukin receptor antagonist and decreasing the dendritic cell release of interferon gamma. Moreover, adiponectin enhances phagocytosis by human macrophages</w:t>
      </w:r>
      <w:r w:rsidRPr="00E65221">
        <w:rPr>
          <w:rFonts w:ascii="Book Antiqua" w:hAnsi="Book Antiqua"/>
          <w:color w:val="000000"/>
          <w:vertAlign w:val="superscript"/>
          <w:lang w:val="en-US"/>
        </w:rPr>
        <w:t>[15,16]</w:t>
      </w:r>
      <w:r w:rsidRPr="00E65221">
        <w:rPr>
          <w:rFonts w:ascii="Book Antiqua" w:hAnsi="Book Antiqua"/>
          <w:color w:val="000000"/>
          <w:lang w:val="en-US"/>
        </w:rPr>
        <w:t xml:space="preserve">. In the present study, no statistically significant increase in serum adiponectin concentration was found in either type of IBD, indicating strong adaptive mechanisms of adiponectin homeostasis. </w:t>
      </w:r>
    </w:p>
    <w:p w:rsidR="00C236D6" w:rsidRPr="00E65221" w:rsidRDefault="00C236D6" w:rsidP="006D26CC">
      <w:pPr>
        <w:pStyle w:val="a5"/>
        <w:ind w:firstLine="420"/>
        <w:contextualSpacing/>
        <w:rPr>
          <w:rFonts w:ascii="Book Antiqua" w:hAnsi="Book Antiqua"/>
          <w:color w:val="000000"/>
          <w:lang w:val="en-US"/>
        </w:rPr>
      </w:pPr>
      <w:r w:rsidRPr="00E65221">
        <w:rPr>
          <w:rFonts w:ascii="Book Antiqua" w:hAnsi="Book Antiqua"/>
          <w:color w:val="000000"/>
          <w:lang w:val="en-US"/>
        </w:rPr>
        <w:t>Leptin, one of the most well studied adipokines, exerts many metabolic, endocrine, and immunologic effects. This adipokine stimulates the proliferation of naïve T-helper lymphocytes, but inhibits the proliferation of T-memory lymphocytes and subsequent production of cytokines</w:t>
      </w:r>
      <w:r w:rsidRPr="00E65221">
        <w:rPr>
          <w:rFonts w:ascii="Book Antiqua" w:hAnsi="Book Antiqua"/>
          <w:color w:val="000000"/>
          <w:vertAlign w:val="superscript"/>
          <w:lang w:val="en-US"/>
        </w:rPr>
        <w:t>[17]</w:t>
      </w:r>
      <w:r w:rsidRPr="00E65221">
        <w:rPr>
          <w:rFonts w:ascii="Book Antiqua" w:hAnsi="Book Antiqua"/>
          <w:color w:val="000000"/>
          <w:lang w:val="en-US"/>
        </w:rPr>
        <w:t>. In addition, leptin activates phagocytosis by macrophages</w:t>
      </w:r>
      <w:r w:rsidRPr="00E65221">
        <w:rPr>
          <w:rFonts w:ascii="Book Antiqua" w:hAnsi="Book Antiqua"/>
          <w:color w:val="000000"/>
          <w:vertAlign w:val="superscript"/>
          <w:lang w:val="en-US"/>
        </w:rPr>
        <w:t>[15]</w:t>
      </w:r>
      <w:r w:rsidRPr="00E65221">
        <w:rPr>
          <w:rFonts w:ascii="Book Antiqua" w:hAnsi="Book Antiqua"/>
          <w:color w:val="000000"/>
          <w:lang w:val="en-US"/>
        </w:rPr>
        <w:t xml:space="preserve"> and regulates proinflammatory immune responses</w:t>
      </w:r>
      <w:r w:rsidRPr="00E65221">
        <w:rPr>
          <w:rFonts w:ascii="Book Antiqua" w:hAnsi="Book Antiqua"/>
          <w:color w:val="000000"/>
          <w:vertAlign w:val="superscript"/>
          <w:lang w:val="en-US"/>
        </w:rPr>
        <w:t>[18]</w:t>
      </w:r>
      <w:r w:rsidRPr="00E65221">
        <w:rPr>
          <w:rFonts w:ascii="Book Antiqua" w:hAnsi="Book Antiqua"/>
          <w:color w:val="000000"/>
          <w:lang w:val="en-US"/>
        </w:rPr>
        <w:t>. The adipose tissue mass is the most important determinant of serum leptin concentration. In our study, despite similar BMI in the three groups of subjects, serum leptin levels were decreased in subjects with both types of IBD, compared with healthy controls. Low leptin concentrations in CD and UC subjects, which are consistent with previous studies</w:t>
      </w:r>
      <w:r w:rsidRPr="00E65221">
        <w:rPr>
          <w:rFonts w:ascii="Book Antiqua" w:hAnsi="Book Antiqua"/>
          <w:color w:val="000000"/>
          <w:vertAlign w:val="superscript"/>
          <w:lang w:val="en-US"/>
        </w:rPr>
        <w:t>[19]</w:t>
      </w:r>
      <w:r w:rsidRPr="00E65221">
        <w:rPr>
          <w:rFonts w:ascii="Book Antiqua" w:hAnsi="Book Antiqua"/>
          <w:color w:val="000000"/>
          <w:lang w:val="en-US"/>
        </w:rPr>
        <w:t>, may be the result of TNF-</w:t>
      </w:r>
      <w:r w:rsidRPr="00E65221">
        <w:rPr>
          <w:rFonts w:ascii="Book Antiqua" w:hAnsi="Book Antiqua"/>
          <w:color w:val="000000"/>
          <w:lang w:val="en-US"/>
        </w:rPr>
        <w:sym w:font="Symbol" w:char="F061"/>
      </w:r>
      <w:r w:rsidRPr="00E65221">
        <w:rPr>
          <w:rFonts w:ascii="Book Antiqua" w:hAnsi="Book Antiqua"/>
          <w:color w:val="000000"/>
          <w:lang w:val="en-US"/>
        </w:rPr>
        <w:t xml:space="preserve"> hyperactivity. TNF-</w:t>
      </w:r>
      <w:r w:rsidRPr="00E65221">
        <w:rPr>
          <w:rFonts w:ascii="Book Antiqua" w:hAnsi="Book Antiqua"/>
          <w:color w:val="000000"/>
          <w:lang w:val="en-US"/>
        </w:rPr>
        <w:sym w:font="Symbol" w:char="F061"/>
      </w:r>
      <w:r w:rsidRPr="00E65221">
        <w:rPr>
          <w:rFonts w:ascii="Book Antiqua" w:hAnsi="Book Antiqua"/>
          <w:color w:val="000000"/>
          <w:lang w:val="en-US"/>
        </w:rPr>
        <w:t xml:space="preserve"> stimulates the temporary release of substantial amounts of leptin in response to inflammation eventually leading to a decrease in leptin-mediated chronic inflammation. Moreover, serum </w:t>
      </w:r>
      <w:r w:rsidRPr="00E65221">
        <w:rPr>
          <w:rFonts w:ascii="Book Antiqua" w:hAnsi="Book Antiqua"/>
          <w:color w:val="000000"/>
          <w:lang w:val="en-US"/>
        </w:rPr>
        <w:lastRenderedPageBreak/>
        <w:t>leptin levels increase in CD subjects treated with the TNF-</w:t>
      </w:r>
      <w:r w:rsidRPr="00E65221">
        <w:rPr>
          <w:rFonts w:ascii="Book Antiqua" w:hAnsi="Book Antiqua"/>
          <w:color w:val="000000"/>
          <w:lang w:val="en-US"/>
        </w:rPr>
        <w:sym w:font="Symbol" w:char="F061"/>
      </w:r>
      <w:r w:rsidRPr="00E65221">
        <w:rPr>
          <w:rFonts w:ascii="Book Antiqua" w:hAnsi="Book Antiqua"/>
          <w:color w:val="000000"/>
          <w:lang w:val="en-US"/>
        </w:rPr>
        <w:t xml:space="preserve"> antagonist infliximab confirming the role of TNF-</w:t>
      </w:r>
      <w:r w:rsidRPr="00E65221">
        <w:rPr>
          <w:rFonts w:ascii="Book Antiqua" w:hAnsi="Book Antiqua"/>
          <w:color w:val="000000"/>
          <w:lang w:val="en-US"/>
        </w:rPr>
        <w:sym w:font="Symbol" w:char="F061"/>
      </w:r>
      <w:r w:rsidRPr="00E65221">
        <w:rPr>
          <w:rFonts w:ascii="Book Antiqua" w:hAnsi="Book Antiqua"/>
          <w:color w:val="000000"/>
          <w:lang w:val="en-US"/>
        </w:rPr>
        <w:t xml:space="preserve"> in the regulation of leptin release by adipocytes</w:t>
      </w:r>
      <w:r w:rsidRPr="00E65221">
        <w:rPr>
          <w:rFonts w:ascii="Book Antiqua" w:hAnsi="Book Antiqua"/>
          <w:color w:val="000000"/>
          <w:vertAlign w:val="superscript"/>
          <w:lang w:val="en-US"/>
        </w:rPr>
        <w:t>[20]</w:t>
      </w:r>
      <w:r w:rsidRPr="00E65221">
        <w:rPr>
          <w:rFonts w:ascii="Book Antiqua" w:hAnsi="Book Antiqua"/>
          <w:color w:val="000000"/>
          <w:lang w:val="en-US"/>
        </w:rPr>
        <w:t>. Similarly, our study showed that a 3-month treatment period with corticosteroids alone or with azathioprine leads to increased blood leptin concentrations, which is particularly noticeable in CD subjects. Interestingly, while some studies report increased expression of leptin mRNA in the mesenteric adipose tissue or increased concentrations of leptin in large bowel lavage fluid from patients with mild to severe CD or UC</w:t>
      </w:r>
      <w:r w:rsidRPr="00E65221">
        <w:rPr>
          <w:rFonts w:ascii="Book Antiqua" w:hAnsi="Book Antiqua"/>
          <w:color w:val="000000"/>
          <w:vertAlign w:val="superscript"/>
          <w:lang w:val="en-US"/>
        </w:rPr>
        <w:t>[3,21]</w:t>
      </w:r>
      <w:r w:rsidRPr="00E65221">
        <w:rPr>
          <w:rFonts w:ascii="Book Antiqua" w:hAnsi="Book Antiqua"/>
          <w:color w:val="000000"/>
          <w:lang w:val="en-US"/>
        </w:rPr>
        <w:t>, leptin is not detected in normal colonic epithelium. However, it is detected in the subapical region of the epithelial cells during conditions of inflammation</w:t>
      </w:r>
      <w:r w:rsidRPr="00E65221">
        <w:rPr>
          <w:rFonts w:ascii="Book Antiqua" w:hAnsi="Book Antiqua"/>
          <w:color w:val="000000"/>
          <w:vertAlign w:val="superscript"/>
          <w:lang w:val="en-US"/>
        </w:rPr>
        <w:t>[21]</w:t>
      </w:r>
      <w:r w:rsidRPr="00E65221">
        <w:rPr>
          <w:rFonts w:ascii="Book Antiqua" w:hAnsi="Book Antiqua"/>
          <w:color w:val="000000"/>
          <w:lang w:val="en-US"/>
        </w:rPr>
        <w:t xml:space="preserve">. This finding explains the differences between leptin concentrations measured in the serum, tissue, or gut lumen. </w:t>
      </w:r>
    </w:p>
    <w:p w:rsidR="00C236D6" w:rsidRPr="00E65221" w:rsidRDefault="00C236D6" w:rsidP="006D26CC">
      <w:pPr>
        <w:pStyle w:val="a5"/>
        <w:ind w:firstLine="420"/>
        <w:contextualSpacing/>
        <w:rPr>
          <w:rFonts w:ascii="Book Antiqua" w:hAnsi="Book Antiqua"/>
          <w:color w:val="000000"/>
          <w:lang w:val="en-US"/>
        </w:rPr>
      </w:pPr>
      <w:r w:rsidRPr="00E65221">
        <w:rPr>
          <w:rFonts w:ascii="Book Antiqua" w:hAnsi="Book Antiqua"/>
          <w:color w:val="000000"/>
          <w:lang w:val="en-US"/>
        </w:rPr>
        <w:t>Recent studies suggest that TGF-β1 decreases symptoms of IBD by suppressing the immunologic system in the gut and the bowel epithelium through inhibition of immature dendritic cells</w:t>
      </w:r>
      <w:r w:rsidRPr="00E65221">
        <w:rPr>
          <w:rFonts w:ascii="Book Antiqua" w:hAnsi="Book Antiqua"/>
          <w:color w:val="000000"/>
          <w:vertAlign w:val="superscript"/>
          <w:lang w:val="en-US"/>
        </w:rPr>
        <w:t>[22,23]</w:t>
      </w:r>
      <w:r w:rsidRPr="00E65221">
        <w:rPr>
          <w:rFonts w:ascii="Book Antiqua" w:hAnsi="Book Antiqua"/>
          <w:color w:val="000000"/>
          <w:lang w:val="en-US"/>
        </w:rPr>
        <w:t xml:space="preserve">. In our study, TGF-β1 serum concentrations were not significantly different in IBD subjects versus healthy controls, and anti-inflammatory treatment had no effect on TGF-β1 serum levels. These data </w:t>
      </w:r>
      <w:r w:rsidRPr="00E65221">
        <w:rPr>
          <w:rFonts w:ascii="Book Antiqua" w:eastAsia="Times New Roman" w:hAnsi="Book Antiqua"/>
          <w:color w:val="000000"/>
          <w:lang w:val="en-US"/>
        </w:rPr>
        <w:t xml:space="preserve">indicate </w:t>
      </w:r>
      <w:r w:rsidRPr="00E65221">
        <w:rPr>
          <w:rFonts w:ascii="Book Antiqua" w:hAnsi="Book Antiqua"/>
          <w:color w:val="000000"/>
          <w:lang w:val="en-US"/>
        </w:rPr>
        <w:t xml:space="preserve">that any potential role of TGF-β1 in IBD is limited to the mucosa and potential changes in the local concentration of this cytokine cannot be monitored in the systemic circulation. </w:t>
      </w:r>
    </w:p>
    <w:p w:rsidR="00C236D6" w:rsidRPr="00E65221" w:rsidRDefault="00C236D6" w:rsidP="006D26CC">
      <w:pPr>
        <w:pStyle w:val="a5"/>
        <w:ind w:firstLine="420"/>
        <w:contextualSpacing/>
        <w:rPr>
          <w:rFonts w:ascii="Book Antiqua" w:hAnsi="Book Antiqua"/>
          <w:color w:val="000000"/>
          <w:lang w:val="en-US"/>
        </w:rPr>
      </w:pPr>
      <w:r w:rsidRPr="00E65221">
        <w:rPr>
          <w:rFonts w:ascii="Book Antiqua" w:hAnsi="Book Antiqua"/>
          <w:color w:val="000000"/>
          <w:lang w:val="en-US"/>
        </w:rPr>
        <w:t>Chemerin acts as either an activator (initiating stage) or inhibitor (later stages) of inflammation</w:t>
      </w:r>
      <w:r w:rsidRPr="00E65221">
        <w:rPr>
          <w:rFonts w:ascii="Book Antiqua" w:hAnsi="Book Antiqua"/>
          <w:color w:val="000000"/>
          <w:vertAlign w:val="superscript"/>
          <w:lang w:val="en-US"/>
        </w:rPr>
        <w:t>[24,25]</w:t>
      </w:r>
      <w:r w:rsidRPr="00E65221">
        <w:rPr>
          <w:rFonts w:ascii="Book Antiqua" w:hAnsi="Book Antiqua"/>
          <w:color w:val="000000"/>
          <w:lang w:val="en-US"/>
        </w:rPr>
        <w:t xml:space="preserve">. Weigert </w:t>
      </w:r>
      <w:r w:rsidRPr="00E65221">
        <w:rPr>
          <w:rFonts w:ascii="Book Antiqua" w:hAnsi="Book Antiqua"/>
          <w:i/>
          <w:color w:val="000000"/>
          <w:lang w:val="en-US"/>
        </w:rPr>
        <w:t>et al</w:t>
      </w:r>
      <w:r w:rsidRPr="00E65221">
        <w:rPr>
          <w:rFonts w:ascii="Book Antiqua" w:hAnsi="Book Antiqua"/>
          <w:color w:val="000000"/>
          <w:lang w:val="en-US"/>
        </w:rPr>
        <w:t>. reported elevated serum concentrations of chemerin in IBD patients, especially those with CD</w:t>
      </w:r>
      <w:r w:rsidRPr="00E65221">
        <w:rPr>
          <w:rFonts w:ascii="Book Antiqua" w:hAnsi="Book Antiqua"/>
          <w:color w:val="000000"/>
          <w:vertAlign w:val="superscript"/>
          <w:lang w:val="en-US"/>
        </w:rPr>
        <w:t>[8]</w:t>
      </w:r>
      <w:r w:rsidRPr="00E65221">
        <w:rPr>
          <w:rFonts w:ascii="Book Antiqua" w:hAnsi="Book Antiqua"/>
          <w:color w:val="000000"/>
          <w:lang w:val="en-US"/>
        </w:rPr>
        <w:t xml:space="preserve">. Surprisingly, the highest levels of this adipokine were observed in patients with the non-active form of CD. However, results from this study failed to show significant differences in the baseline chemerin concentrations, though serum levels tended to be higher in IBD patients before treatment. </w:t>
      </w:r>
    </w:p>
    <w:p w:rsidR="00C236D6" w:rsidRPr="00E65221" w:rsidRDefault="00C236D6" w:rsidP="006D26CC">
      <w:pPr>
        <w:pStyle w:val="a5"/>
        <w:ind w:firstLine="420"/>
        <w:contextualSpacing/>
        <w:rPr>
          <w:rFonts w:ascii="Book Antiqua" w:hAnsi="Book Antiqua"/>
          <w:color w:val="000000"/>
          <w:lang w:val="en-US"/>
        </w:rPr>
      </w:pPr>
      <w:r w:rsidRPr="00E65221">
        <w:rPr>
          <w:rFonts w:ascii="Book Antiqua" w:hAnsi="Book Antiqua"/>
          <w:color w:val="000000"/>
          <w:lang w:val="en-US"/>
        </w:rPr>
        <w:t>Resistin is a proinflammatory agent, as it stimulates the synthesis and secretion of TNF-</w:t>
      </w:r>
      <w:r w:rsidRPr="00E65221">
        <w:rPr>
          <w:rFonts w:ascii="Book Antiqua" w:hAnsi="Book Antiqua"/>
          <w:color w:val="000000"/>
          <w:lang w:val="en-US"/>
        </w:rPr>
        <w:sym w:font="Symbol" w:char="F061"/>
      </w:r>
      <w:r w:rsidRPr="00E65221">
        <w:rPr>
          <w:rFonts w:ascii="Book Antiqua" w:hAnsi="Book Antiqua"/>
          <w:color w:val="000000"/>
          <w:lang w:val="en-US"/>
        </w:rPr>
        <w:t xml:space="preserve">, IL-12, and adhesive factors upon nuclear factor kappa </w:t>
      </w:r>
      <w:r w:rsidRPr="00E65221">
        <w:rPr>
          <w:rFonts w:ascii="Book Antiqua" w:hAnsi="Book Antiqua" w:cs="Book Antiqua"/>
          <w:color w:val="000000"/>
          <w:lang w:val="en-US"/>
        </w:rPr>
        <w:t></w:t>
      </w:r>
      <w:r w:rsidRPr="00E65221">
        <w:rPr>
          <w:rFonts w:ascii="Book Antiqua" w:hAnsi="Book Antiqua"/>
          <w:color w:val="000000"/>
          <w:lang w:val="en-US"/>
        </w:rPr>
        <w:t xml:space="preserve"> activation</w:t>
      </w:r>
      <w:r w:rsidRPr="00E65221">
        <w:rPr>
          <w:rFonts w:ascii="Book Antiqua" w:hAnsi="Book Antiqua"/>
          <w:color w:val="000000"/>
          <w:vertAlign w:val="superscript"/>
          <w:lang w:val="en-US"/>
        </w:rPr>
        <w:t>[26]</w:t>
      </w:r>
      <w:r w:rsidRPr="00E65221">
        <w:rPr>
          <w:rFonts w:ascii="Book Antiqua" w:hAnsi="Book Antiqua"/>
          <w:color w:val="000000"/>
          <w:lang w:val="en-US"/>
        </w:rPr>
        <w:t>. Expression of resistin in the mesenteric adipose tissue is elevated in patients with severe CD compared to those with colon cancer</w:t>
      </w:r>
      <w:r w:rsidRPr="00E65221">
        <w:rPr>
          <w:rFonts w:ascii="Book Antiqua" w:hAnsi="Book Antiqua"/>
          <w:color w:val="000000"/>
          <w:vertAlign w:val="superscript"/>
          <w:lang w:val="en-US"/>
        </w:rPr>
        <w:t>[27]</w:t>
      </w:r>
      <w:r w:rsidRPr="00E65221">
        <w:rPr>
          <w:rFonts w:ascii="Book Antiqua" w:hAnsi="Book Antiqua"/>
          <w:color w:val="000000"/>
          <w:lang w:val="en-US"/>
        </w:rPr>
        <w:t>. Adipose tissue is not a unique source of resistin as it is also found in mononuclear blood cells, macrophages, and stem cells</w:t>
      </w:r>
      <w:r w:rsidRPr="00E65221">
        <w:rPr>
          <w:rFonts w:ascii="Book Antiqua" w:hAnsi="Book Antiqua"/>
          <w:color w:val="000000"/>
          <w:vertAlign w:val="superscript"/>
          <w:lang w:val="en-US"/>
        </w:rPr>
        <w:t>[28]</w:t>
      </w:r>
      <w:r w:rsidRPr="00E65221">
        <w:rPr>
          <w:rFonts w:ascii="Book Antiqua" w:hAnsi="Book Antiqua"/>
          <w:color w:val="000000"/>
          <w:lang w:val="en-US"/>
        </w:rPr>
        <w:t xml:space="preserve">. The production of resistin by mononuclear cells may be increased by </w:t>
      </w:r>
      <w:r w:rsidRPr="00E65221">
        <w:rPr>
          <w:rFonts w:ascii="Book Antiqua" w:hAnsi="Book Antiqua"/>
          <w:color w:val="000000"/>
          <w:lang w:val="en-US"/>
        </w:rPr>
        <w:lastRenderedPageBreak/>
        <w:t>lipopolysaccharides, TNF-</w:t>
      </w:r>
      <w:r w:rsidRPr="00E65221">
        <w:rPr>
          <w:rFonts w:ascii="Book Antiqua" w:hAnsi="Book Antiqua"/>
          <w:color w:val="000000"/>
          <w:lang w:val="en-US"/>
        </w:rPr>
        <w:sym w:font="Symbol" w:char="F061"/>
      </w:r>
      <w:r w:rsidRPr="00E65221">
        <w:rPr>
          <w:rFonts w:ascii="Book Antiqua" w:hAnsi="Book Antiqua"/>
          <w:color w:val="000000"/>
          <w:lang w:val="en-US"/>
        </w:rPr>
        <w:t>, IL-1, and IL-6</w:t>
      </w:r>
      <w:r w:rsidRPr="00E65221">
        <w:rPr>
          <w:rFonts w:ascii="Book Antiqua" w:hAnsi="Book Antiqua"/>
          <w:color w:val="000000"/>
          <w:vertAlign w:val="superscript"/>
          <w:lang w:val="en-US"/>
        </w:rPr>
        <w:t>[29]</w:t>
      </w:r>
      <w:r w:rsidRPr="00E65221">
        <w:rPr>
          <w:rFonts w:ascii="Book Antiqua" w:hAnsi="Book Antiqua"/>
          <w:color w:val="000000"/>
          <w:lang w:val="en-US"/>
        </w:rPr>
        <w:t xml:space="preserve">. Karmiris </w:t>
      </w:r>
      <w:r w:rsidRPr="00E65221">
        <w:rPr>
          <w:rFonts w:ascii="Book Antiqua" w:hAnsi="Book Antiqua"/>
          <w:i/>
          <w:color w:val="000000"/>
          <w:lang w:val="en-US"/>
        </w:rPr>
        <w:t>et al</w:t>
      </w:r>
      <w:r w:rsidRPr="00E65221">
        <w:rPr>
          <w:rFonts w:ascii="Book Antiqua" w:hAnsi="Book Antiqua"/>
          <w:color w:val="000000"/>
          <w:vertAlign w:val="superscript"/>
          <w:lang w:val="en-US"/>
        </w:rPr>
        <w:t>[19]</w:t>
      </w:r>
      <w:r w:rsidRPr="00E65221">
        <w:rPr>
          <w:rFonts w:ascii="Book Antiqua" w:hAnsi="Book Antiqua"/>
          <w:color w:val="000000"/>
          <w:lang w:val="en-US"/>
        </w:rPr>
        <w:t xml:space="preserve"> reported elevated serum levels of resistin in IBD patients, irrespective of disease type. Consistent with these findings, results of this study found significantly higher serum resistin concentrations in both CD and UC subjects compared to healthy controls. Resistin levels returned to baseline levels following three months of treatment in UC, but not CD, subjects. </w:t>
      </w:r>
    </w:p>
    <w:p w:rsidR="00C236D6" w:rsidRPr="00E65221" w:rsidRDefault="00C236D6" w:rsidP="006D26CC">
      <w:pPr>
        <w:pStyle w:val="a5"/>
        <w:ind w:firstLine="420"/>
        <w:contextualSpacing/>
        <w:rPr>
          <w:rFonts w:ascii="Book Antiqua" w:hAnsi="Book Antiqua"/>
          <w:color w:val="000000"/>
          <w:lang w:val="en-US"/>
        </w:rPr>
      </w:pPr>
      <w:r w:rsidRPr="00E65221">
        <w:rPr>
          <w:rFonts w:ascii="Book Antiqua" w:hAnsi="Book Antiqua"/>
          <w:color w:val="000000"/>
          <w:lang w:val="en-US"/>
        </w:rPr>
        <w:t>Adipose tissue produces large amounts of visfatin. Apart from its role in the regulation of insulin receptor sensitivity</w:t>
      </w:r>
      <w:r w:rsidRPr="00E65221">
        <w:rPr>
          <w:rFonts w:ascii="Book Antiqua" w:hAnsi="Book Antiqua"/>
          <w:color w:val="000000"/>
          <w:vertAlign w:val="superscript"/>
          <w:lang w:val="en-US"/>
        </w:rPr>
        <w:t>[30]</w:t>
      </w:r>
      <w:r w:rsidRPr="00E65221">
        <w:rPr>
          <w:rFonts w:ascii="Book Antiqua" w:hAnsi="Book Antiqua"/>
          <w:color w:val="000000"/>
          <w:lang w:val="en-US"/>
        </w:rPr>
        <w:t>, visfatin also inhibits apoptosis in a neutrophilic response to inflammatory factors</w:t>
      </w:r>
      <w:r w:rsidRPr="00E65221">
        <w:rPr>
          <w:rFonts w:ascii="Book Antiqua" w:hAnsi="Book Antiqua"/>
          <w:color w:val="000000"/>
          <w:vertAlign w:val="superscript"/>
          <w:lang w:val="en-US"/>
        </w:rPr>
        <w:t>[31]</w:t>
      </w:r>
      <w:r w:rsidRPr="00E65221">
        <w:rPr>
          <w:rFonts w:ascii="Book Antiqua" w:hAnsi="Book Antiqua"/>
          <w:color w:val="000000"/>
          <w:lang w:val="en-US"/>
        </w:rPr>
        <w:t>, and induces the synthesis of interleukins by CD14+ monocytes</w:t>
      </w:r>
      <w:r w:rsidRPr="00E65221">
        <w:rPr>
          <w:rFonts w:ascii="Book Antiqua" w:hAnsi="Book Antiqua"/>
          <w:color w:val="000000"/>
          <w:vertAlign w:val="superscript"/>
          <w:lang w:val="en-US"/>
        </w:rPr>
        <w:t>[5]</w:t>
      </w:r>
      <w:r w:rsidRPr="00E65221">
        <w:rPr>
          <w:rFonts w:ascii="Book Antiqua" w:hAnsi="Book Antiqua"/>
          <w:color w:val="000000"/>
          <w:lang w:val="en-US"/>
        </w:rPr>
        <w:t>. Increased serum concentrations of visfatin have been detected during active IBD symptoms</w:t>
      </w:r>
      <w:r w:rsidRPr="00E65221">
        <w:rPr>
          <w:rFonts w:ascii="Book Antiqua" w:hAnsi="Book Antiqua"/>
          <w:color w:val="000000"/>
          <w:vertAlign w:val="superscript"/>
          <w:lang w:val="en-US"/>
        </w:rPr>
        <w:t>[9]</w:t>
      </w:r>
      <w:r w:rsidRPr="00E65221">
        <w:rPr>
          <w:rFonts w:ascii="Book Antiqua" w:hAnsi="Book Antiqua"/>
          <w:color w:val="000000"/>
          <w:lang w:val="en-US"/>
        </w:rPr>
        <w:t xml:space="preserve"> and correlate with indices of IBD activity</w:t>
      </w:r>
      <w:r w:rsidRPr="00E65221">
        <w:rPr>
          <w:rFonts w:ascii="Book Antiqua" w:hAnsi="Book Antiqua"/>
          <w:color w:val="000000"/>
          <w:vertAlign w:val="superscript"/>
          <w:lang w:val="en-US"/>
        </w:rPr>
        <w:t>[32]</w:t>
      </w:r>
      <w:r w:rsidRPr="00E65221">
        <w:rPr>
          <w:rFonts w:ascii="Book Antiqua" w:hAnsi="Book Antiqua"/>
          <w:color w:val="000000"/>
          <w:lang w:val="en-US"/>
        </w:rPr>
        <w:t xml:space="preserve">. The findings of the present study confirm this role of visfatin in IBD, as levels were significantly higher in CD and UC subjects compared with healthy controls. Moreover, three months of treatment significantly lowered visfatin levels in CD subjects, indicating that azathioprine-mediated immunosuppression affects the visfatin level. </w:t>
      </w:r>
    </w:p>
    <w:p w:rsidR="00C236D6" w:rsidRPr="00E65221" w:rsidRDefault="00C236D6" w:rsidP="006D26CC">
      <w:pPr>
        <w:pStyle w:val="a5"/>
        <w:ind w:firstLine="420"/>
        <w:contextualSpacing/>
        <w:rPr>
          <w:rFonts w:ascii="Book Antiqua" w:hAnsi="Book Antiqua"/>
          <w:color w:val="000000"/>
          <w:lang w:val="en-US"/>
        </w:rPr>
      </w:pPr>
      <w:r w:rsidRPr="00E65221">
        <w:rPr>
          <w:rFonts w:ascii="Book Antiqua" w:hAnsi="Book Antiqua"/>
          <w:color w:val="000000"/>
          <w:lang w:val="en-US"/>
        </w:rPr>
        <w:t xml:space="preserve">In summary, bowel inflammation is responsible for elevation of serum levels of some adipokines (resistin, visfatin), while others are not significantly altered (adiponectin, chemerin) or are even suppressed (leptin). In general, the treatment of IBD led to a normalization of adipokine serum levels, though it is unknown if the improvement in leptin and visfatin levels observed only in CD patients is related to disease specificity or the use of azathioprine. Overall, the findings suggest that adipokines are involved in the pathogenesis of IBD. However, the lack of a direct correlation between serum levels and IBD activity implies that adipokines are modulators rather than determinants of IBD severity. </w:t>
      </w:r>
    </w:p>
    <w:p w:rsidR="00C236D6" w:rsidRPr="00E65221" w:rsidRDefault="00C236D6" w:rsidP="006D26CC">
      <w:pPr>
        <w:spacing w:line="360" w:lineRule="auto"/>
        <w:rPr>
          <w:rFonts w:ascii="Book Antiqua" w:hAnsi="Book Antiqua" w:cs="ArialNarrow"/>
          <w:b/>
          <w:color w:val="000000"/>
          <w:lang w:val="en-US"/>
        </w:rPr>
      </w:pPr>
    </w:p>
    <w:p w:rsidR="00C236D6" w:rsidRPr="00E65221" w:rsidRDefault="00C236D6" w:rsidP="006D26CC">
      <w:pPr>
        <w:spacing w:line="360" w:lineRule="auto"/>
        <w:rPr>
          <w:rFonts w:ascii="Book Antiqua" w:hAnsi="Book Antiqua" w:cs="ArialNarrow"/>
          <w:b/>
          <w:color w:val="000000"/>
          <w:lang w:val="en-US"/>
        </w:rPr>
      </w:pPr>
      <w:r w:rsidRPr="00E65221">
        <w:rPr>
          <w:rFonts w:ascii="Book Antiqua" w:hAnsi="Book Antiqua" w:cs="ArialNarrow"/>
          <w:b/>
          <w:color w:val="000000"/>
          <w:lang w:val="en-US"/>
        </w:rPr>
        <w:t>COMMENTS</w:t>
      </w:r>
    </w:p>
    <w:p w:rsidR="00C236D6" w:rsidRPr="00E65221" w:rsidRDefault="00C236D6" w:rsidP="006D26CC">
      <w:pPr>
        <w:spacing w:line="360" w:lineRule="auto"/>
        <w:rPr>
          <w:rFonts w:ascii="Book Antiqua" w:hAnsi="Book Antiqua" w:cs="ArialNarrow"/>
          <w:b/>
          <w:i/>
          <w:color w:val="000000"/>
          <w:lang w:val="en-US"/>
        </w:rPr>
      </w:pPr>
      <w:r w:rsidRPr="00E65221">
        <w:rPr>
          <w:rFonts w:ascii="Book Antiqua" w:hAnsi="Book Antiqua" w:cs="ArialNarrow"/>
          <w:b/>
          <w:i/>
          <w:color w:val="000000"/>
          <w:lang w:val="en-US"/>
        </w:rPr>
        <w:t>Background</w:t>
      </w:r>
    </w:p>
    <w:p w:rsidR="00C236D6" w:rsidRPr="00E65221" w:rsidRDefault="00C236D6" w:rsidP="006D26CC">
      <w:pPr>
        <w:spacing w:line="360" w:lineRule="auto"/>
        <w:jc w:val="both"/>
        <w:rPr>
          <w:rFonts w:ascii="Book Antiqua" w:hAnsi="Book Antiqua"/>
          <w:color w:val="000000"/>
          <w:lang w:val="en-US"/>
        </w:rPr>
      </w:pPr>
      <w:r w:rsidRPr="00E65221">
        <w:rPr>
          <w:rFonts w:ascii="Book Antiqua" w:hAnsi="Book Antiqua"/>
          <w:color w:val="000000"/>
          <w:lang w:val="en-US"/>
        </w:rPr>
        <w:t xml:space="preserve">Severe inflammatory reactions localized in the bowel wall may extend into surrounding visceral adipose tissue. Activated adipocytes may in turn produce numerous adipokines modulating inflammatory bowel disease (IBD) activity. </w:t>
      </w:r>
      <w:r w:rsidRPr="00E65221">
        <w:rPr>
          <w:rFonts w:ascii="Book Antiqua" w:hAnsi="Book Antiqua"/>
          <w:color w:val="000000"/>
          <w:lang w:val="en-US"/>
        </w:rPr>
        <w:lastRenderedPageBreak/>
        <w:t xml:space="preserve">However, this relationship between serum adipokine levels and IBD activity is poorly understood. </w:t>
      </w:r>
    </w:p>
    <w:p w:rsidR="00C236D6" w:rsidRPr="00E65221" w:rsidRDefault="00C236D6" w:rsidP="006D26CC">
      <w:pPr>
        <w:autoSpaceDE w:val="0"/>
        <w:autoSpaceDN w:val="0"/>
        <w:adjustRightInd w:val="0"/>
        <w:spacing w:line="360" w:lineRule="auto"/>
        <w:rPr>
          <w:rFonts w:ascii="Book Antiqua" w:hAnsi="Book Antiqua" w:cs="ArialNarrow-BoldItalic"/>
          <w:b/>
          <w:bCs/>
          <w:i/>
          <w:iCs/>
          <w:color w:val="000000"/>
          <w:lang w:val="en-US"/>
        </w:rPr>
      </w:pPr>
    </w:p>
    <w:p w:rsidR="00C236D6" w:rsidRPr="00E65221" w:rsidRDefault="00C236D6" w:rsidP="006D26CC">
      <w:pPr>
        <w:autoSpaceDE w:val="0"/>
        <w:autoSpaceDN w:val="0"/>
        <w:adjustRightInd w:val="0"/>
        <w:spacing w:line="360" w:lineRule="auto"/>
        <w:rPr>
          <w:rFonts w:ascii="Book Antiqua" w:hAnsi="Book Antiqua" w:cs="ArialNarrow-BoldItalic"/>
          <w:b/>
          <w:bCs/>
          <w:i/>
          <w:iCs/>
          <w:color w:val="000000"/>
          <w:lang w:val="en-US"/>
        </w:rPr>
      </w:pPr>
      <w:r w:rsidRPr="00E65221">
        <w:rPr>
          <w:rFonts w:ascii="Book Antiqua" w:hAnsi="Book Antiqua" w:cs="ArialNarrow-BoldItalic"/>
          <w:b/>
          <w:bCs/>
          <w:i/>
          <w:iCs/>
          <w:color w:val="000000"/>
          <w:lang w:val="en-US"/>
        </w:rPr>
        <w:t>Research frontiers</w:t>
      </w:r>
    </w:p>
    <w:p w:rsidR="00C236D6" w:rsidRPr="00E65221" w:rsidRDefault="00C236D6" w:rsidP="006D26CC">
      <w:pPr>
        <w:autoSpaceDE w:val="0"/>
        <w:autoSpaceDN w:val="0"/>
        <w:adjustRightInd w:val="0"/>
        <w:spacing w:line="360" w:lineRule="auto"/>
        <w:jc w:val="both"/>
        <w:rPr>
          <w:rFonts w:ascii="Book Antiqua" w:hAnsi="Book Antiqua" w:cs="ArialNarrow"/>
          <w:color w:val="000000"/>
          <w:lang w:val="en-US"/>
        </w:rPr>
      </w:pPr>
      <w:r w:rsidRPr="00E65221">
        <w:rPr>
          <w:rFonts w:ascii="Book Antiqua" w:hAnsi="Book Antiqua" w:cs="ArialNarrow"/>
          <w:color w:val="000000"/>
          <w:lang w:val="en-US"/>
        </w:rPr>
        <w:t>Although many functions of adipokines in inflammatory diseases have been investigated, their impact on the exacerbation of IBD, as well as the impact of therapy-induced remission on serum levels of adipokines, is unknown.</w:t>
      </w:r>
    </w:p>
    <w:p w:rsidR="00C236D6" w:rsidRPr="00E65221" w:rsidRDefault="00C236D6" w:rsidP="006D26CC">
      <w:pPr>
        <w:autoSpaceDE w:val="0"/>
        <w:autoSpaceDN w:val="0"/>
        <w:adjustRightInd w:val="0"/>
        <w:spacing w:line="360" w:lineRule="auto"/>
        <w:rPr>
          <w:rFonts w:ascii="Book Antiqua" w:hAnsi="Book Antiqua" w:cs="ArialNarrow-BoldItalic"/>
          <w:b/>
          <w:bCs/>
          <w:i/>
          <w:iCs/>
          <w:color w:val="000000"/>
          <w:lang w:val="en-US"/>
        </w:rPr>
      </w:pPr>
    </w:p>
    <w:p w:rsidR="00C236D6" w:rsidRPr="00E65221" w:rsidRDefault="00C236D6" w:rsidP="006D26CC">
      <w:pPr>
        <w:autoSpaceDE w:val="0"/>
        <w:autoSpaceDN w:val="0"/>
        <w:adjustRightInd w:val="0"/>
        <w:spacing w:line="360" w:lineRule="auto"/>
        <w:rPr>
          <w:rFonts w:ascii="Book Antiqua" w:hAnsi="Book Antiqua" w:cs="ArialNarrow-BoldItalic"/>
          <w:b/>
          <w:bCs/>
          <w:i/>
          <w:iCs/>
          <w:color w:val="000000"/>
          <w:lang w:val="en-US"/>
        </w:rPr>
      </w:pPr>
      <w:r w:rsidRPr="00E65221">
        <w:rPr>
          <w:rFonts w:ascii="Book Antiqua" w:hAnsi="Book Antiqua" w:cs="ArialNarrow-BoldItalic"/>
          <w:b/>
          <w:bCs/>
          <w:i/>
          <w:iCs/>
          <w:color w:val="000000"/>
          <w:lang w:val="en-US"/>
        </w:rPr>
        <w:t>Innovations and breakthroughs</w:t>
      </w:r>
    </w:p>
    <w:p w:rsidR="00C236D6" w:rsidRPr="00E65221" w:rsidRDefault="00C236D6" w:rsidP="006D26CC">
      <w:pPr>
        <w:autoSpaceDE w:val="0"/>
        <w:autoSpaceDN w:val="0"/>
        <w:adjustRightInd w:val="0"/>
        <w:spacing w:line="360" w:lineRule="auto"/>
        <w:jc w:val="both"/>
        <w:rPr>
          <w:rFonts w:ascii="Book Antiqua" w:hAnsi="Book Antiqua"/>
          <w:color w:val="000000"/>
          <w:lang w:val="en-US"/>
        </w:rPr>
      </w:pPr>
      <w:r w:rsidRPr="00E65221">
        <w:rPr>
          <w:rFonts w:ascii="Book Antiqua" w:hAnsi="Book Antiqua"/>
          <w:color w:val="000000"/>
          <w:lang w:val="en-US"/>
        </w:rPr>
        <w:t>This study examined serum levels of six adipokines in IBD patients before treatment and after 3 months of immunosuppression leading to clinical remission</w:t>
      </w:r>
      <w:r w:rsidRPr="00E65221">
        <w:rPr>
          <w:rFonts w:ascii="Book Antiqua" w:hAnsi="Book Antiqua" w:cs="ArialNarrow"/>
          <w:color w:val="000000"/>
          <w:lang w:val="en-US"/>
        </w:rPr>
        <w:t xml:space="preserve">. Results indicate that </w:t>
      </w:r>
      <w:r w:rsidRPr="00E65221">
        <w:rPr>
          <w:rFonts w:ascii="Book Antiqua" w:hAnsi="Book Antiqua"/>
          <w:color w:val="000000"/>
          <w:lang w:val="en-US"/>
        </w:rPr>
        <w:t xml:space="preserve">serum adipokine levels differ in IBD patients compared to a healthy population. Their profile and reaction to immunosuppressive treatment seems to depend on type of disease (Crohn’s disease </w:t>
      </w:r>
      <w:r w:rsidRPr="00E65221">
        <w:rPr>
          <w:rFonts w:ascii="Book Antiqua" w:hAnsi="Book Antiqua"/>
          <w:i/>
          <w:color w:val="000000"/>
          <w:lang w:val="en-US"/>
        </w:rPr>
        <w:t>vs</w:t>
      </w:r>
      <w:r w:rsidRPr="00E65221">
        <w:rPr>
          <w:rFonts w:ascii="Book Antiqua" w:hAnsi="Book Antiqua"/>
          <w:color w:val="000000"/>
          <w:lang w:val="en-US"/>
        </w:rPr>
        <w:t xml:space="preserve"> ulcerative colitis) and not clinical indices of IBD activity.</w:t>
      </w:r>
    </w:p>
    <w:p w:rsidR="00C236D6" w:rsidRPr="00E65221" w:rsidRDefault="00C236D6" w:rsidP="006D26CC">
      <w:pPr>
        <w:autoSpaceDE w:val="0"/>
        <w:autoSpaceDN w:val="0"/>
        <w:adjustRightInd w:val="0"/>
        <w:spacing w:line="360" w:lineRule="auto"/>
        <w:jc w:val="both"/>
        <w:rPr>
          <w:rFonts w:ascii="Book Antiqua" w:hAnsi="Book Antiqua"/>
          <w:color w:val="000000"/>
          <w:lang w:val="en-US"/>
        </w:rPr>
      </w:pPr>
    </w:p>
    <w:p w:rsidR="00C236D6" w:rsidRPr="00E65221" w:rsidRDefault="00C236D6" w:rsidP="006D26CC">
      <w:pPr>
        <w:spacing w:line="360" w:lineRule="auto"/>
        <w:jc w:val="both"/>
        <w:rPr>
          <w:rFonts w:ascii="Book Antiqua" w:hAnsi="Book Antiqua"/>
          <w:b/>
          <w:i/>
          <w:color w:val="000000"/>
          <w:lang w:val="en-US"/>
        </w:rPr>
      </w:pPr>
      <w:r w:rsidRPr="00E65221">
        <w:rPr>
          <w:rFonts w:ascii="Book Antiqua" w:hAnsi="Book Antiqua"/>
          <w:b/>
          <w:i/>
          <w:color w:val="000000"/>
          <w:lang w:val="en-US"/>
        </w:rPr>
        <w:t>Applications</w:t>
      </w:r>
    </w:p>
    <w:p w:rsidR="00C236D6" w:rsidRPr="00E65221" w:rsidRDefault="00C236D6" w:rsidP="006D26CC">
      <w:pPr>
        <w:spacing w:line="360" w:lineRule="auto"/>
        <w:jc w:val="both"/>
        <w:rPr>
          <w:rFonts w:ascii="Book Antiqua" w:hAnsi="Book Antiqua"/>
          <w:color w:val="000000"/>
          <w:lang w:val="en-US"/>
        </w:rPr>
      </w:pPr>
      <w:r w:rsidRPr="00E65221">
        <w:rPr>
          <w:rFonts w:ascii="Book Antiqua" w:hAnsi="Book Antiqua"/>
          <w:color w:val="000000"/>
          <w:lang w:val="en-US"/>
        </w:rPr>
        <w:t>Understanding the biochemical and immunological relationship between IBD the surrounding adipose tissue may influence the future therapy of IBD.</w:t>
      </w:r>
    </w:p>
    <w:p w:rsidR="00C236D6" w:rsidRPr="00E65221" w:rsidRDefault="00C236D6" w:rsidP="006D26CC">
      <w:pPr>
        <w:spacing w:line="360" w:lineRule="auto"/>
        <w:jc w:val="both"/>
        <w:rPr>
          <w:rFonts w:ascii="Book Antiqua" w:hAnsi="Book Antiqua"/>
          <w:color w:val="000000"/>
          <w:lang w:val="en-US"/>
        </w:rPr>
      </w:pPr>
    </w:p>
    <w:p w:rsidR="00C236D6" w:rsidRPr="00E65221" w:rsidRDefault="00C236D6" w:rsidP="006D26CC">
      <w:pPr>
        <w:autoSpaceDE w:val="0"/>
        <w:autoSpaceDN w:val="0"/>
        <w:adjustRightInd w:val="0"/>
        <w:spacing w:line="360" w:lineRule="auto"/>
        <w:rPr>
          <w:rFonts w:ascii="Book Antiqua" w:hAnsi="Book Antiqua" w:cs="ArialNarrow-BoldItalic"/>
          <w:b/>
          <w:bCs/>
          <w:i/>
          <w:iCs/>
          <w:color w:val="000000"/>
          <w:lang w:val="en-US"/>
        </w:rPr>
      </w:pPr>
      <w:r w:rsidRPr="00E65221">
        <w:rPr>
          <w:rFonts w:ascii="Book Antiqua" w:hAnsi="Book Antiqua" w:cs="ArialNarrow-BoldItalic"/>
          <w:b/>
          <w:bCs/>
          <w:i/>
          <w:iCs/>
          <w:color w:val="000000"/>
          <w:lang w:val="en-US"/>
        </w:rPr>
        <w:t>Terminology</w:t>
      </w:r>
    </w:p>
    <w:p w:rsidR="00C236D6" w:rsidRPr="00E65221" w:rsidRDefault="00C236D6" w:rsidP="006D26CC">
      <w:pPr>
        <w:autoSpaceDE w:val="0"/>
        <w:autoSpaceDN w:val="0"/>
        <w:adjustRightInd w:val="0"/>
        <w:spacing w:line="360" w:lineRule="auto"/>
        <w:jc w:val="both"/>
        <w:rPr>
          <w:rFonts w:ascii="Book Antiqua" w:hAnsi="Book Antiqua" w:cs="ArialNarrow"/>
          <w:color w:val="000000"/>
          <w:lang w:val="en-US"/>
        </w:rPr>
      </w:pPr>
      <w:r w:rsidRPr="00E65221">
        <w:rPr>
          <w:rFonts w:ascii="Book Antiqua" w:hAnsi="Book Antiqua" w:cs="ArialNarrow"/>
          <w:color w:val="000000"/>
          <w:lang w:val="en-US"/>
        </w:rPr>
        <w:t xml:space="preserve">IBD refers to a group of chronic inflammatory diseases usually involving the ileocecal region (Crohn’s disease) or the large bowel (ulcerative colitis). Adipokines are hormones mostly produced in adipose tissue and have an impact on many metabolic, endocrine and inflammatory pathways. </w:t>
      </w:r>
    </w:p>
    <w:p w:rsidR="00C236D6" w:rsidRPr="00E65221" w:rsidRDefault="00C236D6" w:rsidP="006D26CC">
      <w:pPr>
        <w:autoSpaceDE w:val="0"/>
        <w:autoSpaceDN w:val="0"/>
        <w:adjustRightInd w:val="0"/>
        <w:spacing w:line="360" w:lineRule="auto"/>
        <w:rPr>
          <w:rFonts w:ascii="Book Antiqua" w:hAnsi="Book Antiqua" w:cs="ArialNarrow-BoldItalic"/>
          <w:b/>
          <w:bCs/>
          <w:i/>
          <w:iCs/>
          <w:color w:val="000000"/>
          <w:lang w:val="en-US"/>
        </w:rPr>
      </w:pPr>
    </w:p>
    <w:p w:rsidR="00C236D6" w:rsidRPr="00E65221" w:rsidRDefault="00C236D6" w:rsidP="006D26CC">
      <w:pPr>
        <w:autoSpaceDE w:val="0"/>
        <w:autoSpaceDN w:val="0"/>
        <w:adjustRightInd w:val="0"/>
        <w:spacing w:line="360" w:lineRule="auto"/>
        <w:rPr>
          <w:rFonts w:ascii="Book Antiqua" w:hAnsi="Book Antiqua" w:cs="ArialNarrow-BoldItalic"/>
          <w:b/>
          <w:bCs/>
          <w:i/>
          <w:iCs/>
          <w:color w:val="000000"/>
          <w:lang w:val="en-US"/>
        </w:rPr>
      </w:pPr>
      <w:r w:rsidRPr="00E65221">
        <w:rPr>
          <w:rFonts w:ascii="Book Antiqua" w:hAnsi="Book Antiqua" w:cs="ArialNarrow-BoldItalic"/>
          <w:b/>
          <w:bCs/>
          <w:i/>
          <w:iCs/>
          <w:color w:val="000000"/>
          <w:lang w:val="en-US"/>
        </w:rPr>
        <w:t>Peer review</w:t>
      </w:r>
    </w:p>
    <w:p w:rsidR="00C236D6" w:rsidRPr="00E65221" w:rsidRDefault="00C236D6" w:rsidP="006D26CC">
      <w:pPr>
        <w:autoSpaceDE w:val="0"/>
        <w:autoSpaceDN w:val="0"/>
        <w:adjustRightInd w:val="0"/>
        <w:spacing w:line="360" w:lineRule="auto"/>
        <w:jc w:val="both"/>
        <w:rPr>
          <w:rFonts w:ascii="Book Antiqua" w:hAnsi="Book Antiqua" w:cs="ArialNarrow"/>
          <w:color w:val="000000"/>
          <w:lang w:val="en-US"/>
        </w:rPr>
      </w:pPr>
      <w:r w:rsidRPr="00E65221">
        <w:rPr>
          <w:rFonts w:ascii="Book Antiqua" w:hAnsi="Book Antiqua" w:cs="ArialNarrow"/>
          <w:color w:val="000000"/>
          <w:lang w:val="en-US"/>
        </w:rPr>
        <w:t>This paper reports differential changes in serum levels of adipokines, including adiponectin, leptin, chimerin, resistin, visfatin and TGF-</w:t>
      </w:r>
      <w:r w:rsidRPr="00E65221">
        <w:rPr>
          <w:rFonts w:ascii="Book Antiqua" w:hAnsi="Book Antiqua" w:cs="ArialNarrow"/>
          <w:color w:val="000000"/>
          <w:lang w:val="en-US"/>
        </w:rPr>
        <w:sym w:font="Symbol" w:char="F062"/>
      </w:r>
      <w:r w:rsidRPr="00E65221">
        <w:rPr>
          <w:rFonts w:ascii="Book Antiqua" w:hAnsi="Book Antiqua" w:cs="ArialNarrow"/>
          <w:color w:val="000000"/>
          <w:lang w:val="en-US"/>
        </w:rPr>
        <w:t>1, in individuals with Crohn’s disease and ulcerative colitis, before and after treatment and after achieving clinical remission.</w:t>
      </w:r>
    </w:p>
    <w:p w:rsidR="00C236D6" w:rsidRPr="00E65221" w:rsidRDefault="00C236D6" w:rsidP="006D26CC">
      <w:pPr>
        <w:autoSpaceDE w:val="0"/>
        <w:autoSpaceDN w:val="0"/>
        <w:adjustRightInd w:val="0"/>
        <w:spacing w:line="360" w:lineRule="auto"/>
        <w:jc w:val="both"/>
        <w:rPr>
          <w:rFonts w:ascii="Book Antiqua" w:hAnsi="Book Antiqua"/>
          <w:b/>
          <w:color w:val="000000"/>
          <w:sz w:val="21"/>
          <w:lang w:val="en-US" w:eastAsia="zh-CN"/>
        </w:rPr>
      </w:pPr>
      <w:r w:rsidRPr="00E65221">
        <w:rPr>
          <w:rFonts w:ascii="Book Antiqua" w:hAnsi="Book Antiqua"/>
          <w:b/>
          <w:color w:val="000000"/>
          <w:lang w:val="en-US"/>
        </w:rPr>
        <w:br w:type="page"/>
      </w:r>
      <w:r w:rsidRPr="00E65221">
        <w:rPr>
          <w:rFonts w:ascii="Book Antiqua" w:hAnsi="Book Antiqua"/>
          <w:b/>
          <w:color w:val="000000"/>
          <w:sz w:val="21"/>
          <w:lang w:val="en-US"/>
        </w:rPr>
        <w:lastRenderedPageBreak/>
        <w:t>REFERENCES</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w:t>
      </w:r>
      <w:r w:rsidRPr="00E65221">
        <w:rPr>
          <w:rFonts w:ascii="Book Antiqua" w:hAnsi="Book Antiqua" w:cs="宋体"/>
          <w:color w:val="000000"/>
          <w:sz w:val="21"/>
        </w:rPr>
        <w:t> </w:t>
      </w:r>
      <w:r w:rsidRPr="001802F6">
        <w:rPr>
          <w:rFonts w:ascii="Book Antiqua" w:hAnsi="Book Antiqua" w:cs="宋体"/>
          <w:b/>
          <w:bCs/>
          <w:color w:val="000000"/>
          <w:sz w:val="21"/>
        </w:rPr>
        <w:t>Schäffler A</w:t>
      </w:r>
      <w:r w:rsidRPr="001802F6">
        <w:rPr>
          <w:rFonts w:ascii="Book Antiqua" w:hAnsi="Book Antiqua" w:cs="宋体"/>
          <w:color w:val="000000"/>
          <w:sz w:val="21"/>
        </w:rPr>
        <w:t>, Schölmerich J, Büchler C. Mechanisms of disease: adipocytokines and visceral adipose tissue--emerging role in intestinal and mesenteric diseases.</w:t>
      </w:r>
      <w:r w:rsidRPr="00E65221">
        <w:rPr>
          <w:rFonts w:ascii="Book Antiqua" w:hAnsi="Book Antiqua" w:cs="宋体"/>
          <w:color w:val="000000"/>
          <w:sz w:val="21"/>
        </w:rPr>
        <w:t> </w:t>
      </w:r>
      <w:r w:rsidRPr="001802F6">
        <w:rPr>
          <w:rFonts w:ascii="Book Antiqua" w:hAnsi="Book Antiqua" w:cs="宋体"/>
          <w:i/>
          <w:iCs/>
          <w:color w:val="000000"/>
          <w:sz w:val="21"/>
        </w:rPr>
        <w:t>Nat Clin Pract Gastroenterol Hepatol</w:t>
      </w:r>
      <w:r w:rsidRPr="00E65221">
        <w:rPr>
          <w:rFonts w:ascii="Book Antiqua" w:hAnsi="Book Antiqua" w:cs="宋体"/>
          <w:color w:val="000000"/>
          <w:sz w:val="21"/>
        </w:rPr>
        <w:t> </w:t>
      </w:r>
      <w:r w:rsidRPr="001802F6">
        <w:rPr>
          <w:rFonts w:ascii="Book Antiqua" w:hAnsi="Book Antiqua" w:cs="宋体"/>
          <w:color w:val="000000"/>
          <w:sz w:val="21"/>
        </w:rPr>
        <w:t>2005;</w:t>
      </w:r>
      <w:r w:rsidRPr="00E65221">
        <w:rPr>
          <w:rFonts w:ascii="Book Antiqua" w:hAnsi="Book Antiqua" w:cs="宋体"/>
          <w:color w:val="000000"/>
          <w:sz w:val="21"/>
        </w:rPr>
        <w:t> </w:t>
      </w:r>
      <w:r w:rsidRPr="001802F6">
        <w:rPr>
          <w:rFonts w:ascii="Book Antiqua" w:hAnsi="Book Antiqua" w:cs="宋体"/>
          <w:b/>
          <w:bCs/>
          <w:color w:val="000000"/>
          <w:sz w:val="21"/>
        </w:rPr>
        <w:t>2</w:t>
      </w:r>
      <w:r w:rsidRPr="001802F6">
        <w:rPr>
          <w:rFonts w:ascii="Book Antiqua" w:hAnsi="Book Antiqua" w:cs="宋体"/>
          <w:color w:val="000000"/>
          <w:sz w:val="21"/>
        </w:rPr>
        <w:t>: 103-111 [PMID: 16265128 DOI: 10.1038/ncpgasthep0090]</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w:t>
      </w:r>
      <w:r w:rsidRPr="00E65221">
        <w:rPr>
          <w:rFonts w:ascii="Book Antiqua" w:hAnsi="Book Antiqua" w:cs="宋体"/>
          <w:color w:val="000000"/>
          <w:sz w:val="21"/>
        </w:rPr>
        <w:t> </w:t>
      </w:r>
      <w:r w:rsidRPr="001802F6">
        <w:rPr>
          <w:rFonts w:ascii="Book Antiqua" w:hAnsi="Book Antiqua" w:cs="宋体"/>
          <w:b/>
          <w:bCs/>
          <w:color w:val="000000"/>
          <w:sz w:val="21"/>
        </w:rPr>
        <w:t>Maconi G</w:t>
      </w:r>
      <w:r w:rsidRPr="001802F6">
        <w:rPr>
          <w:rFonts w:ascii="Book Antiqua" w:hAnsi="Book Antiqua" w:cs="宋体"/>
          <w:color w:val="000000"/>
          <w:sz w:val="21"/>
        </w:rPr>
        <w:t>, Greco S, Duca P, Ardizzone S, Massari A, Cassinotti A, Radice E, Porro GB. Prevalence and clinical significance of sonographic evidence of mesenteric fat alterations in Crohn's disease.</w:t>
      </w:r>
      <w:r w:rsidRPr="00E65221">
        <w:rPr>
          <w:rFonts w:ascii="Book Antiqua" w:hAnsi="Book Antiqua" w:cs="宋体"/>
          <w:color w:val="000000"/>
          <w:sz w:val="21"/>
        </w:rPr>
        <w:t> </w:t>
      </w:r>
      <w:r w:rsidRPr="001802F6">
        <w:rPr>
          <w:rFonts w:ascii="Book Antiqua" w:hAnsi="Book Antiqua" w:cs="宋体"/>
          <w:i/>
          <w:iCs/>
          <w:color w:val="000000"/>
          <w:sz w:val="21"/>
        </w:rPr>
        <w:t>Inflamm Bowel Dis</w:t>
      </w:r>
      <w:r w:rsidRPr="00E65221">
        <w:rPr>
          <w:rFonts w:ascii="Book Antiqua" w:hAnsi="Book Antiqua" w:cs="宋体"/>
          <w:color w:val="000000"/>
          <w:sz w:val="21"/>
        </w:rPr>
        <w:t> </w:t>
      </w:r>
      <w:r w:rsidRPr="001802F6">
        <w:rPr>
          <w:rFonts w:ascii="Book Antiqua" w:hAnsi="Book Antiqua" w:cs="宋体"/>
          <w:color w:val="000000"/>
          <w:sz w:val="21"/>
        </w:rPr>
        <w:t>2008;</w:t>
      </w:r>
      <w:r w:rsidRPr="00E65221">
        <w:rPr>
          <w:rFonts w:ascii="Book Antiqua" w:hAnsi="Book Antiqua" w:cs="宋体"/>
          <w:color w:val="000000"/>
          <w:sz w:val="21"/>
        </w:rPr>
        <w:t> </w:t>
      </w:r>
      <w:r w:rsidRPr="001802F6">
        <w:rPr>
          <w:rFonts w:ascii="Book Antiqua" w:hAnsi="Book Antiqua" w:cs="宋体"/>
          <w:b/>
          <w:bCs/>
          <w:color w:val="000000"/>
          <w:sz w:val="21"/>
        </w:rPr>
        <w:t>14</w:t>
      </w:r>
      <w:r w:rsidRPr="001802F6">
        <w:rPr>
          <w:rFonts w:ascii="Book Antiqua" w:hAnsi="Book Antiqua" w:cs="宋体"/>
          <w:color w:val="000000"/>
          <w:sz w:val="21"/>
        </w:rPr>
        <w:t>: 1555-1561 [PMID: 18521926 DOI: 10.1002/ibd.20515]</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3</w:t>
      </w:r>
      <w:r w:rsidRPr="00E65221">
        <w:rPr>
          <w:rFonts w:ascii="Book Antiqua" w:hAnsi="Book Antiqua" w:cs="宋体"/>
          <w:color w:val="000000"/>
          <w:sz w:val="21"/>
        </w:rPr>
        <w:t> </w:t>
      </w:r>
      <w:r w:rsidRPr="001802F6">
        <w:rPr>
          <w:rFonts w:ascii="Book Antiqua" w:hAnsi="Book Antiqua" w:cs="宋体"/>
          <w:b/>
          <w:bCs/>
          <w:color w:val="000000"/>
          <w:sz w:val="21"/>
        </w:rPr>
        <w:t>Barbier M</w:t>
      </w:r>
      <w:r w:rsidRPr="001802F6">
        <w:rPr>
          <w:rFonts w:ascii="Book Antiqua" w:hAnsi="Book Antiqua" w:cs="宋体"/>
          <w:color w:val="000000"/>
          <w:sz w:val="21"/>
        </w:rPr>
        <w:t>, Vidal H, Desreumaux P, Dubuquoy L, Bourreille A, Colombel JF, Cherbut C, Galmiche JP. Overexpression of leptin mRNA in mesenteric adipose tissue in inflammatory bowel diseases.</w:t>
      </w:r>
      <w:r w:rsidRPr="00E65221">
        <w:rPr>
          <w:rFonts w:ascii="Book Antiqua" w:hAnsi="Book Antiqua" w:cs="宋体"/>
          <w:color w:val="000000"/>
          <w:sz w:val="21"/>
        </w:rPr>
        <w:t> </w:t>
      </w:r>
      <w:r w:rsidRPr="001802F6">
        <w:rPr>
          <w:rFonts w:ascii="Book Antiqua" w:hAnsi="Book Antiqua" w:cs="宋体"/>
          <w:i/>
          <w:iCs/>
          <w:color w:val="000000"/>
          <w:sz w:val="21"/>
        </w:rPr>
        <w:t>Gastroenterol Clin Biol</w:t>
      </w:r>
      <w:r w:rsidRPr="00E65221">
        <w:rPr>
          <w:rFonts w:ascii="Book Antiqua" w:hAnsi="Book Antiqua" w:cs="宋体"/>
          <w:color w:val="000000"/>
          <w:sz w:val="21"/>
        </w:rPr>
        <w:t> </w:t>
      </w:r>
      <w:r w:rsidRPr="001802F6">
        <w:rPr>
          <w:rFonts w:ascii="Book Antiqua" w:hAnsi="Book Antiqua" w:cs="宋体"/>
          <w:color w:val="000000"/>
          <w:sz w:val="21"/>
        </w:rPr>
        <w:t>2003;</w:t>
      </w:r>
      <w:r w:rsidRPr="00E65221">
        <w:rPr>
          <w:rFonts w:ascii="Book Antiqua" w:hAnsi="Book Antiqua" w:cs="宋体"/>
          <w:color w:val="000000"/>
          <w:sz w:val="21"/>
        </w:rPr>
        <w:t> </w:t>
      </w:r>
      <w:r w:rsidRPr="001802F6">
        <w:rPr>
          <w:rFonts w:ascii="Book Antiqua" w:hAnsi="Book Antiqua" w:cs="宋体"/>
          <w:b/>
          <w:bCs/>
          <w:color w:val="000000"/>
          <w:sz w:val="21"/>
        </w:rPr>
        <w:t>27</w:t>
      </w:r>
      <w:r w:rsidRPr="001802F6">
        <w:rPr>
          <w:rFonts w:ascii="Book Antiqua" w:hAnsi="Book Antiqua" w:cs="宋体"/>
          <w:color w:val="000000"/>
          <w:sz w:val="21"/>
        </w:rPr>
        <w:t>: 987-991 [PMID: 14732844]</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4</w:t>
      </w:r>
      <w:r w:rsidRPr="00E65221">
        <w:rPr>
          <w:rFonts w:ascii="Book Antiqua" w:hAnsi="Book Antiqua" w:cs="宋体"/>
          <w:color w:val="000000"/>
          <w:sz w:val="21"/>
        </w:rPr>
        <w:t> </w:t>
      </w:r>
      <w:r w:rsidRPr="001802F6">
        <w:rPr>
          <w:rFonts w:ascii="Book Antiqua" w:hAnsi="Book Antiqua" w:cs="宋体"/>
          <w:b/>
          <w:bCs/>
          <w:color w:val="000000"/>
          <w:sz w:val="21"/>
        </w:rPr>
        <w:t>Ahualli J</w:t>
      </w:r>
      <w:r w:rsidRPr="001802F6">
        <w:rPr>
          <w:rFonts w:ascii="Book Antiqua" w:hAnsi="Book Antiqua" w:cs="宋体"/>
          <w:color w:val="000000"/>
          <w:sz w:val="21"/>
        </w:rPr>
        <w:t>. The fat halo sign.</w:t>
      </w:r>
      <w:r w:rsidRPr="00E65221">
        <w:rPr>
          <w:rFonts w:ascii="Book Antiqua" w:hAnsi="Book Antiqua" w:cs="宋体"/>
          <w:color w:val="000000"/>
          <w:sz w:val="21"/>
        </w:rPr>
        <w:t> </w:t>
      </w:r>
      <w:r w:rsidRPr="001802F6">
        <w:rPr>
          <w:rFonts w:ascii="Book Antiqua" w:hAnsi="Book Antiqua" w:cs="宋体"/>
          <w:i/>
          <w:iCs/>
          <w:color w:val="000000"/>
          <w:sz w:val="21"/>
        </w:rPr>
        <w:t>Radiology</w:t>
      </w:r>
      <w:r w:rsidRPr="00E65221">
        <w:rPr>
          <w:rFonts w:ascii="Book Antiqua" w:hAnsi="Book Antiqua" w:cs="宋体"/>
          <w:color w:val="000000"/>
          <w:sz w:val="21"/>
        </w:rPr>
        <w:t> </w:t>
      </w:r>
      <w:r w:rsidRPr="001802F6">
        <w:rPr>
          <w:rFonts w:ascii="Book Antiqua" w:hAnsi="Book Antiqua" w:cs="宋体"/>
          <w:color w:val="000000"/>
          <w:sz w:val="21"/>
        </w:rPr>
        <w:t>2007;</w:t>
      </w:r>
      <w:r w:rsidRPr="00E65221">
        <w:rPr>
          <w:rFonts w:ascii="Book Antiqua" w:hAnsi="Book Antiqua" w:cs="宋体"/>
          <w:color w:val="000000"/>
          <w:sz w:val="21"/>
        </w:rPr>
        <w:t> </w:t>
      </w:r>
      <w:r w:rsidRPr="001802F6">
        <w:rPr>
          <w:rFonts w:ascii="Book Antiqua" w:hAnsi="Book Antiqua" w:cs="宋体"/>
          <w:b/>
          <w:bCs/>
          <w:color w:val="000000"/>
          <w:sz w:val="21"/>
        </w:rPr>
        <w:t>242</w:t>
      </w:r>
      <w:r w:rsidRPr="001802F6">
        <w:rPr>
          <w:rFonts w:ascii="Book Antiqua" w:hAnsi="Book Antiqua" w:cs="宋体"/>
          <w:color w:val="000000"/>
          <w:sz w:val="21"/>
        </w:rPr>
        <w:t>: 945-946 [PMID: 17325078 DOI: 10.1148/radiol.2423041600]</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5</w:t>
      </w:r>
      <w:r w:rsidRPr="00E65221">
        <w:rPr>
          <w:rFonts w:ascii="Book Antiqua" w:hAnsi="Book Antiqua" w:cs="宋体"/>
          <w:color w:val="000000"/>
          <w:sz w:val="21"/>
        </w:rPr>
        <w:t> </w:t>
      </w:r>
      <w:r w:rsidRPr="001802F6">
        <w:rPr>
          <w:rFonts w:ascii="Book Antiqua" w:hAnsi="Book Antiqua" w:cs="宋体"/>
          <w:b/>
          <w:bCs/>
          <w:color w:val="000000"/>
          <w:sz w:val="21"/>
        </w:rPr>
        <w:t>Moschen AR</w:t>
      </w:r>
      <w:r w:rsidRPr="001802F6">
        <w:rPr>
          <w:rFonts w:ascii="Book Antiqua" w:hAnsi="Book Antiqua" w:cs="宋体"/>
          <w:color w:val="000000"/>
          <w:sz w:val="21"/>
        </w:rPr>
        <w:t>, Kaser A, Enrich B, Mosheimer B, Theurl M, Niederegger H, Tilg H. Visfatin, an adipocytokine with proinflammatory and immunomodulating properties.</w:t>
      </w:r>
      <w:r w:rsidRPr="00E65221">
        <w:rPr>
          <w:rFonts w:ascii="Book Antiqua" w:hAnsi="Book Antiqua" w:cs="宋体"/>
          <w:color w:val="000000"/>
          <w:sz w:val="21"/>
        </w:rPr>
        <w:t> </w:t>
      </w:r>
      <w:r w:rsidRPr="001802F6">
        <w:rPr>
          <w:rFonts w:ascii="Book Antiqua" w:hAnsi="Book Antiqua" w:cs="宋体"/>
          <w:i/>
          <w:iCs/>
          <w:color w:val="000000"/>
          <w:sz w:val="21"/>
        </w:rPr>
        <w:t>J Immunol</w:t>
      </w:r>
      <w:r w:rsidRPr="00E65221">
        <w:rPr>
          <w:rFonts w:ascii="Book Antiqua" w:hAnsi="Book Antiqua" w:cs="宋体"/>
          <w:color w:val="000000"/>
          <w:sz w:val="21"/>
        </w:rPr>
        <w:t> </w:t>
      </w:r>
      <w:r w:rsidRPr="001802F6">
        <w:rPr>
          <w:rFonts w:ascii="Book Antiqua" w:hAnsi="Book Antiqua" w:cs="宋体"/>
          <w:color w:val="000000"/>
          <w:sz w:val="21"/>
        </w:rPr>
        <w:t>2007;</w:t>
      </w:r>
      <w:r w:rsidRPr="00E65221">
        <w:rPr>
          <w:rFonts w:ascii="Book Antiqua" w:hAnsi="Book Antiqua" w:cs="宋体"/>
          <w:color w:val="000000"/>
          <w:sz w:val="21"/>
        </w:rPr>
        <w:t> </w:t>
      </w:r>
      <w:r w:rsidRPr="001802F6">
        <w:rPr>
          <w:rFonts w:ascii="Book Antiqua" w:hAnsi="Book Antiqua" w:cs="宋体"/>
          <w:b/>
          <w:bCs/>
          <w:color w:val="000000"/>
          <w:sz w:val="21"/>
        </w:rPr>
        <w:t>178</w:t>
      </w:r>
      <w:r w:rsidRPr="001802F6">
        <w:rPr>
          <w:rFonts w:ascii="Book Antiqua" w:hAnsi="Book Antiqua" w:cs="宋体"/>
          <w:color w:val="000000"/>
          <w:sz w:val="21"/>
        </w:rPr>
        <w:t>: 1748-1758 [PMID: 17237424]</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6</w:t>
      </w:r>
      <w:r w:rsidRPr="00E65221">
        <w:rPr>
          <w:rFonts w:ascii="Book Antiqua" w:hAnsi="Book Antiqua" w:cs="宋体"/>
          <w:color w:val="000000"/>
          <w:sz w:val="21"/>
        </w:rPr>
        <w:t> </w:t>
      </w:r>
      <w:r w:rsidRPr="001802F6">
        <w:rPr>
          <w:rFonts w:ascii="Book Antiqua" w:hAnsi="Book Antiqua" w:cs="宋体"/>
          <w:b/>
          <w:bCs/>
          <w:color w:val="000000"/>
          <w:sz w:val="21"/>
        </w:rPr>
        <w:t>Luk T</w:t>
      </w:r>
      <w:r w:rsidRPr="001802F6">
        <w:rPr>
          <w:rFonts w:ascii="Book Antiqua" w:hAnsi="Book Antiqua" w:cs="宋体"/>
          <w:color w:val="000000"/>
          <w:sz w:val="21"/>
        </w:rPr>
        <w:t>, Malam Z, Marshall JC. Pre-B cell colony-enhancing factor (PBEF)/visfatin: a novel mediator of innate immunity.</w:t>
      </w:r>
      <w:r w:rsidRPr="00E65221">
        <w:rPr>
          <w:rFonts w:ascii="Book Antiqua" w:hAnsi="Book Antiqua" w:cs="宋体"/>
          <w:color w:val="000000"/>
          <w:sz w:val="21"/>
        </w:rPr>
        <w:t> </w:t>
      </w:r>
      <w:r w:rsidRPr="001802F6">
        <w:rPr>
          <w:rFonts w:ascii="Book Antiqua" w:hAnsi="Book Antiqua" w:cs="宋体"/>
          <w:i/>
          <w:iCs/>
          <w:color w:val="000000"/>
          <w:sz w:val="21"/>
        </w:rPr>
        <w:t>J Leukoc Biol</w:t>
      </w:r>
      <w:r w:rsidRPr="00E65221">
        <w:rPr>
          <w:rFonts w:ascii="Book Antiqua" w:hAnsi="Book Antiqua" w:cs="宋体"/>
          <w:color w:val="000000"/>
          <w:sz w:val="21"/>
        </w:rPr>
        <w:t> </w:t>
      </w:r>
      <w:r w:rsidRPr="001802F6">
        <w:rPr>
          <w:rFonts w:ascii="Book Antiqua" w:hAnsi="Book Antiqua" w:cs="宋体"/>
          <w:color w:val="000000"/>
          <w:sz w:val="21"/>
        </w:rPr>
        <w:t>2008;</w:t>
      </w:r>
      <w:r w:rsidRPr="00E65221">
        <w:rPr>
          <w:rFonts w:ascii="Book Antiqua" w:hAnsi="Book Antiqua" w:cs="宋体"/>
          <w:color w:val="000000"/>
          <w:sz w:val="21"/>
        </w:rPr>
        <w:t> </w:t>
      </w:r>
      <w:r w:rsidRPr="001802F6">
        <w:rPr>
          <w:rFonts w:ascii="Book Antiqua" w:hAnsi="Book Antiqua" w:cs="宋体"/>
          <w:b/>
          <w:bCs/>
          <w:color w:val="000000"/>
          <w:sz w:val="21"/>
        </w:rPr>
        <w:t>83</w:t>
      </w:r>
      <w:r w:rsidRPr="001802F6">
        <w:rPr>
          <w:rFonts w:ascii="Book Antiqua" w:hAnsi="Book Antiqua" w:cs="宋体"/>
          <w:color w:val="000000"/>
          <w:sz w:val="21"/>
        </w:rPr>
        <w:t>: 804-816 [PMID: 18252866 DOI: 10.1189/jlb.0807581]</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7</w:t>
      </w:r>
      <w:r w:rsidRPr="00E65221">
        <w:rPr>
          <w:rFonts w:ascii="Book Antiqua" w:hAnsi="Book Antiqua" w:cs="宋体"/>
          <w:color w:val="000000"/>
          <w:sz w:val="21"/>
        </w:rPr>
        <w:t> </w:t>
      </w:r>
      <w:r w:rsidRPr="001802F6">
        <w:rPr>
          <w:rFonts w:ascii="Book Antiqua" w:hAnsi="Book Antiqua" w:cs="宋体"/>
          <w:b/>
          <w:bCs/>
          <w:color w:val="000000"/>
          <w:sz w:val="21"/>
        </w:rPr>
        <w:t>Tilg H</w:t>
      </w:r>
      <w:r w:rsidRPr="001802F6">
        <w:rPr>
          <w:rFonts w:ascii="Book Antiqua" w:hAnsi="Book Antiqua" w:cs="宋体"/>
          <w:color w:val="000000"/>
          <w:sz w:val="21"/>
        </w:rPr>
        <w:t>, Moschen AR. Role of adiponectin and PBEF/visfatin as regulators of inflammation: involvement in obesity-associated diseases.</w:t>
      </w:r>
      <w:r w:rsidRPr="00E65221">
        <w:rPr>
          <w:rFonts w:ascii="Book Antiqua" w:hAnsi="Book Antiqua" w:cs="宋体"/>
          <w:color w:val="000000"/>
          <w:sz w:val="21"/>
        </w:rPr>
        <w:t> </w:t>
      </w:r>
      <w:r w:rsidRPr="001802F6">
        <w:rPr>
          <w:rFonts w:ascii="Book Antiqua" w:hAnsi="Book Antiqua" w:cs="宋体"/>
          <w:i/>
          <w:iCs/>
          <w:color w:val="000000"/>
          <w:sz w:val="21"/>
        </w:rPr>
        <w:t xml:space="preserve">Clin Sci </w:t>
      </w:r>
      <w:r w:rsidRPr="001802F6">
        <w:rPr>
          <w:rFonts w:ascii="Book Antiqua" w:hAnsi="Book Antiqua" w:cs="宋体"/>
          <w:iCs/>
          <w:color w:val="000000"/>
          <w:sz w:val="21"/>
        </w:rPr>
        <w:t>(Lond)</w:t>
      </w:r>
      <w:r w:rsidRPr="00E65221">
        <w:rPr>
          <w:rFonts w:ascii="Book Antiqua" w:hAnsi="Book Antiqua" w:cs="宋体"/>
          <w:color w:val="000000"/>
          <w:sz w:val="21"/>
        </w:rPr>
        <w:t> </w:t>
      </w:r>
      <w:r w:rsidRPr="001802F6">
        <w:rPr>
          <w:rFonts w:ascii="Book Antiqua" w:hAnsi="Book Antiqua" w:cs="宋体"/>
          <w:color w:val="000000"/>
          <w:sz w:val="21"/>
        </w:rPr>
        <w:t>2008;</w:t>
      </w:r>
      <w:r w:rsidRPr="00E65221">
        <w:rPr>
          <w:rFonts w:ascii="Book Antiqua" w:hAnsi="Book Antiqua" w:cs="宋体"/>
          <w:color w:val="000000"/>
          <w:sz w:val="21"/>
        </w:rPr>
        <w:t> </w:t>
      </w:r>
      <w:r w:rsidRPr="001802F6">
        <w:rPr>
          <w:rFonts w:ascii="Book Antiqua" w:hAnsi="Book Antiqua" w:cs="宋体"/>
          <w:b/>
          <w:bCs/>
          <w:color w:val="000000"/>
          <w:sz w:val="21"/>
        </w:rPr>
        <w:t>114</w:t>
      </w:r>
      <w:r w:rsidRPr="001802F6">
        <w:rPr>
          <w:rFonts w:ascii="Book Antiqua" w:hAnsi="Book Antiqua" w:cs="宋体"/>
          <w:color w:val="000000"/>
          <w:sz w:val="21"/>
        </w:rPr>
        <w:t>: 275-288 [PMID: 18194136 DOI: 10.1042/CS20070196]</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8</w:t>
      </w:r>
      <w:r w:rsidRPr="00E65221">
        <w:rPr>
          <w:rFonts w:ascii="Book Antiqua" w:hAnsi="Book Antiqua" w:cs="宋体"/>
          <w:color w:val="000000"/>
          <w:sz w:val="21"/>
        </w:rPr>
        <w:t> </w:t>
      </w:r>
      <w:r w:rsidRPr="001802F6">
        <w:rPr>
          <w:rFonts w:ascii="Book Antiqua" w:hAnsi="Book Antiqua" w:cs="宋体"/>
          <w:b/>
          <w:bCs/>
          <w:color w:val="000000"/>
          <w:sz w:val="21"/>
        </w:rPr>
        <w:t>Weigert J</w:t>
      </w:r>
      <w:r w:rsidRPr="001802F6">
        <w:rPr>
          <w:rFonts w:ascii="Book Antiqua" w:hAnsi="Book Antiqua" w:cs="宋体"/>
          <w:color w:val="000000"/>
          <w:sz w:val="21"/>
        </w:rPr>
        <w:t>, Obermeier F, Neumeier M, Wanninger J, Filarsky M, Bauer S, Aslanidis C, Rogler G, Ott C, Schäffler A, Schölmerich J, Buechler C. Circulating levels of chemerin and adiponectin are higher in ulcerative colitis and chemerin is elevated in Crohn's disease.</w:t>
      </w:r>
      <w:r w:rsidRPr="00E65221">
        <w:rPr>
          <w:rFonts w:ascii="Book Antiqua" w:hAnsi="Book Antiqua" w:cs="宋体"/>
          <w:color w:val="000000"/>
          <w:sz w:val="21"/>
        </w:rPr>
        <w:t> </w:t>
      </w:r>
      <w:r w:rsidRPr="001802F6">
        <w:rPr>
          <w:rFonts w:ascii="Book Antiqua" w:hAnsi="Book Antiqua" w:cs="宋体"/>
          <w:i/>
          <w:iCs/>
          <w:color w:val="000000"/>
          <w:sz w:val="21"/>
        </w:rPr>
        <w:t>Inflamm Bowel Dis</w:t>
      </w:r>
      <w:r w:rsidRPr="00E65221">
        <w:rPr>
          <w:rFonts w:ascii="Book Antiqua" w:hAnsi="Book Antiqua" w:cs="宋体"/>
          <w:color w:val="000000"/>
          <w:sz w:val="21"/>
        </w:rPr>
        <w:t> </w:t>
      </w:r>
      <w:r w:rsidRPr="001802F6">
        <w:rPr>
          <w:rFonts w:ascii="Book Antiqua" w:hAnsi="Book Antiqua" w:cs="宋体"/>
          <w:color w:val="000000"/>
          <w:sz w:val="21"/>
        </w:rPr>
        <w:t>2010;</w:t>
      </w:r>
      <w:r w:rsidRPr="00E65221">
        <w:rPr>
          <w:rFonts w:ascii="Book Antiqua" w:hAnsi="Book Antiqua" w:cs="宋体"/>
          <w:color w:val="000000"/>
          <w:sz w:val="21"/>
        </w:rPr>
        <w:t> </w:t>
      </w:r>
      <w:r w:rsidRPr="001802F6">
        <w:rPr>
          <w:rFonts w:ascii="Book Antiqua" w:hAnsi="Book Antiqua" w:cs="宋体"/>
          <w:b/>
          <w:bCs/>
          <w:color w:val="000000"/>
          <w:sz w:val="21"/>
        </w:rPr>
        <w:t>16</w:t>
      </w:r>
      <w:r w:rsidRPr="001802F6">
        <w:rPr>
          <w:rFonts w:ascii="Book Antiqua" w:hAnsi="Book Antiqua" w:cs="宋体"/>
          <w:color w:val="000000"/>
          <w:sz w:val="21"/>
        </w:rPr>
        <w:t>: 630-637 [PMID: 19714754 DOI: 10.1002/ibd.21091]</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9</w:t>
      </w:r>
      <w:r w:rsidRPr="00E65221">
        <w:rPr>
          <w:rFonts w:ascii="Book Antiqua" w:hAnsi="Book Antiqua" w:cs="宋体"/>
          <w:color w:val="000000"/>
          <w:sz w:val="21"/>
        </w:rPr>
        <w:t> </w:t>
      </w:r>
      <w:r w:rsidRPr="001802F6">
        <w:rPr>
          <w:rFonts w:ascii="Book Antiqua" w:hAnsi="Book Antiqua" w:cs="宋体"/>
          <w:b/>
          <w:bCs/>
          <w:color w:val="000000"/>
          <w:sz w:val="21"/>
        </w:rPr>
        <w:t>Valentini L</w:t>
      </w:r>
      <w:r w:rsidRPr="001802F6">
        <w:rPr>
          <w:rFonts w:ascii="Book Antiqua" w:hAnsi="Book Antiqua" w:cs="宋体"/>
          <w:color w:val="000000"/>
          <w:sz w:val="21"/>
        </w:rPr>
        <w:t>, Wirth EK, Schweizer U, Hengstermann S, Schaper L, Koernicke T, Dietz E, Norman K, Buning C, Winklhofer-Roob BM, Lochs H, Ockenga J. Circulating adipokines and the protective effects of hyperinsulinemia in inflammatory bowel disease.</w:t>
      </w:r>
      <w:r w:rsidRPr="00E65221">
        <w:rPr>
          <w:rFonts w:ascii="Book Antiqua" w:hAnsi="Book Antiqua" w:cs="宋体"/>
          <w:color w:val="000000"/>
          <w:sz w:val="21"/>
        </w:rPr>
        <w:t> </w:t>
      </w:r>
      <w:r w:rsidRPr="001802F6">
        <w:rPr>
          <w:rFonts w:ascii="Book Antiqua" w:hAnsi="Book Antiqua" w:cs="宋体"/>
          <w:i/>
          <w:iCs/>
          <w:color w:val="000000"/>
          <w:sz w:val="21"/>
        </w:rPr>
        <w:t>Nutrition</w:t>
      </w:r>
      <w:r w:rsidRPr="00E65221">
        <w:rPr>
          <w:rFonts w:ascii="Book Antiqua" w:hAnsi="Book Antiqua" w:cs="宋体"/>
          <w:color w:val="000000"/>
          <w:sz w:val="21"/>
        </w:rPr>
        <w:t> </w:t>
      </w:r>
      <w:r w:rsidRPr="001802F6">
        <w:rPr>
          <w:rFonts w:ascii="Book Antiqua" w:hAnsi="Book Antiqua" w:cs="宋体"/>
          <w:color w:val="000000"/>
          <w:sz w:val="21"/>
        </w:rPr>
        <w:t>2009;</w:t>
      </w:r>
      <w:r w:rsidRPr="00E65221">
        <w:rPr>
          <w:rFonts w:ascii="Book Antiqua" w:hAnsi="Book Antiqua" w:cs="宋体"/>
          <w:color w:val="000000"/>
          <w:sz w:val="21"/>
        </w:rPr>
        <w:t> </w:t>
      </w:r>
      <w:r w:rsidRPr="001802F6">
        <w:rPr>
          <w:rFonts w:ascii="Book Antiqua" w:hAnsi="Book Antiqua" w:cs="宋体"/>
          <w:b/>
          <w:bCs/>
          <w:color w:val="000000"/>
          <w:sz w:val="21"/>
        </w:rPr>
        <w:t>25</w:t>
      </w:r>
      <w:r w:rsidRPr="001802F6">
        <w:rPr>
          <w:rFonts w:ascii="Book Antiqua" w:hAnsi="Book Antiqua" w:cs="宋体"/>
          <w:color w:val="000000"/>
          <w:sz w:val="21"/>
        </w:rPr>
        <w:t>: 172-181 [PMID: 18849144 DOI: 10.1016/j.nut.2008.07.020]</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10</w:t>
      </w:r>
      <w:r w:rsidRPr="00E65221">
        <w:rPr>
          <w:rFonts w:ascii="Book Antiqua" w:hAnsi="Book Antiqua" w:cs="宋体"/>
          <w:color w:val="000000"/>
          <w:sz w:val="21"/>
        </w:rPr>
        <w:t> </w:t>
      </w:r>
      <w:r w:rsidRPr="001802F6">
        <w:rPr>
          <w:rFonts w:ascii="Book Antiqua" w:hAnsi="Book Antiqua" w:cs="宋体"/>
          <w:b/>
          <w:bCs/>
          <w:color w:val="000000"/>
          <w:sz w:val="21"/>
        </w:rPr>
        <w:t>Satsangi J</w:t>
      </w:r>
      <w:r w:rsidRPr="001802F6">
        <w:rPr>
          <w:rFonts w:ascii="Book Antiqua" w:hAnsi="Book Antiqua" w:cs="宋体"/>
          <w:color w:val="000000"/>
          <w:sz w:val="21"/>
        </w:rPr>
        <w:t>, Silverberg MS, Vermeire S, Colombel JF. The Montreal classification of inflammatory bowel disease: controversies, consensus, and implications.</w:t>
      </w:r>
      <w:r w:rsidRPr="00E65221">
        <w:rPr>
          <w:rFonts w:ascii="Book Antiqua" w:hAnsi="Book Antiqua" w:cs="宋体"/>
          <w:color w:val="000000"/>
          <w:sz w:val="21"/>
        </w:rPr>
        <w:t> </w:t>
      </w:r>
      <w:r w:rsidRPr="001802F6">
        <w:rPr>
          <w:rFonts w:ascii="Book Antiqua" w:hAnsi="Book Antiqua" w:cs="宋体"/>
          <w:i/>
          <w:iCs/>
          <w:color w:val="000000"/>
          <w:sz w:val="21"/>
        </w:rPr>
        <w:t>Gut</w:t>
      </w:r>
      <w:r w:rsidRPr="00E65221">
        <w:rPr>
          <w:rFonts w:ascii="Book Antiqua" w:hAnsi="Book Antiqua" w:cs="宋体"/>
          <w:color w:val="000000"/>
          <w:sz w:val="21"/>
        </w:rPr>
        <w:t> </w:t>
      </w:r>
      <w:r w:rsidRPr="001802F6">
        <w:rPr>
          <w:rFonts w:ascii="Book Antiqua" w:hAnsi="Book Antiqua" w:cs="宋体"/>
          <w:color w:val="000000"/>
          <w:sz w:val="21"/>
        </w:rPr>
        <w:t>2006;</w:t>
      </w:r>
      <w:r w:rsidRPr="00E65221">
        <w:rPr>
          <w:rFonts w:ascii="Book Antiqua" w:hAnsi="Book Antiqua" w:cs="宋体"/>
          <w:color w:val="000000"/>
          <w:sz w:val="21"/>
        </w:rPr>
        <w:t> </w:t>
      </w:r>
      <w:r w:rsidRPr="001802F6">
        <w:rPr>
          <w:rFonts w:ascii="Book Antiqua" w:hAnsi="Book Antiqua" w:cs="宋体"/>
          <w:b/>
          <w:bCs/>
          <w:color w:val="000000"/>
          <w:sz w:val="21"/>
        </w:rPr>
        <w:t>55</w:t>
      </w:r>
      <w:r w:rsidRPr="001802F6">
        <w:rPr>
          <w:rFonts w:ascii="Book Antiqua" w:hAnsi="Book Antiqua" w:cs="宋体"/>
          <w:color w:val="000000"/>
          <w:sz w:val="21"/>
        </w:rPr>
        <w:t>: 749-753 [PMID: 16698746 DOI: 10.1136/gut.2005.082909]</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11</w:t>
      </w:r>
      <w:r w:rsidRPr="00E65221">
        <w:rPr>
          <w:rFonts w:ascii="Book Antiqua" w:hAnsi="Book Antiqua" w:cs="宋体"/>
          <w:color w:val="000000"/>
          <w:sz w:val="21"/>
        </w:rPr>
        <w:t> </w:t>
      </w:r>
      <w:r w:rsidRPr="001802F6">
        <w:rPr>
          <w:rFonts w:ascii="Book Antiqua" w:hAnsi="Book Antiqua" w:cs="宋体"/>
          <w:b/>
          <w:bCs/>
          <w:color w:val="000000"/>
          <w:sz w:val="21"/>
        </w:rPr>
        <w:t>Silverberg MS</w:t>
      </w:r>
      <w:r w:rsidRPr="001802F6">
        <w:rPr>
          <w:rFonts w:ascii="Book Antiqua" w:hAnsi="Book Antiqua" w:cs="宋体"/>
          <w:color w:val="000000"/>
          <w:sz w:val="21"/>
        </w:rPr>
        <w:t xml:space="preserve">,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w:t>
      </w:r>
      <w:r w:rsidRPr="001802F6">
        <w:rPr>
          <w:rFonts w:ascii="Book Antiqua" w:hAnsi="Book Antiqua" w:cs="宋体"/>
          <w:color w:val="000000"/>
          <w:sz w:val="21"/>
        </w:rPr>
        <w:lastRenderedPageBreak/>
        <w:t>of the 2005 Montreal World Congress of Gastroenterology.</w:t>
      </w:r>
      <w:r w:rsidRPr="00E65221">
        <w:rPr>
          <w:rFonts w:ascii="Book Antiqua" w:hAnsi="Book Antiqua" w:cs="宋体"/>
          <w:color w:val="000000"/>
          <w:sz w:val="21"/>
        </w:rPr>
        <w:t> </w:t>
      </w:r>
      <w:r w:rsidRPr="001802F6">
        <w:rPr>
          <w:rFonts w:ascii="Book Antiqua" w:hAnsi="Book Antiqua" w:cs="宋体"/>
          <w:i/>
          <w:iCs/>
          <w:color w:val="000000"/>
          <w:sz w:val="21"/>
        </w:rPr>
        <w:t>Can J Gastroenterol</w:t>
      </w:r>
      <w:r w:rsidRPr="00E65221">
        <w:rPr>
          <w:rFonts w:ascii="Book Antiqua" w:hAnsi="Book Antiqua" w:cs="宋体"/>
          <w:color w:val="000000"/>
          <w:sz w:val="21"/>
        </w:rPr>
        <w:t> </w:t>
      </w:r>
      <w:r w:rsidRPr="001802F6">
        <w:rPr>
          <w:rFonts w:ascii="Book Antiqua" w:hAnsi="Book Antiqua" w:cs="宋体"/>
          <w:color w:val="000000"/>
          <w:sz w:val="21"/>
        </w:rPr>
        <w:t>2005;</w:t>
      </w:r>
      <w:r w:rsidRPr="00E65221">
        <w:rPr>
          <w:rFonts w:ascii="Book Antiqua" w:hAnsi="Book Antiqua" w:cs="宋体"/>
          <w:color w:val="000000"/>
          <w:sz w:val="21"/>
        </w:rPr>
        <w:t> </w:t>
      </w:r>
      <w:r w:rsidRPr="001802F6">
        <w:rPr>
          <w:rFonts w:ascii="Book Antiqua" w:hAnsi="Book Antiqua" w:cs="宋体"/>
          <w:b/>
          <w:bCs/>
          <w:color w:val="000000"/>
          <w:sz w:val="21"/>
        </w:rPr>
        <w:t>19</w:t>
      </w:r>
      <w:r w:rsidRPr="001802F6">
        <w:rPr>
          <w:rFonts w:ascii="Book Antiqua" w:hAnsi="Book Antiqua" w:cs="宋体"/>
          <w:bCs/>
          <w:color w:val="000000"/>
          <w:sz w:val="21"/>
        </w:rPr>
        <w:t xml:space="preserve"> Suppl A</w:t>
      </w:r>
      <w:r w:rsidRPr="001802F6">
        <w:rPr>
          <w:rFonts w:ascii="Book Antiqua" w:hAnsi="Book Antiqua" w:cs="宋体"/>
          <w:color w:val="000000"/>
          <w:sz w:val="21"/>
        </w:rPr>
        <w:t>: 5A-36A [PMID: 16151544]</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12</w:t>
      </w:r>
      <w:r w:rsidRPr="00E65221">
        <w:rPr>
          <w:rFonts w:ascii="Book Antiqua" w:hAnsi="Book Antiqua" w:cs="宋体"/>
          <w:color w:val="000000"/>
          <w:sz w:val="21"/>
        </w:rPr>
        <w:t> </w:t>
      </w:r>
      <w:r w:rsidRPr="001802F6">
        <w:rPr>
          <w:rFonts w:ascii="Book Antiqua" w:hAnsi="Book Antiqua" w:cs="宋体"/>
          <w:b/>
          <w:bCs/>
          <w:color w:val="000000"/>
          <w:sz w:val="21"/>
        </w:rPr>
        <w:t>Yamamoto K</w:t>
      </w:r>
      <w:r w:rsidRPr="001802F6">
        <w:rPr>
          <w:rFonts w:ascii="Book Antiqua" w:hAnsi="Book Antiqua" w:cs="宋体"/>
          <w:color w:val="000000"/>
          <w:sz w:val="21"/>
        </w:rPr>
        <w:t>, Kiyohara T, Murayama Y, Kihara S, Okamoto Y, Funahashi T, Ito T, Nezu R, Tsutsui S, Miyagawa JI, Tamura S, Matsuzawa Y, Shimomura I, Shinomura Y. Production of adiponectin, an anti-inflammatory protein, in mesenteric adipose tissue in Crohn's disease.</w:t>
      </w:r>
      <w:r w:rsidRPr="00E65221">
        <w:rPr>
          <w:rFonts w:ascii="Book Antiqua" w:hAnsi="Book Antiqua" w:cs="宋体"/>
          <w:color w:val="000000"/>
          <w:sz w:val="21"/>
        </w:rPr>
        <w:t> </w:t>
      </w:r>
      <w:r w:rsidRPr="001802F6">
        <w:rPr>
          <w:rFonts w:ascii="Book Antiqua" w:hAnsi="Book Antiqua" w:cs="宋体"/>
          <w:i/>
          <w:iCs/>
          <w:color w:val="000000"/>
          <w:sz w:val="21"/>
        </w:rPr>
        <w:t>Gut</w:t>
      </w:r>
      <w:r w:rsidRPr="00E65221">
        <w:rPr>
          <w:rFonts w:ascii="Book Antiqua" w:hAnsi="Book Antiqua" w:cs="宋体"/>
          <w:color w:val="000000"/>
          <w:sz w:val="21"/>
        </w:rPr>
        <w:t> </w:t>
      </w:r>
      <w:r w:rsidRPr="001802F6">
        <w:rPr>
          <w:rFonts w:ascii="Book Antiqua" w:hAnsi="Book Antiqua" w:cs="宋体"/>
          <w:color w:val="000000"/>
          <w:sz w:val="21"/>
        </w:rPr>
        <w:t>2005;</w:t>
      </w:r>
      <w:r w:rsidRPr="00E65221">
        <w:rPr>
          <w:rFonts w:ascii="Book Antiqua" w:hAnsi="Book Antiqua" w:cs="宋体"/>
          <w:color w:val="000000"/>
          <w:sz w:val="21"/>
        </w:rPr>
        <w:t> </w:t>
      </w:r>
      <w:r w:rsidRPr="001802F6">
        <w:rPr>
          <w:rFonts w:ascii="Book Antiqua" w:hAnsi="Book Antiqua" w:cs="宋体"/>
          <w:b/>
          <w:bCs/>
          <w:color w:val="000000"/>
          <w:sz w:val="21"/>
        </w:rPr>
        <w:t>54</w:t>
      </w:r>
      <w:r w:rsidRPr="001802F6">
        <w:rPr>
          <w:rFonts w:ascii="Book Antiqua" w:hAnsi="Book Antiqua" w:cs="宋体"/>
          <w:color w:val="000000"/>
          <w:sz w:val="21"/>
        </w:rPr>
        <w:t>: 789-796 [PMID: 15888786 DOI: 10.1136/gut.2004.046516]</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13</w:t>
      </w:r>
      <w:r w:rsidRPr="00E65221">
        <w:rPr>
          <w:rFonts w:ascii="Book Antiqua" w:hAnsi="Book Antiqua" w:cs="宋体"/>
          <w:color w:val="000000"/>
          <w:sz w:val="21"/>
        </w:rPr>
        <w:t> </w:t>
      </w:r>
      <w:r w:rsidRPr="001802F6">
        <w:rPr>
          <w:rFonts w:ascii="Book Antiqua" w:hAnsi="Book Antiqua" w:cs="宋体"/>
          <w:b/>
          <w:bCs/>
          <w:color w:val="000000"/>
          <w:sz w:val="21"/>
        </w:rPr>
        <w:t>Nishihara T</w:t>
      </w:r>
      <w:r w:rsidRPr="001802F6">
        <w:rPr>
          <w:rFonts w:ascii="Book Antiqua" w:hAnsi="Book Antiqua" w:cs="宋体"/>
          <w:color w:val="000000"/>
          <w:sz w:val="21"/>
        </w:rPr>
        <w:t>, Matsuda M, Araki H, Oshima K, Kihara S, Funahashi T, Shimomura I. Effect of adiponectin on murine colitis induced by dextran sulfate sodium.</w:t>
      </w:r>
      <w:r w:rsidRPr="00E65221">
        <w:rPr>
          <w:rFonts w:ascii="Book Antiqua" w:hAnsi="Book Antiqua" w:cs="宋体"/>
          <w:color w:val="000000"/>
          <w:sz w:val="21"/>
        </w:rPr>
        <w:t> </w:t>
      </w:r>
      <w:r w:rsidRPr="001802F6">
        <w:rPr>
          <w:rFonts w:ascii="Book Antiqua" w:hAnsi="Book Antiqua" w:cs="宋体"/>
          <w:i/>
          <w:iCs/>
          <w:color w:val="000000"/>
          <w:sz w:val="21"/>
        </w:rPr>
        <w:t>Gastroenterology</w:t>
      </w:r>
      <w:r w:rsidRPr="00E65221">
        <w:rPr>
          <w:rFonts w:ascii="Book Antiqua" w:hAnsi="Book Antiqua" w:cs="宋体"/>
          <w:color w:val="000000"/>
          <w:sz w:val="21"/>
        </w:rPr>
        <w:t> </w:t>
      </w:r>
      <w:r w:rsidRPr="001802F6">
        <w:rPr>
          <w:rFonts w:ascii="Book Antiqua" w:hAnsi="Book Antiqua" w:cs="宋体"/>
          <w:color w:val="000000"/>
          <w:sz w:val="21"/>
        </w:rPr>
        <w:t>2006;</w:t>
      </w:r>
      <w:r w:rsidRPr="00E65221">
        <w:rPr>
          <w:rFonts w:ascii="Book Antiqua" w:hAnsi="Book Antiqua" w:cs="宋体"/>
          <w:color w:val="000000"/>
          <w:sz w:val="21"/>
        </w:rPr>
        <w:t> </w:t>
      </w:r>
      <w:r w:rsidRPr="001802F6">
        <w:rPr>
          <w:rFonts w:ascii="Book Antiqua" w:hAnsi="Book Antiqua" w:cs="宋体"/>
          <w:b/>
          <w:bCs/>
          <w:color w:val="000000"/>
          <w:sz w:val="21"/>
        </w:rPr>
        <w:t>131</w:t>
      </w:r>
      <w:r w:rsidRPr="001802F6">
        <w:rPr>
          <w:rFonts w:ascii="Book Antiqua" w:hAnsi="Book Antiqua" w:cs="宋体"/>
          <w:color w:val="000000"/>
          <w:sz w:val="21"/>
        </w:rPr>
        <w:t>: 853-861 [PMID: 16952554 DOI: 10.1053/j.gastro.2006.06.015]</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14</w:t>
      </w:r>
      <w:r w:rsidRPr="00E65221">
        <w:rPr>
          <w:rFonts w:ascii="Book Antiqua" w:hAnsi="Book Antiqua" w:cs="宋体"/>
          <w:color w:val="000000"/>
          <w:sz w:val="21"/>
        </w:rPr>
        <w:t> </w:t>
      </w:r>
      <w:r w:rsidRPr="001802F6">
        <w:rPr>
          <w:rFonts w:ascii="Book Antiqua" w:hAnsi="Book Antiqua" w:cs="宋体"/>
          <w:b/>
          <w:bCs/>
          <w:color w:val="000000"/>
          <w:sz w:val="21"/>
        </w:rPr>
        <w:t>Fayad R</w:t>
      </w:r>
      <w:r w:rsidRPr="001802F6">
        <w:rPr>
          <w:rFonts w:ascii="Book Antiqua" w:hAnsi="Book Antiqua" w:cs="宋体"/>
          <w:color w:val="000000"/>
          <w:sz w:val="21"/>
        </w:rPr>
        <w:t>, Pini M, Sennello JA, Cabay RJ, Chan L, Xu A, Fantuzzi G. Adiponectin deficiency protects mice from chemically induced colonic inflammation.</w:t>
      </w:r>
      <w:r w:rsidRPr="00E65221">
        <w:rPr>
          <w:rFonts w:ascii="Book Antiqua" w:hAnsi="Book Antiqua" w:cs="宋体"/>
          <w:color w:val="000000"/>
          <w:sz w:val="21"/>
        </w:rPr>
        <w:t> </w:t>
      </w:r>
      <w:r w:rsidRPr="001802F6">
        <w:rPr>
          <w:rFonts w:ascii="Book Antiqua" w:hAnsi="Book Antiqua" w:cs="宋体"/>
          <w:i/>
          <w:iCs/>
          <w:color w:val="000000"/>
          <w:sz w:val="21"/>
        </w:rPr>
        <w:t>Gastroenterology</w:t>
      </w:r>
      <w:r w:rsidRPr="00E65221">
        <w:rPr>
          <w:rFonts w:ascii="Book Antiqua" w:hAnsi="Book Antiqua" w:cs="宋体"/>
          <w:color w:val="000000"/>
          <w:sz w:val="21"/>
        </w:rPr>
        <w:t> </w:t>
      </w:r>
      <w:r w:rsidRPr="001802F6">
        <w:rPr>
          <w:rFonts w:ascii="Book Antiqua" w:hAnsi="Book Antiqua" w:cs="宋体"/>
          <w:color w:val="000000"/>
          <w:sz w:val="21"/>
        </w:rPr>
        <w:t>2007;</w:t>
      </w:r>
      <w:r w:rsidRPr="00E65221">
        <w:rPr>
          <w:rFonts w:ascii="Book Antiqua" w:hAnsi="Book Antiqua" w:cs="宋体"/>
          <w:color w:val="000000"/>
          <w:sz w:val="21"/>
        </w:rPr>
        <w:t> </w:t>
      </w:r>
      <w:r w:rsidRPr="001802F6">
        <w:rPr>
          <w:rFonts w:ascii="Book Antiqua" w:hAnsi="Book Antiqua" w:cs="宋体"/>
          <w:b/>
          <w:bCs/>
          <w:color w:val="000000"/>
          <w:sz w:val="21"/>
        </w:rPr>
        <w:t>132</w:t>
      </w:r>
      <w:r w:rsidRPr="001802F6">
        <w:rPr>
          <w:rFonts w:ascii="Book Antiqua" w:hAnsi="Book Antiqua" w:cs="宋体"/>
          <w:color w:val="000000"/>
          <w:sz w:val="21"/>
        </w:rPr>
        <w:t>: 601-614 [PMID: 17258715 DOI: 10.1053/j.gastro.2006.11.026]</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15</w:t>
      </w:r>
      <w:r w:rsidRPr="00E65221">
        <w:rPr>
          <w:rFonts w:ascii="Book Antiqua" w:hAnsi="Book Antiqua" w:cs="宋体"/>
          <w:color w:val="000000"/>
          <w:sz w:val="21"/>
        </w:rPr>
        <w:t> </w:t>
      </w:r>
      <w:r w:rsidRPr="001802F6">
        <w:rPr>
          <w:rFonts w:ascii="Book Antiqua" w:hAnsi="Book Antiqua" w:cs="宋体"/>
          <w:b/>
          <w:bCs/>
          <w:color w:val="000000"/>
          <w:sz w:val="21"/>
        </w:rPr>
        <w:t>Batra A</w:t>
      </w:r>
      <w:r w:rsidRPr="001802F6">
        <w:rPr>
          <w:rFonts w:ascii="Book Antiqua" w:hAnsi="Book Antiqua" w:cs="宋体"/>
          <w:color w:val="000000"/>
          <w:sz w:val="21"/>
        </w:rPr>
        <w:t>, Zeitz M, Siegmund B. Adipokine signaling in inflammatory bowel disease.</w:t>
      </w:r>
      <w:r w:rsidRPr="00E65221">
        <w:rPr>
          <w:rFonts w:ascii="Book Antiqua" w:hAnsi="Book Antiqua" w:cs="宋体"/>
          <w:color w:val="000000"/>
          <w:sz w:val="21"/>
        </w:rPr>
        <w:t> </w:t>
      </w:r>
      <w:r w:rsidRPr="001802F6">
        <w:rPr>
          <w:rFonts w:ascii="Book Antiqua" w:hAnsi="Book Antiqua" w:cs="宋体"/>
          <w:i/>
          <w:iCs/>
          <w:color w:val="000000"/>
          <w:sz w:val="21"/>
        </w:rPr>
        <w:t>Inflamm Bowel Dis</w:t>
      </w:r>
      <w:r w:rsidRPr="00E65221">
        <w:rPr>
          <w:rFonts w:ascii="Book Antiqua" w:hAnsi="Book Antiqua" w:cs="宋体"/>
          <w:color w:val="000000"/>
          <w:sz w:val="21"/>
        </w:rPr>
        <w:t> </w:t>
      </w:r>
      <w:r w:rsidRPr="001802F6">
        <w:rPr>
          <w:rFonts w:ascii="Book Antiqua" w:hAnsi="Book Antiqua" w:cs="宋体"/>
          <w:color w:val="000000"/>
          <w:sz w:val="21"/>
        </w:rPr>
        <w:t>2009;</w:t>
      </w:r>
      <w:r w:rsidRPr="00E65221">
        <w:rPr>
          <w:rFonts w:ascii="Book Antiqua" w:hAnsi="Book Antiqua" w:cs="宋体"/>
          <w:color w:val="000000"/>
          <w:sz w:val="21"/>
        </w:rPr>
        <w:t> </w:t>
      </w:r>
      <w:r w:rsidRPr="001802F6">
        <w:rPr>
          <w:rFonts w:ascii="Book Antiqua" w:hAnsi="Book Antiqua" w:cs="宋体"/>
          <w:b/>
          <w:bCs/>
          <w:color w:val="000000"/>
          <w:sz w:val="21"/>
        </w:rPr>
        <w:t>15</w:t>
      </w:r>
      <w:r w:rsidRPr="001802F6">
        <w:rPr>
          <w:rFonts w:ascii="Book Antiqua" w:hAnsi="Book Antiqua" w:cs="宋体"/>
          <w:color w:val="000000"/>
          <w:sz w:val="21"/>
        </w:rPr>
        <w:t>: 1897-1905 [PMID: 19408337 DOI: 10.1002/ibd.20937]</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16</w:t>
      </w:r>
      <w:r w:rsidRPr="00E65221">
        <w:rPr>
          <w:rFonts w:ascii="Book Antiqua" w:hAnsi="Book Antiqua" w:cs="宋体"/>
          <w:color w:val="000000"/>
          <w:sz w:val="21"/>
        </w:rPr>
        <w:t> </w:t>
      </w:r>
      <w:r w:rsidRPr="001802F6">
        <w:rPr>
          <w:rFonts w:ascii="Book Antiqua" w:hAnsi="Book Antiqua" w:cs="宋体"/>
          <w:b/>
          <w:bCs/>
          <w:color w:val="000000"/>
          <w:sz w:val="21"/>
        </w:rPr>
        <w:t>Wolf AM</w:t>
      </w:r>
      <w:r w:rsidRPr="001802F6">
        <w:rPr>
          <w:rFonts w:ascii="Book Antiqua" w:hAnsi="Book Antiqua" w:cs="宋体"/>
          <w:color w:val="000000"/>
          <w:sz w:val="21"/>
        </w:rPr>
        <w:t>, Wolf D, Rumpold H, Enrich B, Tilg H. Adiponectin induces the anti-inflammatory cytokines IL-10 and IL-1RA in human leukocytes.</w:t>
      </w:r>
      <w:r w:rsidRPr="00E65221">
        <w:rPr>
          <w:rFonts w:ascii="Book Antiqua" w:hAnsi="Book Antiqua" w:cs="宋体"/>
          <w:color w:val="000000"/>
          <w:sz w:val="21"/>
        </w:rPr>
        <w:t> </w:t>
      </w:r>
      <w:r w:rsidRPr="001802F6">
        <w:rPr>
          <w:rFonts w:ascii="Book Antiqua" w:hAnsi="Book Antiqua" w:cs="宋体"/>
          <w:i/>
          <w:iCs/>
          <w:color w:val="000000"/>
          <w:sz w:val="21"/>
        </w:rPr>
        <w:t>Biochem Biophys Res Commun</w:t>
      </w:r>
      <w:r w:rsidRPr="00E65221">
        <w:rPr>
          <w:rFonts w:ascii="Book Antiqua" w:hAnsi="Book Antiqua" w:cs="宋体"/>
          <w:color w:val="000000"/>
          <w:sz w:val="21"/>
        </w:rPr>
        <w:t> </w:t>
      </w:r>
      <w:r w:rsidRPr="001802F6">
        <w:rPr>
          <w:rFonts w:ascii="Book Antiqua" w:hAnsi="Book Antiqua" w:cs="宋体"/>
          <w:color w:val="000000"/>
          <w:sz w:val="21"/>
        </w:rPr>
        <w:t>2004;</w:t>
      </w:r>
      <w:r w:rsidRPr="00E65221">
        <w:rPr>
          <w:rFonts w:ascii="Book Antiqua" w:hAnsi="Book Antiqua" w:cs="宋体"/>
          <w:color w:val="000000"/>
          <w:sz w:val="21"/>
        </w:rPr>
        <w:t> </w:t>
      </w:r>
      <w:r w:rsidRPr="001802F6">
        <w:rPr>
          <w:rFonts w:ascii="Book Antiqua" w:hAnsi="Book Antiqua" w:cs="宋体"/>
          <w:b/>
          <w:bCs/>
          <w:color w:val="000000"/>
          <w:sz w:val="21"/>
        </w:rPr>
        <w:t>323</w:t>
      </w:r>
      <w:r w:rsidRPr="001802F6">
        <w:rPr>
          <w:rFonts w:ascii="Book Antiqua" w:hAnsi="Book Antiqua" w:cs="宋体"/>
          <w:color w:val="000000"/>
          <w:sz w:val="21"/>
        </w:rPr>
        <w:t>: 630-635 [PMID: 15369797 DOI: 10.1016/j.bbrc.2004.08.145]</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17</w:t>
      </w:r>
      <w:r w:rsidRPr="00E65221">
        <w:rPr>
          <w:rFonts w:ascii="Book Antiqua" w:hAnsi="Book Antiqua" w:cs="宋体"/>
          <w:color w:val="000000"/>
          <w:sz w:val="21"/>
        </w:rPr>
        <w:t> </w:t>
      </w:r>
      <w:r w:rsidRPr="001802F6">
        <w:rPr>
          <w:rFonts w:ascii="Book Antiqua" w:hAnsi="Book Antiqua" w:cs="宋体"/>
          <w:b/>
          <w:bCs/>
          <w:color w:val="000000"/>
          <w:sz w:val="21"/>
        </w:rPr>
        <w:t>Lord GM</w:t>
      </w:r>
      <w:r w:rsidRPr="001802F6">
        <w:rPr>
          <w:rFonts w:ascii="Book Antiqua" w:hAnsi="Book Antiqua" w:cs="宋体"/>
          <w:color w:val="000000"/>
          <w:sz w:val="21"/>
        </w:rPr>
        <w:t>, Matarese G, Howard JK, Baker RJ, Bloom SR, Lechler RI. Leptin modulates the T-cell immune response and reverses starvation-induced immunosuppression.</w:t>
      </w:r>
      <w:r w:rsidRPr="00E65221">
        <w:rPr>
          <w:rFonts w:ascii="Book Antiqua" w:hAnsi="Book Antiqua" w:cs="宋体"/>
          <w:color w:val="000000"/>
          <w:sz w:val="21"/>
        </w:rPr>
        <w:t> </w:t>
      </w:r>
      <w:r w:rsidRPr="001802F6">
        <w:rPr>
          <w:rFonts w:ascii="Book Antiqua" w:hAnsi="Book Antiqua" w:cs="宋体"/>
          <w:i/>
          <w:iCs/>
          <w:color w:val="000000"/>
          <w:sz w:val="21"/>
        </w:rPr>
        <w:t>Nature</w:t>
      </w:r>
      <w:r w:rsidRPr="00E65221">
        <w:rPr>
          <w:rFonts w:ascii="Book Antiqua" w:hAnsi="Book Antiqua" w:cs="宋体"/>
          <w:color w:val="000000"/>
          <w:sz w:val="21"/>
        </w:rPr>
        <w:t> </w:t>
      </w:r>
      <w:r w:rsidRPr="001802F6">
        <w:rPr>
          <w:rFonts w:ascii="Book Antiqua" w:hAnsi="Book Antiqua" w:cs="宋体"/>
          <w:color w:val="000000"/>
          <w:sz w:val="21"/>
        </w:rPr>
        <w:t>1998;</w:t>
      </w:r>
      <w:r w:rsidRPr="00E65221">
        <w:rPr>
          <w:rFonts w:ascii="Book Antiqua" w:hAnsi="Book Antiqua" w:cs="宋体"/>
          <w:color w:val="000000"/>
          <w:sz w:val="21"/>
        </w:rPr>
        <w:t> </w:t>
      </w:r>
      <w:r w:rsidRPr="001802F6">
        <w:rPr>
          <w:rFonts w:ascii="Book Antiqua" w:hAnsi="Book Antiqua" w:cs="宋体"/>
          <w:b/>
          <w:bCs/>
          <w:color w:val="000000"/>
          <w:sz w:val="21"/>
        </w:rPr>
        <w:t>394</w:t>
      </w:r>
      <w:r w:rsidRPr="001802F6">
        <w:rPr>
          <w:rFonts w:ascii="Book Antiqua" w:hAnsi="Book Antiqua" w:cs="宋体"/>
          <w:color w:val="000000"/>
          <w:sz w:val="21"/>
        </w:rPr>
        <w:t>: 897-901 [PMID: 9732873 DOI: 10.1038/29795]</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18</w:t>
      </w:r>
      <w:r w:rsidRPr="00E65221">
        <w:rPr>
          <w:rFonts w:ascii="Book Antiqua" w:hAnsi="Book Antiqua" w:cs="宋体"/>
          <w:color w:val="000000"/>
          <w:sz w:val="21"/>
        </w:rPr>
        <w:t> </w:t>
      </w:r>
      <w:r w:rsidRPr="001802F6">
        <w:rPr>
          <w:rFonts w:ascii="Book Antiqua" w:hAnsi="Book Antiqua" w:cs="宋体"/>
          <w:b/>
          <w:bCs/>
          <w:color w:val="000000"/>
          <w:sz w:val="21"/>
        </w:rPr>
        <w:t>Loffreda S</w:t>
      </w:r>
      <w:r w:rsidRPr="001802F6">
        <w:rPr>
          <w:rFonts w:ascii="Book Antiqua" w:hAnsi="Book Antiqua" w:cs="宋体"/>
          <w:color w:val="000000"/>
          <w:sz w:val="21"/>
        </w:rPr>
        <w:t>, Yang SQ, Lin HZ, Karp CL, Brengman ML, Wang DJ, Klein AS, Bulkley GB, Bao C, Noble PW, Lane MD, Diehl AM. Leptin regulates proinflammatory immune responses.</w:t>
      </w:r>
      <w:r w:rsidRPr="00E65221">
        <w:rPr>
          <w:rFonts w:ascii="Book Antiqua" w:hAnsi="Book Antiqua" w:cs="宋体"/>
          <w:color w:val="000000"/>
          <w:sz w:val="21"/>
        </w:rPr>
        <w:t> </w:t>
      </w:r>
      <w:r w:rsidRPr="001802F6">
        <w:rPr>
          <w:rFonts w:ascii="Book Antiqua" w:hAnsi="Book Antiqua" w:cs="宋体"/>
          <w:i/>
          <w:iCs/>
          <w:color w:val="000000"/>
          <w:sz w:val="21"/>
        </w:rPr>
        <w:t>FASEB J</w:t>
      </w:r>
      <w:r w:rsidRPr="00E65221">
        <w:rPr>
          <w:rFonts w:ascii="Book Antiqua" w:hAnsi="Book Antiqua" w:cs="宋体"/>
          <w:color w:val="000000"/>
          <w:sz w:val="21"/>
        </w:rPr>
        <w:t> </w:t>
      </w:r>
      <w:r w:rsidRPr="001802F6">
        <w:rPr>
          <w:rFonts w:ascii="Book Antiqua" w:hAnsi="Book Antiqua" w:cs="宋体"/>
          <w:color w:val="000000"/>
          <w:sz w:val="21"/>
        </w:rPr>
        <w:t>1998;</w:t>
      </w:r>
      <w:r w:rsidRPr="00E65221">
        <w:rPr>
          <w:rFonts w:ascii="Book Antiqua" w:hAnsi="Book Antiqua" w:cs="宋体"/>
          <w:color w:val="000000"/>
          <w:sz w:val="21"/>
        </w:rPr>
        <w:t> </w:t>
      </w:r>
      <w:r w:rsidRPr="001802F6">
        <w:rPr>
          <w:rFonts w:ascii="Book Antiqua" w:hAnsi="Book Antiqua" w:cs="宋体"/>
          <w:b/>
          <w:bCs/>
          <w:color w:val="000000"/>
          <w:sz w:val="21"/>
        </w:rPr>
        <w:t>12</w:t>
      </w:r>
      <w:r w:rsidRPr="001802F6">
        <w:rPr>
          <w:rFonts w:ascii="Book Antiqua" w:hAnsi="Book Antiqua" w:cs="宋体"/>
          <w:color w:val="000000"/>
          <w:sz w:val="21"/>
        </w:rPr>
        <w:t>: 57-65 [PMID: 9438411]</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19</w:t>
      </w:r>
      <w:r w:rsidRPr="00E65221">
        <w:rPr>
          <w:rFonts w:ascii="Book Antiqua" w:hAnsi="Book Antiqua" w:cs="宋体"/>
          <w:color w:val="000000"/>
          <w:sz w:val="21"/>
        </w:rPr>
        <w:t> </w:t>
      </w:r>
      <w:r w:rsidRPr="001802F6">
        <w:rPr>
          <w:rFonts w:ascii="Book Antiqua" w:hAnsi="Book Antiqua" w:cs="宋体"/>
          <w:b/>
          <w:bCs/>
          <w:color w:val="000000"/>
          <w:sz w:val="21"/>
        </w:rPr>
        <w:t>Karmiris K</w:t>
      </w:r>
      <w:r w:rsidRPr="001802F6">
        <w:rPr>
          <w:rFonts w:ascii="Book Antiqua" w:hAnsi="Book Antiqua" w:cs="宋体"/>
          <w:color w:val="000000"/>
          <w:sz w:val="21"/>
        </w:rPr>
        <w:t>, Koutroubakis IE, Xidakis C, Polychronaki M, Voudouri T, Kouroumalis EA. Circulating levels of leptin, adiponectin, resistin, and ghrelin in inflammatory bowel disease.</w:t>
      </w:r>
      <w:r w:rsidRPr="00E65221">
        <w:rPr>
          <w:rFonts w:ascii="Book Antiqua" w:hAnsi="Book Antiqua" w:cs="宋体"/>
          <w:color w:val="000000"/>
          <w:sz w:val="21"/>
        </w:rPr>
        <w:t> </w:t>
      </w:r>
      <w:r w:rsidRPr="001802F6">
        <w:rPr>
          <w:rFonts w:ascii="Book Antiqua" w:hAnsi="Book Antiqua" w:cs="宋体"/>
          <w:i/>
          <w:iCs/>
          <w:color w:val="000000"/>
          <w:sz w:val="21"/>
        </w:rPr>
        <w:t>Inflamm Bowel Dis</w:t>
      </w:r>
      <w:r w:rsidRPr="00E65221">
        <w:rPr>
          <w:rFonts w:ascii="Book Antiqua" w:hAnsi="Book Antiqua" w:cs="宋体"/>
          <w:color w:val="000000"/>
          <w:sz w:val="21"/>
        </w:rPr>
        <w:t> </w:t>
      </w:r>
      <w:r w:rsidRPr="001802F6">
        <w:rPr>
          <w:rFonts w:ascii="Book Antiqua" w:hAnsi="Book Antiqua" w:cs="宋体"/>
          <w:color w:val="000000"/>
          <w:sz w:val="21"/>
        </w:rPr>
        <w:t>2006;</w:t>
      </w:r>
      <w:r w:rsidRPr="00E65221">
        <w:rPr>
          <w:rFonts w:ascii="Book Antiqua" w:hAnsi="Book Antiqua" w:cs="宋体"/>
          <w:color w:val="000000"/>
          <w:sz w:val="21"/>
        </w:rPr>
        <w:t> </w:t>
      </w:r>
      <w:r w:rsidRPr="001802F6">
        <w:rPr>
          <w:rFonts w:ascii="Book Antiqua" w:hAnsi="Book Antiqua" w:cs="宋体"/>
          <w:b/>
          <w:bCs/>
          <w:color w:val="000000"/>
          <w:sz w:val="21"/>
        </w:rPr>
        <w:t>12</w:t>
      </w:r>
      <w:r w:rsidRPr="001802F6">
        <w:rPr>
          <w:rFonts w:ascii="Book Antiqua" w:hAnsi="Book Antiqua" w:cs="宋体"/>
          <w:color w:val="000000"/>
          <w:sz w:val="21"/>
        </w:rPr>
        <w:t>: 100-105 [PMID: 16432373 DOI: 10.1097/01.MIB.0000200345.38837.46]</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20</w:t>
      </w:r>
      <w:r w:rsidRPr="00E65221">
        <w:rPr>
          <w:rFonts w:ascii="Book Antiqua" w:hAnsi="Book Antiqua" w:cs="宋体"/>
          <w:color w:val="000000"/>
          <w:sz w:val="21"/>
        </w:rPr>
        <w:t> </w:t>
      </w:r>
      <w:r w:rsidRPr="001802F6">
        <w:rPr>
          <w:rFonts w:ascii="Book Antiqua" w:hAnsi="Book Antiqua" w:cs="宋体"/>
          <w:b/>
          <w:bCs/>
          <w:color w:val="000000"/>
          <w:sz w:val="21"/>
        </w:rPr>
        <w:t>Franchimont D</w:t>
      </w:r>
      <w:r w:rsidRPr="001802F6">
        <w:rPr>
          <w:rFonts w:ascii="Book Antiqua" w:hAnsi="Book Antiqua" w:cs="宋体"/>
          <w:color w:val="000000"/>
          <w:sz w:val="21"/>
        </w:rPr>
        <w:t>, Roland S, Gustot T, Quertinmont E, Toubouti Y, Gervy MC, Deviere J, Van Gossum A. Impact of infliximab on serum leptin levels in patients with Crohn's disease.</w:t>
      </w:r>
      <w:r w:rsidRPr="00E65221">
        <w:rPr>
          <w:rFonts w:ascii="Book Antiqua" w:hAnsi="Book Antiqua" w:cs="宋体"/>
          <w:color w:val="000000"/>
          <w:sz w:val="21"/>
        </w:rPr>
        <w:t> </w:t>
      </w:r>
      <w:r w:rsidRPr="001802F6">
        <w:rPr>
          <w:rFonts w:ascii="Book Antiqua" w:hAnsi="Book Antiqua" w:cs="宋体"/>
          <w:i/>
          <w:iCs/>
          <w:color w:val="000000"/>
          <w:sz w:val="21"/>
        </w:rPr>
        <w:t>J Clin Endocrinol Metab</w:t>
      </w:r>
      <w:r w:rsidRPr="00E65221">
        <w:rPr>
          <w:rFonts w:ascii="Book Antiqua" w:hAnsi="Book Antiqua" w:cs="宋体"/>
          <w:color w:val="000000"/>
          <w:sz w:val="21"/>
        </w:rPr>
        <w:t> </w:t>
      </w:r>
      <w:r w:rsidRPr="001802F6">
        <w:rPr>
          <w:rFonts w:ascii="Book Antiqua" w:hAnsi="Book Antiqua" w:cs="宋体"/>
          <w:color w:val="000000"/>
          <w:sz w:val="21"/>
        </w:rPr>
        <w:t>2005;</w:t>
      </w:r>
      <w:r w:rsidRPr="00E65221">
        <w:rPr>
          <w:rFonts w:ascii="Book Antiqua" w:hAnsi="Book Antiqua" w:cs="宋体"/>
          <w:color w:val="000000"/>
          <w:sz w:val="21"/>
        </w:rPr>
        <w:t> </w:t>
      </w:r>
      <w:r w:rsidRPr="001802F6">
        <w:rPr>
          <w:rFonts w:ascii="Book Antiqua" w:hAnsi="Book Antiqua" w:cs="宋体"/>
          <w:b/>
          <w:bCs/>
          <w:color w:val="000000"/>
          <w:sz w:val="21"/>
        </w:rPr>
        <w:t>90</w:t>
      </w:r>
      <w:r w:rsidRPr="001802F6">
        <w:rPr>
          <w:rFonts w:ascii="Book Antiqua" w:hAnsi="Book Antiqua" w:cs="宋体"/>
          <w:color w:val="000000"/>
          <w:sz w:val="21"/>
        </w:rPr>
        <w:t>: 3510-3516 [PMID: 15784704 DOI: 10.1210/jc.2004-1222]</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21</w:t>
      </w:r>
      <w:r w:rsidRPr="00E65221">
        <w:rPr>
          <w:rFonts w:ascii="Book Antiqua" w:hAnsi="Book Antiqua" w:cs="宋体"/>
          <w:color w:val="000000"/>
          <w:sz w:val="21"/>
        </w:rPr>
        <w:t> </w:t>
      </w:r>
      <w:r w:rsidRPr="001802F6">
        <w:rPr>
          <w:rFonts w:ascii="Book Antiqua" w:hAnsi="Book Antiqua" w:cs="宋体"/>
          <w:b/>
          <w:bCs/>
          <w:color w:val="000000"/>
          <w:sz w:val="21"/>
        </w:rPr>
        <w:t>Sitaraman S</w:t>
      </w:r>
      <w:r w:rsidRPr="001802F6">
        <w:rPr>
          <w:rFonts w:ascii="Book Antiqua" w:hAnsi="Book Antiqua" w:cs="宋体"/>
          <w:color w:val="000000"/>
          <w:sz w:val="21"/>
        </w:rPr>
        <w:t>, Liu X, Charrier L, Gu LH, Ziegler TR, Gewirtz A, Merlin D. Colonic leptin: source of a novel proinflammatory cytokine involved in IBD.</w:t>
      </w:r>
      <w:r w:rsidRPr="00E65221">
        <w:rPr>
          <w:rFonts w:ascii="Book Antiqua" w:hAnsi="Book Antiqua" w:cs="宋体"/>
          <w:color w:val="000000"/>
          <w:sz w:val="21"/>
        </w:rPr>
        <w:t> </w:t>
      </w:r>
      <w:r w:rsidRPr="001802F6">
        <w:rPr>
          <w:rFonts w:ascii="Book Antiqua" w:hAnsi="Book Antiqua" w:cs="宋体"/>
          <w:i/>
          <w:iCs/>
          <w:color w:val="000000"/>
          <w:sz w:val="21"/>
        </w:rPr>
        <w:t>FASEB J</w:t>
      </w:r>
      <w:r w:rsidRPr="00E65221">
        <w:rPr>
          <w:rFonts w:ascii="Book Antiqua" w:hAnsi="Book Antiqua" w:cs="宋体"/>
          <w:color w:val="000000"/>
          <w:sz w:val="21"/>
        </w:rPr>
        <w:t> </w:t>
      </w:r>
      <w:r w:rsidRPr="001802F6">
        <w:rPr>
          <w:rFonts w:ascii="Book Antiqua" w:hAnsi="Book Antiqua" w:cs="宋体"/>
          <w:color w:val="000000"/>
          <w:sz w:val="21"/>
        </w:rPr>
        <w:t>2004;</w:t>
      </w:r>
      <w:r w:rsidRPr="00E65221">
        <w:rPr>
          <w:rFonts w:ascii="Book Antiqua" w:hAnsi="Book Antiqua" w:cs="宋体"/>
          <w:color w:val="000000"/>
          <w:sz w:val="21"/>
        </w:rPr>
        <w:t> </w:t>
      </w:r>
      <w:r w:rsidRPr="001802F6">
        <w:rPr>
          <w:rFonts w:ascii="Book Antiqua" w:hAnsi="Book Antiqua" w:cs="宋体"/>
          <w:b/>
          <w:bCs/>
          <w:color w:val="000000"/>
          <w:sz w:val="21"/>
        </w:rPr>
        <w:t>18</w:t>
      </w:r>
      <w:r w:rsidRPr="001802F6">
        <w:rPr>
          <w:rFonts w:ascii="Book Antiqua" w:hAnsi="Book Antiqua" w:cs="宋体"/>
          <w:color w:val="000000"/>
          <w:sz w:val="21"/>
        </w:rPr>
        <w:t>: 696-698 [PMID: 14977884]</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22</w:t>
      </w:r>
      <w:r w:rsidRPr="00E65221">
        <w:rPr>
          <w:rFonts w:ascii="Book Antiqua" w:hAnsi="Book Antiqua" w:cs="宋体"/>
          <w:color w:val="000000"/>
          <w:sz w:val="21"/>
        </w:rPr>
        <w:t> </w:t>
      </w:r>
      <w:r w:rsidRPr="001802F6">
        <w:rPr>
          <w:rFonts w:ascii="Book Antiqua" w:hAnsi="Book Antiqua" w:cs="宋体"/>
          <w:b/>
          <w:bCs/>
          <w:color w:val="000000"/>
          <w:sz w:val="21"/>
        </w:rPr>
        <w:t>Cai Z</w:t>
      </w:r>
      <w:r w:rsidRPr="001802F6">
        <w:rPr>
          <w:rFonts w:ascii="Book Antiqua" w:hAnsi="Book Antiqua" w:cs="宋体"/>
          <w:color w:val="000000"/>
          <w:sz w:val="21"/>
        </w:rPr>
        <w:t xml:space="preserve">, Zhang W, Li M, Yue Y, Yang F, Yu L, Cao X, Wang J. TGF-beta1 gene-modified, immature dendritic cells delay the development of inflammatory bowel disease by inducing </w:t>
      </w:r>
      <w:r w:rsidRPr="001802F6">
        <w:rPr>
          <w:rFonts w:ascii="Book Antiqua" w:hAnsi="Book Antiqua" w:cs="宋体"/>
          <w:color w:val="000000"/>
          <w:sz w:val="21"/>
        </w:rPr>
        <w:lastRenderedPageBreak/>
        <w:t>CD4(+)Foxp3(+) regulatory T cells.</w:t>
      </w:r>
      <w:r w:rsidRPr="00E65221">
        <w:rPr>
          <w:rFonts w:ascii="Book Antiqua" w:hAnsi="Book Antiqua" w:cs="宋体"/>
          <w:color w:val="000000"/>
          <w:sz w:val="21"/>
        </w:rPr>
        <w:t> </w:t>
      </w:r>
      <w:r w:rsidRPr="001802F6">
        <w:rPr>
          <w:rFonts w:ascii="Book Antiqua" w:hAnsi="Book Antiqua" w:cs="宋体"/>
          <w:i/>
          <w:iCs/>
          <w:color w:val="000000"/>
          <w:sz w:val="21"/>
        </w:rPr>
        <w:t>Cell Mol Immunol</w:t>
      </w:r>
      <w:r w:rsidRPr="00E65221">
        <w:rPr>
          <w:rFonts w:ascii="Book Antiqua" w:hAnsi="Book Antiqua" w:cs="宋体"/>
          <w:color w:val="000000"/>
          <w:sz w:val="21"/>
        </w:rPr>
        <w:t> </w:t>
      </w:r>
      <w:r w:rsidRPr="001802F6">
        <w:rPr>
          <w:rFonts w:ascii="Book Antiqua" w:hAnsi="Book Antiqua" w:cs="宋体"/>
          <w:color w:val="000000"/>
          <w:sz w:val="21"/>
        </w:rPr>
        <w:t>2010;</w:t>
      </w:r>
      <w:r w:rsidRPr="00E65221">
        <w:rPr>
          <w:rFonts w:ascii="Book Antiqua" w:hAnsi="Book Antiqua" w:cs="宋体"/>
          <w:color w:val="000000"/>
          <w:sz w:val="21"/>
        </w:rPr>
        <w:t> </w:t>
      </w:r>
      <w:r w:rsidRPr="001802F6">
        <w:rPr>
          <w:rFonts w:ascii="Book Antiqua" w:hAnsi="Book Antiqua" w:cs="宋体"/>
          <w:b/>
          <w:bCs/>
          <w:color w:val="000000"/>
          <w:sz w:val="21"/>
        </w:rPr>
        <w:t>7</w:t>
      </w:r>
      <w:r w:rsidRPr="001802F6">
        <w:rPr>
          <w:rFonts w:ascii="Book Antiqua" w:hAnsi="Book Antiqua" w:cs="宋体"/>
          <w:color w:val="000000"/>
          <w:sz w:val="21"/>
        </w:rPr>
        <w:t>: 35-43 [PMID: 20081874 DOI: 10.1038/cmi.2009.107]</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23</w:t>
      </w:r>
      <w:r w:rsidRPr="00E65221">
        <w:rPr>
          <w:rFonts w:ascii="Book Antiqua" w:hAnsi="Book Antiqua" w:cs="宋体"/>
          <w:color w:val="000000"/>
          <w:sz w:val="21"/>
        </w:rPr>
        <w:t> </w:t>
      </w:r>
      <w:r w:rsidRPr="001802F6">
        <w:rPr>
          <w:rFonts w:ascii="Book Antiqua" w:hAnsi="Book Antiqua" w:cs="宋体"/>
          <w:b/>
          <w:bCs/>
          <w:color w:val="000000"/>
          <w:sz w:val="21"/>
        </w:rPr>
        <w:t>Suenaert P</w:t>
      </w:r>
      <w:r w:rsidRPr="001802F6">
        <w:rPr>
          <w:rFonts w:ascii="Book Antiqua" w:hAnsi="Book Antiqua" w:cs="宋体"/>
          <w:color w:val="000000"/>
          <w:sz w:val="21"/>
        </w:rPr>
        <w:t>, Maerten P, Van Assche G, Van Driessche W, Geboes K, Bulteel V, Simaels J, Augustijns P, Ceuppens JL, Rutgeerts P, Perrier C. Effects of T cell-induced colonic inflammation on epithelial barrier function.</w:t>
      </w:r>
      <w:r w:rsidRPr="00E65221">
        <w:rPr>
          <w:rFonts w:ascii="Book Antiqua" w:hAnsi="Book Antiqua" w:cs="宋体"/>
          <w:color w:val="000000"/>
          <w:sz w:val="21"/>
        </w:rPr>
        <w:t> </w:t>
      </w:r>
      <w:r w:rsidRPr="001802F6">
        <w:rPr>
          <w:rFonts w:ascii="Book Antiqua" w:hAnsi="Book Antiqua" w:cs="宋体"/>
          <w:i/>
          <w:iCs/>
          <w:color w:val="000000"/>
          <w:sz w:val="21"/>
        </w:rPr>
        <w:t>Inflamm Bowel Dis</w:t>
      </w:r>
      <w:r w:rsidRPr="00E65221">
        <w:rPr>
          <w:rFonts w:ascii="Book Antiqua" w:hAnsi="Book Antiqua" w:cs="宋体"/>
          <w:color w:val="000000"/>
          <w:sz w:val="21"/>
        </w:rPr>
        <w:t> </w:t>
      </w:r>
      <w:r w:rsidRPr="001802F6">
        <w:rPr>
          <w:rFonts w:ascii="Book Antiqua" w:hAnsi="Book Antiqua" w:cs="宋体"/>
          <w:color w:val="000000"/>
          <w:sz w:val="21"/>
        </w:rPr>
        <w:t>2010;</w:t>
      </w:r>
      <w:r w:rsidRPr="00E65221">
        <w:rPr>
          <w:rFonts w:ascii="Book Antiqua" w:hAnsi="Book Antiqua" w:cs="宋体"/>
          <w:color w:val="000000"/>
          <w:sz w:val="21"/>
        </w:rPr>
        <w:t> </w:t>
      </w:r>
      <w:r w:rsidRPr="001802F6">
        <w:rPr>
          <w:rFonts w:ascii="Book Antiqua" w:hAnsi="Book Antiqua" w:cs="宋体"/>
          <w:b/>
          <w:bCs/>
          <w:color w:val="000000"/>
          <w:sz w:val="21"/>
        </w:rPr>
        <w:t>16</w:t>
      </w:r>
      <w:r w:rsidRPr="001802F6">
        <w:rPr>
          <w:rFonts w:ascii="Book Antiqua" w:hAnsi="Book Antiqua" w:cs="宋体"/>
          <w:color w:val="000000"/>
          <w:sz w:val="21"/>
        </w:rPr>
        <w:t>: 1322-1331 [PMID: 20155850 DOI: 10.1002/ibd.21211]</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24</w:t>
      </w:r>
      <w:r w:rsidRPr="00E65221">
        <w:rPr>
          <w:rFonts w:ascii="Book Antiqua" w:hAnsi="Book Antiqua" w:cs="宋体"/>
          <w:color w:val="000000"/>
          <w:sz w:val="21"/>
        </w:rPr>
        <w:t> </w:t>
      </w:r>
      <w:r w:rsidRPr="001802F6">
        <w:rPr>
          <w:rFonts w:ascii="Book Antiqua" w:hAnsi="Book Antiqua" w:cs="宋体"/>
          <w:b/>
          <w:bCs/>
          <w:color w:val="000000"/>
          <w:sz w:val="21"/>
        </w:rPr>
        <w:t>Yoshimura T</w:t>
      </w:r>
      <w:r w:rsidRPr="001802F6">
        <w:rPr>
          <w:rFonts w:ascii="Book Antiqua" w:hAnsi="Book Antiqua" w:cs="宋体"/>
          <w:color w:val="000000"/>
          <w:sz w:val="21"/>
        </w:rPr>
        <w:t>, Oppenheim JJ. Chemerin reveals its chimeric nature.</w:t>
      </w:r>
      <w:r w:rsidRPr="00E65221">
        <w:rPr>
          <w:rFonts w:ascii="Book Antiqua" w:hAnsi="Book Antiqua" w:cs="宋体"/>
          <w:color w:val="000000"/>
          <w:sz w:val="21"/>
        </w:rPr>
        <w:t> </w:t>
      </w:r>
      <w:r w:rsidRPr="001802F6">
        <w:rPr>
          <w:rFonts w:ascii="Book Antiqua" w:hAnsi="Book Antiqua" w:cs="宋体"/>
          <w:i/>
          <w:iCs/>
          <w:color w:val="000000"/>
          <w:sz w:val="21"/>
        </w:rPr>
        <w:t>J Exp Med</w:t>
      </w:r>
      <w:r w:rsidRPr="00E65221">
        <w:rPr>
          <w:rFonts w:ascii="Book Antiqua" w:hAnsi="Book Antiqua" w:cs="宋体"/>
          <w:color w:val="000000"/>
          <w:sz w:val="21"/>
        </w:rPr>
        <w:t> </w:t>
      </w:r>
      <w:r w:rsidRPr="001802F6">
        <w:rPr>
          <w:rFonts w:ascii="Book Antiqua" w:hAnsi="Book Antiqua" w:cs="宋体"/>
          <w:color w:val="000000"/>
          <w:sz w:val="21"/>
        </w:rPr>
        <w:t>2008;</w:t>
      </w:r>
      <w:r w:rsidRPr="00E65221">
        <w:rPr>
          <w:rFonts w:ascii="Book Antiqua" w:hAnsi="Book Antiqua" w:cs="宋体"/>
          <w:color w:val="000000"/>
          <w:sz w:val="21"/>
        </w:rPr>
        <w:t> </w:t>
      </w:r>
      <w:r w:rsidRPr="001802F6">
        <w:rPr>
          <w:rFonts w:ascii="Book Antiqua" w:hAnsi="Book Antiqua" w:cs="宋体"/>
          <w:b/>
          <w:bCs/>
          <w:color w:val="000000"/>
          <w:sz w:val="21"/>
        </w:rPr>
        <w:t>205</w:t>
      </w:r>
      <w:r w:rsidRPr="001802F6">
        <w:rPr>
          <w:rFonts w:ascii="Book Antiqua" w:hAnsi="Book Antiqua" w:cs="宋体"/>
          <w:color w:val="000000"/>
          <w:sz w:val="21"/>
        </w:rPr>
        <w:t>: 2187-2190 [PMID: 18809717 DOI: 10.1084/jem.20081736]</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25</w:t>
      </w:r>
      <w:r w:rsidRPr="00E65221">
        <w:rPr>
          <w:rFonts w:ascii="Book Antiqua" w:hAnsi="Book Antiqua" w:cs="宋体"/>
          <w:color w:val="000000"/>
          <w:sz w:val="21"/>
        </w:rPr>
        <w:t> </w:t>
      </w:r>
      <w:r w:rsidRPr="001802F6">
        <w:rPr>
          <w:rFonts w:ascii="Book Antiqua" w:hAnsi="Book Antiqua" w:cs="宋体"/>
          <w:b/>
          <w:bCs/>
          <w:color w:val="000000"/>
          <w:sz w:val="21"/>
        </w:rPr>
        <w:t>Cash JL</w:t>
      </w:r>
      <w:r w:rsidRPr="001802F6">
        <w:rPr>
          <w:rFonts w:ascii="Book Antiqua" w:hAnsi="Book Antiqua" w:cs="宋体"/>
          <w:color w:val="000000"/>
          <w:sz w:val="21"/>
        </w:rPr>
        <w:t>, Hart R, Russ A, Dixon JP, Colledge WH, Doran J, Hendrick AG, Carlton MB, Greaves DR. Synthetic chemerin-derived peptides suppress inflammation through ChemR23.</w:t>
      </w:r>
      <w:r w:rsidRPr="00E65221">
        <w:rPr>
          <w:rFonts w:ascii="Book Antiqua" w:hAnsi="Book Antiqua" w:cs="宋体"/>
          <w:color w:val="000000"/>
          <w:sz w:val="21"/>
        </w:rPr>
        <w:t> </w:t>
      </w:r>
      <w:r w:rsidRPr="001802F6">
        <w:rPr>
          <w:rFonts w:ascii="Book Antiqua" w:hAnsi="Book Antiqua" w:cs="宋体"/>
          <w:i/>
          <w:iCs/>
          <w:color w:val="000000"/>
          <w:sz w:val="21"/>
        </w:rPr>
        <w:t>J Exp Med</w:t>
      </w:r>
      <w:r w:rsidRPr="00E65221">
        <w:rPr>
          <w:rFonts w:ascii="Book Antiqua" w:hAnsi="Book Antiqua" w:cs="宋体"/>
          <w:color w:val="000000"/>
          <w:sz w:val="21"/>
        </w:rPr>
        <w:t> </w:t>
      </w:r>
      <w:r w:rsidRPr="001802F6">
        <w:rPr>
          <w:rFonts w:ascii="Book Antiqua" w:hAnsi="Book Antiqua" w:cs="宋体"/>
          <w:color w:val="000000"/>
          <w:sz w:val="21"/>
        </w:rPr>
        <w:t>2008;</w:t>
      </w:r>
      <w:r w:rsidRPr="00E65221">
        <w:rPr>
          <w:rFonts w:ascii="Book Antiqua" w:hAnsi="Book Antiqua" w:cs="宋体"/>
          <w:color w:val="000000"/>
          <w:sz w:val="21"/>
        </w:rPr>
        <w:t> </w:t>
      </w:r>
      <w:r w:rsidRPr="001802F6">
        <w:rPr>
          <w:rFonts w:ascii="Book Antiqua" w:hAnsi="Book Antiqua" w:cs="宋体"/>
          <w:b/>
          <w:bCs/>
          <w:color w:val="000000"/>
          <w:sz w:val="21"/>
        </w:rPr>
        <w:t>205</w:t>
      </w:r>
      <w:r w:rsidRPr="001802F6">
        <w:rPr>
          <w:rFonts w:ascii="Book Antiqua" w:hAnsi="Book Antiqua" w:cs="宋体"/>
          <w:color w:val="000000"/>
          <w:sz w:val="21"/>
        </w:rPr>
        <w:t>: 767-775 [PMID: 18391062 DOI: 10.1084/jem.20071601]</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26</w:t>
      </w:r>
      <w:r w:rsidRPr="00E65221">
        <w:rPr>
          <w:rFonts w:ascii="Book Antiqua" w:hAnsi="Book Antiqua" w:cs="宋体"/>
          <w:color w:val="000000"/>
          <w:sz w:val="21"/>
        </w:rPr>
        <w:t> </w:t>
      </w:r>
      <w:r w:rsidRPr="001802F6">
        <w:rPr>
          <w:rFonts w:ascii="Book Antiqua" w:hAnsi="Book Antiqua" w:cs="宋体"/>
          <w:b/>
          <w:bCs/>
          <w:color w:val="000000"/>
          <w:sz w:val="21"/>
        </w:rPr>
        <w:t>Silswal N</w:t>
      </w:r>
      <w:r w:rsidRPr="001802F6">
        <w:rPr>
          <w:rFonts w:ascii="Book Antiqua" w:hAnsi="Book Antiqua" w:cs="宋体"/>
          <w:color w:val="000000"/>
          <w:sz w:val="21"/>
        </w:rPr>
        <w:t>, Singh AK, Aruna B, Mukhopadhyay S, Ghosh S, Ehtesham NZ. Human resistin stimulates the pro-inflammatory cytokines TNF-alpha and IL-12 in macrophages by NF-kappaB-dependent pathway.</w:t>
      </w:r>
      <w:r w:rsidRPr="00E65221">
        <w:rPr>
          <w:rFonts w:ascii="Book Antiqua" w:hAnsi="Book Antiqua" w:cs="宋体"/>
          <w:color w:val="000000"/>
          <w:sz w:val="21"/>
        </w:rPr>
        <w:t> </w:t>
      </w:r>
      <w:r w:rsidRPr="001802F6">
        <w:rPr>
          <w:rFonts w:ascii="Book Antiqua" w:hAnsi="Book Antiqua" w:cs="宋体"/>
          <w:i/>
          <w:iCs/>
          <w:color w:val="000000"/>
          <w:sz w:val="21"/>
        </w:rPr>
        <w:t>Biochem Biophys Res Commun</w:t>
      </w:r>
      <w:r w:rsidRPr="00E65221">
        <w:rPr>
          <w:rFonts w:ascii="Book Antiqua" w:hAnsi="Book Antiqua" w:cs="宋体"/>
          <w:color w:val="000000"/>
          <w:sz w:val="21"/>
        </w:rPr>
        <w:t> </w:t>
      </w:r>
      <w:r w:rsidRPr="001802F6">
        <w:rPr>
          <w:rFonts w:ascii="Book Antiqua" w:hAnsi="Book Antiqua" w:cs="宋体"/>
          <w:color w:val="000000"/>
          <w:sz w:val="21"/>
        </w:rPr>
        <w:t>2005;</w:t>
      </w:r>
      <w:r w:rsidRPr="00E65221">
        <w:rPr>
          <w:rFonts w:ascii="Book Antiqua" w:hAnsi="Book Antiqua" w:cs="宋体"/>
          <w:color w:val="000000"/>
          <w:sz w:val="21"/>
        </w:rPr>
        <w:t> </w:t>
      </w:r>
      <w:r w:rsidRPr="001802F6">
        <w:rPr>
          <w:rFonts w:ascii="Book Antiqua" w:hAnsi="Book Antiqua" w:cs="宋体"/>
          <w:b/>
          <w:bCs/>
          <w:color w:val="000000"/>
          <w:sz w:val="21"/>
        </w:rPr>
        <w:t>334</w:t>
      </w:r>
      <w:r w:rsidRPr="001802F6">
        <w:rPr>
          <w:rFonts w:ascii="Book Antiqua" w:hAnsi="Book Antiqua" w:cs="宋体"/>
          <w:color w:val="000000"/>
          <w:sz w:val="21"/>
        </w:rPr>
        <w:t>: 1092-1101 [PMID: 16039994 DOI: 10.1016/j.bbrc.2005.06.202]</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27</w:t>
      </w:r>
      <w:r w:rsidRPr="00E65221">
        <w:rPr>
          <w:rFonts w:ascii="Book Antiqua" w:hAnsi="Book Antiqua" w:cs="宋体"/>
          <w:color w:val="000000"/>
          <w:sz w:val="21"/>
        </w:rPr>
        <w:t> </w:t>
      </w:r>
      <w:r w:rsidRPr="001802F6">
        <w:rPr>
          <w:rFonts w:ascii="Book Antiqua" w:hAnsi="Book Antiqua" w:cs="宋体"/>
          <w:b/>
          <w:bCs/>
          <w:color w:val="000000"/>
          <w:sz w:val="21"/>
        </w:rPr>
        <w:t>Paul G</w:t>
      </w:r>
      <w:r w:rsidRPr="001802F6">
        <w:rPr>
          <w:rFonts w:ascii="Book Antiqua" w:hAnsi="Book Antiqua" w:cs="宋体"/>
          <w:color w:val="000000"/>
          <w:sz w:val="21"/>
        </w:rPr>
        <w:t>, Schäffler A, Neumeier M, Fürst A, Bataillle F, Buechler C, Müller-Ladner U, Schölmerich J, Rogler G, Herfarth H. Profiling adipocytokine secretion from creeping fat in Crohn's disease.</w:t>
      </w:r>
      <w:r w:rsidRPr="00E65221">
        <w:rPr>
          <w:rFonts w:ascii="Book Antiqua" w:hAnsi="Book Antiqua" w:cs="宋体"/>
          <w:color w:val="000000"/>
          <w:sz w:val="21"/>
        </w:rPr>
        <w:t> </w:t>
      </w:r>
      <w:r w:rsidRPr="001802F6">
        <w:rPr>
          <w:rFonts w:ascii="Book Antiqua" w:hAnsi="Book Antiqua" w:cs="宋体"/>
          <w:i/>
          <w:iCs/>
          <w:color w:val="000000"/>
          <w:sz w:val="21"/>
        </w:rPr>
        <w:t>Inflamm Bowel Dis</w:t>
      </w:r>
      <w:r w:rsidRPr="00E65221">
        <w:rPr>
          <w:rFonts w:ascii="Book Antiqua" w:hAnsi="Book Antiqua" w:cs="宋体"/>
          <w:color w:val="000000"/>
          <w:sz w:val="21"/>
        </w:rPr>
        <w:t> </w:t>
      </w:r>
      <w:r w:rsidRPr="001802F6">
        <w:rPr>
          <w:rFonts w:ascii="Book Antiqua" w:hAnsi="Book Antiqua" w:cs="宋体"/>
          <w:color w:val="000000"/>
          <w:sz w:val="21"/>
        </w:rPr>
        <w:t>2006;</w:t>
      </w:r>
      <w:r w:rsidRPr="00E65221">
        <w:rPr>
          <w:rFonts w:ascii="Book Antiqua" w:hAnsi="Book Antiqua" w:cs="宋体"/>
          <w:color w:val="000000"/>
          <w:sz w:val="21"/>
        </w:rPr>
        <w:t> </w:t>
      </w:r>
      <w:r w:rsidRPr="001802F6">
        <w:rPr>
          <w:rFonts w:ascii="Book Antiqua" w:hAnsi="Book Antiqua" w:cs="宋体"/>
          <w:b/>
          <w:bCs/>
          <w:color w:val="000000"/>
          <w:sz w:val="21"/>
        </w:rPr>
        <w:t>12</w:t>
      </w:r>
      <w:r w:rsidRPr="001802F6">
        <w:rPr>
          <w:rFonts w:ascii="Book Antiqua" w:hAnsi="Book Antiqua" w:cs="宋体"/>
          <w:color w:val="000000"/>
          <w:sz w:val="21"/>
        </w:rPr>
        <w:t>: 471-477 [PMID: 16775490 DOI: 10.1097/00054725-200606000-00005]</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28</w:t>
      </w:r>
      <w:r w:rsidRPr="00E65221">
        <w:rPr>
          <w:rFonts w:ascii="Book Antiqua" w:hAnsi="Book Antiqua" w:cs="宋体"/>
          <w:color w:val="000000"/>
          <w:sz w:val="21"/>
        </w:rPr>
        <w:t> </w:t>
      </w:r>
      <w:r w:rsidRPr="001802F6">
        <w:rPr>
          <w:rFonts w:ascii="Book Antiqua" w:hAnsi="Book Antiqua" w:cs="宋体"/>
          <w:b/>
          <w:bCs/>
          <w:color w:val="000000"/>
          <w:sz w:val="21"/>
        </w:rPr>
        <w:t>Patel L</w:t>
      </w:r>
      <w:r w:rsidRPr="001802F6">
        <w:rPr>
          <w:rFonts w:ascii="Book Antiqua" w:hAnsi="Book Antiqua" w:cs="宋体"/>
          <w:color w:val="000000"/>
          <w:sz w:val="21"/>
        </w:rPr>
        <w:t>, Buckels AC, Kinghorn IJ, Murdock PR, Holbrook JD, Plumpton C, Macphee CH, Smith SA. Resistin is expressed in human macrophages and directly regulated by PPAR gamma activators.</w:t>
      </w:r>
      <w:r w:rsidRPr="00E65221">
        <w:rPr>
          <w:rFonts w:ascii="Book Antiqua" w:hAnsi="Book Antiqua" w:cs="宋体"/>
          <w:color w:val="000000"/>
          <w:sz w:val="21"/>
        </w:rPr>
        <w:t> </w:t>
      </w:r>
      <w:r w:rsidRPr="001802F6">
        <w:rPr>
          <w:rFonts w:ascii="Book Antiqua" w:hAnsi="Book Antiqua" w:cs="宋体"/>
          <w:i/>
          <w:iCs/>
          <w:color w:val="000000"/>
          <w:sz w:val="21"/>
        </w:rPr>
        <w:t>Biochem Biophys Res Commun</w:t>
      </w:r>
      <w:r w:rsidRPr="00E65221">
        <w:rPr>
          <w:rFonts w:ascii="Book Antiqua" w:hAnsi="Book Antiqua" w:cs="宋体"/>
          <w:color w:val="000000"/>
          <w:sz w:val="21"/>
        </w:rPr>
        <w:t> </w:t>
      </w:r>
      <w:r w:rsidRPr="001802F6">
        <w:rPr>
          <w:rFonts w:ascii="Book Antiqua" w:hAnsi="Book Antiqua" w:cs="宋体"/>
          <w:color w:val="000000"/>
          <w:sz w:val="21"/>
        </w:rPr>
        <w:t>2003;</w:t>
      </w:r>
      <w:r w:rsidRPr="00E65221">
        <w:rPr>
          <w:rFonts w:ascii="Book Antiqua" w:hAnsi="Book Antiqua" w:cs="宋体"/>
          <w:color w:val="000000"/>
          <w:sz w:val="21"/>
        </w:rPr>
        <w:t> </w:t>
      </w:r>
      <w:r w:rsidRPr="001802F6">
        <w:rPr>
          <w:rFonts w:ascii="Book Antiqua" w:hAnsi="Book Antiqua" w:cs="宋体"/>
          <w:b/>
          <w:bCs/>
          <w:color w:val="000000"/>
          <w:sz w:val="21"/>
        </w:rPr>
        <w:t>300</w:t>
      </w:r>
      <w:r w:rsidRPr="001802F6">
        <w:rPr>
          <w:rFonts w:ascii="Book Antiqua" w:hAnsi="Book Antiqua" w:cs="宋体"/>
          <w:color w:val="000000"/>
          <w:sz w:val="21"/>
        </w:rPr>
        <w:t>: 472-476 [PMID: 12504108 DOI: 10.1016/S0006-291X(02)02841-3]</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29</w:t>
      </w:r>
      <w:r w:rsidRPr="00E65221">
        <w:rPr>
          <w:rFonts w:ascii="Book Antiqua" w:hAnsi="Book Antiqua" w:cs="宋体"/>
          <w:color w:val="000000"/>
          <w:sz w:val="21"/>
        </w:rPr>
        <w:t> </w:t>
      </w:r>
      <w:r w:rsidRPr="001802F6">
        <w:rPr>
          <w:rFonts w:ascii="Book Antiqua" w:hAnsi="Book Antiqua" w:cs="宋体"/>
          <w:b/>
          <w:bCs/>
          <w:color w:val="000000"/>
          <w:sz w:val="21"/>
        </w:rPr>
        <w:t>Kaser S</w:t>
      </w:r>
      <w:r w:rsidRPr="001802F6">
        <w:rPr>
          <w:rFonts w:ascii="Book Antiqua" w:hAnsi="Book Antiqua" w:cs="宋体"/>
          <w:color w:val="000000"/>
          <w:sz w:val="21"/>
        </w:rPr>
        <w:t>, Kaser A, Sandhofer A, Ebenbichler CF, Tilg H, Patsch JR. Resistin messenger-RNA expression is increased by proinflammatory cytokines in vitro.</w:t>
      </w:r>
      <w:r w:rsidRPr="00E65221">
        <w:rPr>
          <w:rFonts w:ascii="Book Antiqua" w:hAnsi="Book Antiqua" w:cs="宋体"/>
          <w:color w:val="000000"/>
          <w:sz w:val="21"/>
        </w:rPr>
        <w:t> </w:t>
      </w:r>
      <w:r w:rsidRPr="001802F6">
        <w:rPr>
          <w:rFonts w:ascii="Book Antiqua" w:hAnsi="Book Antiqua" w:cs="宋体"/>
          <w:i/>
          <w:iCs/>
          <w:color w:val="000000"/>
          <w:sz w:val="21"/>
        </w:rPr>
        <w:t>Biochem Biophys Res Commun</w:t>
      </w:r>
      <w:r w:rsidRPr="00E65221">
        <w:rPr>
          <w:rFonts w:ascii="Book Antiqua" w:hAnsi="Book Antiqua" w:cs="宋体"/>
          <w:color w:val="000000"/>
          <w:sz w:val="21"/>
        </w:rPr>
        <w:t> </w:t>
      </w:r>
      <w:r w:rsidRPr="001802F6">
        <w:rPr>
          <w:rFonts w:ascii="Book Antiqua" w:hAnsi="Book Antiqua" w:cs="宋体"/>
          <w:color w:val="000000"/>
          <w:sz w:val="21"/>
        </w:rPr>
        <w:t>2003;</w:t>
      </w:r>
      <w:r w:rsidRPr="00E65221">
        <w:rPr>
          <w:rFonts w:ascii="Book Antiqua" w:hAnsi="Book Antiqua" w:cs="宋体"/>
          <w:color w:val="000000"/>
          <w:sz w:val="21"/>
        </w:rPr>
        <w:t> </w:t>
      </w:r>
      <w:r w:rsidRPr="001802F6">
        <w:rPr>
          <w:rFonts w:ascii="Book Antiqua" w:hAnsi="Book Antiqua" w:cs="宋体"/>
          <w:b/>
          <w:bCs/>
          <w:color w:val="000000"/>
          <w:sz w:val="21"/>
        </w:rPr>
        <w:t>309</w:t>
      </w:r>
      <w:r w:rsidRPr="001802F6">
        <w:rPr>
          <w:rFonts w:ascii="Book Antiqua" w:hAnsi="Book Antiqua" w:cs="宋体"/>
          <w:color w:val="000000"/>
          <w:sz w:val="21"/>
        </w:rPr>
        <w:t>: 286-290 [PMID: 12951047 DOI: 10.1016/j.bbrc.2003.07.003]</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30</w:t>
      </w:r>
      <w:r w:rsidRPr="00E65221">
        <w:rPr>
          <w:rFonts w:ascii="Book Antiqua" w:hAnsi="Book Antiqua" w:cs="宋体"/>
          <w:color w:val="000000"/>
          <w:sz w:val="21"/>
        </w:rPr>
        <w:t> </w:t>
      </w:r>
      <w:r w:rsidRPr="001802F6">
        <w:rPr>
          <w:rFonts w:ascii="Book Antiqua" w:hAnsi="Book Antiqua" w:cs="宋体"/>
          <w:b/>
          <w:bCs/>
          <w:color w:val="000000"/>
          <w:sz w:val="21"/>
        </w:rPr>
        <w:t>Fukuhara A</w:t>
      </w:r>
      <w:r w:rsidRPr="001802F6">
        <w:rPr>
          <w:rFonts w:ascii="Book Antiqua" w:hAnsi="Book Antiqua" w:cs="宋体"/>
          <w:color w:val="000000"/>
          <w:sz w:val="21"/>
        </w:rPr>
        <w:t>, Matsuda M, Nishizawa M, Segawa K, Tanaka M, Kishimoto K, Matsuki Y, Murakami M, Ichisaka T, Murakami H, Watanabe E, Takagi T, Akiyoshi M, Ohtsubo T, Kihara S, Yamashita S, Makishima M, Funahashi T, Yamanaka S, Hiramatsu R, Matsuzawa Y, Shimomura I. Visfatin: a protein secreted by visceral fat that mimics the effects of insulin.</w:t>
      </w:r>
      <w:r w:rsidRPr="00E65221">
        <w:rPr>
          <w:rFonts w:ascii="Book Antiqua" w:hAnsi="Book Antiqua" w:cs="宋体"/>
          <w:color w:val="000000"/>
          <w:sz w:val="21"/>
        </w:rPr>
        <w:t> </w:t>
      </w:r>
      <w:r w:rsidRPr="001802F6">
        <w:rPr>
          <w:rFonts w:ascii="Book Antiqua" w:hAnsi="Book Antiqua" w:cs="宋体"/>
          <w:i/>
          <w:iCs/>
          <w:color w:val="000000"/>
          <w:sz w:val="21"/>
        </w:rPr>
        <w:t>Science</w:t>
      </w:r>
      <w:r w:rsidRPr="00E65221">
        <w:rPr>
          <w:rFonts w:ascii="Book Antiqua" w:hAnsi="Book Antiqua" w:cs="宋体"/>
          <w:color w:val="000000"/>
          <w:sz w:val="21"/>
        </w:rPr>
        <w:t> </w:t>
      </w:r>
      <w:r w:rsidRPr="001802F6">
        <w:rPr>
          <w:rFonts w:ascii="Book Antiqua" w:hAnsi="Book Antiqua" w:cs="宋体"/>
          <w:color w:val="000000"/>
          <w:sz w:val="21"/>
        </w:rPr>
        <w:t>2005;</w:t>
      </w:r>
      <w:r w:rsidRPr="00E65221">
        <w:rPr>
          <w:rFonts w:ascii="Book Antiqua" w:hAnsi="Book Antiqua" w:cs="宋体"/>
          <w:color w:val="000000"/>
          <w:sz w:val="21"/>
        </w:rPr>
        <w:t> </w:t>
      </w:r>
      <w:r w:rsidRPr="001802F6">
        <w:rPr>
          <w:rFonts w:ascii="Book Antiqua" w:hAnsi="Book Antiqua" w:cs="宋体"/>
          <w:b/>
          <w:bCs/>
          <w:color w:val="000000"/>
          <w:sz w:val="21"/>
        </w:rPr>
        <w:t>307</w:t>
      </w:r>
      <w:r w:rsidRPr="001802F6">
        <w:rPr>
          <w:rFonts w:ascii="Book Antiqua" w:hAnsi="Book Antiqua" w:cs="宋体"/>
          <w:color w:val="000000"/>
          <w:sz w:val="21"/>
        </w:rPr>
        <w:t>: 426-430 [PMID: 15604363 DOI: 10.1126/science.1097243]</w:t>
      </w:r>
    </w:p>
    <w:p w:rsidR="00C236D6" w:rsidRPr="001802F6" w:rsidRDefault="00C236D6" w:rsidP="00687494">
      <w:pPr>
        <w:spacing w:line="360" w:lineRule="auto"/>
        <w:jc w:val="both"/>
        <w:rPr>
          <w:rFonts w:ascii="Book Antiqua" w:hAnsi="Book Antiqua" w:cs="宋体"/>
          <w:color w:val="000000"/>
          <w:sz w:val="21"/>
        </w:rPr>
      </w:pPr>
      <w:r w:rsidRPr="001802F6">
        <w:rPr>
          <w:rFonts w:ascii="Book Antiqua" w:hAnsi="Book Antiqua" w:cs="宋体"/>
          <w:color w:val="000000"/>
          <w:sz w:val="21"/>
        </w:rPr>
        <w:t>31</w:t>
      </w:r>
      <w:r w:rsidRPr="00E65221">
        <w:rPr>
          <w:rFonts w:ascii="Book Antiqua" w:hAnsi="Book Antiqua" w:cs="宋体"/>
          <w:color w:val="000000"/>
          <w:sz w:val="21"/>
        </w:rPr>
        <w:t> </w:t>
      </w:r>
      <w:r w:rsidRPr="001802F6">
        <w:rPr>
          <w:rFonts w:ascii="Book Antiqua" w:hAnsi="Book Antiqua" w:cs="宋体"/>
          <w:b/>
          <w:bCs/>
          <w:color w:val="000000"/>
          <w:sz w:val="21"/>
        </w:rPr>
        <w:t>Jia SH</w:t>
      </w:r>
      <w:r w:rsidRPr="001802F6">
        <w:rPr>
          <w:rFonts w:ascii="Book Antiqua" w:hAnsi="Book Antiqua" w:cs="宋体"/>
          <w:color w:val="000000"/>
          <w:sz w:val="21"/>
        </w:rPr>
        <w:t>, Li Y, Parodo J, Kapus A, Fan L, Rotstein OD, Marshall JC. Pre-B cell colony-enhancing factor inhibits neutrophil apoptosis in experimental inflammation and clinical sepsis.</w:t>
      </w:r>
      <w:r w:rsidRPr="00E65221">
        <w:rPr>
          <w:rFonts w:ascii="Book Antiqua" w:hAnsi="Book Antiqua" w:cs="宋体"/>
          <w:color w:val="000000"/>
          <w:sz w:val="21"/>
        </w:rPr>
        <w:t> </w:t>
      </w:r>
      <w:r w:rsidRPr="001802F6">
        <w:rPr>
          <w:rFonts w:ascii="Book Antiqua" w:hAnsi="Book Antiqua" w:cs="宋体"/>
          <w:i/>
          <w:iCs/>
          <w:color w:val="000000"/>
          <w:sz w:val="21"/>
        </w:rPr>
        <w:t>J Clin Invest</w:t>
      </w:r>
      <w:r w:rsidRPr="00E65221">
        <w:rPr>
          <w:rFonts w:ascii="Book Antiqua" w:hAnsi="Book Antiqua" w:cs="宋体"/>
          <w:color w:val="000000"/>
          <w:sz w:val="21"/>
        </w:rPr>
        <w:t> </w:t>
      </w:r>
      <w:r w:rsidRPr="001802F6">
        <w:rPr>
          <w:rFonts w:ascii="Book Antiqua" w:hAnsi="Book Antiqua" w:cs="宋体"/>
          <w:color w:val="000000"/>
          <w:sz w:val="21"/>
        </w:rPr>
        <w:t>2004;</w:t>
      </w:r>
      <w:r w:rsidRPr="00E65221">
        <w:rPr>
          <w:rFonts w:ascii="Book Antiqua" w:hAnsi="Book Antiqua" w:cs="宋体"/>
          <w:color w:val="000000"/>
          <w:sz w:val="21"/>
        </w:rPr>
        <w:t> </w:t>
      </w:r>
      <w:r w:rsidRPr="001802F6">
        <w:rPr>
          <w:rFonts w:ascii="Book Antiqua" w:hAnsi="Book Antiqua" w:cs="宋体"/>
          <w:b/>
          <w:bCs/>
          <w:color w:val="000000"/>
          <w:sz w:val="21"/>
        </w:rPr>
        <w:t>113</w:t>
      </w:r>
      <w:r w:rsidRPr="001802F6">
        <w:rPr>
          <w:rFonts w:ascii="Book Antiqua" w:hAnsi="Book Antiqua" w:cs="宋体"/>
          <w:color w:val="000000"/>
          <w:sz w:val="21"/>
        </w:rPr>
        <w:t>: 1318-1327 [PMID: 15124023 DOI: 10.1172/JCI19930]</w:t>
      </w:r>
    </w:p>
    <w:p w:rsidR="00C236D6" w:rsidRPr="00E65221" w:rsidRDefault="00C236D6" w:rsidP="00687494">
      <w:pPr>
        <w:spacing w:line="360" w:lineRule="auto"/>
        <w:jc w:val="both"/>
        <w:rPr>
          <w:rFonts w:ascii="Book Antiqua" w:hAnsi="Book Antiqua" w:cs="宋体"/>
          <w:color w:val="000000"/>
          <w:sz w:val="21"/>
          <w:lang w:eastAsia="zh-CN"/>
        </w:rPr>
      </w:pPr>
      <w:r w:rsidRPr="001802F6">
        <w:rPr>
          <w:rFonts w:ascii="Book Antiqua" w:hAnsi="Book Antiqua" w:cs="宋体"/>
          <w:color w:val="000000"/>
          <w:sz w:val="21"/>
        </w:rPr>
        <w:lastRenderedPageBreak/>
        <w:t>32</w:t>
      </w:r>
      <w:r w:rsidRPr="00E65221">
        <w:rPr>
          <w:rFonts w:ascii="Book Antiqua" w:hAnsi="Book Antiqua" w:cs="宋体"/>
          <w:color w:val="000000"/>
          <w:sz w:val="21"/>
        </w:rPr>
        <w:t> </w:t>
      </w:r>
      <w:r w:rsidRPr="001802F6">
        <w:rPr>
          <w:rFonts w:ascii="Book Antiqua" w:hAnsi="Book Antiqua" w:cs="宋体"/>
          <w:b/>
          <w:bCs/>
          <w:color w:val="000000"/>
          <w:sz w:val="21"/>
        </w:rPr>
        <w:t>Moschen AR</w:t>
      </w:r>
      <w:r w:rsidRPr="001802F6">
        <w:rPr>
          <w:rFonts w:ascii="Book Antiqua" w:hAnsi="Book Antiqua" w:cs="宋体"/>
          <w:color w:val="000000"/>
          <w:sz w:val="21"/>
        </w:rPr>
        <w:t>, Geiger S, Gerner R, Tilg H. Pre-B cell colony enhancing factor/NAMPT/visfatin and its role in inflammation-related bone disease.</w:t>
      </w:r>
      <w:r w:rsidRPr="00E65221">
        <w:rPr>
          <w:rFonts w:ascii="Book Antiqua" w:hAnsi="Book Antiqua" w:cs="宋体"/>
          <w:color w:val="000000"/>
          <w:sz w:val="21"/>
        </w:rPr>
        <w:t> </w:t>
      </w:r>
      <w:r w:rsidRPr="001802F6">
        <w:rPr>
          <w:rFonts w:ascii="Book Antiqua" w:hAnsi="Book Antiqua" w:cs="宋体"/>
          <w:i/>
          <w:iCs/>
          <w:color w:val="000000"/>
          <w:sz w:val="21"/>
        </w:rPr>
        <w:t>Mutat Res</w:t>
      </w:r>
      <w:r w:rsidRPr="00E65221">
        <w:rPr>
          <w:rFonts w:ascii="Book Antiqua" w:hAnsi="Book Antiqua" w:cs="宋体"/>
          <w:color w:val="000000"/>
          <w:sz w:val="21"/>
        </w:rPr>
        <w:t> </w:t>
      </w:r>
      <w:r w:rsidRPr="001802F6">
        <w:rPr>
          <w:rFonts w:ascii="Book Antiqua" w:hAnsi="Book Antiqua" w:cs="宋体"/>
          <w:color w:val="000000"/>
          <w:sz w:val="21"/>
        </w:rPr>
        <w:t>2010;</w:t>
      </w:r>
      <w:r w:rsidRPr="00E65221">
        <w:rPr>
          <w:rFonts w:ascii="Book Antiqua" w:hAnsi="Book Antiqua" w:cs="宋体"/>
          <w:color w:val="000000"/>
          <w:sz w:val="21"/>
        </w:rPr>
        <w:t> </w:t>
      </w:r>
      <w:r w:rsidRPr="001802F6">
        <w:rPr>
          <w:rFonts w:ascii="Book Antiqua" w:hAnsi="Book Antiqua" w:cs="宋体"/>
          <w:b/>
          <w:bCs/>
          <w:color w:val="000000"/>
          <w:sz w:val="21"/>
        </w:rPr>
        <w:t>690</w:t>
      </w:r>
      <w:r w:rsidRPr="001802F6">
        <w:rPr>
          <w:rFonts w:ascii="Book Antiqua" w:hAnsi="Book Antiqua" w:cs="宋体"/>
          <w:color w:val="000000"/>
          <w:sz w:val="21"/>
        </w:rPr>
        <w:t>: 95-101 [PMID: 19583971 DOI: 10.1016/j.mrfmmm.2009.06.012]</w:t>
      </w:r>
    </w:p>
    <w:p w:rsidR="00C236D6" w:rsidRPr="00E65221" w:rsidRDefault="00C236D6" w:rsidP="00F13504">
      <w:pPr>
        <w:spacing w:line="360" w:lineRule="auto"/>
        <w:jc w:val="right"/>
        <w:rPr>
          <w:rFonts w:ascii="Book Antiqua" w:hAnsi="Book Antiqua"/>
          <w:b/>
          <w:color w:val="000000"/>
          <w:sz w:val="21"/>
          <w:lang w:val="en-US" w:eastAsia="zh-CN"/>
        </w:rPr>
      </w:pPr>
      <w:r w:rsidRPr="00E65221">
        <w:rPr>
          <w:rFonts w:ascii="Book Antiqua" w:hAnsi="Book Antiqua"/>
          <w:b/>
          <w:color w:val="000000"/>
          <w:sz w:val="21"/>
          <w:lang w:val="en-US"/>
        </w:rPr>
        <w:t>P-Reviewer</w:t>
      </w:r>
      <w:r w:rsidRPr="00E65221">
        <w:rPr>
          <w:rFonts w:ascii="Book Antiqua" w:hAnsi="Book Antiqua"/>
          <w:b/>
          <w:color w:val="000000"/>
          <w:sz w:val="21"/>
          <w:lang w:val="en-US" w:eastAsia="zh-CN"/>
        </w:rPr>
        <w:t xml:space="preserve">s: </w:t>
      </w:r>
      <w:r w:rsidRPr="00E65221">
        <w:rPr>
          <w:rFonts w:ascii="Book Antiqua" w:hAnsi="Book Antiqua"/>
          <w:color w:val="000000"/>
          <w:sz w:val="21"/>
          <w:lang w:val="en-US" w:eastAsia="zh-CN"/>
        </w:rPr>
        <w:t>Di Vita G, Marie JC, Zhang XJ</w:t>
      </w:r>
      <w:r w:rsidRPr="00E65221">
        <w:rPr>
          <w:rFonts w:ascii="Book Antiqua" w:hAnsi="Book Antiqua"/>
          <w:b/>
          <w:color w:val="000000"/>
          <w:sz w:val="21"/>
          <w:lang w:val="en-US" w:eastAsia="zh-CN"/>
        </w:rPr>
        <w:t xml:space="preserve"> </w:t>
      </w:r>
      <w:r w:rsidRPr="00E65221">
        <w:rPr>
          <w:rFonts w:ascii="Book Antiqua" w:hAnsi="Book Antiqua"/>
          <w:b/>
          <w:color w:val="000000"/>
          <w:sz w:val="21"/>
          <w:lang w:val="en-US"/>
        </w:rPr>
        <w:t>S-Editor</w:t>
      </w:r>
      <w:r w:rsidRPr="00E65221">
        <w:rPr>
          <w:rFonts w:ascii="Book Antiqua" w:hAnsi="Book Antiqua"/>
          <w:b/>
          <w:color w:val="000000"/>
          <w:sz w:val="21"/>
          <w:lang w:val="en-US" w:eastAsia="zh-CN"/>
        </w:rPr>
        <w:t xml:space="preserve">: </w:t>
      </w:r>
      <w:r w:rsidRPr="00E65221">
        <w:rPr>
          <w:rFonts w:ascii="Book Antiqua" w:hAnsi="Book Antiqua"/>
          <w:color w:val="000000"/>
          <w:sz w:val="21"/>
          <w:lang w:val="en-US" w:eastAsia="zh-CN"/>
        </w:rPr>
        <w:t>Ma YJ</w:t>
      </w:r>
      <w:r w:rsidRPr="00E65221">
        <w:rPr>
          <w:rFonts w:ascii="Book Antiqua" w:hAnsi="Book Antiqua"/>
          <w:b/>
          <w:color w:val="000000"/>
          <w:sz w:val="21"/>
          <w:lang w:val="en-US" w:eastAsia="zh-CN"/>
        </w:rPr>
        <w:t xml:space="preserve"> </w:t>
      </w:r>
      <w:r w:rsidRPr="00E65221">
        <w:rPr>
          <w:rFonts w:ascii="Book Antiqua" w:hAnsi="Book Antiqua"/>
          <w:b/>
          <w:color w:val="000000"/>
          <w:sz w:val="21"/>
          <w:lang w:val="en-US"/>
        </w:rPr>
        <w:t>L-Editor</w:t>
      </w:r>
      <w:r w:rsidRPr="00E65221">
        <w:rPr>
          <w:rFonts w:ascii="Book Antiqua" w:hAnsi="Book Antiqua"/>
          <w:b/>
          <w:color w:val="000000"/>
          <w:sz w:val="21"/>
          <w:lang w:val="en-US" w:eastAsia="zh-CN"/>
        </w:rPr>
        <w:t xml:space="preserve">: </w:t>
      </w:r>
      <w:r w:rsidRPr="00E65221">
        <w:rPr>
          <w:rFonts w:ascii="Book Antiqua" w:hAnsi="Book Antiqua"/>
          <w:b/>
          <w:color w:val="000000"/>
          <w:sz w:val="21"/>
          <w:lang w:val="en-US"/>
        </w:rPr>
        <w:t>E-Editor</w:t>
      </w:r>
      <w:r w:rsidRPr="00E65221">
        <w:rPr>
          <w:rFonts w:ascii="Book Antiqua" w:hAnsi="Book Antiqua"/>
          <w:b/>
          <w:color w:val="000000"/>
          <w:sz w:val="21"/>
          <w:lang w:val="en-US" w:eastAsia="zh-CN"/>
        </w:rPr>
        <w:t xml:space="preserve">: </w:t>
      </w:r>
    </w:p>
    <w:p w:rsidR="00C236D6" w:rsidRPr="00E65221" w:rsidRDefault="00C236D6" w:rsidP="006D26CC">
      <w:pPr>
        <w:spacing w:line="360" w:lineRule="auto"/>
        <w:rPr>
          <w:rFonts w:ascii="Book Antiqua" w:hAnsi="Book Antiqua"/>
          <w:strike/>
          <w:color w:val="000000"/>
          <w:lang w:val="en-US"/>
        </w:rPr>
      </w:pPr>
      <w:r w:rsidRPr="00E65221">
        <w:rPr>
          <w:rFonts w:ascii="Book Antiqua" w:hAnsi="Book Antiqua"/>
          <w:b/>
          <w:color w:val="000000"/>
          <w:lang w:val="en-US"/>
        </w:rPr>
        <w:br w:type="page"/>
      </w:r>
      <w:r w:rsidRPr="00E65221">
        <w:rPr>
          <w:rFonts w:ascii="Book Antiqua" w:hAnsi="Book Antiqua"/>
          <w:b/>
          <w:color w:val="000000"/>
          <w:lang w:val="en-US"/>
        </w:rPr>
        <w:lastRenderedPageBreak/>
        <w:t>Table 1 Subject</w:t>
      </w:r>
      <w:r w:rsidRPr="00E65221">
        <w:rPr>
          <w:rFonts w:ascii="Book Antiqua" w:hAnsi="Book Antiqua"/>
          <w:color w:val="000000"/>
          <w:lang w:val="en-US"/>
        </w:rPr>
        <w:t xml:space="preserve"> </w:t>
      </w:r>
      <w:r w:rsidRPr="00E65221">
        <w:rPr>
          <w:rFonts w:ascii="Book Antiqua" w:hAnsi="Book Antiqua"/>
          <w:b/>
          <w:color w:val="000000"/>
          <w:lang w:val="en-US"/>
        </w:rPr>
        <w:t>characteristics</w:t>
      </w: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32"/>
        <w:gridCol w:w="1646"/>
        <w:gridCol w:w="1517"/>
        <w:gridCol w:w="1142"/>
      </w:tblGrid>
      <w:tr w:rsidR="00C236D6" w:rsidRPr="00E65221" w:rsidTr="00594CD3">
        <w:trPr>
          <w:trHeight w:val="1011"/>
        </w:trPr>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p>
        </w:tc>
        <w:tc>
          <w:tcPr>
            <w:tcW w:w="1732" w:type="dxa"/>
            <w:tcMar>
              <w:top w:w="113" w:type="dxa"/>
              <w:bottom w:w="113"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 xml:space="preserve">Crohn’s </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disease</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24)</w:t>
            </w:r>
          </w:p>
        </w:tc>
        <w:tc>
          <w:tcPr>
            <w:tcW w:w="1646" w:type="dxa"/>
            <w:tcMar>
              <w:top w:w="113" w:type="dxa"/>
              <w:bottom w:w="113"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 xml:space="preserve">Ulcerative </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colitis</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16)</w:t>
            </w:r>
          </w:p>
        </w:tc>
        <w:tc>
          <w:tcPr>
            <w:tcW w:w="1517" w:type="dxa"/>
            <w:tcMar>
              <w:top w:w="113" w:type="dxa"/>
              <w:bottom w:w="113"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 xml:space="preserve">Control </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group</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16)</w:t>
            </w:r>
          </w:p>
        </w:tc>
        <w:tc>
          <w:tcPr>
            <w:tcW w:w="1142" w:type="dxa"/>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i/>
                <w:color w:val="000000"/>
                <w:lang w:val="en-US"/>
              </w:rPr>
              <w:t xml:space="preserve">P </w:t>
            </w:r>
            <w:r w:rsidRPr="00E65221">
              <w:rPr>
                <w:rFonts w:ascii="Book Antiqua" w:hAnsi="Book Antiqua"/>
                <w:b/>
                <w:color w:val="000000"/>
                <w:lang w:val="en-US"/>
              </w:rPr>
              <w:t>value</w:t>
            </w:r>
          </w:p>
        </w:tc>
      </w:tr>
      <w:tr w:rsidR="00C236D6" w:rsidRPr="00E65221" w:rsidTr="00594CD3">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Female, %</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54</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56</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50</w:t>
            </w:r>
          </w:p>
        </w:tc>
        <w:tc>
          <w:tcPr>
            <w:tcW w:w="1142" w:type="dxa"/>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0.902</w:t>
            </w:r>
          </w:p>
        </w:tc>
      </w:tr>
      <w:tr w:rsidR="00C236D6" w:rsidRPr="00E65221" w:rsidTr="00594CD3">
        <w:tc>
          <w:tcPr>
            <w:tcW w:w="2660" w:type="dxa"/>
            <w:tcMar>
              <w:top w:w="113" w:type="dxa"/>
              <w:bottom w:w="113" w:type="dxa"/>
            </w:tcMar>
            <w:vAlign w:val="center"/>
          </w:tcPr>
          <w:p w:rsidR="00C236D6" w:rsidRPr="00E65221" w:rsidRDefault="00C236D6" w:rsidP="00594CD3">
            <w:pPr>
              <w:rPr>
                <w:rFonts w:ascii="Book Antiqua" w:hAnsi="Book Antiqua"/>
                <w:b/>
                <w:color w:val="000000"/>
                <w:lang w:val="en-US" w:eastAsia="zh-CN"/>
              </w:rPr>
            </w:pPr>
            <w:r w:rsidRPr="00E65221">
              <w:rPr>
                <w:rFonts w:ascii="Book Antiqua" w:hAnsi="Book Antiqua"/>
                <w:b/>
                <w:color w:val="000000"/>
                <w:lang w:val="en-US"/>
              </w:rPr>
              <w:t>Age, yr</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31.0 ± 9.4</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33.2 ± 21.9</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30.3 ± 12.2</w:t>
            </w:r>
          </w:p>
        </w:tc>
        <w:tc>
          <w:tcPr>
            <w:tcW w:w="1142" w:type="dxa"/>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0.060</w:t>
            </w:r>
          </w:p>
        </w:tc>
      </w:tr>
      <w:tr w:rsidR="00C236D6" w:rsidRPr="00E65221" w:rsidTr="00594CD3">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BMI, kg/m</w:t>
            </w:r>
            <w:r w:rsidRPr="00E65221">
              <w:rPr>
                <w:rFonts w:ascii="Book Antiqua" w:hAnsi="Book Antiqua"/>
                <w:b/>
                <w:color w:val="000000"/>
                <w:vertAlign w:val="superscript"/>
                <w:lang w:val="en-US"/>
              </w:rPr>
              <w:t>2</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21.4 ± 2.8</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23.4 ± 5.6</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22 ± 4.8</w:t>
            </w:r>
          </w:p>
        </w:tc>
        <w:tc>
          <w:tcPr>
            <w:tcW w:w="1142" w:type="dxa"/>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0.444</w:t>
            </w:r>
          </w:p>
        </w:tc>
      </w:tr>
      <w:tr w:rsidR="00C236D6" w:rsidRPr="00E65221" w:rsidTr="00594CD3">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 xml:space="preserve">Waist circumference, cm </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78.8 ± 9.9</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78.4 ± 15.7</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78.5 ± 8.5</w:t>
            </w:r>
          </w:p>
        </w:tc>
        <w:tc>
          <w:tcPr>
            <w:tcW w:w="1142" w:type="dxa"/>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0.090</w:t>
            </w:r>
          </w:p>
        </w:tc>
      </w:tr>
      <w:tr w:rsidR="00C236D6" w:rsidRPr="00E65221" w:rsidTr="00594CD3">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 xml:space="preserve">Hip circumference, cm </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91.5 ± 8.8</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93.6 ± 11.9</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91.1 ± 8.1</w:t>
            </w:r>
          </w:p>
        </w:tc>
        <w:tc>
          <w:tcPr>
            <w:tcW w:w="1142" w:type="dxa"/>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0.345</w:t>
            </w:r>
          </w:p>
        </w:tc>
      </w:tr>
      <w:tr w:rsidR="00C236D6" w:rsidRPr="00E65221" w:rsidTr="00594CD3">
        <w:trPr>
          <w:trHeight w:val="453"/>
        </w:trPr>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Waist/hip ratio</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0.86 ± 0.08</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0.84 ± 0.08</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0.86 ± 0.07</w:t>
            </w:r>
          </w:p>
        </w:tc>
        <w:tc>
          <w:tcPr>
            <w:tcW w:w="1142" w:type="dxa"/>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0.472</w:t>
            </w:r>
          </w:p>
        </w:tc>
      </w:tr>
      <w:tr w:rsidR="00C236D6" w:rsidRPr="00E65221" w:rsidTr="00594CD3">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 xml:space="preserve">Duration of IBD, years </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9.5 ± 7.9</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10.5 ± 8.1</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w:t>
            </w:r>
          </w:p>
        </w:tc>
        <w:tc>
          <w:tcPr>
            <w:tcW w:w="1142" w:type="dxa"/>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0.105</w:t>
            </w:r>
          </w:p>
        </w:tc>
      </w:tr>
      <w:tr w:rsidR="00C236D6" w:rsidRPr="00E65221" w:rsidTr="00594CD3">
        <w:trPr>
          <w:trHeight w:val="903"/>
        </w:trPr>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Activity of IBD</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CDAI</w:t>
            </w:r>
          </w:p>
          <w:p w:rsidR="00C236D6" w:rsidRPr="00E65221" w:rsidRDefault="00C236D6" w:rsidP="00594CD3">
            <w:pPr>
              <w:jc w:val="center"/>
              <w:rPr>
                <w:rFonts w:ascii="Book Antiqua" w:hAnsi="Book Antiqua"/>
                <w:b/>
                <w:color w:val="000000"/>
                <w:lang w:val="en-US"/>
              </w:rPr>
            </w:pP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Montreal severity classification</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S0/S1/S2/S3</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 241 ± 155</w:t>
            </w: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 36.6 ± 25.3</w:t>
            </w:r>
          </w:p>
          <w:p w:rsidR="00C236D6" w:rsidRPr="00E65221" w:rsidRDefault="00C236D6" w:rsidP="00594CD3">
            <w:pPr>
              <w:rPr>
                <w:rFonts w:ascii="Book Antiqua" w:hAnsi="Book Antiqua"/>
                <w:color w:val="000000"/>
                <w:lang w:val="en-US"/>
              </w:rPr>
            </w:pP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w:t>
            </w:r>
          </w:p>
          <w:p w:rsidR="00C236D6" w:rsidRPr="00E65221" w:rsidRDefault="00C236D6" w:rsidP="00594CD3">
            <w:pPr>
              <w:rPr>
                <w:rFonts w:ascii="Book Antiqua" w:hAnsi="Book Antiqua"/>
                <w:color w:val="000000"/>
                <w:lang w:val="en-US"/>
              </w:rPr>
            </w:pP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 0/1/14/1</w:t>
            </w: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 8/8/0/0</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w:t>
            </w:r>
          </w:p>
        </w:tc>
        <w:tc>
          <w:tcPr>
            <w:tcW w:w="1142" w:type="dxa"/>
            <w:vAlign w:val="center"/>
          </w:tcPr>
          <w:p w:rsidR="00C236D6" w:rsidRPr="00E65221" w:rsidRDefault="00C236D6" w:rsidP="00594CD3">
            <w:pPr>
              <w:jc w:val="center"/>
              <w:rPr>
                <w:rFonts w:ascii="Book Antiqua" w:hAnsi="Book Antiqua"/>
                <w:color w:val="000000"/>
                <w:lang w:val="en-US"/>
              </w:rPr>
            </w:pPr>
          </w:p>
        </w:tc>
      </w:tr>
      <w:tr w:rsidR="00C236D6" w:rsidRPr="00E65221" w:rsidTr="00594CD3">
        <w:trPr>
          <w:trHeight w:val="1105"/>
        </w:trPr>
        <w:tc>
          <w:tcPr>
            <w:tcW w:w="2660" w:type="dxa"/>
            <w:tcMar>
              <w:top w:w="113" w:type="dxa"/>
              <w:bottom w:w="113"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 xml:space="preserve">Vienna classification </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A1/A2</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L1/L2/L3/L4</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B1/B2/B3</w:t>
            </w:r>
          </w:p>
        </w:tc>
        <w:tc>
          <w:tcPr>
            <w:tcW w:w="1732" w:type="dxa"/>
            <w:tcMar>
              <w:top w:w="113" w:type="dxa"/>
              <w:bottom w:w="113" w:type="dxa"/>
            </w:tcMar>
            <w:vAlign w:val="center"/>
          </w:tcPr>
          <w:p w:rsidR="00C236D6" w:rsidRPr="00E65221" w:rsidRDefault="00C236D6" w:rsidP="00594CD3">
            <w:pPr>
              <w:jc w:val="center"/>
              <w:rPr>
                <w:rFonts w:ascii="Book Antiqua" w:hAnsi="Book Antiqua"/>
                <w:color w:val="000000"/>
                <w:lang w:val="en-US"/>
              </w:rPr>
            </w:pP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21/3</w:t>
            </w: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2/5/17/0</w:t>
            </w:r>
          </w:p>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14/6/4</w:t>
            </w:r>
          </w:p>
        </w:tc>
        <w:tc>
          <w:tcPr>
            <w:tcW w:w="1646"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w:t>
            </w:r>
          </w:p>
        </w:tc>
        <w:tc>
          <w:tcPr>
            <w:tcW w:w="1517" w:type="dxa"/>
            <w:tcMar>
              <w:top w:w="113" w:type="dxa"/>
              <w:bottom w:w="113"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w:t>
            </w:r>
          </w:p>
        </w:tc>
        <w:tc>
          <w:tcPr>
            <w:tcW w:w="1142" w:type="dxa"/>
            <w:vAlign w:val="center"/>
          </w:tcPr>
          <w:p w:rsidR="00C236D6" w:rsidRPr="00E65221" w:rsidRDefault="00C236D6" w:rsidP="00594CD3">
            <w:pPr>
              <w:jc w:val="center"/>
              <w:rPr>
                <w:rFonts w:ascii="Book Antiqua" w:hAnsi="Book Antiqua"/>
                <w:color w:val="000000"/>
                <w:lang w:val="en-US"/>
              </w:rPr>
            </w:pPr>
          </w:p>
        </w:tc>
      </w:tr>
    </w:tbl>
    <w:p w:rsidR="00C236D6" w:rsidRPr="00E65221" w:rsidRDefault="00C236D6" w:rsidP="006D26CC">
      <w:pPr>
        <w:jc w:val="both"/>
        <w:rPr>
          <w:rFonts w:ascii="Book Antiqua" w:hAnsi="Book Antiqua"/>
          <w:color w:val="000000"/>
          <w:lang w:val="en-US"/>
        </w:rPr>
      </w:pPr>
      <w:r w:rsidRPr="00E65221">
        <w:rPr>
          <w:rFonts w:ascii="Book Antiqua" w:hAnsi="Book Antiqua"/>
          <w:color w:val="000000"/>
          <w:lang w:val="en-US"/>
        </w:rPr>
        <w:t>A</w:t>
      </w:r>
      <w:r w:rsidRPr="00E65221">
        <w:rPr>
          <w:rFonts w:ascii="Book Antiqua" w:hAnsi="Book Antiqua"/>
          <w:color w:val="000000"/>
          <w:lang w:val="en-US" w:eastAsia="zh-CN"/>
        </w:rPr>
        <w:t>:</w:t>
      </w:r>
      <w:r w:rsidRPr="00E65221">
        <w:rPr>
          <w:rFonts w:ascii="Book Antiqua" w:hAnsi="Book Antiqua"/>
          <w:color w:val="000000"/>
          <w:lang w:val="en-US"/>
        </w:rPr>
        <w:t xml:space="preserve"> </w:t>
      </w:r>
      <w:r w:rsidRPr="00E65221">
        <w:rPr>
          <w:rFonts w:ascii="Book Antiqua" w:hAnsi="Book Antiqua"/>
          <w:caps/>
          <w:color w:val="000000"/>
          <w:lang w:val="en-US"/>
        </w:rPr>
        <w:t>b</w:t>
      </w:r>
      <w:r w:rsidRPr="00E65221">
        <w:rPr>
          <w:rFonts w:ascii="Book Antiqua" w:hAnsi="Book Antiqua"/>
          <w:color w:val="000000"/>
          <w:lang w:val="en-US"/>
        </w:rPr>
        <w:t>efore treatment; B</w:t>
      </w:r>
      <w:r w:rsidRPr="00E65221">
        <w:rPr>
          <w:rFonts w:ascii="Book Antiqua" w:hAnsi="Book Antiqua"/>
          <w:color w:val="000000"/>
          <w:lang w:val="en-US" w:eastAsia="zh-CN"/>
        </w:rPr>
        <w:t>:</w:t>
      </w:r>
      <w:r w:rsidRPr="00E65221">
        <w:rPr>
          <w:rFonts w:ascii="Book Antiqua" w:hAnsi="Book Antiqua"/>
          <w:color w:val="000000"/>
          <w:lang w:val="en-US"/>
        </w:rPr>
        <w:t xml:space="preserve"> 3 mo after initiation of treatment; CDAI</w:t>
      </w:r>
      <w:r w:rsidRPr="00E65221">
        <w:rPr>
          <w:rFonts w:ascii="Book Antiqua" w:hAnsi="Book Antiqua"/>
          <w:color w:val="000000"/>
          <w:lang w:val="en-US" w:eastAsia="zh-CN"/>
        </w:rPr>
        <w:t>:</w:t>
      </w:r>
      <w:r w:rsidRPr="00E65221">
        <w:rPr>
          <w:rFonts w:ascii="Book Antiqua" w:hAnsi="Book Antiqua"/>
          <w:color w:val="000000"/>
          <w:lang w:val="en-US"/>
        </w:rPr>
        <w:t xml:space="preserve"> Crohn’s disease activity index; IBD</w:t>
      </w:r>
      <w:r w:rsidRPr="00E65221">
        <w:rPr>
          <w:rFonts w:ascii="Book Antiqua" w:hAnsi="Book Antiqua"/>
          <w:color w:val="000000"/>
          <w:lang w:val="en-US" w:eastAsia="zh-CN"/>
        </w:rPr>
        <w:t>:</w:t>
      </w:r>
      <w:r w:rsidRPr="00E65221">
        <w:rPr>
          <w:rFonts w:ascii="Book Antiqua" w:hAnsi="Book Antiqua"/>
          <w:caps/>
          <w:color w:val="000000"/>
          <w:lang w:val="en-US"/>
        </w:rPr>
        <w:t xml:space="preserve"> i</w:t>
      </w:r>
      <w:r w:rsidRPr="00E65221">
        <w:rPr>
          <w:rFonts w:ascii="Book Antiqua" w:hAnsi="Book Antiqua"/>
          <w:color w:val="000000"/>
          <w:lang w:val="en-US"/>
        </w:rPr>
        <w:t>nflammatory bowel disease.</w:t>
      </w:r>
    </w:p>
    <w:p w:rsidR="00C236D6" w:rsidRPr="00E65221" w:rsidRDefault="00C236D6" w:rsidP="006D26CC">
      <w:pPr>
        <w:rPr>
          <w:rFonts w:ascii="Book Antiqua" w:hAnsi="Book Antiqua"/>
          <w:color w:val="000000"/>
          <w:lang w:val="en-US"/>
        </w:rPr>
      </w:pPr>
      <w:r w:rsidRPr="00E65221">
        <w:rPr>
          <w:rFonts w:ascii="Book Antiqua" w:hAnsi="Book Antiqua"/>
          <w:b/>
          <w:color w:val="000000"/>
          <w:lang w:val="en-US"/>
        </w:rPr>
        <w:br w:type="page"/>
      </w:r>
      <w:r w:rsidRPr="00E65221">
        <w:rPr>
          <w:rFonts w:ascii="Book Antiqua" w:hAnsi="Book Antiqua"/>
          <w:b/>
          <w:color w:val="000000"/>
          <w:lang w:val="en-US"/>
        </w:rPr>
        <w:lastRenderedPageBreak/>
        <w:t>Table 2</w:t>
      </w:r>
      <w:r w:rsidRPr="00E65221">
        <w:rPr>
          <w:rFonts w:ascii="Book Antiqua" w:hAnsi="Book Antiqua"/>
          <w:color w:val="000000"/>
          <w:lang w:val="en-US"/>
        </w:rPr>
        <w:t xml:space="preserve"> </w:t>
      </w:r>
      <w:r w:rsidRPr="00E65221">
        <w:rPr>
          <w:rFonts w:ascii="Book Antiqua" w:hAnsi="Book Antiqua"/>
          <w:b/>
          <w:color w:val="000000"/>
          <w:lang w:val="en-US"/>
        </w:rPr>
        <w:t>Serum adipokine concentrations</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1649"/>
        <w:gridCol w:w="1241"/>
        <w:gridCol w:w="1277"/>
        <w:gridCol w:w="1370"/>
        <w:gridCol w:w="1309"/>
        <w:gridCol w:w="1347"/>
      </w:tblGrid>
      <w:tr w:rsidR="00C236D6" w:rsidRPr="00E65221" w:rsidTr="00594CD3">
        <w:tc>
          <w:tcPr>
            <w:tcW w:w="1738" w:type="dxa"/>
            <w:tcMar>
              <w:top w:w="57" w:type="dxa"/>
              <w:bottom w:w="57" w:type="dxa"/>
            </w:tcMar>
            <w:vAlign w:val="center"/>
          </w:tcPr>
          <w:p w:rsidR="00C236D6" w:rsidRPr="00E65221" w:rsidRDefault="00C236D6" w:rsidP="00594CD3">
            <w:pPr>
              <w:jc w:val="center"/>
              <w:rPr>
                <w:rFonts w:ascii="Book Antiqua" w:hAnsi="Book Antiqua"/>
                <w:color w:val="000000"/>
                <w:lang w:val="en-US"/>
              </w:rPr>
            </w:pPr>
          </w:p>
        </w:tc>
        <w:tc>
          <w:tcPr>
            <w:tcW w:w="1544" w:type="dxa"/>
            <w:tcMar>
              <w:top w:w="57" w:type="dxa"/>
              <w:bottom w:w="57"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Adiponectin,</w:t>
            </w:r>
          </w:p>
          <w:p w:rsidR="00C236D6" w:rsidRPr="00E65221" w:rsidRDefault="00C236D6" w:rsidP="00594CD3">
            <w:pPr>
              <w:jc w:val="center"/>
              <w:rPr>
                <w:rFonts w:ascii="Book Antiqua" w:hAnsi="Book Antiqua"/>
                <w:b/>
                <w:color w:val="000000"/>
                <w:lang w:val="en-US"/>
              </w:rPr>
            </w:pPr>
            <w:r w:rsidRPr="00E65221">
              <w:rPr>
                <w:rFonts w:ascii="Book Antiqua" w:hAnsi="Book Antiqua" w:cs="Book Antiqua"/>
                <w:b/>
                <w:color w:val="000000"/>
                <w:lang w:val="en-US"/>
              </w:rPr>
              <w:t></w:t>
            </w:r>
            <w:r w:rsidRPr="00E65221">
              <w:rPr>
                <w:rFonts w:ascii="Book Antiqua" w:hAnsi="Book Antiqua"/>
                <w:b/>
                <w:color w:val="000000"/>
                <w:lang w:val="en-US"/>
              </w:rPr>
              <w:t>g/mL</w:t>
            </w:r>
          </w:p>
        </w:tc>
        <w:tc>
          <w:tcPr>
            <w:tcW w:w="1285" w:type="dxa"/>
            <w:tcMar>
              <w:top w:w="57" w:type="dxa"/>
              <w:bottom w:w="57"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Leptin,</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ng/mL</w:t>
            </w:r>
          </w:p>
        </w:tc>
        <w:tc>
          <w:tcPr>
            <w:tcW w:w="1308" w:type="dxa"/>
            <w:tcMar>
              <w:top w:w="57" w:type="dxa"/>
              <w:bottom w:w="57"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TGF-</w:t>
            </w:r>
            <w:r w:rsidRPr="00E65221">
              <w:rPr>
                <w:rFonts w:ascii="Book Antiqua" w:hAnsi="Book Antiqua"/>
                <w:b/>
                <w:color w:val="000000"/>
                <w:lang w:val="en-US"/>
              </w:rPr>
              <w:sym w:font="Symbol" w:char="F062"/>
            </w:r>
            <w:r w:rsidRPr="00E65221">
              <w:rPr>
                <w:rFonts w:ascii="Book Antiqua" w:hAnsi="Book Antiqua"/>
                <w:b/>
                <w:color w:val="000000"/>
                <w:lang w:val="en-US"/>
              </w:rPr>
              <w:t>1,</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pg/mL</w:t>
            </w:r>
          </w:p>
        </w:tc>
        <w:tc>
          <w:tcPr>
            <w:tcW w:w="1272" w:type="dxa"/>
            <w:tcMar>
              <w:top w:w="57" w:type="dxa"/>
              <w:bottom w:w="57"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Chemerin,</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ng/mL</w:t>
            </w:r>
          </w:p>
        </w:tc>
        <w:tc>
          <w:tcPr>
            <w:tcW w:w="1334" w:type="dxa"/>
            <w:tcMar>
              <w:top w:w="57" w:type="dxa"/>
              <w:bottom w:w="57"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Resistin,</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ng/mL</w:t>
            </w:r>
          </w:p>
        </w:tc>
        <w:tc>
          <w:tcPr>
            <w:tcW w:w="1379" w:type="dxa"/>
            <w:tcMar>
              <w:top w:w="57" w:type="dxa"/>
              <w:bottom w:w="57"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Visfatin,</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ng/mL</w:t>
            </w:r>
          </w:p>
        </w:tc>
      </w:tr>
      <w:tr w:rsidR="00C236D6" w:rsidRPr="00E65221" w:rsidTr="00594CD3">
        <w:trPr>
          <w:trHeight w:val="284"/>
        </w:trPr>
        <w:tc>
          <w:tcPr>
            <w:tcW w:w="9860" w:type="dxa"/>
            <w:gridSpan w:val="7"/>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Crohn’s disease</w:t>
            </w:r>
          </w:p>
        </w:tc>
      </w:tr>
      <w:tr w:rsidR="00C236D6" w:rsidRPr="00E65221" w:rsidTr="00594CD3">
        <w:tc>
          <w:tcPr>
            <w:tcW w:w="1738" w:type="dxa"/>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 xml:space="preserve">Before treatment </w:t>
            </w:r>
          </w:p>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24)</w:t>
            </w:r>
          </w:p>
        </w:tc>
        <w:tc>
          <w:tcPr>
            <w:tcW w:w="154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14.7 ± 19.4</w:t>
            </w:r>
          </w:p>
        </w:tc>
        <w:tc>
          <w:tcPr>
            <w:tcW w:w="1285"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8.0 ± 9.1</w:t>
            </w:r>
            <w:r w:rsidRPr="00E65221">
              <w:rPr>
                <w:rFonts w:ascii="Book Antiqua" w:hAnsi="Book Antiqua"/>
                <w:color w:val="000000"/>
                <w:vertAlign w:val="superscript"/>
                <w:lang w:val="en-US"/>
              </w:rPr>
              <w:t>a</w:t>
            </w:r>
          </w:p>
        </w:tc>
        <w:tc>
          <w:tcPr>
            <w:tcW w:w="1308"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3152 ± 1137</w:t>
            </w:r>
          </w:p>
        </w:tc>
        <w:tc>
          <w:tcPr>
            <w:tcW w:w="1272"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418 ± 193</w:t>
            </w:r>
          </w:p>
        </w:tc>
        <w:tc>
          <w:tcPr>
            <w:tcW w:w="133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19.3 ± 12.5</w:t>
            </w:r>
            <w:r w:rsidRPr="00E65221">
              <w:rPr>
                <w:rFonts w:ascii="Book Antiqua" w:hAnsi="Book Antiqua"/>
                <w:color w:val="000000"/>
                <w:vertAlign w:val="superscript"/>
                <w:lang w:val="en-US"/>
              </w:rPr>
              <w:t>a</w:t>
            </w:r>
          </w:p>
        </w:tc>
        <w:tc>
          <w:tcPr>
            <w:tcW w:w="1379"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23.2 ± 3.2</w:t>
            </w:r>
            <w:r w:rsidRPr="00E65221">
              <w:rPr>
                <w:rFonts w:ascii="Book Antiqua" w:hAnsi="Book Antiqua"/>
                <w:color w:val="000000"/>
                <w:vertAlign w:val="superscript"/>
                <w:lang w:val="en-US"/>
              </w:rPr>
              <w:t>a</w:t>
            </w:r>
          </w:p>
        </w:tc>
      </w:tr>
      <w:tr w:rsidR="00C236D6" w:rsidRPr="00E65221" w:rsidTr="00594CD3">
        <w:tc>
          <w:tcPr>
            <w:tcW w:w="1738" w:type="dxa"/>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Upon treatment</w:t>
            </w:r>
          </w:p>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24)</w:t>
            </w:r>
          </w:p>
        </w:tc>
        <w:tc>
          <w:tcPr>
            <w:tcW w:w="154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11.7 ± 6.7</w:t>
            </w:r>
          </w:p>
        </w:tc>
        <w:tc>
          <w:tcPr>
            <w:tcW w:w="1285" w:type="dxa"/>
            <w:tcMar>
              <w:top w:w="57" w:type="dxa"/>
              <w:bottom w:w="57" w:type="dxa"/>
            </w:tcMar>
            <w:vAlign w:val="center"/>
          </w:tcPr>
          <w:p w:rsidR="00C236D6" w:rsidRPr="00E65221" w:rsidRDefault="00C236D6" w:rsidP="00921D4B">
            <w:pPr>
              <w:jc w:val="center"/>
              <w:rPr>
                <w:rFonts w:ascii="Book Antiqua" w:hAnsi="Book Antiqua"/>
                <w:color w:val="000000"/>
                <w:lang w:val="en-US" w:eastAsia="zh-CN"/>
              </w:rPr>
            </w:pPr>
            <w:r w:rsidRPr="00E65221">
              <w:rPr>
                <w:rFonts w:ascii="Book Antiqua" w:hAnsi="Book Antiqua"/>
                <w:color w:val="000000"/>
                <w:lang w:val="en-US"/>
              </w:rPr>
              <w:t>14.9 ± 15.1</w:t>
            </w:r>
            <w:r w:rsidRPr="00E65221">
              <w:rPr>
                <w:rFonts w:ascii="Book Antiqua" w:hAnsi="Book Antiqua"/>
                <w:color w:val="000000"/>
                <w:vertAlign w:val="superscript"/>
                <w:lang w:val="en-US" w:eastAsia="zh-CN"/>
              </w:rPr>
              <w:t>c</w:t>
            </w:r>
          </w:p>
        </w:tc>
        <w:tc>
          <w:tcPr>
            <w:tcW w:w="1308"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3261 ± 1327</w:t>
            </w:r>
          </w:p>
        </w:tc>
        <w:tc>
          <w:tcPr>
            <w:tcW w:w="1272"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344 ± 127</w:t>
            </w:r>
          </w:p>
        </w:tc>
        <w:tc>
          <w:tcPr>
            <w:tcW w:w="133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17.9 ± 13.2</w:t>
            </w:r>
            <w:r w:rsidRPr="00E65221">
              <w:rPr>
                <w:rFonts w:ascii="Book Antiqua" w:hAnsi="Book Antiqua"/>
                <w:color w:val="000000"/>
                <w:vertAlign w:val="superscript"/>
                <w:lang w:val="en-US"/>
              </w:rPr>
              <w:t>a</w:t>
            </w:r>
          </w:p>
        </w:tc>
        <w:tc>
          <w:tcPr>
            <w:tcW w:w="1379" w:type="dxa"/>
            <w:tcMar>
              <w:top w:w="57" w:type="dxa"/>
              <w:bottom w:w="57" w:type="dxa"/>
            </w:tcMar>
            <w:vAlign w:val="center"/>
          </w:tcPr>
          <w:p w:rsidR="00C236D6" w:rsidRPr="00E65221" w:rsidRDefault="00C236D6" w:rsidP="00921D4B">
            <w:pPr>
              <w:jc w:val="center"/>
              <w:rPr>
                <w:rFonts w:ascii="Book Antiqua" w:hAnsi="Book Antiqua"/>
                <w:color w:val="000000"/>
                <w:lang w:val="en-US" w:eastAsia="zh-CN"/>
              </w:rPr>
            </w:pPr>
            <w:r w:rsidRPr="00E65221">
              <w:rPr>
                <w:rFonts w:ascii="Book Antiqua" w:hAnsi="Book Antiqua"/>
                <w:color w:val="000000"/>
                <w:lang w:val="en-US"/>
              </w:rPr>
              <w:t>20.4 ± 4.8a</w:t>
            </w:r>
            <w:r w:rsidRPr="00E65221">
              <w:rPr>
                <w:rFonts w:ascii="Book Antiqua" w:hAnsi="Book Antiqua"/>
                <w:color w:val="000000"/>
                <w:vertAlign w:val="superscript"/>
                <w:lang w:val="en-US" w:eastAsia="zh-CN"/>
              </w:rPr>
              <w:t>c</w:t>
            </w:r>
          </w:p>
        </w:tc>
      </w:tr>
      <w:tr w:rsidR="00C236D6" w:rsidRPr="00E65221" w:rsidTr="00594CD3">
        <w:tc>
          <w:tcPr>
            <w:tcW w:w="9860" w:type="dxa"/>
            <w:gridSpan w:val="7"/>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Ulcerative colitis</w:t>
            </w:r>
          </w:p>
        </w:tc>
      </w:tr>
      <w:tr w:rsidR="00C236D6" w:rsidRPr="00E65221" w:rsidTr="00594CD3">
        <w:tc>
          <w:tcPr>
            <w:tcW w:w="1738" w:type="dxa"/>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 xml:space="preserve">Before treatment </w:t>
            </w:r>
          </w:p>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16)</w:t>
            </w:r>
          </w:p>
        </w:tc>
        <w:tc>
          <w:tcPr>
            <w:tcW w:w="154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9.8 ± 4.1</w:t>
            </w:r>
          </w:p>
        </w:tc>
        <w:tc>
          <w:tcPr>
            <w:tcW w:w="1285"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8.6 ± 6.3</w:t>
            </w:r>
            <w:r w:rsidRPr="00E65221">
              <w:rPr>
                <w:rFonts w:ascii="Book Antiqua" w:hAnsi="Book Antiqua"/>
                <w:color w:val="000000"/>
                <w:vertAlign w:val="superscript"/>
                <w:lang w:val="en-US"/>
              </w:rPr>
              <w:t>a</w:t>
            </w:r>
          </w:p>
        </w:tc>
        <w:tc>
          <w:tcPr>
            <w:tcW w:w="1308"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4378 ± 361</w:t>
            </w:r>
          </w:p>
        </w:tc>
        <w:tc>
          <w:tcPr>
            <w:tcW w:w="1272"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421 ± 214</w:t>
            </w:r>
          </w:p>
        </w:tc>
        <w:tc>
          <w:tcPr>
            <w:tcW w:w="133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23.2 ± 11.0</w:t>
            </w:r>
            <w:r w:rsidRPr="00E65221">
              <w:rPr>
                <w:rFonts w:ascii="Book Antiqua" w:hAnsi="Book Antiqua"/>
                <w:color w:val="000000"/>
                <w:vertAlign w:val="superscript"/>
                <w:lang w:val="en-US"/>
              </w:rPr>
              <w:t>a</w:t>
            </w:r>
          </w:p>
        </w:tc>
        <w:tc>
          <w:tcPr>
            <w:tcW w:w="1379"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18.8 ± 5.3</w:t>
            </w:r>
            <w:r w:rsidRPr="00E65221">
              <w:rPr>
                <w:rFonts w:ascii="Book Antiqua" w:hAnsi="Book Antiqua"/>
                <w:color w:val="000000"/>
                <w:vertAlign w:val="superscript"/>
                <w:lang w:val="en-US"/>
              </w:rPr>
              <w:t>a</w:t>
            </w:r>
          </w:p>
        </w:tc>
      </w:tr>
      <w:tr w:rsidR="00C236D6" w:rsidRPr="00E65221" w:rsidTr="00594CD3">
        <w:tc>
          <w:tcPr>
            <w:tcW w:w="1738" w:type="dxa"/>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Upon treatment</w:t>
            </w:r>
          </w:p>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16)</w:t>
            </w:r>
          </w:p>
        </w:tc>
        <w:tc>
          <w:tcPr>
            <w:tcW w:w="154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13.7 ± 5.3</w:t>
            </w:r>
          </w:p>
        </w:tc>
        <w:tc>
          <w:tcPr>
            <w:tcW w:w="1285"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9.2 ± 7.3</w:t>
            </w:r>
          </w:p>
        </w:tc>
        <w:tc>
          <w:tcPr>
            <w:tcW w:w="1308"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2877 ± 1761</w:t>
            </w:r>
          </w:p>
        </w:tc>
        <w:tc>
          <w:tcPr>
            <w:tcW w:w="1272"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379 ± 208</w:t>
            </w:r>
          </w:p>
        </w:tc>
        <w:tc>
          <w:tcPr>
            <w:tcW w:w="1334" w:type="dxa"/>
            <w:tcMar>
              <w:top w:w="57" w:type="dxa"/>
              <w:bottom w:w="57" w:type="dxa"/>
            </w:tcMar>
            <w:vAlign w:val="center"/>
          </w:tcPr>
          <w:p w:rsidR="00C236D6" w:rsidRPr="00E65221" w:rsidRDefault="00C236D6" w:rsidP="00921D4B">
            <w:pPr>
              <w:jc w:val="center"/>
              <w:rPr>
                <w:rFonts w:ascii="Book Antiqua" w:hAnsi="Book Antiqua"/>
                <w:color w:val="000000"/>
                <w:lang w:val="en-US" w:eastAsia="zh-CN"/>
              </w:rPr>
            </w:pPr>
            <w:r w:rsidRPr="00E65221">
              <w:rPr>
                <w:rFonts w:ascii="Book Antiqua" w:hAnsi="Book Antiqua"/>
                <w:color w:val="000000"/>
                <w:lang w:val="en-US"/>
              </w:rPr>
              <w:t>14.5 ± 4.0</w:t>
            </w:r>
            <w:r w:rsidRPr="00E65221">
              <w:rPr>
                <w:rFonts w:ascii="Book Antiqua" w:hAnsi="Book Antiqua"/>
                <w:color w:val="000000"/>
                <w:vertAlign w:val="superscript"/>
                <w:lang w:val="en-US" w:eastAsia="zh-CN"/>
              </w:rPr>
              <w:t>c</w:t>
            </w:r>
          </w:p>
        </w:tc>
        <w:tc>
          <w:tcPr>
            <w:tcW w:w="1379"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21.0 ± 3.5</w:t>
            </w:r>
            <w:r w:rsidRPr="00E65221">
              <w:rPr>
                <w:rFonts w:ascii="Book Antiqua" w:hAnsi="Book Antiqua"/>
                <w:color w:val="000000"/>
                <w:vertAlign w:val="superscript"/>
                <w:lang w:val="en-US"/>
              </w:rPr>
              <w:t>a</w:t>
            </w:r>
          </w:p>
        </w:tc>
      </w:tr>
      <w:tr w:rsidR="00C236D6" w:rsidRPr="00E65221" w:rsidTr="00594CD3">
        <w:tc>
          <w:tcPr>
            <w:tcW w:w="9860" w:type="dxa"/>
            <w:gridSpan w:val="7"/>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Control group</w:t>
            </w:r>
          </w:p>
        </w:tc>
      </w:tr>
      <w:tr w:rsidR="00C236D6" w:rsidRPr="00E65221" w:rsidTr="00594CD3">
        <w:tc>
          <w:tcPr>
            <w:tcW w:w="1738" w:type="dxa"/>
            <w:tcMar>
              <w:top w:w="57" w:type="dxa"/>
              <w:bottom w:w="57"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 xml:space="preserve">Healthy subjects </w:t>
            </w:r>
          </w:p>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w:t>
            </w:r>
            <w:r w:rsidRPr="00E65221">
              <w:rPr>
                <w:rFonts w:ascii="Book Antiqua" w:hAnsi="Book Antiqua"/>
                <w:b/>
                <w:i/>
                <w:color w:val="000000"/>
                <w:lang w:val="en-US"/>
              </w:rPr>
              <w:t>n</w:t>
            </w:r>
            <w:r w:rsidRPr="00E65221">
              <w:rPr>
                <w:rFonts w:ascii="Book Antiqua" w:hAnsi="Book Antiqua"/>
                <w:b/>
                <w:color w:val="000000"/>
                <w:lang w:val="en-US"/>
              </w:rPr>
              <w:t xml:space="preserve"> = 16) </w:t>
            </w:r>
          </w:p>
        </w:tc>
        <w:tc>
          <w:tcPr>
            <w:tcW w:w="154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9.3 ± 3.0</w:t>
            </w:r>
          </w:p>
        </w:tc>
        <w:tc>
          <w:tcPr>
            <w:tcW w:w="1285"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16.5 ± 10.1</w:t>
            </w:r>
          </w:p>
        </w:tc>
        <w:tc>
          <w:tcPr>
            <w:tcW w:w="1308"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3027 ± 809</w:t>
            </w:r>
          </w:p>
        </w:tc>
        <w:tc>
          <w:tcPr>
            <w:tcW w:w="1272"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355 ± 69</w:t>
            </w:r>
          </w:p>
        </w:tc>
        <w:tc>
          <w:tcPr>
            <w:tcW w:w="1334"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10.7 ± 1.1</w:t>
            </w:r>
          </w:p>
        </w:tc>
        <w:tc>
          <w:tcPr>
            <w:tcW w:w="1379" w:type="dxa"/>
            <w:tcMar>
              <w:top w:w="57" w:type="dxa"/>
              <w:bottom w:w="57"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14.1 ± 5.4</w:t>
            </w:r>
          </w:p>
        </w:tc>
      </w:tr>
    </w:tbl>
    <w:p w:rsidR="00C236D6" w:rsidRPr="00E65221" w:rsidRDefault="00C236D6" w:rsidP="006D26CC">
      <w:pPr>
        <w:spacing w:line="360" w:lineRule="auto"/>
        <w:rPr>
          <w:rFonts w:ascii="Book Antiqua" w:hAnsi="Book Antiqua"/>
          <w:color w:val="000000"/>
          <w:lang w:val="en-US"/>
        </w:rPr>
      </w:pPr>
      <w:r w:rsidRPr="00E65221">
        <w:rPr>
          <w:rFonts w:ascii="Book Antiqua" w:hAnsi="Book Antiqua"/>
          <w:color w:val="000000"/>
          <w:vertAlign w:val="superscript"/>
          <w:lang w:val="en-US"/>
        </w:rPr>
        <w:t>a</w:t>
      </w:r>
      <w:r w:rsidRPr="00E65221">
        <w:rPr>
          <w:rFonts w:ascii="Book Antiqua" w:hAnsi="Book Antiqua"/>
          <w:i/>
          <w:color w:val="000000"/>
        </w:rPr>
        <w:t xml:space="preserve">P </w:t>
      </w:r>
      <w:r w:rsidRPr="00E65221">
        <w:rPr>
          <w:rFonts w:ascii="Book Antiqua" w:hAnsi="Book Antiqua"/>
          <w:color w:val="000000"/>
        </w:rPr>
        <w:t xml:space="preserve">&lt; 0.05 </w:t>
      </w:r>
      <w:r w:rsidRPr="00E65221">
        <w:rPr>
          <w:rFonts w:ascii="Book Antiqua" w:hAnsi="Book Antiqua"/>
          <w:i/>
          <w:color w:val="000000"/>
        </w:rPr>
        <w:t xml:space="preserve">vs </w:t>
      </w:r>
      <w:r w:rsidRPr="00E65221">
        <w:rPr>
          <w:rFonts w:ascii="Book Antiqua" w:hAnsi="Book Antiqua"/>
          <w:color w:val="000000"/>
          <w:lang w:val="en-US"/>
        </w:rPr>
        <w:t xml:space="preserve">control group; </w:t>
      </w:r>
      <w:r w:rsidRPr="00E65221">
        <w:rPr>
          <w:rFonts w:ascii="Book Antiqua" w:hAnsi="Book Antiqua"/>
          <w:color w:val="000000"/>
          <w:vertAlign w:val="superscript"/>
          <w:lang w:val="en-US" w:eastAsia="zh-CN"/>
        </w:rPr>
        <w:t>c</w:t>
      </w:r>
      <w:r w:rsidRPr="00E65221">
        <w:rPr>
          <w:rFonts w:ascii="Book Antiqua" w:hAnsi="Book Antiqua"/>
          <w:i/>
          <w:color w:val="000000"/>
        </w:rPr>
        <w:t xml:space="preserve">P </w:t>
      </w:r>
      <w:r w:rsidRPr="00E65221">
        <w:rPr>
          <w:rFonts w:ascii="Book Antiqua" w:hAnsi="Book Antiqua"/>
          <w:color w:val="000000"/>
        </w:rPr>
        <w:t xml:space="preserve">&lt; 0.05 </w:t>
      </w:r>
      <w:r w:rsidRPr="00E65221">
        <w:rPr>
          <w:rFonts w:ascii="Book Antiqua" w:hAnsi="Book Antiqua"/>
          <w:i/>
          <w:color w:val="000000"/>
        </w:rPr>
        <w:t>vs</w:t>
      </w:r>
      <w:r w:rsidRPr="00E65221">
        <w:rPr>
          <w:rFonts w:ascii="Book Antiqua" w:hAnsi="Book Antiqua"/>
          <w:color w:val="000000"/>
          <w:lang w:val="en-US"/>
        </w:rPr>
        <w:t xml:space="preserve"> before treatment.</w:t>
      </w:r>
    </w:p>
    <w:p w:rsidR="00C236D6" w:rsidRPr="00E65221" w:rsidRDefault="00C236D6" w:rsidP="006D26CC">
      <w:pPr>
        <w:ind w:left="-142" w:right="-567"/>
        <w:rPr>
          <w:rFonts w:ascii="Book Antiqua" w:hAnsi="Book Antiqua"/>
          <w:b/>
          <w:color w:val="000000"/>
          <w:lang w:val="en-US"/>
        </w:rPr>
      </w:pPr>
      <w:r w:rsidRPr="00E65221">
        <w:rPr>
          <w:rFonts w:ascii="Book Antiqua" w:hAnsi="Book Antiqua"/>
          <w:b/>
          <w:color w:val="000000"/>
          <w:lang w:val="en-US"/>
        </w:rPr>
        <w:br w:type="page"/>
      </w:r>
      <w:r w:rsidRPr="00E65221">
        <w:rPr>
          <w:rFonts w:ascii="Book Antiqua" w:hAnsi="Book Antiqua"/>
          <w:b/>
          <w:color w:val="000000"/>
          <w:lang w:val="en-US"/>
        </w:rPr>
        <w:lastRenderedPageBreak/>
        <w:t>Table 3</w:t>
      </w:r>
      <w:r w:rsidRPr="00E65221">
        <w:rPr>
          <w:rFonts w:ascii="Book Antiqua" w:hAnsi="Book Antiqua"/>
          <w:color w:val="000000"/>
          <w:lang w:val="en-US"/>
        </w:rPr>
        <w:t xml:space="preserve"> </w:t>
      </w:r>
      <w:r w:rsidRPr="00E65221">
        <w:rPr>
          <w:rFonts w:ascii="Book Antiqua" w:hAnsi="Book Antiqua"/>
          <w:b/>
          <w:color w:val="000000"/>
          <w:lang w:val="en-US"/>
        </w:rPr>
        <w:t>Results of</w:t>
      </w:r>
      <w:r w:rsidRPr="00E65221">
        <w:rPr>
          <w:rFonts w:ascii="Book Antiqua" w:hAnsi="Book Antiqua"/>
          <w:color w:val="000000"/>
          <w:lang w:val="en-US"/>
        </w:rPr>
        <w:t xml:space="preserve"> </w:t>
      </w:r>
      <w:r w:rsidRPr="00E65221">
        <w:rPr>
          <w:rFonts w:ascii="Book Antiqua" w:hAnsi="Book Antiqua"/>
          <w:b/>
          <w:color w:val="000000"/>
          <w:lang w:val="en-US"/>
        </w:rPr>
        <w:t>correlational analyses (</w:t>
      </w:r>
      <w:r w:rsidRPr="00E65221">
        <w:rPr>
          <w:rFonts w:ascii="Book Antiqua" w:hAnsi="Book Antiqua"/>
          <w:b/>
          <w:i/>
          <w:color w:val="000000"/>
          <w:lang w:val="en-US"/>
        </w:rPr>
        <w:t>P</w:t>
      </w:r>
      <w:r w:rsidRPr="00E65221">
        <w:rPr>
          <w:rFonts w:ascii="Book Antiqua" w:hAnsi="Book Antiqua"/>
          <w:b/>
          <w:color w:val="000000"/>
          <w:lang w:val="en-US"/>
        </w:rPr>
        <w:t xml:space="preserve"> values) between adipokine levels and clinical parameters</w:t>
      </w:r>
    </w:p>
    <w:p w:rsidR="00C236D6" w:rsidRPr="00E65221" w:rsidRDefault="00C236D6" w:rsidP="006D26CC">
      <w:pPr>
        <w:rPr>
          <w:rFonts w:ascii="Book Antiqua" w:hAnsi="Book Antiqua"/>
          <w:color w:val="000000"/>
          <w:lang w:val="en-US"/>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603"/>
        <w:gridCol w:w="1112"/>
        <w:gridCol w:w="1143"/>
        <w:gridCol w:w="716"/>
        <w:gridCol w:w="1705"/>
        <w:gridCol w:w="1705"/>
        <w:gridCol w:w="814"/>
      </w:tblGrid>
      <w:tr w:rsidR="00C236D6" w:rsidRPr="00E65221" w:rsidTr="00594CD3">
        <w:tc>
          <w:tcPr>
            <w:tcW w:w="1429" w:type="dxa"/>
            <w:tcMar>
              <w:top w:w="28" w:type="dxa"/>
              <w:bottom w:w="28"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Adipokine level</w:t>
            </w:r>
          </w:p>
        </w:tc>
        <w:tc>
          <w:tcPr>
            <w:tcW w:w="742" w:type="dxa"/>
            <w:tcMar>
              <w:top w:w="28" w:type="dxa"/>
              <w:bottom w:w="28"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A/B</w:t>
            </w:r>
          </w:p>
        </w:tc>
        <w:tc>
          <w:tcPr>
            <w:tcW w:w="1029" w:type="dxa"/>
            <w:tcMar>
              <w:top w:w="28" w:type="dxa"/>
              <w:bottom w:w="28" w:type="dxa"/>
            </w:tcMar>
            <w:vAlign w:val="center"/>
          </w:tcPr>
          <w:p w:rsidR="00C236D6" w:rsidRPr="00E65221" w:rsidRDefault="00C236D6" w:rsidP="00594CD3">
            <w:pPr>
              <w:jc w:val="center"/>
              <w:rPr>
                <w:rFonts w:ascii="Book Antiqua" w:hAnsi="Book Antiqua"/>
                <w:b/>
                <w:color w:val="000000"/>
                <w:lang w:val="en-US"/>
              </w:rPr>
            </w:pP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Severity,</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points</w:t>
            </w:r>
          </w:p>
          <w:p w:rsidR="00C236D6" w:rsidRPr="00E65221" w:rsidRDefault="00C236D6" w:rsidP="00594CD3">
            <w:pPr>
              <w:jc w:val="center"/>
              <w:rPr>
                <w:rFonts w:ascii="Book Antiqua" w:hAnsi="Book Antiqua"/>
                <w:b/>
                <w:color w:val="000000"/>
                <w:lang w:val="en-US"/>
              </w:rPr>
            </w:pPr>
          </w:p>
        </w:tc>
        <w:tc>
          <w:tcPr>
            <w:tcW w:w="1159" w:type="dxa"/>
            <w:tcMar>
              <w:top w:w="28" w:type="dxa"/>
              <w:bottom w:w="28" w:type="dxa"/>
            </w:tcMar>
            <w:vAlign w:val="center"/>
          </w:tcPr>
          <w:p w:rsidR="00C236D6" w:rsidRPr="00E65221" w:rsidRDefault="00C236D6" w:rsidP="004F47C7">
            <w:pPr>
              <w:jc w:val="center"/>
              <w:rPr>
                <w:rFonts w:ascii="Book Antiqua" w:hAnsi="Book Antiqua"/>
                <w:b/>
                <w:color w:val="000000"/>
                <w:lang w:val="en-US" w:eastAsia="zh-CN"/>
              </w:rPr>
            </w:pPr>
            <w:r w:rsidRPr="00E65221">
              <w:rPr>
                <w:rFonts w:ascii="Book Antiqua" w:hAnsi="Book Antiqua"/>
                <w:b/>
                <w:color w:val="000000"/>
                <w:lang w:val="en-US"/>
              </w:rPr>
              <w:t>Duration of IBD, yr</w:t>
            </w:r>
          </w:p>
        </w:tc>
        <w:tc>
          <w:tcPr>
            <w:tcW w:w="831" w:type="dxa"/>
            <w:tcMar>
              <w:top w:w="28" w:type="dxa"/>
              <w:bottom w:w="28"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 xml:space="preserve">Age, </w:t>
            </w:r>
          </w:p>
          <w:p w:rsidR="00C236D6" w:rsidRPr="00E65221" w:rsidRDefault="00C236D6" w:rsidP="007F2459">
            <w:pPr>
              <w:jc w:val="center"/>
              <w:rPr>
                <w:rFonts w:ascii="Book Antiqua" w:hAnsi="Book Antiqua"/>
                <w:b/>
                <w:color w:val="000000"/>
                <w:lang w:val="en-US" w:eastAsia="zh-CN"/>
              </w:rPr>
            </w:pPr>
            <w:r w:rsidRPr="00E65221">
              <w:rPr>
                <w:rFonts w:ascii="Book Antiqua" w:hAnsi="Book Antiqua"/>
                <w:b/>
                <w:color w:val="000000"/>
                <w:lang w:val="en-US"/>
              </w:rPr>
              <w:t>yr</w:t>
            </w:r>
          </w:p>
        </w:tc>
        <w:tc>
          <w:tcPr>
            <w:tcW w:w="1505" w:type="dxa"/>
            <w:tcMar>
              <w:top w:w="28" w:type="dxa"/>
              <w:bottom w:w="28"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Waist circumference, cm</w:t>
            </w:r>
          </w:p>
        </w:tc>
        <w:tc>
          <w:tcPr>
            <w:tcW w:w="1505" w:type="dxa"/>
            <w:tcMar>
              <w:top w:w="28" w:type="dxa"/>
              <w:bottom w:w="28"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Hip circumference, cm</w:t>
            </w:r>
          </w:p>
        </w:tc>
        <w:tc>
          <w:tcPr>
            <w:tcW w:w="983" w:type="dxa"/>
            <w:tcMar>
              <w:top w:w="28" w:type="dxa"/>
              <w:bottom w:w="28" w:type="dxa"/>
            </w:tcMar>
            <w:vAlign w:val="center"/>
          </w:tcPr>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BMI,</w:t>
            </w:r>
          </w:p>
          <w:p w:rsidR="00C236D6" w:rsidRPr="00E65221" w:rsidRDefault="00C236D6" w:rsidP="00594CD3">
            <w:pPr>
              <w:jc w:val="center"/>
              <w:rPr>
                <w:rFonts w:ascii="Book Antiqua" w:hAnsi="Book Antiqua"/>
                <w:b/>
                <w:color w:val="000000"/>
                <w:lang w:val="en-US"/>
              </w:rPr>
            </w:pPr>
            <w:r w:rsidRPr="00E65221">
              <w:rPr>
                <w:rFonts w:ascii="Book Antiqua" w:hAnsi="Book Antiqua"/>
                <w:b/>
                <w:color w:val="000000"/>
                <w:lang w:val="en-US"/>
              </w:rPr>
              <w:t>kg/m</w:t>
            </w:r>
            <w:r w:rsidRPr="00E65221">
              <w:rPr>
                <w:rFonts w:ascii="Book Antiqua" w:hAnsi="Book Antiqua"/>
                <w:b/>
                <w:color w:val="000000"/>
                <w:vertAlign w:val="superscript"/>
                <w:lang w:val="en-US"/>
              </w:rPr>
              <w:t>2</w:t>
            </w:r>
          </w:p>
        </w:tc>
      </w:tr>
      <w:tr w:rsidR="00C236D6" w:rsidRPr="00E65221" w:rsidTr="00594CD3">
        <w:trPr>
          <w:trHeight w:val="170"/>
        </w:trPr>
        <w:tc>
          <w:tcPr>
            <w:tcW w:w="9183" w:type="dxa"/>
            <w:gridSpan w:val="8"/>
            <w:tcMar>
              <w:top w:w="28" w:type="dxa"/>
              <w:bottom w:w="28"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Crohn’s disease</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TGF-</w:t>
            </w:r>
            <w:r w:rsidRPr="00E65221">
              <w:rPr>
                <w:rFonts w:ascii="Book Antiqua" w:hAnsi="Book Antiqua"/>
                <w:b/>
                <w:color w:val="000000"/>
                <w:lang w:val="en-US"/>
              </w:rPr>
              <w:sym w:font="Symbol" w:char="F062"/>
            </w:r>
            <w:r w:rsidRPr="00E65221">
              <w:rPr>
                <w:rFonts w:ascii="Book Antiqua" w:hAnsi="Book Antiqua"/>
                <w:b/>
                <w:color w:val="000000"/>
                <w:lang w:val="en-US"/>
              </w:rPr>
              <w:t>1</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0.157</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0.068</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0.067</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0.126</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0.235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0.468</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0.084</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0.068</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0.056</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Adiponectin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0.086</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0.055</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0.171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0.096</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0.116</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0.056</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0.054</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0.058</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0.075</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Leptin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0.274</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0.118</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0.076</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0.074</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0.086</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0.268</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Chemerin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0.066</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0.129</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0.063</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0.088</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0.115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0.095</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0.149</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0.097</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0.224</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0.183</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0.093</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Resistin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0.066</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0.116</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0.063</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0.159</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0.129</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0.056</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0.078</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0.069</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Visfatin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0.094</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0.076</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0.159</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0.127</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0.097</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0.054</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0.075</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0.087</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0.105</w:t>
            </w:r>
          </w:p>
        </w:tc>
      </w:tr>
      <w:tr w:rsidR="00C236D6" w:rsidRPr="00E65221" w:rsidTr="00594CD3">
        <w:trPr>
          <w:trHeight w:val="255"/>
        </w:trPr>
        <w:tc>
          <w:tcPr>
            <w:tcW w:w="9183" w:type="dxa"/>
            <w:gridSpan w:val="8"/>
            <w:tcMar>
              <w:top w:w="28" w:type="dxa"/>
              <w:bottom w:w="28" w:type="dxa"/>
            </w:tcMar>
            <w:vAlign w:val="center"/>
          </w:tcPr>
          <w:p w:rsidR="00C236D6" w:rsidRPr="00E65221" w:rsidRDefault="00C236D6" w:rsidP="00594CD3">
            <w:pPr>
              <w:rPr>
                <w:rFonts w:ascii="Book Antiqua" w:hAnsi="Book Antiqua"/>
                <w:b/>
                <w:color w:val="000000"/>
                <w:lang w:val="en-US"/>
              </w:rPr>
            </w:pPr>
            <w:r w:rsidRPr="00E65221">
              <w:rPr>
                <w:rFonts w:ascii="Book Antiqua" w:hAnsi="Book Antiqua"/>
                <w:b/>
                <w:color w:val="000000"/>
                <w:lang w:val="en-US"/>
              </w:rPr>
              <w:t>Ulcerative colitis</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TGF-</w:t>
            </w:r>
            <w:r w:rsidRPr="00E65221">
              <w:rPr>
                <w:rFonts w:ascii="Book Antiqua" w:hAnsi="Book Antiqua"/>
                <w:b/>
                <w:color w:val="000000"/>
                <w:lang w:val="en-US"/>
              </w:rPr>
              <w:sym w:font="Symbol" w:char="F062"/>
            </w:r>
            <w:r w:rsidRPr="00E65221">
              <w:rPr>
                <w:rFonts w:ascii="Book Antiqua" w:hAnsi="Book Antiqua"/>
                <w:b/>
                <w:color w:val="000000"/>
                <w:lang w:val="en-US"/>
              </w:rPr>
              <w:t>1</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0.068</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0.137</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0.082</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0.154</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0.054</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0.073</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0.137</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0.193</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0.156</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0.954</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0.068</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Adiponectin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0.060</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0.067</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0.177</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0.106</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0.070</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0.271</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lastRenderedPageBreak/>
              <w:t>Leptin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0.093</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0.080</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0.086</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0.158</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0.081</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0.056</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0.224</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Chemerin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0.052</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0.088</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0.075</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0.173</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0.101</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0.077</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0.130</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0.093</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0.088</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0.094</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Resistin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0.064</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0.060</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0.061</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0.073</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0.084</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0.070</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b/>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0.084</w:t>
            </w:r>
          </w:p>
        </w:tc>
        <w:tc>
          <w:tcPr>
            <w:tcW w:w="1159" w:type="dxa"/>
            <w:tcMar>
              <w:top w:w="28" w:type="dxa"/>
              <w:bottom w:w="28" w:type="dxa"/>
            </w:tcMar>
            <w:vAlign w:val="center"/>
          </w:tcPr>
          <w:p w:rsidR="00C236D6" w:rsidRPr="00E65221" w:rsidRDefault="00C236D6" w:rsidP="00594CD3">
            <w:pPr>
              <w:tabs>
                <w:tab w:val="left" w:pos="960"/>
              </w:tabs>
              <w:jc w:val="center"/>
              <w:rPr>
                <w:rFonts w:ascii="Book Antiqua" w:hAnsi="Book Antiqua"/>
                <w:color w:val="000000"/>
                <w:lang w:val="en-US"/>
              </w:rPr>
            </w:pPr>
            <w:r w:rsidRPr="00E65221">
              <w:rPr>
                <w:rFonts w:ascii="Book Antiqua" w:hAnsi="Book Antiqua"/>
                <w:color w:val="000000"/>
                <w:lang w:val="en-US"/>
              </w:rPr>
              <w:t>0.068</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0.080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0.062</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0.275</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0.260</w:t>
            </w:r>
          </w:p>
        </w:tc>
      </w:tr>
      <w:tr w:rsidR="00C236D6" w:rsidRPr="00E65221" w:rsidTr="00594CD3">
        <w:trPr>
          <w:trHeight w:val="255"/>
        </w:trPr>
        <w:tc>
          <w:tcPr>
            <w:tcW w:w="1429" w:type="dxa"/>
            <w:vMerge w:val="restart"/>
            <w:tcMar>
              <w:top w:w="28" w:type="dxa"/>
              <w:bottom w:w="28" w:type="dxa"/>
            </w:tcMar>
            <w:vAlign w:val="center"/>
          </w:tcPr>
          <w:p w:rsidR="00C236D6" w:rsidRPr="00E65221" w:rsidRDefault="00C236D6" w:rsidP="00594CD3">
            <w:pPr>
              <w:jc w:val="both"/>
              <w:rPr>
                <w:rFonts w:ascii="Book Antiqua" w:hAnsi="Book Antiqua"/>
                <w:b/>
                <w:color w:val="000000"/>
                <w:lang w:val="en-US"/>
              </w:rPr>
            </w:pPr>
            <w:r w:rsidRPr="00E65221">
              <w:rPr>
                <w:rFonts w:ascii="Book Antiqua" w:hAnsi="Book Antiqua"/>
                <w:b/>
                <w:color w:val="000000"/>
                <w:lang w:val="en-US"/>
              </w:rPr>
              <w:t>Visfatin</w:t>
            </w: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A</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0.079</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0.079</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0.054</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0.161</w:t>
            </w:r>
          </w:p>
        </w:tc>
      </w:tr>
      <w:tr w:rsidR="00C236D6" w:rsidRPr="00E65221" w:rsidTr="00594CD3">
        <w:trPr>
          <w:trHeight w:val="255"/>
        </w:trPr>
        <w:tc>
          <w:tcPr>
            <w:tcW w:w="1429" w:type="dxa"/>
            <w:vMerge/>
            <w:tcMar>
              <w:top w:w="28" w:type="dxa"/>
              <w:bottom w:w="28" w:type="dxa"/>
            </w:tcMar>
            <w:vAlign w:val="center"/>
          </w:tcPr>
          <w:p w:rsidR="00C236D6" w:rsidRPr="00E65221" w:rsidRDefault="00C236D6" w:rsidP="00594CD3">
            <w:pPr>
              <w:jc w:val="both"/>
              <w:rPr>
                <w:rFonts w:ascii="Book Antiqua" w:hAnsi="Book Antiqua"/>
                <w:color w:val="000000"/>
                <w:lang w:val="en-US"/>
              </w:rPr>
            </w:pPr>
          </w:p>
        </w:tc>
        <w:tc>
          <w:tcPr>
            <w:tcW w:w="742"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B</w:t>
            </w:r>
          </w:p>
        </w:tc>
        <w:tc>
          <w:tcPr>
            <w:tcW w:w="102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0.115</w:t>
            </w:r>
          </w:p>
        </w:tc>
        <w:tc>
          <w:tcPr>
            <w:tcW w:w="1159"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0.069</w:t>
            </w:r>
          </w:p>
        </w:tc>
        <w:tc>
          <w:tcPr>
            <w:tcW w:w="831"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0.070</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0.117</w:t>
            </w:r>
          </w:p>
        </w:tc>
        <w:tc>
          <w:tcPr>
            <w:tcW w:w="1505"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0.064</w:t>
            </w:r>
          </w:p>
        </w:tc>
        <w:tc>
          <w:tcPr>
            <w:tcW w:w="983" w:type="dxa"/>
            <w:tcMar>
              <w:top w:w="28" w:type="dxa"/>
              <w:bottom w:w="28" w:type="dxa"/>
            </w:tcMar>
            <w:vAlign w:val="center"/>
          </w:tcPr>
          <w:p w:rsidR="00C236D6" w:rsidRPr="00E65221" w:rsidRDefault="00C236D6" w:rsidP="00594CD3">
            <w:pPr>
              <w:jc w:val="center"/>
              <w:rPr>
                <w:rFonts w:ascii="Book Antiqua" w:hAnsi="Book Antiqua"/>
                <w:color w:val="000000"/>
                <w:lang w:val="en-US"/>
              </w:rPr>
            </w:pPr>
            <w:r w:rsidRPr="00E65221">
              <w:rPr>
                <w:rFonts w:ascii="Book Antiqua" w:hAnsi="Book Antiqua"/>
                <w:color w:val="000000"/>
                <w:lang w:val="en-US"/>
              </w:rPr>
              <w:t>0.070</w:t>
            </w:r>
          </w:p>
        </w:tc>
      </w:tr>
    </w:tbl>
    <w:p w:rsidR="00C236D6" w:rsidRPr="00E65221" w:rsidRDefault="00C236D6" w:rsidP="006D26CC">
      <w:pPr>
        <w:jc w:val="both"/>
        <w:rPr>
          <w:rFonts w:ascii="Book Antiqua" w:hAnsi="Book Antiqua"/>
          <w:color w:val="000000"/>
          <w:lang w:val="en-US"/>
        </w:rPr>
      </w:pPr>
      <w:r w:rsidRPr="00E65221">
        <w:rPr>
          <w:rFonts w:ascii="Book Antiqua" w:hAnsi="Book Antiqua"/>
          <w:color w:val="000000"/>
          <w:lang w:val="en-US"/>
        </w:rPr>
        <w:t>A</w:t>
      </w:r>
      <w:r w:rsidRPr="00E65221">
        <w:rPr>
          <w:rFonts w:ascii="Book Antiqua" w:hAnsi="Book Antiqua"/>
          <w:color w:val="000000"/>
          <w:lang w:val="en-US" w:eastAsia="zh-CN"/>
        </w:rPr>
        <w:t>:</w:t>
      </w:r>
      <w:r w:rsidRPr="00E65221">
        <w:rPr>
          <w:rFonts w:ascii="Book Antiqua" w:hAnsi="Book Antiqua"/>
          <w:color w:val="000000"/>
          <w:lang w:val="en-US"/>
        </w:rPr>
        <w:t xml:space="preserve"> </w:t>
      </w:r>
      <w:r w:rsidRPr="00E65221">
        <w:rPr>
          <w:rFonts w:ascii="Book Antiqua" w:hAnsi="Book Antiqua"/>
          <w:caps/>
          <w:color w:val="000000"/>
          <w:lang w:val="en-US"/>
        </w:rPr>
        <w:t>b</w:t>
      </w:r>
      <w:r w:rsidRPr="00E65221">
        <w:rPr>
          <w:rFonts w:ascii="Book Antiqua" w:hAnsi="Book Antiqua"/>
          <w:color w:val="000000"/>
          <w:lang w:val="en-US"/>
        </w:rPr>
        <w:t>efore treatment; B</w:t>
      </w:r>
      <w:r w:rsidRPr="00E65221">
        <w:rPr>
          <w:rFonts w:ascii="Book Antiqua" w:hAnsi="Book Antiqua"/>
          <w:color w:val="000000"/>
          <w:lang w:val="en-US" w:eastAsia="zh-CN"/>
        </w:rPr>
        <w:t>:</w:t>
      </w:r>
      <w:r w:rsidRPr="00E65221">
        <w:rPr>
          <w:rFonts w:ascii="Book Antiqua" w:hAnsi="Book Antiqua"/>
          <w:color w:val="000000"/>
          <w:lang w:val="en-US"/>
        </w:rPr>
        <w:t xml:space="preserve"> 3 mo after initiation of treatment; BMI</w:t>
      </w:r>
      <w:r w:rsidRPr="00E65221">
        <w:rPr>
          <w:rFonts w:ascii="Book Antiqua" w:hAnsi="Book Antiqua"/>
          <w:color w:val="000000"/>
          <w:lang w:val="en-US" w:eastAsia="zh-CN"/>
        </w:rPr>
        <w:t>:</w:t>
      </w:r>
      <w:r w:rsidRPr="00E65221">
        <w:rPr>
          <w:rFonts w:ascii="Book Antiqua" w:hAnsi="Book Antiqua"/>
          <w:color w:val="000000"/>
          <w:lang w:val="en-US"/>
        </w:rPr>
        <w:t xml:space="preserve"> </w:t>
      </w:r>
      <w:r w:rsidRPr="00E65221">
        <w:rPr>
          <w:rFonts w:ascii="Book Antiqua" w:hAnsi="Book Antiqua"/>
          <w:caps/>
          <w:color w:val="000000"/>
          <w:lang w:val="en-US"/>
        </w:rPr>
        <w:t>b</w:t>
      </w:r>
      <w:r w:rsidRPr="00E65221">
        <w:rPr>
          <w:rFonts w:ascii="Book Antiqua" w:hAnsi="Book Antiqua"/>
          <w:color w:val="000000"/>
          <w:lang w:val="en-US"/>
        </w:rPr>
        <w:t>ody mass index; IBD</w:t>
      </w:r>
      <w:r w:rsidRPr="00E65221">
        <w:rPr>
          <w:rFonts w:ascii="Book Antiqua" w:hAnsi="Book Antiqua"/>
          <w:color w:val="000000"/>
          <w:lang w:val="en-US" w:eastAsia="zh-CN"/>
        </w:rPr>
        <w:t xml:space="preserve">: </w:t>
      </w:r>
      <w:r w:rsidRPr="00E65221">
        <w:rPr>
          <w:rFonts w:ascii="Book Antiqua" w:hAnsi="Book Antiqua"/>
          <w:caps/>
          <w:color w:val="000000"/>
          <w:lang w:val="en-US"/>
        </w:rPr>
        <w:t>i</w:t>
      </w:r>
      <w:r w:rsidRPr="00E65221">
        <w:rPr>
          <w:rFonts w:ascii="Book Antiqua" w:hAnsi="Book Antiqua"/>
          <w:color w:val="000000"/>
          <w:lang w:val="en-US"/>
        </w:rPr>
        <w:t xml:space="preserve">nflammatory bowel disease. </w:t>
      </w:r>
    </w:p>
    <w:p w:rsidR="00C236D6" w:rsidRPr="00E65221" w:rsidRDefault="00C236D6" w:rsidP="006D26CC">
      <w:pPr>
        <w:jc w:val="both"/>
        <w:rPr>
          <w:rFonts w:ascii="Book Antiqua" w:hAnsi="Book Antiqua"/>
          <w:color w:val="000000"/>
          <w:lang w:val="en-US"/>
        </w:rPr>
      </w:pPr>
    </w:p>
    <w:p w:rsidR="00C236D6" w:rsidRPr="00E65221" w:rsidRDefault="00C236D6">
      <w:pPr>
        <w:rPr>
          <w:rFonts w:ascii="Book Antiqua" w:hAnsi="Book Antiqua"/>
          <w:color w:val="000000"/>
          <w:lang w:val="en-US"/>
        </w:rPr>
      </w:pPr>
    </w:p>
    <w:sectPr w:rsidR="00C236D6" w:rsidRPr="00E65221" w:rsidSect="00993E5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3B" w:rsidRDefault="00DD223B" w:rsidP="006D26CC">
      <w:r>
        <w:separator/>
      </w:r>
    </w:p>
  </w:endnote>
  <w:endnote w:type="continuationSeparator" w:id="0">
    <w:p w:rsidR="00DD223B" w:rsidRDefault="00DD223B" w:rsidP="006D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Roman">
    <w:altName w:val="Book Antiqua"/>
    <w:panose1 w:val="00000000000000000000"/>
    <w:charset w:val="00"/>
    <w:family w:val="roman"/>
    <w:notTrueType/>
    <w:pitch w:val="default"/>
    <w:sig w:usb0="00000003" w:usb1="00000000" w:usb2="00000000" w:usb3="00000000" w:csb0="00000001" w:csb1="00000000"/>
  </w:font>
  <w:font w:name="ArialNarrow">
    <w:altName w:val="Times New Roman"/>
    <w:panose1 w:val="00000000000000000000"/>
    <w:charset w:val="A1"/>
    <w:family w:val="auto"/>
    <w:notTrueType/>
    <w:pitch w:val="default"/>
    <w:sig w:usb0="00000083" w:usb1="00000000" w:usb2="00000000" w:usb3="00000000" w:csb0="00000009"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D6" w:rsidRDefault="00C236D6" w:rsidP="00194713">
    <w:pPr>
      <w:pStyle w:val="a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236D6" w:rsidRDefault="00C236D6" w:rsidP="00087D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D6" w:rsidRDefault="00C236D6" w:rsidP="00087D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3B" w:rsidRDefault="00DD223B" w:rsidP="006D26CC">
      <w:r>
        <w:separator/>
      </w:r>
    </w:p>
  </w:footnote>
  <w:footnote w:type="continuationSeparator" w:id="0">
    <w:p w:rsidR="00DD223B" w:rsidRDefault="00DD223B" w:rsidP="006D2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72"/>
    <w:multiLevelType w:val="hybridMultilevel"/>
    <w:tmpl w:val="F23EC104"/>
    <w:lvl w:ilvl="0" w:tplc="48B0132A">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9833913"/>
    <w:multiLevelType w:val="hybridMultilevel"/>
    <w:tmpl w:val="83D2A922"/>
    <w:lvl w:ilvl="0" w:tplc="69E619C8">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D17246E"/>
    <w:multiLevelType w:val="hybridMultilevel"/>
    <w:tmpl w:val="95881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9F"/>
    <w:rsid w:val="00003361"/>
    <w:rsid w:val="0001774E"/>
    <w:rsid w:val="0002121C"/>
    <w:rsid w:val="000445BE"/>
    <w:rsid w:val="00044EEC"/>
    <w:rsid w:val="00061ED5"/>
    <w:rsid w:val="00087DA5"/>
    <w:rsid w:val="000A1468"/>
    <w:rsid w:val="00130591"/>
    <w:rsid w:val="001802F6"/>
    <w:rsid w:val="00194713"/>
    <w:rsid w:val="001C4213"/>
    <w:rsid w:val="001E4684"/>
    <w:rsid w:val="001F43F0"/>
    <w:rsid w:val="001F5DDF"/>
    <w:rsid w:val="001F75EE"/>
    <w:rsid w:val="00356EED"/>
    <w:rsid w:val="003A5034"/>
    <w:rsid w:val="003B6BD2"/>
    <w:rsid w:val="00413503"/>
    <w:rsid w:val="00467E26"/>
    <w:rsid w:val="004F47C7"/>
    <w:rsid w:val="00592762"/>
    <w:rsid w:val="00594CD3"/>
    <w:rsid w:val="005C1245"/>
    <w:rsid w:val="005F3B98"/>
    <w:rsid w:val="00605C2C"/>
    <w:rsid w:val="006440E6"/>
    <w:rsid w:val="00687494"/>
    <w:rsid w:val="006C3B8F"/>
    <w:rsid w:val="006D26CC"/>
    <w:rsid w:val="007B040D"/>
    <w:rsid w:val="007F2459"/>
    <w:rsid w:val="00847971"/>
    <w:rsid w:val="00891ACF"/>
    <w:rsid w:val="008A673B"/>
    <w:rsid w:val="008D7427"/>
    <w:rsid w:val="00921D4B"/>
    <w:rsid w:val="00955146"/>
    <w:rsid w:val="00972D0D"/>
    <w:rsid w:val="00993E57"/>
    <w:rsid w:val="009E7FB4"/>
    <w:rsid w:val="00A64B7D"/>
    <w:rsid w:val="00A844E6"/>
    <w:rsid w:val="00A93DE2"/>
    <w:rsid w:val="00B25F9F"/>
    <w:rsid w:val="00B71564"/>
    <w:rsid w:val="00BD3392"/>
    <w:rsid w:val="00C236D6"/>
    <w:rsid w:val="00CF7D49"/>
    <w:rsid w:val="00D57E3B"/>
    <w:rsid w:val="00DB18A9"/>
    <w:rsid w:val="00DD223B"/>
    <w:rsid w:val="00E65221"/>
    <w:rsid w:val="00F13504"/>
    <w:rsid w:val="00F31097"/>
    <w:rsid w:val="00FB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CC"/>
    <w:rPr>
      <w:rFonts w:ascii="Times New Roman" w:hAnsi="Times New Roman"/>
      <w:kern w:val="0"/>
      <w:sz w:val="24"/>
      <w:szCs w:val="24"/>
      <w:lang w:val="pl-PL" w:eastAsia="pl-PL"/>
    </w:rPr>
  </w:style>
  <w:style w:type="paragraph" w:styleId="1">
    <w:name w:val="heading 1"/>
    <w:basedOn w:val="a"/>
    <w:link w:val="1Char"/>
    <w:uiPriority w:val="99"/>
    <w:qFormat/>
    <w:rsid w:val="006D26CC"/>
    <w:pPr>
      <w:spacing w:before="100" w:beforeAutospacing="1" w:after="100" w:afterAutospacing="1" w:line="264" w:lineRule="atLeast"/>
      <w:outlineLvl w:val="0"/>
    </w:pPr>
    <w:rPr>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D26CC"/>
    <w:rPr>
      <w:rFonts w:ascii="Times New Roman" w:hAnsi="Times New Roman" w:cs="Times New Roman"/>
      <w:b/>
      <w:bCs/>
      <w:kern w:val="36"/>
      <w:sz w:val="36"/>
      <w:szCs w:val="36"/>
      <w:lang w:val="pl-PL" w:eastAsia="pl-PL"/>
    </w:rPr>
  </w:style>
  <w:style w:type="paragraph" w:styleId="a3">
    <w:name w:val="header"/>
    <w:basedOn w:val="a"/>
    <w:link w:val="Char"/>
    <w:uiPriority w:val="99"/>
    <w:rsid w:val="006D2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D26CC"/>
    <w:rPr>
      <w:rFonts w:cs="Times New Roman"/>
      <w:sz w:val="18"/>
      <w:szCs w:val="18"/>
    </w:rPr>
  </w:style>
  <w:style w:type="paragraph" w:styleId="a4">
    <w:name w:val="footer"/>
    <w:basedOn w:val="a"/>
    <w:link w:val="Char0"/>
    <w:uiPriority w:val="99"/>
    <w:rsid w:val="006D26CC"/>
    <w:pPr>
      <w:tabs>
        <w:tab w:val="center" w:pos="4153"/>
        <w:tab w:val="right" w:pos="8306"/>
      </w:tabs>
      <w:snapToGrid w:val="0"/>
    </w:pPr>
    <w:rPr>
      <w:sz w:val="18"/>
      <w:szCs w:val="18"/>
    </w:rPr>
  </w:style>
  <w:style w:type="character" w:customStyle="1" w:styleId="Char0">
    <w:name w:val="页脚 Char"/>
    <w:basedOn w:val="a0"/>
    <w:link w:val="a4"/>
    <w:uiPriority w:val="99"/>
    <w:locked/>
    <w:rsid w:val="006D26CC"/>
    <w:rPr>
      <w:rFonts w:cs="Times New Roman"/>
      <w:sz w:val="18"/>
      <w:szCs w:val="18"/>
    </w:rPr>
  </w:style>
  <w:style w:type="paragraph" w:styleId="a5">
    <w:name w:val="Body Text"/>
    <w:basedOn w:val="a"/>
    <w:link w:val="Char1"/>
    <w:uiPriority w:val="99"/>
    <w:semiHidden/>
    <w:rsid w:val="006D26CC"/>
    <w:pPr>
      <w:spacing w:line="360" w:lineRule="auto"/>
      <w:jc w:val="both"/>
    </w:pPr>
  </w:style>
  <w:style w:type="character" w:customStyle="1" w:styleId="Char1">
    <w:name w:val="正文文本 Char"/>
    <w:basedOn w:val="a0"/>
    <w:link w:val="a5"/>
    <w:uiPriority w:val="99"/>
    <w:semiHidden/>
    <w:locked/>
    <w:rsid w:val="006D26CC"/>
    <w:rPr>
      <w:rFonts w:ascii="Times New Roman" w:hAnsi="Times New Roman" w:cs="Times New Roman"/>
      <w:kern w:val="0"/>
      <w:sz w:val="24"/>
      <w:szCs w:val="24"/>
      <w:lang w:val="pl-PL" w:eastAsia="pl-PL"/>
    </w:rPr>
  </w:style>
  <w:style w:type="character" w:styleId="a6">
    <w:name w:val="Hyperlink"/>
    <w:basedOn w:val="a0"/>
    <w:uiPriority w:val="99"/>
    <w:rsid w:val="006D26CC"/>
    <w:rPr>
      <w:rFonts w:cs="Times New Roman"/>
      <w:color w:val="0000FF"/>
      <w:u w:val="single"/>
    </w:rPr>
  </w:style>
  <w:style w:type="paragraph" w:styleId="a7">
    <w:name w:val="Balloon Text"/>
    <w:basedOn w:val="a"/>
    <w:link w:val="Char2"/>
    <w:uiPriority w:val="99"/>
    <w:semiHidden/>
    <w:rsid w:val="006D26CC"/>
    <w:rPr>
      <w:rFonts w:ascii="Tahoma" w:hAnsi="Tahoma" w:cs="Tahoma"/>
      <w:sz w:val="16"/>
      <w:szCs w:val="16"/>
    </w:rPr>
  </w:style>
  <w:style w:type="character" w:customStyle="1" w:styleId="Char2">
    <w:name w:val="批注框文本 Char"/>
    <w:basedOn w:val="a0"/>
    <w:link w:val="a7"/>
    <w:uiPriority w:val="99"/>
    <w:semiHidden/>
    <w:locked/>
    <w:rsid w:val="006D26CC"/>
    <w:rPr>
      <w:rFonts w:ascii="Tahoma" w:hAnsi="Tahoma" w:cs="Tahoma"/>
      <w:kern w:val="0"/>
      <w:sz w:val="16"/>
      <w:szCs w:val="16"/>
      <w:lang w:val="pl-PL" w:eastAsia="pl-PL"/>
    </w:rPr>
  </w:style>
  <w:style w:type="paragraph" w:customStyle="1" w:styleId="citation">
    <w:name w:val="citation"/>
    <w:basedOn w:val="a"/>
    <w:uiPriority w:val="99"/>
    <w:rsid w:val="006D26CC"/>
    <w:pPr>
      <w:spacing w:before="100" w:beforeAutospacing="1" w:after="100" w:afterAutospacing="1"/>
    </w:pPr>
  </w:style>
  <w:style w:type="character" w:customStyle="1" w:styleId="highlight">
    <w:name w:val="highlight"/>
    <w:basedOn w:val="a0"/>
    <w:uiPriority w:val="99"/>
    <w:rsid w:val="006D26CC"/>
    <w:rPr>
      <w:rFonts w:cs="Times New Roman"/>
    </w:rPr>
  </w:style>
  <w:style w:type="paragraph" w:styleId="a8">
    <w:name w:val="List Paragraph"/>
    <w:basedOn w:val="a"/>
    <w:uiPriority w:val="99"/>
    <w:qFormat/>
    <w:rsid w:val="006D26CC"/>
    <w:pPr>
      <w:ind w:left="720"/>
      <w:contextualSpacing/>
    </w:pPr>
  </w:style>
  <w:style w:type="paragraph" w:customStyle="1" w:styleId="Tekstpodstawowy21">
    <w:name w:val="Tekst podstawowy 21"/>
    <w:basedOn w:val="a"/>
    <w:uiPriority w:val="99"/>
    <w:rsid w:val="006D26CC"/>
    <w:pPr>
      <w:overflowPunct w:val="0"/>
      <w:autoSpaceDE w:val="0"/>
      <w:autoSpaceDN w:val="0"/>
      <w:adjustRightInd w:val="0"/>
      <w:spacing w:after="120"/>
      <w:ind w:left="283"/>
      <w:textAlignment w:val="baseline"/>
    </w:pPr>
    <w:rPr>
      <w:rFonts w:ascii="Arial" w:hAnsi="Arial"/>
      <w:sz w:val="20"/>
      <w:szCs w:val="20"/>
    </w:rPr>
  </w:style>
  <w:style w:type="table" w:styleId="a9">
    <w:name w:val="Table Grid"/>
    <w:basedOn w:val="a1"/>
    <w:uiPriority w:val="99"/>
    <w:rsid w:val="006D26CC"/>
    <w:rPr>
      <w:kern w:val="0"/>
      <w:sz w:val="22"/>
      <w:szCs w:val="20"/>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rsid w:val="006D26CC"/>
    <w:rPr>
      <w:rFonts w:cs="Times New Roman"/>
      <w:sz w:val="18"/>
      <w:szCs w:val="18"/>
    </w:rPr>
  </w:style>
  <w:style w:type="paragraph" w:styleId="ab">
    <w:name w:val="annotation text"/>
    <w:basedOn w:val="a"/>
    <w:link w:val="Char3"/>
    <w:uiPriority w:val="99"/>
    <w:semiHidden/>
    <w:rsid w:val="006D26CC"/>
  </w:style>
  <w:style w:type="character" w:customStyle="1" w:styleId="Char3">
    <w:name w:val="批注文字 Char"/>
    <w:basedOn w:val="a0"/>
    <w:link w:val="ab"/>
    <w:uiPriority w:val="99"/>
    <w:semiHidden/>
    <w:locked/>
    <w:rsid w:val="006D26CC"/>
    <w:rPr>
      <w:rFonts w:ascii="Times New Roman" w:hAnsi="Times New Roman" w:cs="Times New Roman"/>
      <w:kern w:val="0"/>
      <w:sz w:val="24"/>
      <w:szCs w:val="24"/>
      <w:lang w:val="pl-PL" w:eastAsia="pl-PL"/>
    </w:rPr>
  </w:style>
  <w:style w:type="paragraph" w:styleId="ac">
    <w:name w:val="annotation subject"/>
    <w:basedOn w:val="ab"/>
    <w:next w:val="ab"/>
    <w:link w:val="Char4"/>
    <w:uiPriority w:val="99"/>
    <w:semiHidden/>
    <w:rsid w:val="006D26CC"/>
    <w:rPr>
      <w:b/>
      <w:bCs/>
      <w:sz w:val="20"/>
      <w:szCs w:val="20"/>
    </w:rPr>
  </w:style>
  <w:style w:type="character" w:customStyle="1" w:styleId="Char4">
    <w:name w:val="批注主题 Char"/>
    <w:basedOn w:val="Char3"/>
    <w:link w:val="ac"/>
    <w:uiPriority w:val="99"/>
    <w:semiHidden/>
    <w:locked/>
    <w:rsid w:val="006D26CC"/>
    <w:rPr>
      <w:rFonts w:ascii="Times New Roman" w:hAnsi="Times New Roman" w:cs="Times New Roman"/>
      <w:b/>
      <w:bCs/>
      <w:kern w:val="0"/>
      <w:sz w:val="20"/>
      <w:szCs w:val="20"/>
      <w:lang w:val="pl-PL" w:eastAsia="pl-PL"/>
    </w:rPr>
  </w:style>
  <w:style w:type="character" w:styleId="ad">
    <w:name w:val="FollowedHyperlink"/>
    <w:basedOn w:val="a0"/>
    <w:uiPriority w:val="99"/>
    <w:semiHidden/>
    <w:rsid w:val="006D26CC"/>
    <w:rPr>
      <w:rFonts w:cs="Times New Roman"/>
      <w:color w:val="800080"/>
      <w:u w:val="single"/>
    </w:rPr>
  </w:style>
  <w:style w:type="paragraph" w:styleId="ae">
    <w:name w:val="Revision"/>
    <w:hidden/>
    <w:uiPriority w:val="99"/>
    <w:semiHidden/>
    <w:rsid w:val="006D26CC"/>
    <w:rPr>
      <w:rFonts w:ascii="Times New Roman" w:hAnsi="Times New Roman"/>
      <w:kern w:val="0"/>
      <w:sz w:val="24"/>
      <w:szCs w:val="24"/>
      <w:lang w:val="pl-PL" w:eastAsia="pl-PL"/>
    </w:rPr>
  </w:style>
  <w:style w:type="character" w:styleId="af">
    <w:name w:val="page number"/>
    <w:basedOn w:val="a0"/>
    <w:uiPriority w:val="99"/>
    <w:semiHidden/>
    <w:rsid w:val="006D26CC"/>
    <w:rPr>
      <w:rFonts w:cs="Times New Roman"/>
    </w:rPr>
  </w:style>
  <w:style w:type="paragraph" w:customStyle="1" w:styleId="p0">
    <w:name w:val="p0"/>
    <w:basedOn w:val="a"/>
    <w:uiPriority w:val="99"/>
    <w:rsid w:val="006D26CC"/>
    <w:pPr>
      <w:spacing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CC"/>
    <w:rPr>
      <w:rFonts w:ascii="Times New Roman" w:hAnsi="Times New Roman"/>
      <w:kern w:val="0"/>
      <w:sz w:val="24"/>
      <w:szCs w:val="24"/>
      <w:lang w:val="pl-PL" w:eastAsia="pl-PL"/>
    </w:rPr>
  </w:style>
  <w:style w:type="paragraph" w:styleId="1">
    <w:name w:val="heading 1"/>
    <w:basedOn w:val="a"/>
    <w:link w:val="1Char"/>
    <w:uiPriority w:val="99"/>
    <w:qFormat/>
    <w:rsid w:val="006D26CC"/>
    <w:pPr>
      <w:spacing w:before="100" w:beforeAutospacing="1" w:after="100" w:afterAutospacing="1" w:line="264" w:lineRule="atLeast"/>
      <w:outlineLvl w:val="0"/>
    </w:pPr>
    <w:rPr>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D26CC"/>
    <w:rPr>
      <w:rFonts w:ascii="Times New Roman" w:hAnsi="Times New Roman" w:cs="Times New Roman"/>
      <w:b/>
      <w:bCs/>
      <w:kern w:val="36"/>
      <w:sz w:val="36"/>
      <w:szCs w:val="36"/>
      <w:lang w:val="pl-PL" w:eastAsia="pl-PL"/>
    </w:rPr>
  </w:style>
  <w:style w:type="paragraph" w:styleId="a3">
    <w:name w:val="header"/>
    <w:basedOn w:val="a"/>
    <w:link w:val="Char"/>
    <w:uiPriority w:val="99"/>
    <w:rsid w:val="006D2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D26CC"/>
    <w:rPr>
      <w:rFonts w:cs="Times New Roman"/>
      <w:sz w:val="18"/>
      <w:szCs w:val="18"/>
    </w:rPr>
  </w:style>
  <w:style w:type="paragraph" w:styleId="a4">
    <w:name w:val="footer"/>
    <w:basedOn w:val="a"/>
    <w:link w:val="Char0"/>
    <w:uiPriority w:val="99"/>
    <w:rsid w:val="006D26CC"/>
    <w:pPr>
      <w:tabs>
        <w:tab w:val="center" w:pos="4153"/>
        <w:tab w:val="right" w:pos="8306"/>
      </w:tabs>
      <w:snapToGrid w:val="0"/>
    </w:pPr>
    <w:rPr>
      <w:sz w:val="18"/>
      <w:szCs w:val="18"/>
    </w:rPr>
  </w:style>
  <w:style w:type="character" w:customStyle="1" w:styleId="Char0">
    <w:name w:val="页脚 Char"/>
    <w:basedOn w:val="a0"/>
    <w:link w:val="a4"/>
    <w:uiPriority w:val="99"/>
    <w:locked/>
    <w:rsid w:val="006D26CC"/>
    <w:rPr>
      <w:rFonts w:cs="Times New Roman"/>
      <w:sz w:val="18"/>
      <w:szCs w:val="18"/>
    </w:rPr>
  </w:style>
  <w:style w:type="paragraph" w:styleId="a5">
    <w:name w:val="Body Text"/>
    <w:basedOn w:val="a"/>
    <w:link w:val="Char1"/>
    <w:uiPriority w:val="99"/>
    <w:semiHidden/>
    <w:rsid w:val="006D26CC"/>
    <w:pPr>
      <w:spacing w:line="360" w:lineRule="auto"/>
      <w:jc w:val="both"/>
    </w:pPr>
  </w:style>
  <w:style w:type="character" w:customStyle="1" w:styleId="Char1">
    <w:name w:val="正文文本 Char"/>
    <w:basedOn w:val="a0"/>
    <w:link w:val="a5"/>
    <w:uiPriority w:val="99"/>
    <w:semiHidden/>
    <w:locked/>
    <w:rsid w:val="006D26CC"/>
    <w:rPr>
      <w:rFonts w:ascii="Times New Roman" w:hAnsi="Times New Roman" w:cs="Times New Roman"/>
      <w:kern w:val="0"/>
      <w:sz w:val="24"/>
      <w:szCs w:val="24"/>
      <w:lang w:val="pl-PL" w:eastAsia="pl-PL"/>
    </w:rPr>
  </w:style>
  <w:style w:type="character" w:styleId="a6">
    <w:name w:val="Hyperlink"/>
    <w:basedOn w:val="a0"/>
    <w:uiPriority w:val="99"/>
    <w:rsid w:val="006D26CC"/>
    <w:rPr>
      <w:rFonts w:cs="Times New Roman"/>
      <w:color w:val="0000FF"/>
      <w:u w:val="single"/>
    </w:rPr>
  </w:style>
  <w:style w:type="paragraph" w:styleId="a7">
    <w:name w:val="Balloon Text"/>
    <w:basedOn w:val="a"/>
    <w:link w:val="Char2"/>
    <w:uiPriority w:val="99"/>
    <w:semiHidden/>
    <w:rsid w:val="006D26CC"/>
    <w:rPr>
      <w:rFonts w:ascii="Tahoma" w:hAnsi="Tahoma" w:cs="Tahoma"/>
      <w:sz w:val="16"/>
      <w:szCs w:val="16"/>
    </w:rPr>
  </w:style>
  <w:style w:type="character" w:customStyle="1" w:styleId="Char2">
    <w:name w:val="批注框文本 Char"/>
    <w:basedOn w:val="a0"/>
    <w:link w:val="a7"/>
    <w:uiPriority w:val="99"/>
    <w:semiHidden/>
    <w:locked/>
    <w:rsid w:val="006D26CC"/>
    <w:rPr>
      <w:rFonts w:ascii="Tahoma" w:hAnsi="Tahoma" w:cs="Tahoma"/>
      <w:kern w:val="0"/>
      <w:sz w:val="16"/>
      <w:szCs w:val="16"/>
      <w:lang w:val="pl-PL" w:eastAsia="pl-PL"/>
    </w:rPr>
  </w:style>
  <w:style w:type="paragraph" w:customStyle="1" w:styleId="citation">
    <w:name w:val="citation"/>
    <w:basedOn w:val="a"/>
    <w:uiPriority w:val="99"/>
    <w:rsid w:val="006D26CC"/>
    <w:pPr>
      <w:spacing w:before="100" w:beforeAutospacing="1" w:after="100" w:afterAutospacing="1"/>
    </w:pPr>
  </w:style>
  <w:style w:type="character" w:customStyle="1" w:styleId="highlight">
    <w:name w:val="highlight"/>
    <w:basedOn w:val="a0"/>
    <w:uiPriority w:val="99"/>
    <w:rsid w:val="006D26CC"/>
    <w:rPr>
      <w:rFonts w:cs="Times New Roman"/>
    </w:rPr>
  </w:style>
  <w:style w:type="paragraph" w:styleId="a8">
    <w:name w:val="List Paragraph"/>
    <w:basedOn w:val="a"/>
    <w:uiPriority w:val="99"/>
    <w:qFormat/>
    <w:rsid w:val="006D26CC"/>
    <w:pPr>
      <w:ind w:left="720"/>
      <w:contextualSpacing/>
    </w:pPr>
  </w:style>
  <w:style w:type="paragraph" w:customStyle="1" w:styleId="Tekstpodstawowy21">
    <w:name w:val="Tekst podstawowy 21"/>
    <w:basedOn w:val="a"/>
    <w:uiPriority w:val="99"/>
    <w:rsid w:val="006D26CC"/>
    <w:pPr>
      <w:overflowPunct w:val="0"/>
      <w:autoSpaceDE w:val="0"/>
      <w:autoSpaceDN w:val="0"/>
      <w:adjustRightInd w:val="0"/>
      <w:spacing w:after="120"/>
      <w:ind w:left="283"/>
      <w:textAlignment w:val="baseline"/>
    </w:pPr>
    <w:rPr>
      <w:rFonts w:ascii="Arial" w:hAnsi="Arial"/>
      <w:sz w:val="20"/>
      <w:szCs w:val="20"/>
    </w:rPr>
  </w:style>
  <w:style w:type="table" w:styleId="a9">
    <w:name w:val="Table Grid"/>
    <w:basedOn w:val="a1"/>
    <w:uiPriority w:val="99"/>
    <w:rsid w:val="006D26CC"/>
    <w:rPr>
      <w:kern w:val="0"/>
      <w:sz w:val="22"/>
      <w:szCs w:val="20"/>
      <w:lang w:val="pl-P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rsid w:val="006D26CC"/>
    <w:rPr>
      <w:rFonts w:cs="Times New Roman"/>
      <w:sz w:val="18"/>
      <w:szCs w:val="18"/>
    </w:rPr>
  </w:style>
  <w:style w:type="paragraph" w:styleId="ab">
    <w:name w:val="annotation text"/>
    <w:basedOn w:val="a"/>
    <w:link w:val="Char3"/>
    <w:uiPriority w:val="99"/>
    <w:semiHidden/>
    <w:rsid w:val="006D26CC"/>
  </w:style>
  <w:style w:type="character" w:customStyle="1" w:styleId="Char3">
    <w:name w:val="批注文字 Char"/>
    <w:basedOn w:val="a0"/>
    <w:link w:val="ab"/>
    <w:uiPriority w:val="99"/>
    <w:semiHidden/>
    <w:locked/>
    <w:rsid w:val="006D26CC"/>
    <w:rPr>
      <w:rFonts w:ascii="Times New Roman" w:hAnsi="Times New Roman" w:cs="Times New Roman"/>
      <w:kern w:val="0"/>
      <w:sz w:val="24"/>
      <w:szCs w:val="24"/>
      <w:lang w:val="pl-PL" w:eastAsia="pl-PL"/>
    </w:rPr>
  </w:style>
  <w:style w:type="paragraph" w:styleId="ac">
    <w:name w:val="annotation subject"/>
    <w:basedOn w:val="ab"/>
    <w:next w:val="ab"/>
    <w:link w:val="Char4"/>
    <w:uiPriority w:val="99"/>
    <w:semiHidden/>
    <w:rsid w:val="006D26CC"/>
    <w:rPr>
      <w:b/>
      <w:bCs/>
      <w:sz w:val="20"/>
      <w:szCs w:val="20"/>
    </w:rPr>
  </w:style>
  <w:style w:type="character" w:customStyle="1" w:styleId="Char4">
    <w:name w:val="批注主题 Char"/>
    <w:basedOn w:val="Char3"/>
    <w:link w:val="ac"/>
    <w:uiPriority w:val="99"/>
    <w:semiHidden/>
    <w:locked/>
    <w:rsid w:val="006D26CC"/>
    <w:rPr>
      <w:rFonts w:ascii="Times New Roman" w:hAnsi="Times New Roman" w:cs="Times New Roman"/>
      <w:b/>
      <w:bCs/>
      <w:kern w:val="0"/>
      <w:sz w:val="20"/>
      <w:szCs w:val="20"/>
      <w:lang w:val="pl-PL" w:eastAsia="pl-PL"/>
    </w:rPr>
  </w:style>
  <w:style w:type="character" w:styleId="ad">
    <w:name w:val="FollowedHyperlink"/>
    <w:basedOn w:val="a0"/>
    <w:uiPriority w:val="99"/>
    <w:semiHidden/>
    <w:rsid w:val="006D26CC"/>
    <w:rPr>
      <w:rFonts w:cs="Times New Roman"/>
      <w:color w:val="800080"/>
      <w:u w:val="single"/>
    </w:rPr>
  </w:style>
  <w:style w:type="paragraph" w:styleId="ae">
    <w:name w:val="Revision"/>
    <w:hidden/>
    <w:uiPriority w:val="99"/>
    <w:semiHidden/>
    <w:rsid w:val="006D26CC"/>
    <w:rPr>
      <w:rFonts w:ascii="Times New Roman" w:hAnsi="Times New Roman"/>
      <w:kern w:val="0"/>
      <w:sz w:val="24"/>
      <w:szCs w:val="24"/>
      <w:lang w:val="pl-PL" w:eastAsia="pl-PL"/>
    </w:rPr>
  </w:style>
  <w:style w:type="character" w:styleId="af">
    <w:name w:val="page number"/>
    <w:basedOn w:val="a0"/>
    <w:uiPriority w:val="99"/>
    <w:semiHidden/>
    <w:rsid w:val="006D26CC"/>
    <w:rPr>
      <w:rFonts w:cs="Times New Roman"/>
    </w:rPr>
  </w:style>
  <w:style w:type="paragraph" w:customStyle="1" w:styleId="p0">
    <w:name w:val="p0"/>
    <w:basedOn w:val="a"/>
    <w:uiPriority w:val="99"/>
    <w:rsid w:val="006D26CC"/>
    <w:pPr>
      <w:spacing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4702</Words>
  <Characters>26802</Characters>
  <Application>Microsoft Office Word</Application>
  <DocSecurity>0</DocSecurity>
  <Lines>223</Lines>
  <Paragraphs>62</Paragraphs>
  <ScaleCrop>false</ScaleCrop>
  <Company>微软中国</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2014-03-07T18:46:00Z</dcterms:created>
  <dcterms:modified xsi:type="dcterms:W3CDTF">2014-03-07T18:46:00Z</dcterms:modified>
</cp:coreProperties>
</file>