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00223"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Name of Journal: </w:t>
      </w:r>
      <w:r w:rsidRPr="007C0B9B">
        <w:rPr>
          <w:rFonts w:ascii="Book Antiqua" w:eastAsia="Book Antiqua" w:hAnsi="Book Antiqua"/>
          <w:i/>
          <w:color w:val="000000"/>
        </w:rPr>
        <w:t>World Journal of Clinical Cases</w:t>
      </w:r>
    </w:p>
    <w:p w14:paraId="093EADEB"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Manuscript NO: </w:t>
      </w:r>
      <w:r w:rsidRPr="007C0B9B">
        <w:rPr>
          <w:rFonts w:ascii="Book Antiqua" w:eastAsia="Book Antiqua" w:hAnsi="Book Antiqua"/>
          <w:color w:val="000000"/>
        </w:rPr>
        <w:t>80515</w:t>
      </w:r>
    </w:p>
    <w:p w14:paraId="44A2C280"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Manuscript Type: </w:t>
      </w:r>
      <w:r w:rsidRPr="007C0B9B">
        <w:rPr>
          <w:rFonts w:ascii="Book Antiqua" w:eastAsia="Book Antiqua" w:hAnsi="Book Antiqua"/>
          <w:color w:val="000000"/>
        </w:rPr>
        <w:t>ORIGINAL ARTICLE</w:t>
      </w:r>
    </w:p>
    <w:p w14:paraId="330C6FD5" w14:textId="77777777" w:rsidR="00A77B3E" w:rsidRPr="007C0B9B" w:rsidRDefault="00A77B3E" w:rsidP="007C0B9B">
      <w:pPr>
        <w:adjustRightInd w:val="0"/>
        <w:snapToGrid w:val="0"/>
        <w:spacing w:line="360" w:lineRule="auto"/>
        <w:jc w:val="both"/>
        <w:rPr>
          <w:rFonts w:ascii="Book Antiqua" w:hAnsi="Book Antiqua"/>
        </w:rPr>
      </w:pPr>
    </w:p>
    <w:p w14:paraId="7F2B1538"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Retrospective Study</w:t>
      </w:r>
    </w:p>
    <w:p w14:paraId="32D9F331"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Serum Spondin-2 expression, tumor invasion, and antitumor immune response in patients with cervical cancer</w:t>
      </w:r>
    </w:p>
    <w:p w14:paraId="6E535D5D" w14:textId="77777777" w:rsidR="00A77B3E" w:rsidRPr="007C0B9B" w:rsidRDefault="00A77B3E" w:rsidP="007C0B9B">
      <w:pPr>
        <w:adjustRightInd w:val="0"/>
        <w:snapToGrid w:val="0"/>
        <w:spacing w:line="360" w:lineRule="auto"/>
        <w:jc w:val="both"/>
        <w:rPr>
          <w:rFonts w:ascii="Book Antiqua" w:hAnsi="Book Antiqua"/>
        </w:rPr>
      </w:pPr>
    </w:p>
    <w:p w14:paraId="0F31AC54" w14:textId="621B7445" w:rsidR="00A77B3E" w:rsidRPr="007C0B9B" w:rsidRDefault="009A0505"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Z</w:t>
      </w:r>
      <w:r w:rsidRPr="007C0B9B">
        <w:rPr>
          <w:rFonts w:ascii="Book Antiqua" w:hAnsi="Book Antiqua"/>
          <w:color w:val="000000"/>
          <w:lang w:eastAsia="zh-CN"/>
        </w:rPr>
        <w:t xml:space="preserve">hang LL </w:t>
      </w:r>
      <w:r w:rsidRPr="007C0B9B">
        <w:rPr>
          <w:rFonts w:ascii="Book Antiqua" w:hAnsi="Book Antiqua"/>
          <w:i/>
          <w:iCs/>
          <w:color w:val="000000"/>
          <w:lang w:eastAsia="zh-CN"/>
        </w:rPr>
        <w:t>et al</w:t>
      </w:r>
      <w:r w:rsidRPr="007C0B9B">
        <w:rPr>
          <w:rFonts w:ascii="Book Antiqua" w:hAnsi="Book Antiqua"/>
          <w:color w:val="000000"/>
          <w:lang w:eastAsia="zh-CN"/>
        </w:rPr>
        <w:t xml:space="preserve">. </w:t>
      </w:r>
      <w:r w:rsidRPr="007C0B9B">
        <w:rPr>
          <w:rFonts w:ascii="Book Antiqua" w:eastAsia="Book Antiqua" w:hAnsi="Book Antiqua"/>
          <w:color w:val="000000"/>
        </w:rPr>
        <w:t>Relationship between Spondin-2 and cervical cancer</w:t>
      </w:r>
    </w:p>
    <w:p w14:paraId="7FACC996" w14:textId="77777777" w:rsidR="00A77B3E" w:rsidRPr="007C0B9B" w:rsidRDefault="00A77B3E" w:rsidP="007C0B9B">
      <w:pPr>
        <w:adjustRightInd w:val="0"/>
        <w:snapToGrid w:val="0"/>
        <w:spacing w:line="360" w:lineRule="auto"/>
        <w:jc w:val="both"/>
        <w:rPr>
          <w:rFonts w:ascii="Book Antiqua" w:hAnsi="Book Antiqua"/>
        </w:rPr>
      </w:pPr>
    </w:p>
    <w:p w14:paraId="22BE6CBD" w14:textId="4C04A66F"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Ling</w:t>
      </w:r>
      <w:r w:rsidR="009A0505" w:rsidRPr="007C0B9B">
        <w:rPr>
          <w:rFonts w:ascii="Book Antiqua" w:eastAsia="Book Antiqua" w:hAnsi="Book Antiqua"/>
          <w:color w:val="000000"/>
        </w:rPr>
        <w:t xml:space="preserve">-Li </w:t>
      </w:r>
      <w:r w:rsidRPr="007C0B9B">
        <w:rPr>
          <w:rFonts w:ascii="Book Antiqua" w:eastAsia="Book Antiqua" w:hAnsi="Book Antiqua"/>
          <w:color w:val="000000"/>
        </w:rPr>
        <w:t>Zhang, Song Lin, Yan Zhang, Dong</w:t>
      </w:r>
      <w:r w:rsidR="009A0505" w:rsidRPr="007C0B9B">
        <w:rPr>
          <w:rFonts w:ascii="Book Antiqua" w:eastAsia="Book Antiqua" w:hAnsi="Book Antiqua"/>
          <w:color w:val="000000"/>
        </w:rPr>
        <w:t xml:space="preserve">-Mei </w:t>
      </w:r>
      <w:r w:rsidRPr="007C0B9B">
        <w:rPr>
          <w:rFonts w:ascii="Book Antiqua" w:eastAsia="Book Antiqua" w:hAnsi="Book Antiqua"/>
          <w:color w:val="000000"/>
        </w:rPr>
        <w:t>Yao, Xin Du</w:t>
      </w:r>
    </w:p>
    <w:p w14:paraId="7E5E6234" w14:textId="77777777" w:rsidR="00A77B3E" w:rsidRPr="007C0B9B" w:rsidRDefault="00A77B3E" w:rsidP="007C0B9B">
      <w:pPr>
        <w:adjustRightInd w:val="0"/>
        <w:snapToGrid w:val="0"/>
        <w:spacing w:line="360" w:lineRule="auto"/>
        <w:jc w:val="both"/>
        <w:rPr>
          <w:rFonts w:ascii="Book Antiqua" w:hAnsi="Book Antiqua"/>
        </w:rPr>
      </w:pPr>
    </w:p>
    <w:p w14:paraId="05EA530A" w14:textId="12F4E34F"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Ling</w:t>
      </w:r>
      <w:r w:rsidR="00167E07" w:rsidRPr="007C0B9B">
        <w:rPr>
          <w:rFonts w:ascii="Book Antiqua" w:eastAsia="Book Antiqua" w:hAnsi="Book Antiqua"/>
          <w:b/>
          <w:bCs/>
          <w:color w:val="000000"/>
        </w:rPr>
        <w:t xml:space="preserve">-Li </w:t>
      </w:r>
      <w:r w:rsidRPr="007C0B9B">
        <w:rPr>
          <w:rFonts w:ascii="Book Antiqua" w:eastAsia="Book Antiqua" w:hAnsi="Book Antiqua"/>
          <w:b/>
          <w:bCs/>
          <w:color w:val="000000"/>
        </w:rPr>
        <w:t>Zhang, Dong</w:t>
      </w:r>
      <w:r w:rsidR="002969E1" w:rsidRPr="007C0B9B">
        <w:rPr>
          <w:rFonts w:ascii="Book Antiqua" w:eastAsia="Book Antiqua" w:hAnsi="Book Antiqua"/>
          <w:b/>
          <w:bCs/>
          <w:color w:val="000000"/>
        </w:rPr>
        <w:t>-M</w:t>
      </w:r>
      <w:r w:rsidRPr="007C0B9B">
        <w:rPr>
          <w:rFonts w:ascii="Book Antiqua" w:eastAsia="Book Antiqua" w:hAnsi="Book Antiqua"/>
          <w:b/>
          <w:bCs/>
          <w:color w:val="000000"/>
        </w:rPr>
        <w:t xml:space="preserve">ei Yao, Xin Du, </w:t>
      </w:r>
      <w:r w:rsidRPr="007C0B9B">
        <w:rPr>
          <w:rFonts w:ascii="Book Antiqua" w:eastAsia="Book Antiqua" w:hAnsi="Book Antiqua"/>
          <w:color w:val="000000"/>
        </w:rPr>
        <w:t>Department of Gynecology, Maternal and Child Health Hospital of Hubei Province, Wuhan 430070, Hubei</w:t>
      </w:r>
      <w:r w:rsidR="009A0505" w:rsidRPr="007C0B9B">
        <w:rPr>
          <w:rFonts w:ascii="Book Antiqua" w:eastAsia="Book Antiqua" w:hAnsi="Book Antiqua"/>
          <w:color w:val="000000"/>
        </w:rPr>
        <w:t xml:space="preserve"> Province</w:t>
      </w:r>
      <w:r w:rsidRPr="007C0B9B">
        <w:rPr>
          <w:rFonts w:ascii="Book Antiqua" w:eastAsia="Book Antiqua" w:hAnsi="Book Antiqua"/>
          <w:color w:val="000000"/>
        </w:rPr>
        <w:t>, China</w:t>
      </w:r>
    </w:p>
    <w:p w14:paraId="09805AB6" w14:textId="77777777" w:rsidR="00A77B3E" w:rsidRPr="007C0B9B" w:rsidRDefault="00A77B3E" w:rsidP="007C0B9B">
      <w:pPr>
        <w:adjustRightInd w:val="0"/>
        <w:snapToGrid w:val="0"/>
        <w:spacing w:line="360" w:lineRule="auto"/>
        <w:jc w:val="both"/>
        <w:rPr>
          <w:rFonts w:ascii="Book Antiqua" w:hAnsi="Book Antiqua"/>
        </w:rPr>
      </w:pPr>
    </w:p>
    <w:p w14:paraId="1C24B4D0" w14:textId="68954E72"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Song Lin, </w:t>
      </w:r>
      <w:r w:rsidRPr="007C0B9B">
        <w:rPr>
          <w:rFonts w:ascii="Book Antiqua" w:eastAsia="Book Antiqua" w:hAnsi="Book Antiqua"/>
          <w:color w:val="000000"/>
        </w:rPr>
        <w:t>Department of Surgery, Maternal and Child Health Hospital of Hubei Province, Wuhan 430070, Hubei</w:t>
      </w:r>
      <w:r w:rsidR="00CE662E" w:rsidRPr="007C0B9B">
        <w:rPr>
          <w:rFonts w:ascii="Book Antiqua" w:eastAsia="Book Antiqua" w:hAnsi="Book Antiqua"/>
          <w:color w:val="000000"/>
        </w:rPr>
        <w:t xml:space="preserve"> Province</w:t>
      </w:r>
      <w:r w:rsidRPr="007C0B9B">
        <w:rPr>
          <w:rFonts w:ascii="Book Antiqua" w:eastAsia="Book Antiqua" w:hAnsi="Book Antiqua"/>
          <w:color w:val="000000"/>
        </w:rPr>
        <w:t>, China</w:t>
      </w:r>
    </w:p>
    <w:p w14:paraId="473947FC" w14:textId="77777777" w:rsidR="00A77B3E" w:rsidRPr="007C0B9B" w:rsidRDefault="00A77B3E" w:rsidP="007C0B9B">
      <w:pPr>
        <w:adjustRightInd w:val="0"/>
        <w:snapToGrid w:val="0"/>
        <w:spacing w:line="360" w:lineRule="auto"/>
        <w:jc w:val="both"/>
        <w:rPr>
          <w:rFonts w:ascii="Book Antiqua" w:hAnsi="Book Antiqua"/>
        </w:rPr>
      </w:pPr>
    </w:p>
    <w:p w14:paraId="7B8B5FC4" w14:textId="76D0FB1A"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Yan Zhang, </w:t>
      </w:r>
      <w:r w:rsidRPr="007C0B9B">
        <w:rPr>
          <w:rFonts w:ascii="Book Antiqua" w:eastAsia="Book Antiqua" w:hAnsi="Book Antiqua"/>
          <w:color w:val="000000"/>
        </w:rPr>
        <w:t>Department of Women</w:t>
      </w:r>
      <w:r w:rsidR="00CE662E" w:rsidRPr="007C0B9B">
        <w:rPr>
          <w:rFonts w:ascii="Book Antiqua" w:eastAsia="Book Antiqua" w:hAnsi="Book Antiqua"/>
          <w:color w:val="000000"/>
        </w:rPr>
        <w:t>’</w:t>
      </w:r>
      <w:r w:rsidRPr="007C0B9B">
        <w:rPr>
          <w:rFonts w:ascii="Book Antiqua" w:eastAsia="Book Antiqua" w:hAnsi="Book Antiqua"/>
          <w:color w:val="000000"/>
        </w:rPr>
        <w:t>s Health, Maternal and Child Health Hospital of Hubei Province, Wuhan 430070, Hubei</w:t>
      </w:r>
      <w:r w:rsidR="00CE662E" w:rsidRPr="007C0B9B">
        <w:rPr>
          <w:rFonts w:ascii="Book Antiqua" w:eastAsia="Book Antiqua" w:hAnsi="Book Antiqua"/>
          <w:color w:val="000000"/>
        </w:rPr>
        <w:t xml:space="preserve"> Province</w:t>
      </w:r>
      <w:r w:rsidRPr="007C0B9B">
        <w:rPr>
          <w:rFonts w:ascii="Book Antiqua" w:eastAsia="Book Antiqua" w:hAnsi="Book Antiqua"/>
          <w:color w:val="000000"/>
        </w:rPr>
        <w:t>, China</w:t>
      </w:r>
    </w:p>
    <w:p w14:paraId="2CE5DE83" w14:textId="77777777" w:rsidR="00A77B3E" w:rsidRPr="007C0B9B" w:rsidRDefault="00A77B3E" w:rsidP="007C0B9B">
      <w:pPr>
        <w:adjustRightInd w:val="0"/>
        <w:snapToGrid w:val="0"/>
        <w:spacing w:line="360" w:lineRule="auto"/>
        <w:jc w:val="both"/>
        <w:rPr>
          <w:rFonts w:ascii="Book Antiqua" w:hAnsi="Book Antiqua"/>
        </w:rPr>
      </w:pPr>
    </w:p>
    <w:p w14:paraId="09960842"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Author contributions: </w:t>
      </w:r>
      <w:r w:rsidRPr="007C0B9B">
        <w:rPr>
          <w:rFonts w:ascii="Book Antiqua" w:eastAsia="Book Antiqua" w:hAnsi="Book Antiqua"/>
          <w:color w:val="000000"/>
        </w:rPr>
        <w:t>Zhang LL wrote this article, Lin S provided experimental ideas, Yao DM and Du X performed data collection, and Lin S and Zhang Y performed data sorting and analysis.</w:t>
      </w:r>
    </w:p>
    <w:p w14:paraId="5BC77616" w14:textId="77777777" w:rsidR="00A77B3E" w:rsidRPr="007C0B9B" w:rsidRDefault="00A77B3E" w:rsidP="007C0B9B">
      <w:pPr>
        <w:adjustRightInd w:val="0"/>
        <w:snapToGrid w:val="0"/>
        <w:spacing w:line="360" w:lineRule="auto"/>
        <w:jc w:val="both"/>
        <w:rPr>
          <w:rFonts w:ascii="Book Antiqua" w:hAnsi="Book Antiqua"/>
        </w:rPr>
      </w:pPr>
    </w:p>
    <w:p w14:paraId="0E0A06FB" w14:textId="4D3FE410"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Corresponding author: Song Lin, MM, Associate Chief Physician, </w:t>
      </w:r>
      <w:r w:rsidRPr="007C0B9B">
        <w:rPr>
          <w:rFonts w:ascii="Book Antiqua" w:eastAsia="Book Antiqua" w:hAnsi="Book Antiqua"/>
          <w:color w:val="000000"/>
        </w:rPr>
        <w:t xml:space="preserve">Department of Surgery, Maternal and Child Health Hospital of Hubei Province, No. 745 Wu </w:t>
      </w:r>
      <w:proofErr w:type="spellStart"/>
      <w:r w:rsidRPr="007C0B9B">
        <w:rPr>
          <w:rFonts w:ascii="Book Antiqua" w:eastAsia="Book Antiqua" w:hAnsi="Book Antiqua"/>
          <w:color w:val="000000"/>
        </w:rPr>
        <w:t>Luo</w:t>
      </w:r>
      <w:proofErr w:type="spellEnd"/>
      <w:r w:rsidRPr="007C0B9B">
        <w:rPr>
          <w:rFonts w:ascii="Book Antiqua" w:eastAsia="Book Antiqua" w:hAnsi="Book Antiqua"/>
          <w:color w:val="000000"/>
        </w:rPr>
        <w:t xml:space="preserve"> Road,</w:t>
      </w:r>
      <w:r w:rsidR="00E61616" w:rsidRPr="007C0B9B">
        <w:rPr>
          <w:rFonts w:ascii="Book Antiqua" w:eastAsia="Book Antiqua" w:hAnsi="Book Antiqua"/>
          <w:color w:val="000000"/>
        </w:rPr>
        <w:t xml:space="preserve"> </w:t>
      </w:r>
      <w:proofErr w:type="spellStart"/>
      <w:r w:rsidRPr="007C0B9B">
        <w:rPr>
          <w:rFonts w:ascii="Book Antiqua" w:eastAsia="Book Antiqua" w:hAnsi="Book Antiqua"/>
          <w:color w:val="000000"/>
        </w:rPr>
        <w:t>Hongshan</w:t>
      </w:r>
      <w:proofErr w:type="spellEnd"/>
      <w:r w:rsidRPr="007C0B9B">
        <w:rPr>
          <w:rFonts w:ascii="Book Antiqua" w:eastAsia="Book Antiqua" w:hAnsi="Book Antiqua"/>
          <w:color w:val="000000"/>
        </w:rPr>
        <w:t xml:space="preserve"> District, Wuhan 430070, Hubei</w:t>
      </w:r>
      <w:r w:rsidR="00E61616" w:rsidRPr="007C0B9B">
        <w:rPr>
          <w:rFonts w:ascii="Book Antiqua" w:eastAsia="Book Antiqua" w:hAnsi="Book Antiqua"/>
          <w:color w:val="000000"/>
        </w:rPr>
        <w:t xml:space="preserve"> Province</w:t>
      </w:r>
      <w:r w:rsidRPr="007C0B9B">
        <w:rPr>
          <w:rFonts w:ascii="Book Antiqua" w:eastAsia="Book Antiqua" w:hAnsi="Book Antiqua"/>
          <w:color w:val="000000"/>
        </w:rPr>
        <w:t>, China. linsongsl166@163.com</w:t>
      </w:r>
    </w:p>
    <w:p w14:paraId="31BA8E9F" w14:textId="77777777" w:rsidR="00A77B3E" w:rsidRPr="007C0B9B" w:rsidRDefault="00A77B3E" w:rsidP="007C0B9B">
      <w:pPr>
        <w:adjustRightInd w:val="0"/>
        <w:snapToGrid w:val="0"/>
        <w:spacing w:line="360" w:lineRule="auto"/>
        <w:jc w:val="both"/>
        <w:rPr>
          <w:rFonts w:ascii="Book Antiqua" w:hAnsi="Book Antiqua"/>
        </w:rPr>
      </w:pPr>
    </w:p>
    <w:p w14:paraId="5CFE2F85"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lastRenderedPageBreak/>
        <w:t xml:space="preserve">Received: </w:t>
      </w:r>
      <w:r w:rsidRPr="007C0B9B">
        <w:rPr>
          <w:rFonts w:ascii="Book Antiqua" w:eastAsia="Book Antiqua" w:hAnsi="Book Antiqua"/>
          <w:color w:val="000000"/>
        </w:rPr>
        <w:t>October 19, 2022</w:t>
      </w:r>
    </w:p>
    <w:p w14:paraId="1E71DF47" w14:textId="0652CC84"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Revised: </w:t>
      </w:r>
      <w:r w:rsidR="00E61616" w:rsidRPr="007C0B9B">
        <w:rPr>
          <w:rFonts w:ascii="Book Antiqua" w:eastAsia="Book Antiqua" w:hAnsi="Book Antiqua"/>
          <w:color w:val="000000"/>
        </w:rPr>
        <w:t>November 19, 2022</w:t>
      </w:r>
    </w:p>
    <w:p w14:paraId="118F7818" w14:textId="308A0EB6"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Accepted: </w:t>
      </w:r>
      <w:r w:rsidR="00D47DE0" w:rsidRPr="006F5A56">
        <w:rPr>
          <w:rFonts w:ascii="Book Antiqua" w:eastAsia="Book Antiqua" w:hAnsi="Book Antiqua"/>
          <w:color w:val="000000"/>
        </w:rPr>
        <w:t>November 28, 2022</w:t>
      </w:r>
    </w:p>
    <w:p w14:paraId="47FEE744" w14:textId="3F2A918E"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Published online: </w:t>
      </w:r>
      <w:r w:rsidR="00E530D6" w:rsidRPr="00E530D6">
        <w:rPr>
          <w:rFonts w:ascii="Book Antiqua" w:eastAsia="Book Antiqua" w:hAnsi="Book Antiqua" w:cs="Book Antiqua"/>
          <w:color w:val="000000"/>
        </w:rPr>
        <w:t>December</w:t>
      </w:r>
      <w:r w:rsidR="00E530D6" w:rsidRPr="00FB5598">
        <w:rPr>
          <w:rFonts w:ascii="Book Antiqua" w:eastAsia="Book Antiqua" w:hAnsi="Book Antiqua" w:cs="Book Antiqua"/>
          <w:color w:val="000000"/>
        </w:rPr>
        <w:t xml:space="preserve"> 2</w:t>
      </w:r>
      <w:r w:rsidR="00E530D6">
        <w:rPr>
          <w:rFonts w:ascii="Book Antiqua" w:hAnsi="Book Antiqua" w:cs="Book Antiqua" w:hint="eastAsia"/>
          <w:color w:val="000000"/>
          <w:lang w:eastAsia="zh-CN"/>
        </w:rPr>
        <w:t>6</w:t>
      </w:r>
      <w:r w:rsidR="00E530D6" w:rsidRPr="00FB5598">
        <w:rPr>
          <w:rFonts w:ascii="Book Antiqua" w:eastAsia="Book Antiqua" w:hAnsi="Book Antiqua" w:cs="Book Antiqua"/>
          <w:color w:val="000000"/>
        </w:rPr>
        <w:t>, 2022</w:t>
      </w:r>
    </w:p>
    <w:p w14:paraId="4CAC36E4" w14:textId="77777777" w:rsidR="00B32F18" w:rsidRDefault="00B32F18">
      <w:pPr>
        <w:rPr>
          <w:rFonts w:ascii="Book Antiqua" w:eastAsia="Book Antiqua" w:hAnsi="Book Antiqua"/>
          <w:b/>
          <w:color w:val="000000"/>
        </w:rPr>
      </w:pPr>
      <w:r>
        <w:rPr>
          <w:rFonts w:ascii="Book Antiqua" w:eastAsia="Book Antiqua" w:hAnsi="Book Antiqua"/>
          <w:b/>
          <w:color w:val="000000"/>
        </w:rPr>
        <w:br w:type="page"/>
      </w:r>
    </w:p>
    <w:p w14:paraId="700397A5" w14:textId="5681CD42"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lastRenderedPageBreak/>
        <w:t>Abstract</w:t>
      </w:r>
    </w:p>
    <w:p w14:paraId="54DD98E4"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BACKGROUND</w:t>
      </w:r>
    </w:p>
    <w:p w14:paraId="543F37B9"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Cervical cancer is a gynecological malignancy common in middle-aged and older patients, with a high mortality rate. Spondin-2 is an extracellular matrix protein that involved in innate and acquired immune responses. Herein, we investigated the relationship between serum Spondin-2 expression, tumor invasion and infiltration, and immune response in patients with cervical cancer and provided a theoretical basis for clinical practice.</w:t>
      </w:r>
    </w:p>
    <w:p w14:paraId="18498655" w14:textId="77777777" w:rsidR="00A77B3E" w:rsidRPr="007C0B9B" w:rsidRDefault="00A77B3E" w:rsidP="007C0B9B">
      <w:pPr>
        <w:adjustRightInd w:val="0"/>
        <w:snapToGrid w:val="0"/>
        <w:spacing w:line="360" w:lineRule="auto"/>
        <w:jc w:val="both"/>
        <w:rPr>
          <w:rFonts w:ascii="Book Antiqua" w:hAnsi="Book Antiqua"/>
        </w:rPr>
      </w:pPr>
    </w:p>
    <w:p w14:paraId="57B3215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AIM</w:t>
      </w:r>
    </w:p>
    <w:p w14:paraId="0E135590" w14:textId="2DAD31F4" w:rsidR="00A77B3E" w:rsidRPr="007C0B9B" w:rsidRDefault="00DA2463"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To investigate the relationship between serum Spondin-2 expression and cervical cancer-related indicators.</w:t>
      </w:r>
    </w:p>
    <w:p w14:paraId="16C61CF4" w14:textId="77777777" w:rsidR="00A77B3E" w:rsidRPr="007C0B9B" w:rsidRDefault="00A77B3E" w:rsidP="007C0B9B">
      <w:pPr>
        <w:adjustRightInd w:val="0"/>
        <w:snapToGrid w:val="0"/>
        <w:spacing w:line="360" w:lineRule="auto"/>
        <w:jc w:val="both"/>
        <w:rPr>
          <w:rFonts w:ascii="Book Antiqua" w:hAnsi="Book Antiqua"/>
        </w:rPr>
      </w:pPr>
    </w:p>
    <w:p w14:paraId="4951737D"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METHODS</w:t>
      </w:r>
    </w:p>
    <w:p w14:paraId="54C85AC0" w14:textId="08A978A9"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Overall, 147 patients with cervical cancer who were admitted to our institution between January 2019 and August 2019 were assigned to the cervical cancer </w:t>
      </w:r>
      <w:r w:rsidR="00FD7FA1" w:rsidRPr="007C0B9B">
        <w:rPr>
          <w:rFonts w:ascii="Book Antiqua" w:eastAsia="Book Antiqua" w:hAnsi="Book Antiqua"/>
          <w:color w:val="000000"/>
        </w:rPr>
        <w:t>group</w:t>
      </w:r>
      <w:r w:rsidRPr="007C0B9B">
        <w:rPr>
          <w:rFonts w:ascii="Book Antiqua" w:eastAsia="Book Antiqua" w:hAnsi="Book Antiqua"/>
          <w:color w:val="000000"/>
        </w:rPr>
        <w:t xml:space="preserve">, and 92 patients with benign uterine lesions and 86 healthy individuals were assigned to the benign and control </w:t>
      </w:r>
      <w:r w:rsidR="00821866" w:rsidRPr="007C0B9B">
        <w:rPr>
          <w:rFonts w:ascii="Book Antiqua" w:eastAsia="Book Antiqua" w:hAnsi="Book Antiqua"/>
          <w:color w:val="000000"/>
        </w:rPr>
        <w:t>groups</w:t>
      </w:r>
      <w:r w:rsidRPr="007C0B9B">
        <w:rPr>
          <w:rFonts w:ascii="Book Antiqua" w:eastAsia="Book Antiqua" w:hAnsi="Book Antiqua"/>
          <w:color w:val="000000"/>
        </w:rPr>
        <w:t xml:space="preserve">, respectively. In each </w:t>
      </w:r>
      <w:r w:rsidR="00821866" w:rsidRPr="007C0B9B">
        <w:rPr>
          <w:rFonts w:ascii="Book Antiqua" w:eastAsia="Book Antiqua" w:hAnsi="Book Antiqua"/>
          <w:color w:val="000000"/>
        </w:rPr>
        <w:t>group</w:t>
      </w:r>
      <w:r w:rsidRPr="007C0B9B">
        <w:rPr>
          <w:rFonts w:ascii="Book Antiqua" w:eastAsia="Book Antiqua" w:hAnsi="Book Antiqua"/>
          <w:color w:val="000000"/>
        </w:rPr>
        <w:t xml:space="preserve">, serum Spondin-2 expression was measured, and the receiver operating characteristic (ROC) curve was determined. Patients with cervical cancer were classified into high or low Spondin-2 </w:t>
      </w:r>
      <w:r w:rsidR="00594FC7" w:rsidRPr="007C0B9B">
        <w:rPr>
          <w:rFonts w:ascii="Book Antiqua" w:eastAsia="Book Antiqua" w:hAnsi="Book Antiqua"/>
          <w:color w:val="000000"/>
        </w:rPr>
        <w:t>group</w:t>
      </w:r>
      <w:r w:rsidR="00B55DDD" w:rsidRPr="007C0B9B">
        <w:rPr>
          <w:rFonts w:ascii="Book Antiqua" w:eastAsia="Book Antiqua" w:hAnsi="Book Antiqua"/>
          <w:color w:val="000000"/>
        </w:rPr>
        <w:t>s</w:t>
      </w:r>
      <w:r w:rsidR="00594FC7" w:rsidRPr="007C0B9B">
        <w:rPr>
          <w:rFonts w:ascii="Book Antiqua" w:eastAsia="Book Antiqua" w:hAnsi="Book Antiqua"/>
          <w:color w:val="000000"/>
        </w:rPr>
        <w:t xml:space="preserve"> </w:t>
      </w:r>
      <w:r w:rsidRPr="007C0B9B">
        <w:rPr>
          <w:rFonts w:ascii="Book Antiqua" w:eastAsia="Book Antiqua" w:hAnsi="Book Antiqua"/>
          <w:color w:val="000000"/>
        </w:rPr>
        <w:t>depending on the Spondin-2 threshold value used for diagnosing cervical cancer. Patient’s clinical data were collected to compare the clinicopathologic characteristics, immune cytokine levels, and prognosis of patients with varying Spondin-2 expression levels.</w:t>
      </w:r>
    </w:p>
    <w:p w14:paraId="254E5783" w14:textId="77777777" w:rsidR="00A77B3E" w:rsidRPr="007C0B9B" w:rsidRDefault="00A77B3E" w:rsidP="007C0B9B">
      <w:pPr>
        <w:adjustRightInd w:val="0"/>
        <w:snapToGrid w:val="0"/>
        <w:spacing w:line="360" w:lineRule="auto"/>
        <w:jc w:val="both"/>
        <w:rPr>
          <w:rFonts w:ascii="Book Antiqua" w:hAnsi="Book Antiqua"/>
        </w:rPr>
      </w:pPr>
    </w:p>
    <w:p w14:paraId="497FF54F"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RESULTS</w:t>
      </w:r>
    </w:p>
    <w:p w14:paraId="4CF2C4CB" w14:textId="56023050"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The expression level of serum Spondin-2 was significantly higher in the cervical cancer </w:t>
      </w:r>
      <w:r w:rsidR="00A6700C" w:rsidRPr="007C0B9B">
        <w:rPr>
          <w:rFonts w:ascii="Book Antiqua" w:eastAsia="Book Antiqua" w:hAnsi="Book Antiqua"/>
          <w:color w:val="000000"/>
        </w:rPr>
        <w:t xml:space="preserve">group </w:t>
      </w:r>
      <w:r w:rsidRPr="007C0B9B">
        <w:rPr>
          <w:rFonts w:ascii="Book Antiqua" w:eastAsia="Book Antiqua" w:hAnsi="Book Antiqua"/>
          <w:color w:val="000000"/>
        </w:rPr>
        <w:t xml:space="preserve">than in the benign and control </w:t>
      </w:r>
      <w:r w:rsidR="00A6700C" w:rsidRPr="007C0B9B">
        <w:rPr>
          <w:rFonts w:ascii="Book Antiqua" w:eastAsia="Book Antiqua" w:hAnsi="Book Antiqua"/>
          <w:color w:val="000000"/>
        </w:rPr>
        <w:t>group</w:t>
      </w:r>
      <w:r w:rsidRPr="007C0B9B">
        <w:rPr>
          <w:rFonts w:ascii="Book Antiqua" w:eastAsia="Book Antiqua" w:hAnsi="Book Antiqua"/>
          <w:color w:val="000000"/>
        </w:rPr>
        <w:t>s (</w:t>
      </w:r>
      <w:r w:rsidRPr="007C0B9B">
        <w:rPr>
          <w:rFonts w:ascii="Book Antiqua" w:eastAsia="Book Antiqua" w:hAnsi="Book Antiqua"/>
          <w:i/>
          <w:iCs/>
          <w:color w:val="000000"/>
        </w:rPr>
        <w:t>P</w:t>
      </w:r>
      <w:r w:rsidRPr="007C0B9B">
        <w:rPr>
          <w:rFonts w:ascii="Book Antiqua" w:eastAsia="Book Antiqua" w:hAnsi="Book Antiqua"/>
          <w:color w:val="000000"/>
        </w:rPr>
        <w:t xml:space="preserve"> &lt; 0.05). According to the ROC curve, the cutoff value of Spondin-2 used in the diagnosis of cervical carcinoma was 25.68 ± </w:t>
      </w:r>
      <w:r w:rsidRPr="007C0B9B">
        <w:rPr>
          <w:rFonts w:ascii="Book Antiqua" w:eastAsia="Book Antiqua" w:hAnsi="Book Antiqua"/>
          <w:color w:val="000000"/>
        </w:rPr>
        <w:lastRenderedPageBreak/>
        <w:t xml:space="preserve">7.11 </w:t>
      </w:r>
      <w:proofErr w:type="spellStart"/>
      <w:r w:rsidRPr="007C0B9B">
        <w:rPr>
          <w:rFonts w:ascii="Book Antiqua" w:eastAsia="Book Antiqua" w:hAnsi="Book Antiqua"/>
          <w:color w:val="000000"/>
        </w:rPr>
        <w:t>μg</w:t>
      </w:r>
      <w:proofErr w:type="spellEnd"/>
      <w:r w:rsidRPr="007C0B9B">
        <w:rPr>
          <w:rFonts w:ascii="Book Antiqua" w:eastAsia="Book Antiqua" w:hAnsi="Book Antiqua"/>
          <w:color w:val="000000"/>
        </w:rPr>
        <w:t xml:space="preserve">/L. The proportion of patients with Federation of Gynecology and Obstetrics stage III, nerve invasion, vascular invasion, and lymph node metastasis was higher in the high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xml:space="preserve"> &lt; 0.05). Interleukin-5 (IL-5) and IL-4 Levels were higher in the high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In contrast, IL-2 and tumor necrosis factor-α levels were lower in the high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xml:space="preserve"> &lt; 0.05). After 3 years of follow-up, progression-free survival and overall survival were significantly shorter in the high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&lt; 0.05).</w:t>
      </w:r>
    </w:p>
    <w:p w14:paraId="18748B92" w14:textId="77777777" w:rsidR="00A77B3E" w:rsidRPr="007C0B9B" w:rsidRDefault="00A77B3E" w:rsidP="007C0B9B">
      <w:pPr>
        <w:adjustRightInd w:val="0"/>
        <w:snapToGrid w:val="0"/>
        <w:spacing w:line="360" w:lineRule="auto"/>
        <w:jc w:val="both"/>
        <w:rPr>
          <w:rFonts w:ascii="Book Antiqua" w:hAnsi="Book Antiqua"/>
        </w:rPr>
      </w:pPr>
    </w:p>
    <w:p w14:paraId="4A1B2220"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CONCLUSION</w:t>
      </w:r>
    </w:p>
    <w:p w14:paraId="0DF90769"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The expression of serum Spondin-2 is upregulated in patients with cervical carcinoma and is related to tumor invasion and infiltration, antitumor immune response, and prognosis.</w:t>
      </w:r>
    </w:p>
    <w:p w14:paraId="259DFC32" w14:textId="77777777" w:rsidR="00A77B3E" w:rsidRPr="007C0B9B" w:rsidRDefault="00A77B3E" w:rsidP="007C0B9B">
      <w:pPr>
        <w:adjustRightInd w:val="0"/>
        <w:snapToGrid w:val="0"/>
        <w:spacing w:line="360" w:lineRule="auto"/>
        <w:jc w:val="both"/>
        <w:rPr>
          <w:rFonts w:ascii="Book Antiqua" w:hAnsi="Book Antiqua"/>
        </w:rPr>
      </w:pPr>
    </w:p>
    <w:p w14:paraId="38E0D4B8" w14:textId="0667C62D"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Key Words: </w:t>
      </w:r>
      <w:r w:rsidRPr="007C0B9B">
        <w:rPr>
          <w:rFonts w:ascii="Book Antiqua" w:eastAsia="Book Antiqua" w:hAnsi="Book Antiqua"/>
          <w:color w:val="000000"/>
        </w:rPr>
        <w:t>Cervical cancer;</w:t>
      </w:r>
      <w:r w:rsidR="00392456" w:rsidRPr="007C0B9B">
        <w:rPr>
          <w:rFonts w:ascii="Book Antiqua" w:eastAsia="Book Antiqua" w:hAnsi="Book Antiqua"/>
          <w:color w:val="000000"/>
        </w:rPr>
        <w:t xml:space="preserve"> </w:t>
      </w:r>
      <w:r w:rsidR="00606DE7" w:rsidRPr="007C0B9B">
        <w:rPr>
          <w:rFonts w:ascii="Book Antiqua" w:eastAsia="Book Antiqua" w:hAnsi="Book Antiqua"/>
          <w:color w:val="000000"/>
        </w:rPr>
        <w:t>Spondin-2</w:t>
      </w:r>
      <w:r w:rsidRPr="007C0B9B">
        <w:rPr>
          <w:rFonts w:ascii="Book Antiqua" w:eastAsia="Book Antiqua" w:hAnsi="Book Antiqua"/>
          <w:color w:val="000000"/>
        </w:rPr>
        <w:t>;</w:t>
      </w:r>
      <w:r w:rsidR="00392456" w:rsidRPr="007C0B9B">
        <w:rPr>
          <w:rFonts w:ascii="Book Antiqua" w:eastAsia="Book Antiqua" w:hAnsi="Book Antiqua"/>
          <w:color w:val="000000"/>
        </w:rPr>
        <w:t xml:space="preserve"> </w:t>
      </w:r>
      <w:r w:rsidRPr="007C0B9B">
        <w:rPr>
          <w:rFonts w:ascii="Book Antiqua" w:eastAsia="Book Antiqua" w:hAnsi="Book Antiqua"/>
          <w:color w:val="000000"/>
        </w:rPr>
        <w:t>Invasion and infiltration;</w:t>
      </w:r>
      <w:r w:rsidR="00392456" w:rsidRPr="007C0B9B">
        <w:rPr>
          <w:rFonts w:ascii="Book Antiqua" w:eastAsia="Book Antiqua" w:hAnsi="Book Antiqua"/>
          <w:color w:val="000000"/>
        </w:rPr>
        <w:t xml:space="preserve"> </w:t>
      </w:r>
      <w:r w:rsidRPr="007C0B9B">
        <w:rPr>
          <w:rFonts w:ascii="Book Antiqua" w:eastAsia="Book Antiqua" w:hAnsi="Book Antiqua"/>
          <w:color w:val="000000"/>
        </w:rPr>
        <w:t>Immune response;</w:t>
      </w:r>
      <w:r w:rsidR="00392456" w:rsidRPr="007C0B9B">
        <w:rPr>
          <w:rFonts w:ascii="Book Antiqua" w:eastAsia="Book Antiqua" w:hAnsi="Book Antiqua"/>
          <w:color w:val="000000"/>
        </w:rPr>
        <w:t xml:space="preserve"> </w:t>
      </w:r>
      <w:r w:rsidRPr="007C0B9B">
        <w:rPr>
          <w:rFonts w:ascii="Book Antiqua" w:eastAsia="Book Antiqua" w:hAnsi="Book Antiqua"/>
          <w:color w:val="000000"/>
        </w:rPr>
        <w:t>Prognosis;</w:t>
      </w:r>
      <w:r w:rsidR="00392456" w:rsidRPr="007C0B9B">
        <w:rPr>
          <w:rFonts w:ascii="Book Antiqua" w:eastAsia="Book Antiqua" w:hAnsi="Book Antiqua"/>
          <w:color w:val="000000"/>
        </w:rPr>
        <w:t xml:space="preserve"> </w:t>
      </w:r>
      <w:r w:rsidRPr="007C0B9B">
        <w:rPr>
          <w:rFonts w:ascii="Book Antiqua" w:eastAsia="Book Antiqua" w:hAnsi="Book Antiqua"/>
          <w:color w:val="000000"/>
        </w:rPr>
        <w:t>Malignant tumor</w:t>
      </w:r>
    </w:p>
    <w:p w14:paraId="244D666B" w14:textId="77777777" w:rsidR="00A77B3E" w:rsidRDefault="00A77B3E" w:rsidP="007C0B9B">
      <w:pPr>
        <w:adjustRightInd w:val="0"/>
        <w:snapToGrid w:val="0"/>
        <w:spacing w:line="360" w:lineRule="auto"/>
        <w:jc w:val="both"/>
        <w:rPr>
          <w:rFonts w:ascii="Book Antiqua" w:hAnsi="Book Antiqua"/>
          <w:lang w:eastAsia="zh-CN"/>
        </w:rPr>
      </w:pPr>
    </w:p>
    <w:p w14:paraId="5C547618" w14:textId="77777777" w:rsidR="00CC2B83" w:rsidRPr="00026CB8" w:rsidRDefault="00CC2B83" w:rsidP="00CC2B8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5C2A179" w14:textId="77777777" w:rsidR="00B32F18" w:rsidRPr="00CC2B83" w:rsidRDefault="00B32F18" w:rsidP="007C0B9B">
      <w:pPr>
        <w:adjustRightInd w:val="0"/>
        <w:snapToGrid w:val="0"/>
        <w:spacing w:line="360" w:lineRule="auto"/>
        <w:jc w:val="both"/>
        <w:rPr>
          <w:rFonts w:ascii="Book Antiqua" w:hAnsi="Book Antiqua"/>
          <w:lang w:eastAsia="zh-CN"/>
        </w:rPr>
      </w:pPr>
    </w:p>
    <w:p w14:paraId="24EF5F30" w14:textId="42FA0DF2" w:rsidR="00E530D6" w:rsidRPr="00D00B5E" w:rsidRDefault="00316DCF" w:rsidP="00E530D6">
      <w:pPr>
        <w:spacing w:line="360" w:lineRule="auto"/>
        <w:jc w:val="both"/>
        <w:rPr>
          <w:rFonts w:ascii="Book Antiqua" w:hAnsi="Book Antiqua" w:cs="Book Antiqua"/>
          <w:color w:val="000000"/>
          <w:lang w:eastAsia="zh-CN"/>
        </w:rPr>
      </w:pPr>
      <w:r w:rsidRPr="00316DCF">
        <w:rPr>
          <w:rFonts w:ascii="Book Antiqua" w:eastAsia="Book Antiqua" w:hAnsi="Book Antiqua"/>
          <w:b/>
          <w:color w:val="000000"/>
        </w:rPr>
        <w:t xml:space="preserve">Citation: </w:t>
      </w:r>
      <w:r w:rsidR="00455B3E" w:rsidRPr="007C0B9B">
        <w:rPr>
          <w:rFonts w:ascii="Book Antiqua" w:eastAsia="Book Antiqua" w:hAnsi="Book Antiqua"/>
          <w:color w:val="000000"/>
        </w:rPr>
        <w:t>Zhang L</w:t>
      </w:r>
      <w:r w:rsidR="00371B7F" w:rsidRPr="007C0B9B">
        <w:rPr>
          <w:rFonts w:ascii="Book Antiqua" w:eastAsia="Book Antiqua" w:hAnsi="Book Antiqua"/>
          <w:color w:val="000000"/>
        </w:rPr>
        <w:t>L</w:t>
      </w:r>
      <w:r w:rsidR="00455B3E" w:rsidRPr="007C0B9B">
        <w:rPr>
          <w:rFonts w:ascii="Book Antiqua" w:eastAsia="Book Antiqua" w:hAnsi="Book Antiqua"/>
          <w:color w:val="000000"/>
        </w:rPr>
        <w:t>, Lin S, Zhang Y, Yao D</w:t>
      </w:r>
      <w:r w:rsidR="00371B7F" w:rsidRPr="007C0B9B">
        <w:rPr>
          <w:rFonts w:ascii="Book Antiqua" w:eastAsia="Book Antiqua" w:hAnsi="Book Antiqua"/>
          <w:color w:val="000000"/>
        </w:rPr>
        <w:t>M</w:t>
      </w:r>
      <w:r w:rsidR="00455B3E" w:rsidRPr="007C0B9B">
        <w:rPr>
          <w:rFonts w:ascii="Book Antiqua" w:eastAsia="Book Antiqua" w:hAnsi="Book Antiqua"/>
          <w:color w:val="000000"/>
        </w:rPr>
        <w:t xml:space="preserve">, Du X. Serum Spondin-2 expression, tumor invasion, and antitumor immune response in patients with cervical cancer. </w:t>
      </w:r>
      <w:r w:rsidR="00455B3E" w:rsidRPr="007C0B9B">
        <w:rPr>
          <w:rFonts w:ascii="Book Antiqua" w:eastAsia="Book Antiqua" w:hAnsi="Book Antiqua"/>
          <w:i/>
          <w:iCs/>
          <w:color w:val="000000"/>
        </w:rPr>
        <w:t xml:space="preserve">World J </w:t>
      </w:r>
      <w:proofErr w:type="spellStart"/>
      <w:r w:rsidR="00455B3E" w:rsidRPr="007C0B9B">
        <w:rPr>
          <w:rFonts w:ascii="Book Antiqua" w:eastAsia="Book Antiqua" w:hAnsi="Book Antiqua"/>
          <w:i/>
          <w:iCs/>
          <w:color w:val="000000"/>
        </w:rPr>
        <w:t>Clin</w:t>
      </w:r>
      <w:proofErr w:type="spellEnd"/>
      <w:r w:rsidR="00455B3E" w:rsidRPr="007C0B9B">
        <w:rPr>
          <w:rFonts w:ascii="Book Antiqua" w:eastAsia="Book Antiqua" w:hAnsi="Book Antiqua"/>
          <w:i/>
          <w:iCs/>
          <w:color w:val="000000"/>
        </w:rPr>
        <w:t xml:space="preserve"> Cases</w:t>
      </w:r>
      <w:r w:rsidR="00455B3E" w:rsidRPr="007C0B9B">
        <w:rPr>
          <w:rFonts w:ascii="Book Antiqua" w:eastAsia="Book Antiqua" w:hAnsi="Book Antiqua"/>
          <w:color w:val="000000"/>
        </w:rPr>
        <w:t xml:space="preserve"> 2022;</w:t>
      </w:r>
      <w:r w:rsidR="00E530D6" w:rsidRPr="00D00B5E">
        <w:rPr>
          <w:rFonts w:ascii="Book Antiqua" w:eastAsia="Book Antiqua" w:hAnsi="Book Antiqua" w:cs="Book Antiqua"/>
          <w:color w:val="000000"/>
        </w:rPr>
        <w:t xml:space="preserve"> 10(3</w:t>
      </w:r>
      <w:r w:rsidR="00E530D6">
        <w:rPr>
          <w:rFonts w:ascii="Book Antiqua" w:hAnsi="Book Antiqua" w:cs="Book Antiqua" w:hint="eastAsia"/>
          <w:color w:val="000000"/>
          <w:lang w:eastAsia="zh-CN"/>
        </w:rPr>
        <w:t>6</w:t>
      </w:r>
      <w:r w:rsidR="00E530D6" w:rsidRPr="00D00B5E">
        <w:rPr>
          <w:rFonts w:ascii="Book Antiqua" w:eastAsia="Book Antiqua" w:hAnsi="Book Antiqua" w:cs="Book Antiqua"/>
          <w:color w:val="000000"/>
        </w:rPr>
        <w:t xml:space="preserve">): </w:t>
      </w:r>
      <w:r w:rsidR="00ED4E5E">
        <w:rPr>
          <w:rFonts w:ascii="Book Antiqua" w:hAnsi="Book Antiqua" w:cs="Book Antiqua" w:hint="eastAsia"/>
          <w:color w:val="000000"/>
          <w:lang w:eastAsia="zh-CN"/>
        </w:rPr>
        <w:t>13304</w:t>
      </w:r>
      <w:r w:rsidR="00E530D6" w:rsidRPr="00D00B5E">
        <w:rPr>
          <w:rFonts w:ascii="Book Antiqua" w:eastAsia="Book Antiqua" w:hAnsi="Book Antiqua" w:cs="Book Antiqua"/>
          <w:color w:val="000000"/>
        </w:rPr>
        <w:t>-</w:t>
      </w:r>
      <w:r w:rsidR="00ED4E5E">
        <w:rPr>
          <w:rFonts w:ascii="Book Antiqua" w:hAnsi="Book Antiqua" w:cs="Book Antiqua" w:hint="eastAsia"/>
          <w:color w:val="000000"/>
          <w:lang w:eastAsia="zh-CN"/>
        </w:rPr>
        <w:t>13312</w:t>
      </w:r>
    </w:p>
    <w:p w14:paraId="0E236DFC" w14:textId="1CFDBED8" w:rsidR="00E530D6" w:rsidRPr="00D00B5E" w:rsidRDefault="00E530D6" w:rsidP="00E530D6">
      <w:pPr>
        <w:spacing w:line="360" w:lineRule="auto"/>
        <w:jc w:val="both"/>
        <w:rPr>
          <w:rFonts w:ascii="Book Antiqua" w:hAnsi="Book Antiqua" w:cs="Book Antiqua"/>
          <w:color w:val="000000"/>
          <w:lang w:eastAsia="zh-CN"/>
        </w:rPr>
      </w:pPr>
      <w:r w:rsidRPr="00D00B5E">
        <w:rPr>
          <w:rFonts w:ascii="Book Antiqua" w:eastAsia="Book Antiqua" w:hAnsi="Book Antiqua" w:cs="Book Antiqua"/>
          <w:b/>
          <w:color w:val="000000"/>
        </w:rPr>
        <w:t xml:space="preserve">URL: </w:t>
      </w:r>
      <w:r w:rsidRPr="00D00B5E">
        <w:rPr>
          <w:rFonts w:ascii="Book Antiqua" w:eastAsia="Book Antiqua" w:hAnsi="Book Antiqua" w:cs="Book Antiqua"/>
          <w:color w:val="000000"/>
        </w:rPr>
        <w:t>https://www.wjgnet.com/2307-8960/full/v10/i3</w:t>
      </w:r>
      <w:r>
        <w:rPr>
          <w:rFonts w:ascii="Book Antiqua" w:hAnsi="Book Antiqua" w:cs="Book Antiqua" w:hint="eastAsia"/>
          <w:color w:val="000000"/>
          <w:lang w:eastAsia="zh-CN"/>
        </w:rPr>
        <w:t>6</w:t>
      </w:r>
      <w:r w:rsidRPr="00D00B5E">
        <w:rPr>
          <w:rFonts w:ascii="Book Antiqua" w:eastAsia="Book Antiqua" w:hAnsi="Book Antiqua" w:cs="Book Antiqua"/>
          <w:color w:val="000000"/>
        </w:rPr>
        <w:t>/</w:t>
      </w:r>
      <w:r w:rsidR="00ED4E5E">
        <w:rPr>
          <w:rFonts w:ascii="Book Antiqua" w:hAnsi="Book Antiqua" w:cs="Book Antiqua" w:hint="eastAsia"/>
          <w:color w:val="000000"/>
          <w:lang w:eastAsia="zh-CN"/>
        </w:rPr>
        <w:t>13304</w:t>
      </w:r>
      <w:r w:rsidRPr="00D00B5E">
        <w:rPr>
          <w:rFonts w:ascii="Book Antiqua" w:eastAsia="Book Antiqua" w:hAnsi="Book Antiqua" w:cs="Book Antiqua"/>
          <w:color w:val="000000"/>
        </w:rPr>
        <w:t>.htm</w:t>
      </w:r>
    </w:p>
    <w:p w14:paraId="485EECF7" w14:textId="07C9800C" w:rsidR="00A77B3E" w:rsidRPr="007C0B9B" w:rsidRDefault="00E530D6" w:rsidP="00E530D6">
      <w:pPr>
        <w:adjustRightInd w:val="0"/>
        <w:snapToGrid w:val="0"/>
        <w:spacing w:line="360" w:lineRule="auto"/>
        <w:jc w:val="both"/>
        <w:rPr>
          <w:rFonts w:ascii="Book Antiqua" w:hAnsi="Book Antiqua"/>
        </w:rPr>
      </w:pPr>
      <w:r w:rsidRPr="00D00B5E">
        <w:rPr>
          <w:rFonts w:ascii="Book Antiqua" w:eastAsia="Book Antiqua" w:hAnsi="Book Antiqua" w:cs="Book Antiqua"/>
          <w:b/>
          <w:color w:val="000000"/>
        </w:rPr>
        <w:t xml:space="preserve">DOI: </w:t>
      </w:r>
      <w:r w:rsidRPr="00D00B5E">
        <w:rPr>
          <w:rFonts w:ascii="Book Antiqua" w:eastAsia="Book Antiqua" w:hAnsi="Book Antiqua" w:cs="Book Antiqua"/>
          <w:color w:val="000000"/>
        </w:rPr>
        <w:t>https://dx.doi.org/10.12998/wjcc.v10.i3</w:t>
      </w:r>
      <w:r>
        <w:rPr>
          <w:rFonts w:ascii="Book Antiqua" w:hAnsi="Book Antiqua" w:cs="Book Antiqua" w:hint="eastAsia"/>
          <w:color w:val="000000"/>
          <w:lang w:eastAsia="zh-CN"/>
        </w:rPr>
        <w:t>6</w:t>
      </w:r>
      <w:r w:rsidRPr="00D00B5E">
        <w:rPr>
          <w:rFonts w:ascii="Book Antiqua" w:eastAsia="Book Antiqua" w:hAnsi="Book Antiqua" w:cs="Book Antiqua"/>
          <w:color w:val="000000"/>
        </w:rPr>
        <w:t>.</w:t>
      </w:r>
      <w:r w:rsidR="00ED4E5E">
        <w:rPr>
          <w:rFonts w:ascii="Book Antiqua" w:hAnsi="Book Antiqua" w:cs="Book Antiqua" w:hint="eastAsia"/>
          <w:color w:val="000000"/>
          <w:lang w:eastAsia="zh-CN"/>
        </w:rPr>
        <w:t>13304</w:t>
      </w:r>
    </w:p>
    <w:p w14:paraId="7CB58E40" w14:textId="77777777" w:rsidR="00A77B3E" w:rsidRPr="007C0B9B" w:rsidRDefault="00A77B3E" w:rsidP="007C0B9B">
      <w:pPr>
        <w:adjustRightInd w:val="0"/>
        <w:snapToGrid w:val="0"/>
        <w:spacing w:line="360" w:lineRule="auto"/>
        <w:jc w:val="both"/>
        <w:rPr>
          <w:rFonts w:ascii="Book Antiqua" w:hAnsi="Book Antiqua"/>
        </w:rPr>
      </w:pPr>
    </w:p>
    <w:p w14:paraId="5C1F3B3D"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Core Tip: </w:t>
      </w:r>
      <w:r w:rsidRPr="007C0B9B">
        <w:rPr>
          <w:rFonts w:ascii="Book Antiqua" w:eastAsia="Book Antiqua" w:hAnsi="Book Antiqua"/>
          <w:color w:val="000000"/>
        </w:rPr>
        <w:t xml:space="preserve">We measured the expression of Spondin-2 in the sera of patients with cervical cancer, patients with benign uterine lesions, and healthy individuals. Spondin-2 </w:t>
      </w:r>
      <w:r w:rsidRPr="007C0B9B">
        <w:rPr>
          <w:rFonts w:ascii="Book Antiqua" w:eastAsia="Book Antiqua" w:hAnsi="Book Antiqua"/>
          <w:color w:val="000000"/>
        </w:rPr>
        <w:lastRenderedPageBreak/>
        <w:t>expression was regulated in patients with cervical cancer and was related to tumor invasion and infiltration, antitumor immune response, and prognosis.</w:t>
      </w:r>
    </w:p>
    <w:p w14:paraId="5DECE5E2" w14:textId="77777777" w:rsidR="00B32F18" w:rsidRDefault="00B32F18">
      <w:pPr>
        <w:rPr>
          <w:rFonts w:ascii="Book Antiqua" w:hAnsi="Book Antiqua"/>
        </w:rPr>
      </w:pPr>
      <w:r>
        <w:rPr>
          <w:rFonts w:ascii="Book Antiqua" w:hAnsi="Book Antiqua"/>
        </w:rPr>
        <w:br w:type="page"/>
      </w:r>
    </w:p>
    <w:p w14:paraId="1F08DCB5" w14:textId="16B94DDD"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aps/>
          <w:color w:val="000000"/>
          <w:u w:val="single"/>
        </w:rPr>
        <w:lastRenderedPageBreak/>
        <w:t>INTRODUCTION</w:t>
      </w:r>
    </w:p>
    <w:p w14:paraId="3207CE11" w14:textId="6600F251"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Cervical cancer is a gynecological malignancy that is common in middle-aged and older patients; in recent years, it reportedly occurs in younger patients and seriously endangers patient </w:t>
      </w:r>
      <w:proofErr w:type="gramStart"/>
      <w:r w:rsidRPr="007C0B9B">
        <w:rPr>
          <w:rFonts w:ascii="Book Antiqua" w:eastAsia="Book Antiqua" w:hAnsi="Book Antiqua"/>
          <w:color w:val="000000"/>
        </w:rPr>
        <w:t>health</w:t>
      </w:r>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1]</w:t>
      </w:r>
      <w:r w:rsidRPr="007C0B9B">
        <w:rPr>
          <w:rFonts w:ascii="Book Antiqua" w:eastAsia="Book Antiqua" w:hAnsi="Book Antiqua"/>
          <w:color w:val="000000"/>
        </w:rPr>
        <w:t>. Relevant studies have indicated that cervical cancer is associated with high-risk human papillomavirus (HPV) infection and abnormal immune response, among other factors</w:t>
      </w:r>
      <w:r w:rsidR="00C140B3" w:rsidRPr="007C0B9B">
        <w:rPr>
          <w:rFonts w:ascii="Book Antiqua" w:eastAsia="Book Antiqua" w:hAnsi="Book Antiqua"/>
          <w:color w:val="000000"/>
        </w:rPr>
        <w:t xml:space="preserve">. </w:t>
      </w:r>
      <w:r w:rsidRPr="007C0B9B">
        <w:rPr>
          <w:rFonts w:ascii="Book Antiqua" w:eastAsia="Book Antiqua" w:hAnsi="Book Antiqua"/>
          <w:color w:val="000000"/>
        </w:rPr>
        <w:t xml:space="preserve">Among these, an abnormal immune response may not be helpful in HPV clearance. It may interfere with the body’s normal antitumor response, leading to invasion and metastasis, which are important factors that cause high </w:t>
      </w:r>
      <w:proofErr w:type="gramStart"/>
      <w:r w:rsidRPr="007C0B9B">
        <w:rPr>
          <w:rFonts w:ascii="Book Antiqua" w:eastAsia="Book Antiqua" w:hAnsi="Book Antiqua"/>
          <w:color w:val="000000"/>
        </w:rPr>
        <w:t>mortality</w:t>
      </w:r>
      <w:bookmarkStart w:id="0" w:name="OLE_LINK1"/>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2</w:t>
      </w:r>
      <w:r w:rsidR="00A536E4" w:rsidRPr="007C0B9B">
        <w:rPr>
          <w:rFonts w:ascii="Book Antiqua" w:eastAsia="Book Antiqua" w:hAnsi="Book Antiqua"/>
          <w:color w:val="000000"/>
          <w:vertAlign w:val="superscript"/>
        </w:rPr>
        <w:t>,</w:t>
      </w:r>
      <w:r w:rsidRPr="007C0B9B">
        <w:rPr>
          <w:rFonts w:ascii="Book Antiqua" w:eastAsia="Book Antiqua" w:hAnsi="Book Antiqua"/>
          <w:color w:val="000000"/>
          <w:vertAlign w:val="superscript"/>
        </w:rPr>
        <w:t>3]</w:t>
      </w:r>
      <w:bookmarkEnd w:id="0"/>
      <w:r w:rsidRPr="007C0B9B">
        <w:rPr>
          <w:rFonts w:ascii="Book Antiqua" w:eastAsia="Book Antiqua" w:hAnsi="Book Antiqua"/>
          <w:color w:val="000000"/>
        </w:rPr>
        <w:t xml:space="preserve">. Molecular markers that significantly affect the immune function in cervical cancer should be identified from the molecular biology perspective to guide patients’ treatment and increase their survival. Spondin-2 is an extracellular matrix protein that plays a role in innate and acquired immune responses. Its expression is currently associated with the development and spreading of several malignant tumors, including prostate </w:t>
      </w:r>
      <w:bookmarkStart w:id="1" w:name="OLE_LINK2"/>
      <w:proofErr w:type="gramStart"/>
      <w:r w:rsidRPr="007C0B9B">
        <w:rPr>
          <w:rFonts w:ascii="Book Antiqua" w:eastAsia="Book Antiqua" w:hAnsi="Book Antiqua"/>
          <w:color w:val="000000"/>
        </w:rPr>
        <w:t>cancer</w:t>
      </w:r>
      <w:bookmarkEnd w:id="1"/>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4]</w:t>
      </w:r>
      <w:r w:rsidRPr="007C0B9B">
        <w:rPr>
          <w:rFonts w:ascii="Book Antiqua" w:eastAsia="Book Antiqua" w:hAnsi="Book Antiqua"/>
          <w:color w:val="000000"/>
        </w:rPr>
        <w:t> and lung adenocarcinoma</w:t>
      </w:r>
      <w:r w:rsidRPr="007C0B9B">
        <w:rPr>
          <w:rFonts w:ascii="Book Antiqua" w:eastAsia="Book Antiqua" w:hAnsi="Book Antiqua"/>
          <w:color w:val="000000"/>
          <w:vertAlign w:val="superscript"/>
        </w:rPr>
        <w:t>[5]</w:t>
      </w:r>
      <w:r w:rsidRPr="007C0B9B">
        <w:rPr>
          <w:rFonts w:ascii="Book Antiqua" w:eastAsia="Book Antiqua" w:hAnsi="Book Antiqua"/>
          <w:color w:val="000000"/>
        </w:rPr>
        <w:t>. This study aimed to examine the association between serum Spondin-2 expression, tumor invasion and infiltration, and immune response in patients with cervical cancer to provide a theoretical basis for clinical practice.</w:t>
      </w:r>
    </w:p>
    <w:p w14:paraId="7079327F" w14:textId="77777777" w:rsidR="00A77B3E" w:rsidRPr="007C0B9B" w:rsidRDefault="00A77B3E" w:rsidP="007C0B9B">
      <w:pPr>
        <w:adjustRightInd w:val="0"/>
        <w:snapToGrid w:val="0"/>
        <w:spacing w:line="360" w:lineRule="auto"/>
        <w:jc w:val="both"/>
        <w:rPr>
          <w:rFonts w:ascii="Book Antiqua" w:hAnsi="Book Antiqua"/>
        </w:rPr>
      </w:pPr>
    </w:p>
    <w:p w14:paraId="7493278C"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aps/>
          <w:color w:val="000000"/>
          <w:u w:val="single"/>
        </w:rPr>
        <w:t>MATERIALS AND METHODS</w:t>
      </w:r>
    </w:p>
    <w:p w14:paraId="4C6117F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General information</w:t>
      </w:r>
    </w:p>
    <w:p w14:paraId="43E19DDF" w14:textId="13FE44BD" w:rsidR="00A77B3E" w:rsidRPr="007C0B9B" w:rsidRDefault="00455B3E" w:rsidP="007C0B9B">
      <w:pPr>
        <w:adjustRightInd w:val="0"/>
        <w:snapToGrid w:val="0"/>
        <w:spacing w:line="360" w:lineRule="auto"/>
        <w:jc w:val="both"/>
        <w:rPr>
          <w:rFonts w:ascii="Book Antiqua" w:eastAsia="Book Antiqua" w:hAnsi="Book Antiqua"/>
          <w:color w:val="000000"/>
        </w:rPr>
      </w:pPr>
      <w:r w:rsidRPr="007C0B9B">
        <w:rPr>
          <w:rFonts w:ascii="Book Antiqua" w:eastAsia="Book Antiqua" w:hAnsi="Book Antiqua"/>
          <w:color w:val="000000"/>
        </w:rPr>
        <w:t>We enrolled 147 patients with cervical cancer who were admitted to our hospital between January 2019 and August 2019 for this study. Inclusion criteria included patients</w:t>
      </w:r>
      <w:r w:rsidR="00C54620">
        <w:rPr>
          <w:rFonts w:ascii="Book Antiqua" w:hAnsi="Book Antiqua" w:hint="eastAsia"/>
          <w:color w:val="000000"/>
          <w:lang w:eastAsia="zh-CN"/>
        </w:rPr>
        <w:t>:</w:t>
      </w:r>
      <w:r w:rsidRPr="007C0B9B">
        <w:rPr>
          <w:rFonts w:ascii="Book Antiqua" w:eastAsia="Book Antiqua" w:hAnsi="Book Antiqua"/>
          <w:color w:val="000000"/>
        </w:rPr>
        <w:t xml:space="preserve"> </w:t>
      </w:r>
      <w:bookmarkStart w:id="2" w:name="_GoBack"/>
      <w:r w:rsidRPr="007C0B9B">
        <w:rPr>
          <w:rFonts w:ascii="Book Antiqua" w:eastAsia="Book Antiqua" w:hAnsi="Book Antiqua"/>
          <w:color w:val="000000"/>
        </w:rPr>
        <w:t xml:space="preserve">(1) </w:t>
      </w:r>
      <w:r w:rsidR="0006076F">
        <w:rPr>
          <w:rFonts w:ascii="Book Antiqua" w:hAnsi="Book Antiqua" w:hint="eastAsia"/>
          <w:color w:val="000000"/>
          <w:lang w:eastAsia="zh-CN"/>
        </w:rPr>
        <w:t>D</w:t>
      </w:r>
      <w:r w:rsidRPr="007C0B9B">
        <w:rPr>
          <w:rFonts w:ascii="Book Antiqua" w:eastAsia="Book Antiqua" w:hAnsi="Book Antiqua"/>
          <w:color w:val="000000"/>
        </w:rPr>
        <w:t>iagnosed with cervical cancer by postoperative pathological examination according to the clinical pra</w:t>
      </w:r>
      <w:bookmarkEnd w:id="2"/>
      <w:r w:rsidRPr="007C0B9B">
        <w:rPr>
          <w:rFonts w:ascii="Book Antiqua" w:eastAsia="Book Antiqua" w:hAnsi="Book Antiqua"/>
          <w:color w:val="000000"/>
        </w:rPr>
        <w:t>ctice guidelines for cervical cancer proposed by the National Comprehensive Cancer Network in 2019</w:t>
      </w:r>
      <w:r w:rsidRPr="007C0B9B">
        <w:rPr>
          <w:rFonts w:ascii="Book Antiqua" w:eastAsia="Book Antiqua" w:hAnsi="Book Antiqua"/>
          <w:color w:val="000000"/>
          <w:vertAlign w:val="superscript"/>
        </w:rPr>
        <w:t>[6]</w:t>
      </w:r>
      <w:r w:rsidRPr="007C0B9B">
        <w:rPr>
          <w:rFonts w:ascii="Book Antiqua" w:eastAsia="Book Antiqua" w:hAnsi="Book Antiqua"/>
          <w:color w:val="000000"/>
        </w:rPr>
        <w:t>; (2) aged ≥18 years; (3) with serum samples obtained preoperatively; </w:t>
      </w:r>
      <w:r w:rsidR="00185F0D" w:rsidRPr="007C0B9B">
        <w:rPr>
          <w:rFonts w:ascii="Book Antiqua" w:eastAsia="Book Antiqua" w:hAnsi="Book Antiqua"/>
          <w:color w:val="000000"/>
        </w:rPr>
        <w:t xml:space="preserve">and </w:t>
      </w:r>
      <w:r w:rsidRPr="007C0B9B">
        <w:rPr>
          <w:rFonts w:ascii="Book Antiqua" w:eastAsia="Book Antiqua" w:hAnsi="Book Antiqua"/>
          <w:color w:val="000000"/>
        </w:rPr>
        <w:t>(4) who signed an informed consent form. Exclusion criteria included patients</w:t>
      </w:r>
      <w:r w:rsidR="00C54620">
        <w:rPr>
          <w:rFonts w:ascii="Book Antiqua" w:hAnsi="Book Antiqua" w:hint="eastAsia"/>
          <w:color w:val="000000"/>
          <w:lang w:eastAsia="zh-CN"/>
        </w:rPr>
        <w:t>:</w:t>
      </w:r>
      <w:r w:rsidRPr="007C0B9B">
        <w:rPr>
          <w:rFonts w:ascii="Book Antiqua" w:eastAsia="Book Antiqua" w:hAnsi="Book Antiqua"/>
          <w:color w:val="000000"/>
        </w:rPr>
        <w:t xml:space="preserve"> (1) </w:t>
      </w:r>
      <w:r w:rsidR="0006076F">
        <w:rPr>
          <w:rFonts w:ascii="Book Antiqua" w:hAnsi="Book Antiqua" w:hint="eastAsia"/>
          <w:color w:val="000000"/>
          <w:lang w:eastAsia="zh-CN"/>
        </w:rPr>
        <w:t>W</w:t>
      </w:r>
      <w:r w:rsidRPr="007C0B9B">
        <w:rPr>
          <w:rFonts w:ascii="Book Antiqua" w:eastAsia="Book Antiqua" w:hAnsi="Book Antiqua"/>
          <w:color w:val="000000"/>
        </w:rPr>
        <w:t xml:space="preserve">ho did not receive chemoradiotherapy or antitumor treatment prior to the study enrollment; </w:t>
      </w:r>
      <w:proofErr w:type="gramStart"/>
      <w:r w:rsidRPr="007C0B9B">
        <w:rPr>
          <w:rFonts w:ascii="Book Antiqua" w:eastAsia="Book Antiqua" w:hAnsi="Book Antiqua"/>
          <w:color w:val="000000"/>
        </w:rPr>
        <w:t>(2) who</w:t>
      </w:r>
      <w:proofErr w:type="gramEnd"/>
      <w:r w:rsidRPr="007C0B9B">
        <w:rPr>
          <w:rFonts w:ascii="Book Antiqua" w:eastAsia="Book Antiqua" w:hAnsi="Book Antiqua"/>
          <w:color w:val="000000"/>
        </w:rPr>
        <w:t xml:space="preserve"> developed endometriosis, uterine fibroids, or other serious uterine lesions along with cervical cancer; (3) with other </w:t>
      </w:r>
      <w:r w:rsidRPr="007C0B9B">
        <w:rPr>
          <w:rFonts w:ascii="Book Antiqua" w:eastAsia="Book Antiqua" w:hAnsi="Book Antiqua"/>
          <w:color w:val="000000"/>
        </w:rPr>
        <w:lastRenderedPageBreak/>
        <w:t xml:space="preserve">primary malignant tumors, immune system abnormalities, liver and kidney decompensation, or serious infection; and (4) with incomplete clinical data and follow-up data. Additionally, 92 patients with benign uterine disease and 86 healthy individuals were enrolled into the benign and control </w:t>
      </w:r>
      <w:r w:rsidR="00BE574A" w:rsidRPr="007C0B9B">
        <w:rPr>
          <w:rFonts w:ascii="Book Antiqua" w:eastAsia="Book Antiqua" w:hAnsi="Book Antiqua"/>
          <w:color w:val="000000"/>
        </w:rPr>
        <w:t>group</w:t>
      </w:r>
      <w:r w:rsidRPr="007C0B9B">
        <w:rPr>
          <w:rFonts w:ascii="Book Antiqua" w:eastAsia="Book Antiqua" w:hAnsi="Book Antiqua"/>
          <w:color w:val="000000"/>
        </w:rPr>
        <w:t xml:space="preserve">s, respectively. Patients in the cervical cancer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were aged 37–69 (51.62 ± 5.87) years; had a body mass index (BMI) of 19–25 (22.75 ± 1.63) kg/m</w:t>
      </w:r>
      <w:r w:rsidRPr="007C0B9B">
        <w:rPr>
          <w:rFonts w:ascii="Book Antiqua" w:eastAsia="Book Antiqua" w:hAnsi="Book Antiqua"/>
          <w:color w:val="000000"/>
          <w:vertAlign w:val="superscript"/>
        </w:rPr>
        <w:t>2</w:t>
      </w:r>
      <w:r w:rsidRPr="007C0B9B">
        <w:rPr>
          <w:rFonts w:ascii="Book Antiqua" w:eastAsia="Book Antiqua" w:hAnsi="Book Antiqua"/>
          <w:color w:val="000000"/>
        </w:rPr>
        <w:t xml:space="preserve">; had a disease duration of 1–3 (2.17 ± 0.65) years; had the following pathological types: squamous cell carcinoma in 101 cases, adenocarcinoma in 25 cases, and </w:t>
      </w:r>
      <w:proofErr w:type="spellStart"/>
      <w:r w:rsidRPr="007C0B9B">
        <w:rPr>
          <w:rFonts w:ascii="Book Antiqua" w:eastAsia="Book Antiqua" w:hAnsi="Book Antiqua"/>
          <w:color w:val="000000"/>
        </w:rPr>
        <w:t>adenosquamous</w:t>
      </w:r>
      <w:proofErr w:type="spellEnd"/>
      <w:r w:rsidRPr="007C0B9B">
        <w:rPr>
          <w:rFonts w:ascii="Book Antiqua" w:eastAsia="Book Antiqua" w:hAnsi="Book Antiqua"/>
          <w:color w:val="000000"/>
        </w:rPr>
        <w:t xml:space="preserve"> carcinoma in 21 cases; had the following Federation of Gynecology and Obstetrics (FIGO)</w:t>
      </w:r>
      <w:r w:rsidRPr="007C0B9B">
        <w:rPr>
          <w:rFonts w:ascii="Book Antiqua" w:eastAsia="Book Antiqua" w:hAnsi="Book Antiqua"/>
          <w:color w:val="000000"/>
          <w:vertAlign w:val="superscript"/>
        </w:rPr>
        <w:t>[7]</w:t>
      </w:r>
      <w:r w:rsidRPr="007C0B9B">
        <w:rPr>
          <w:rFonts w:ascii="Book Antiqua" w:eastAsia="Book Antiqua" w:hAnsi="Book Antiqua"/>
          <w:color w:val="000000"/>
        </w:rPr>
        <w:t xml:space="preserve"> stages: stage I in 42 cases, stage II in 49 cases, and stage III in 56 cases; had nerve invasion in 92 cases and no nerve invasion in 55 cases; had vascular invasion in 69 cases and no vascular invasion in 78 cases; and had lymph node metastasis in 87 cases and no lymph node metastasis in 60 cases. Patients in the benign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were aged 40–65 (51.12 ± 6.21) years; had a BMI of 19–25 (22.61 ± 1.82) kg/m</w:t>
      </w:r>
      <w:r w:rsidRPr="007C0B9B">
        <w:rPr>
          <w:rFonts w:ascii="Book Antiqua" w:eastAsia="Book Antiqua" w:hAnsi="Book Antiqua"/>
          <w:color w:val="000000"/>
          <w:vertAlign w:val="superscript"/>
        </w:rPr>
        <w:t>2</w:t>
      </w:r>
      <w:r w:rsidRPr="007C0B9B">
        <w:rPr>
          <w:rFonts w:ascii="Book Antiqua" w:eastAsia="Book Antiqua" w:hAnsi="Book Antiqua"/>
          <w:color w:val="000000"/>
        </w:rPr>
        <w:t>; had a disease duration of 1–3 (2.24 ± 0.59) years; and developed endometriosis in 42 cases, uterine fibroids in 36 cases, and adenomyosis in 14 cases. Patients in the control group were 35–65 (52.04 ± 5.48) years and had a BMI of 20–25 (22.84 ± 1.59) kg/m</w:t>
      </w:r>
      <w:r w:rsidRPr="007C0B9B">
        <w:rPr>
          <w:rFonts w:ascii="Book Antiqua" w:eastAsia="Book Antiqua" w:hAnsi="Book Antiqua"/>
          <w:color w:val="000000"/>
          <w:vertAlign w:val="superscript"/>
        </w:rPr>
        <w:t>2</w:t>
      </w:r>
      <w:r w:rsidRPr="007C0B9B">
        <w:rPr>
          <w:rFonts w:ascii="Book Antiqua" w:eastAsia="Book Antiqua" w:hAnsi="Book Antiqua"/>
          <w:color w:val="000000"/>
        </w:rPr>
        <w:t>. Among the three groups, no signiﬁcant differences were observed in age or BMI (</w:t>
      </w:r>
      <w:r w:rsidRPr="007C0B9B">
        <w:rPr>
          <w:rFonts w:ascii="Book Antiqua" w:eastAsia="Book Antiqua" w:hAnsi="Book Antiqua"/>
          <w:i/>
          <w:iCs/>
          <w:color w:val="000000"/>
        </w:rPr>
        <w:t>P</w:t>
      </w:r>
      <w:r w:rsidRPr="007C0B9B">
        <w:rPr>
          <w:rFonts w:ascii="Book Antiqua" w:eastAsia="Book Antiqua" w:hAnsi="Book Antiqua"/>
          <w:color w:val="000000"/>
        </w:rPr>
        <w:t> &gt; 0.05).</w:t>
      </w:r>
    </w:p>
    <w:p w14:paraId="0C4CA32F" w14:textId="77777777" w:rsidR="00B21C85" w:rsidRPr="007C0B9B" w:rsidRDefault="00B21C85" w:rsidP="007C0B9B">
      <w:pPr>
        <w:adjustRightInd w:val="0"/>
        <w:snapToGrid w:val="0"/>
        <w:spacing w:line="360" w:lineRule="auto"/>
        <w:jc w:val="both"/>
        <w:rPr>
          <w:rFonts w:ascii="Book Antiqua" w:hAnsi="Book Antiqua"/>
        </w:rPr>
      </w:pPr>
    </w:p>
    <w:p w14:paraId="41725BDD"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Method</w:t>
      </w:r>
    </w:p>
    <w:p w14:paraId="666106C1" w14:textId="77777777" w:rsidR="007A41FF" w:rsidRPr="007C0B9B" w:rsidRDefault="00455B3E" w:rsidP="007C0B9B">
      <w:pPr>
        <w:adjustRightInd w:val="0"/>
        <w:snapToGrid w:val="0"/>
        <w:spacing w:line="360" w:lineRule="auto"/>
        <w:jc w:val="both"/>
        <w:rPr>
          <w:rFonts w:ascii="Book Antiqua" w:eastAsia="Book Antiqua" w:hAnsi="Book Antiqua"/>
          <w:color w:val="000000"/>
        </w:rPr>
      </w:pPr>
      <w:r w:rsidRPr="007C0B9B">
        <w:rPr>
          <w:rFonts w:ascii="Book Antiqua" w:eastAsia="Book Antiqua" w:hAnsi="Book Antiqua"/>
          <w:color w:val="000000"/>
        </w:rPr>
        <w:t xml:space="preserve">Detection of serum Spondin-2 and immune cytokine levels: Before surgery, blood samples were collected and centrifuged at 3,000 rpm for 10 min to separate the upper serum. An enzyme-linked immunosorbent assay was used to determine the serum levels of Spondin-2, interleukin (IL)-2, IL-4, tumor necrosis factor (TNF-α), and IL-5. The human factor antibody was added to approximately 100 </w:t>
      </w:r>
      <w:proofErr w:type="spellStart"/>
      <w:r w:rsidRPr="007C0B9B">
        <w:rPr>
          <w:rFonts w:ascii="Book Antiqua" w:eastAsia="Book Antiqua" w:hAnsi="Book Antiqua"/>
          <w:color w:val="000000"/>
        </w:rPr>
        <w:t>μL</w:t>
      </w:r>
      <w:proofErr w:type="spellEnd"/>
      <w:r w:rsidRPr="007C0B9B">
        <w:rPr>
          <w:rFonts w:ascii="Book Antiqua" w:eastAsia="Book Antiqua" w:hAnsi="Book Antiqua"/>
          <w:color w:val="000000"/>
        </w:rPr>
        <w:t xml:space="preserve"> of the standard samples and 100 </w:t>
      </w:r>
      <w:proofErr w:type="spellStart"/>
      <w:r w:rsidRPr="007C0B9B">
        <w:rPr>
          <w:rFonts w:ascii="Book Antiqua" w:eastAsia="Book Antiqua" w:hAnsi="Book Antiqua"/>
          <w:color w:val="000000"/>
        </w:rPr>
        <w:t>μL</w:t>
      </w:r>
      <w:proofErr w:type="spellEnd"/>
      <w:r w:rsidRPr="007C0B9B">
        <w:rPr>
          <w:rFonts w:ascii="Book Antiqua" w:eastAsia="Book Antiqua" w:hAnsi="Book Antiqua"/>
          <w:color w:val="000000"/>
        </w:rPr>
        <w:t xml:space="preserve"> of the test samples, and the reaction was performed at 37 °C for 90 min. After the reaction was completed, horseradish peroxidase enzyme was added to each well and incubated at 37 °C for 30 min, followed by the addition of substrate solution and the termination of the reaction. The optical density values were measured at 450 </w:t>
      </w:r>
      <w:r w:rsidRPr="007C0B9B">
        <w:rPr>
          <w:rFonts w:ascii="Book Antiqua" w:eastAsia="Book Antiqua" w:hAnsi="Book Antiqua"/>
          <w:color w:val="000000"/>
        </w:rPr>
        <w:lastRenderedPageBreak/>
        <w:t>nm using a microplate reader, and the factor levels to be measured were compared using the standard curve.</w:t>
      </w:r>
    </w:p>
    <w:p w14:paraId="3B916115" w14:textId="5EE43E60" w:rsidR="00FD4B2C" w:rsidRPr="007C0B9B" w:rsidRDefault="00455B3E" w:rsidP="007C0B9B">
      <w:pPr>
        <w:adjustRightInd w:val="0"/>
        <w:snapToGrid w:val="0"/>
        <w:spacing w:line="360" w:lineRule="auto"/>
        <w:ind w:firstLineChars="100" w:firstLine="240"/>
        <w:jc w:val="both"/>
        <w:rPr>
          <w:rFonts w:ascii="Book Antiqua" w:hAnsi="Book Antiqua"/>
        </w:rPr>
      </w:pPr>
      <w:r w:rsidRPr="007C0B9B">
        <w:rPr>
          <w:rFonts w:ascii="Book Antiqua" w:eastAsia="Book Antiqua" w:hAnsi="Book Antiqua"/>
          <w:color w:val="000000"/>
        </w:rPr>
        <w:t xml:space="preserve">All patients with cervical cancer underwent extensive hysterectomy and bilateral pelvic lymphadenectomy. Their clinicopathological data, including pathological type, FIGO stage, nerve invasion, vascular invasion, and lymph node metastasis, were collected. A receiver operating characteristic (ROC) curve was used to analyze the cutoff value for serum Spondin-2 Levels used in the diagnosis of cervical cancer, and the patients were divided into high Spondin-2 and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s to analyze the differences in the clinicopathological characteristics of patients with different expression levels. </w:t>
      </w:r>
    </w:p>
    <w:p w14:paraId="35A7A6C7" w14:textId="53463B31" w:rsidR="00A77B3E" w:rsidRPr="007C0B9B" w:rsidRDefault="00455B3E" w:rsidP="007C0B9B">
      <w:pPr>
        <w:adjustRightInd w:val="0"/>
        <w:snapToGrid w:val="0"/>
        <w:spacing w:line="360" w:lineRule="auto"/>
        <w:ind w:firstLineChars="100" w:firstLine="240"/>
        <w:jc w:val="both"/>
        <w:rPr>
          <w:rFonts w:ascii="Book Antiqua" w:eastAsia="Book Antiqua" w:hAnsi="Book Antiqua"/>
          <w:color w:val="000000"/>
        </w:rPr>
      </w:pPr>
      <w:r w:rsidRPr="007C0B9B">
        <w:rPr>
          <w:rFonts w:ascii="Book Antiqua" w:eastAsia="Book Antiqua" w:hAnsi="Book Antiqua"/>
          <w:color w:val="000000"/>
        </w:rPr>
        <w:t xml:space="preserve">Follow-up: The patients were followed up every 3 </w:t>
      </w:r>
      <w:proofErr w:type="spellStart"/>
      <w:r w:rsidRPr="007C0B9B">
        <w:rPr>
          <w:rFonts w:ascii="Book Antiqua" w:eastAsia="Book Antiqua" w:hAnsi="Book Antiqua"/>
          <w:color w:val="000000"/>
        </w:rPr>
        <w:t>mo</w:t>
      </w:r>
      <w:proofErr w:type="spellEnd"/>
      <w:r w:rsidRPr="007C0B9B">
        <w:rPr>
          <w:rFonts w:ascii="Book Antiqua" w:eastAsia="Book Antiqua" w:hAnsi="Book Antiqua"/>
          <w:color w:val="000000"/>
        </w:rPr>
        <w:t xml:space="preserve"> until July 30, 2022 or death. Progression-free survival (PFS) and overall survival (OS) were assessed. PFS was defined as the time until confirmed tumor recurrence or metastasis, whereas OS was defined as the time until confirmed death. </w:t>
      </w:r>
    </w:p>
    <w:p w14:paraId="4859BB77" w14:textId="77777777" w:rsidR="00FD4B2C" w:rsidRPr="007C0B9B" w:rsidRDefault="00FD4B2C" w:rsidP="007C0B9B">
      <w:pPr>
        <w:adjustRightInd w:val="0"/>
        <w:snapToGrid w:val="0"/>
        <w:spacing w:line="360" w:lineRule="auto"/>
        <w:ind w:firstLineChars="100" w:firstLine="240"/>
        <w:jc w:val="both"/>
        <w:rPr>
          <w:rFonts w:ascii="Book Antiqua" w:hAnsi="Book Antiqua"/>
        </w:rPr>
      </w:pPr>
    </w:p>
    <w:p w14:paraId="7BB5E5AD" w14:textId="72E2FBD9"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 xml:space="preserve">Statistical </w:t>
      </w:r>
      <w:r w:rsidR="00FD4B2C" w:rsidRPr="007C0B9B">
        <w:rPr>
          <w:rFonts w:ascii="Book Antiqua" w:eastAsia="Book Antiqua" w:hAnsi="Book Antiqua"/>
          <w:b/>
          <w:bCs/>
          <w:i/>
          <w:iCs/>
          <w:color w:val="000000"/>
        </w:rPr>
        <w:t>analysis</w:t>
      </w:r>
    </w:p>
    <w:p w14:paraId="0C390ACC" w14:textId="6492DE7C"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The data were analyzed using SPSS 22.0, and the formula</w:t>
      </w:r>
      <w:r w:rsidR="004D05EF" w:rsidRPr="007C0B9B">
        <w:rPr>
          <w:rFonts w:ascii="Book Antiqua" w:eastAsia="Book Antiqua" w:hAnsi="Book Antiqua"/>
          <w:color w:val="000000"/>
        </w:rPr>
        <w:t xml:space="preserve"> mean </w:t>
      </w:r>
      <w:r w:rsidR="004D05EF" w:rsidRPr="007C0B9B">
        <w:rPr>
          <w:rFonts w:ascii="Book Antiqua" w:hAnsi="Book Antiqua"/>
          <w:color w:val="000000"/>
          <w:lang w:eastAsia="zh-CN"/>
        </w:rPr>
        <w:t>±</w:t>
      </w:r>
      <w:r w:rsidR="004D05EF" w:rsidRPr="007C0B9B">
        <w:rPr>
          <w:rFonts w:ascii="Book Antiqua" w:eastAsia="Book Antiqua" w:hAnsi="Book Antiqua"/>
          <w:color w:val="000000"/>
        </w:rPr>
        <w:t xml:space="preserve"> SD </w:t>
      </w:r>
      <w:r w:rsidRPr="007C0B9B">
        <w:rPr>
          <w:rFonts w:ascii="Book Antiqua" w:eastAsia="Book Antiqua" w:hAnsi="Book Antiqua"/>
          <w:color w:val="000000"/>
        </w:rPr>
        <w:t xml:space="preserve">was used to represent the measurement data in accordance with the normal distribution. A one-way analysis of variance was applied for comparison between </w:t>
      </w:r>
      <w:r w:rsidR="00DF1878" w:rsidRPr="007C0B9B">
        <w:rPr>
          <w:rFonts w:ascii="Book Antiqua" w:eastAsia="Book Antiqua" w:hAnsi="Book Antiqua"/>
          <w:color w:val="000000"/>
        </w:rPr>
        <w:t>group</w:t>
      </w:r>
      <w:r w:rsidRPr="007C0B9B">
        <w:rPr>
          <w:rFonts w:ascii="Book Antiqua" w:eastAsia="Book Antiqua" w:hAnsi="Book Antiqua"/>
          <w:color w:val="000000"/>
        </w:rPr>
        <w:t>s, the Student–Newman–</w:t>
      </w:r>
      <w:proofErr w:type="spellStart"/>
      <w:r w:rsidRPr="007C0B9B">
        <w:rPr>
          <w:rFonts w:ascii="Book Antiqua" w:eastAsia="Book Antiqua" w:hAnsi="Book Antiqua"/>
          <w:color w:val="000000"/>
        </w:rPr>
        <w:t>Keuls</w:t>
      </w:r>
      <w:proofErr w:type="spellEnd"/>
      <w:r w:rsidRPr="007C0B9B">
        <w:rPr>
          <w:rFonts w:ascii="Book Antiqua" w:eastAsia="Book Antiqua" w:hAnsi="Book Antiqua"/>
          <w:color w:val="000000"/>
        </w:rPr>
        <w:t>-</w:t>
      </w:r>
      <w:r w:rsidRPr="007C0B9B">
        <w:rPr>
          <w:rFonts w:ascii="Book Antiqua" w:eastAsia="Book Antiqua" w:hAnsi="Book Antiqua"/>
          <w:i/>
          <w:iCs/>
          <w:color w:val="000000"/>
        </w:rPr>
        <w:t>q</w:t>
      </w:r>
      <w:r w:rsidRPr="007C0B9B">
        <w:rPr>
          <w:rFonts w:ascii="Book Antiqua" w:eastAsia="Book Antiqua" w:hAnsi="Book Antiqua"/>
          <w:color w:val="000000"/>
        </w:rPr>
        <w:t xml:space="preserve"> test was applied for pairwise comparison between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s, and an independent sample </w:t>
      </w:r>
      <w:r w:rsidRPr="007C0B9B">
        <w:rPr>
          <w:rFonts w:ascii="Book Antiqua" w:eastAsia="Book Antiqua" w:hAnsi="Book Antiqua"/>
          <w:i/>
          <w:iCs/>
          <w:color w:val="000000"/>
        </w:rPr>
        <w:t>t</w:t>
      </w:r>
      <w:r w:rsidRPr="007C0B9B">
        <w:rPr>
          <w:rFonts w:ascii="Book Antiqua" w:eastAsia="Book Antiqua" w:hAnsi="Book Antiqua"/>
          <w:color w:val="000000"/>
        </w:rPr>
        <w:t xml:space="preserve">-test was used for comparison between two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s. The enumeration data were expressed as percentages (%). The </w:t>
      </w:r>
      <w:r w:rsidRPr="007C0B9B">
        <w:rPr>
          <w:rFonts w:ascii="Book Antiqua" w:eastAsia="Book Antiqua" w:hAnsi="Book Antiqua"/>
          <w:i/>
          <w:iCs/>
          <w:color w:val="000000"/>
        </w:rPr>
        <w:t>χ</w:t>
      </w:r>
      <w:r w:rsidRPr="007C0B9B">
        <w:rPr>
          <w:rFonts w:ascii="Book Antiqua" w:eastAsia="Book Antiqua" w:hAnsi="Book Antiqua"/>
          <w:color w:val="000000"/>
          <w:vertAlign w:val="superscript"/>
        </w:rPr>
        <w:t>2</w:t>
      </w:r>
      <w:r w:rsidRPr="007C0B9B">
        <w:rPr>
          <w:rFonts w:ascii="Book Antiqua" w:eastAsia="Book Antiqua" w:hAnsi="Book Antiqua"/>
          <w:color w:val="000000"/>
        </w:rPr>
        <w:t xml:space="preserve"> test was utilized for comparison between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s. The ROC curve was developed to determine the cutoff value of serum Spondin-2 expression for diagnosing cervical cancer. The Kaplan–Meier curve was used to analyze the PFS and OS. A </w:t>
      </w:r>
      <w:r w:rsidRPr="007C0B9B">
        <w:rPr>
          <w:rFonts w:ascii="Book Antiqua" w:eastAsia="Book Antiqua" w:hAnsi="Book Antiqua"/>
          <w:i/>
          <w:iCs/>
          <w:color w:val="000000"/>
        </w:rPr>
        <w:t>P</w:t>
      </w:r>
      <w:r w:rsidR="0006076F">
        <w:rPr>
          <w:rFonts w:ascii="Book Antiqua" w:hAnsi="Book Antiqua" w:hint="eastAsia"/>
          <w:color w:val="000000"/>
          <w:lang w:eastAsia="zh-CN"/>
        </w:rPr>
        <w:t xml:space="preserve"> </w:t>
      </w:r>
      <w:r w:rsidRPr="007C0B9B">
        <w:rPr>
          <w:rFonts w:ascii="Book Antiqua" w:eastAsia="Book Antiqua" w:hAnsi="Book Antiqua"/>
          <w:color w:val="000000"/>
        </w:rPr>
        <w:t>value of &lt;</w:t>
      </w:r>
      <w:r w:rsidR="004D05EF" w:rsidRPr="007C0B9B">
        <w:rPr>
          <w:rFonts w:ascii="Book Antiqua" w:eastAsia="Book Antiqua" w:hAnsi="Book Antiqua"/>
          <w:color w:val="000000"/>
        </w:rPr>
        <w:t xml:space="preserve"> </w:t>
      </w:r>
      <w:r w:rsidRPr="007C0B9B">
        <w:rPr>
          <w:rFonts w:ascii="Book Antiqua" w:eastAsia="Book Antiqua" w:hAnsi="Book Antiqua"/>
          <w:color w:val="000000"/>
        </w:rPr>
        <w:t>0.05 was considered statistically significant.</w:t>
      </w:r>
    </w:p>
    <w:p w14:paraId="035FEBC9" w14:textId="77777777" w:rsidR="00A77B3E" w:rsidRPr="007C0B9B" w:rsidRDefault="00A77B3E" w:rsidP="007C0B9B">
      <w:pPr>
        <w:adjustRightInd w:val="0"/>
        <w:snapToGrid w:val="0"/>
        <w:spacing w:line="360" w:lineRule="auto"/>
        <w:jc w:val="both"/>
        <w:rPr>
          <w:rFonts w:ascii="Book Antiqua" w:hAnsi="Book Antiqua"/>
        </w:rPr>
      </w:pPr>
    </w:p>
    <w:p w14:paraId="11E52FED"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aps/>
          <w:color w:val="000000"/>
          <w:u w:val="single"/>
        </w:rPr>
        <w:t>RESULTS</w:t>
      </w:r>
    </w:p>
    <w:p w14:paraId="206C4987" w14:textId="349FB5CE"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 xml:space="preserve">Serum Spondin-2 expression in each </w:t>
      </w:r>
      <w:r w:rsidR="00DF1878" w:rsidRPr="007C0B9B">
        <w:rPr>
          <w:rFonts w:ascii="Book Antiqua" w:eastAsia="Book Antiqua" w:hAnsi="Book Antiqua"/>
          <w:b/>
          <w:bCs/>
          <w:i/>
          <w:iCs/>
          <w:color w:val="000000"/>
        </w:rPr>
        <w:t>group</w:t>
      </w:r>
      <w:r w:rsidRPr="007C0B9B">
        <w:rPr>
          <w:rFonts w:ascii="Book Antiqua" w:eastAsia="Book Antiqua" w:hAnsi="Book Antiqua"/>
          <w:b/>
          <w:bCs/>
          <w:i/>
          <w:iCs/>
          <w:color w:val="000000"/>
        </w:rPr>
        <w:t xml:space="preserve"> </w:t>
      </w:r>
    </w:p>
    <w:p w14:paraId="754D7CE2" w14:textId="15A9CAF3"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lastRenderedPageBreak/>
        <w:t xml:space="preserve">The serum Spondin-2 expression level was considerably higher in the cervical cancer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xml:space="preserve"> &lt; 0.05) than in the benign and control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s (Table 1). </w:t>
      </w:r>
    </w:p>
    <w:p w14:paraId="3F8A25B5" w14:textId="77777777" w:rsidR="00A77B3E" w:rsidRPr="007C0B9B" w:rsidRDefault="00A77B3E" w:rsidP="007C0B9B">
      <w:pPr>
        <w:adjustRightInd w:val="0"/>
        <w:snapToGrid w:val="0"/>
        <w:spacing w:line="360" w:lineRule="auto"/>
        <w:jc w:val="both"/>
        <w:rPr>
          <w:rFonts w:ascii="Book Antiqua" w:hAnsi="Book Antiqua"/>
        </w:rPr>
      </w:pPr>
    </w:p>
    <w:p w14:paraId="31D56E6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Determination of cutoff values for Spondin-2</w:t>
      </w:r>
    </w:p>
    <w:p w14:paraId="63F9B44B" w14:textId="44C06CF5"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ROC curves were established, and the maximum Youden’s index was used as the cutoff value of Spondin-2 expression in patients with cervical cancer (21.20 </w:t>
      </w:r>
      <w:proofErr w:type="spellStart"/>
      <w:r w:rsidRPr="007C0B9B">
        <w:rPr>
          <w:rFonts w:ascii="Book Antiqua" w:eastAsia="Book Antiqua" w:hAnsi="Book Antiqua"/>
          <w:color w:val="000000"/>
        </w:rPr>
        <w:t>μg</w:t>
      </w:r>
      <w:proofErr w:type="spellEnd"/>
      <w:r w:rsidRPr="007C0B9B">
        <w:rPr>
          <w:rFonts w:ascii="Book Antiqua" w:eastAsia="Book Antiqua" w:hAnsi="Book Antiqua"/>
          <w:color w:val="000000"/>
        </w:rPr>
        <w:t>/L). The sensitivity and specificity values were 71.1% and 95.3%, respectively, and the area under the curve value was 0.866 (95%CI</w:t>
      </w:r>
      <w:r w:rsidR="0006076F">
        <w:rPr>
          <w:rFonts w:ascii="Book Antiqua" w:hAnsi="Book Antiqua" w:hint="eastAsia"/>
          <w:color w:val="000000"/>
          <w:lang w:eastAsia="zh-CN"/>
        </w:rPr>
        <w:t xml:space="preserve">: </w:t>
      </w:r>
      <w:r w:rsidRPr="007C0B9B">
        <w:rPr>
          <w:rFonts w:ascii="Book Antiqua" w:eastAsia="Book Antiqua" w:hAnsi="Book Antiqua"/>
          <w:color w:val="000000"/>
        </w:rPr>
        <w:t>0.827</w:t>
      </w:r>
      <w:r w:rsidR="0006076F">
        <w:rPr>
          <w:rFonts w:ascii="Book Antiqua" w:hAnsi="Book Antiqua" w:hint="eastAsia"/>
          <w:color w:val="000000"/>
          <w:lang w:eastAsia="zh-CN"/>
        </w:rPr>
        <w:t>-</w:t>
      </w:r>
      <w:r w:rsidRPr="007C0B9B">
        <w:rPr>
          <w:rFonts w:ascii="Book Antiqua" w:eastAsia="Book Antiqua" w:hAnsi="Book Antiqua"/>
          <w:color w:val="000000"/>
        </w:rPr>
        <w:t xml:space="preserve">0.905; </w:t>
      </w:r>
      <w:r w:rsidRPr="007C0B9B">
        <w:rPr>
          <w:rFonts w:ascii="Book Antiqua" w:eastAsia="Book Antiqua" w:hAnsi="Book Antiqua"/>
          <w:i/>
          <w:iCs/>
          <w:color w:val="000000"/>
        </w:rPr>
        <w:t>P</w:t>
      </w:r>
      <w:r w:rsidRPr="007C0B9B">
        <w:rPr>
          <w:rFonts w:ascii="Book Antiqua" w:eastAsia="Book Antiqua" w:hAnsi="Book Antiqua"/>
          <w:color w:val="000000"/>
        </w:rPr>
        <w:t> &lt; 0.001) (Figure 1).</w:t>
      </w:r>
    </w:p>
    <w:p w14:paraId="7D868EA3" w14:textId="77777777" w:rsidR="00A77B3E" w:rsidRPr="007C0B9B" w:rsidRDefault="00A77B3E" w:rsidP="007C0B9B">
      <w:pPr>
        <w:adjustRightInd w:val="0"/>
        <w:snapToGrid w:val="0"/>
        <w:spacing w:line="360" w:lineRule="auto"/>
        <w:jc w:val="both"/>
        <w:rPr>
          <w:rFonts w:ascii="Book Antiqua" w:hAnsi="Book Antiqua"/>
        </w:rPr>
      </w:pPr>
    </w:p>
    <w:p w14:paraId="2E1B0AE9"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Serum Spondin-2 expression in patients with different clinicopathological characteristics of cervical cancer</w:t>
      </w:r>
    </w:p>
    <w:p w14:paraId="5E7E64AF" w14:textId="19065683"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According to the cutoff value, patients with Spondin-2 expression levels greater than the cutoff value were assigned to the high expression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and those with lower levels were assigned to the low expression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The proportion of patients with FIGO stage III, vascular invasion, nerve invasion, and lymph node metastasis was higher in the high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xml:space="preserve"> &lt; 0.05). No significant difference was observed in the pathogenic categories between the two </w:t>
      </w:r>
      <w:r w:rsidR="00DF1878" w:rsidRPr="007C0B9B">
        <w:rPr>
          <w:rFonts w:ascii="Book Antiqua" w:eastAsia="Book Antiqua" w:hAnsi="Book Antiqua"/>
          <w:color w:val="000000"/>
        </w:rPr>
        <w:t>group</w:t>
      </w:r>
      <w:r w:rsidRPr="007C0B9B">
        <w:rPr>
          <w:rFonts w:ascii="Book Antiqua" w:eastAsia="Book Antiqua" w:hAnsi="Book Antiqua"/>
          <w:color w:val="000000"/>
        </w:rPr>
        <w:t>s (</w:t>
      </w:r>
      <w:r w:rsidRPr="007C0B9B">
        <w:rPr>
          <w:rFonts w:ascii="Book Antiqua" w:eastAsia="Book Antiqua" w:hAnsi="Book Antiqua"/>
          <w:i/>
          <w:iCs/>
          <w:color w:val="000000"/>
        </w:rPr>
        <w:t>P</w:t>
      </w:r>
      <w:r w:rsidRPr="007C0B9B">
        <w:rPr>
          <w:rFonts w:ascii="Book Antiqua" w:eastAsia="Book Antiqua" w:hAnsi="Book Antiqua"/>
          <w:color w:val="000000"/>
        </w:rPr>
        <w:t> &gt; 0.05) (Table 2).</w:t>
      </w:r>
    </w:p>
    <w:p w14:paraId="31E977D3" w14:textId="77777777" w:rsidR="00A77B3E" w:rsidRPr="007C0B9B" w:rsidRDefault="00A77B3E" w:rsidP="007C0B9B">
      <w:pPr>
        <w:adjustRightInd w:val="0"/>
        <w:snapToGrid w:val="0"/>
        <w:spacing w:line="360" w:lineRule="auto"/>
        <w:jc w:val="both"/>
        <w:rPr>
          <w:rFonts w:ascii="Book Antiqua" w:hAnsi="Book Antiqua"/>
        </w:rPr>
      </w:pPr>
    </w:p>
    <w:p w14:paraId="64A6A2DB" w14:textId="4DF27F3B"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Relationship between serum Spondin-2 expression and immune response in patients with cervical cancer</w:t>
      </w:r>
    </w:p>
    <w:p w14:paraId="67C29727" w14:textId="6C1CCCCC"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The high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had higher IL-4 and IL-5 levels than the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whereas the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had higher IL-2 and TNF-α levels than the high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&lt; 0.05) (Table 3).</w:t>
      </w:r>
    </w:p>
    <w:p w14:paraId="2F2DAD14" w14:textId="77777777" w:rsidR="00A77B3E" w:rsidRPr="007C0B9B" w:rsidRDefault="00A77B3E" w:rsidP="007C0B9B">
      <w:pPr>
        <w:adjustRightInd w:val="0"/>
        <w:snapToGrid w:val="0"/>
        <w:spacing w:line="360" w:lineRule="auto"/>
        <w:jc w:val="both"/>
        <w:rPr>
          <w:rFonts w:ascii="Book Antiqua" w:hAnsi="Book Antiqua"/>
        </w:rPr>
      </w:pPr>
    </w:p>
    <w:p w14:paraId="0655A00D" w14:textId="6B07D000"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i/>
          <w:iCs/>
          <w:color w:val="000000"/>
        </w:rPr>
        <w:t>Relationship between serum Spondin-2 expression and prognosis in patients with cervical cancer</w:t>
      </w:r>
    </w:p>
    <w:p w14:paraId="1DE9C6A6" w14:textId="54F46AF3"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After 3 years of follow-up, PFS and OS were shorter in the high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w:t>
      </w:r>
      <w:r w:rsidRPr="007C0B9B">
        <w:rPr>
          <w:rFonts w:ascii="Book Antiqua" w:eastAsia="Book Antiqua" w:hAnsi="Book Antiqua"/>
          <w:i/>
          <w:iCs/>
          <w:color w:val="000000"/>
        </w:rPr>
        <w:t>P</w:t>
      </w:r>
      <w:r w:rsidRPr="007C0B9B">
        <w:rPr>
          <w:rFonts w:ascii="Book Antiqua" w:eastAsia="Book Antiqua" w:hAnsi="Book Antiqua"/>
          <w:color w:val="000000"/>
        </w:rPr>
        <w:t> &lt; 0.05) (Table 4</w:t>
      </w:r>
      <w:r w:rsidR="004D05EF" w:rsidRPr="007C0B9B">
        <w:rPr>
          <w:rFonts w:ascii="Book Antiqua" w:eastAsia="宋体" w:hAnsi="Book Antiqua"/>
          <w:color w:val="000000"/>
          <w:lang w:eastAsia="zh-CN"/>
        </w:rPr>
        <w:t>,</w:t>
      </w:r>
      <w:r w:rsidRPr="007C0B9B">
        <w:rPr>
          <w:rFonts w:ascii="Book Antiqua" w:eastAsia="Book Antiqua" w:hAnsi="Book Antiqua"/>
          <w:color w:val="000000"/>
        </w:rPr>
        <w:t> Figure 2</w:t>
      </w:r>
      <w:r w:rsidR="00E60464" w:rsidRPr="007C0B9B">
        <w:rPr>
          <w:rFonts w:ascii="Book Antiqua" w:eastAsia="Book Antiqua" w:hAnsi="Book Antiqua"/>
          <w:color w:val="000000"/>
        </w:rPr>
        <w:t>A</w:t>
      </w:r>
      <w:r w:rsidRPr="007C0B9B">
        <w:rPr>
          <w:rFonts w:ascii="Book Antiqua" w:eastAsia="Book Antiqua" w:hAnsi="Book Antiqua"/>
          <w:color w:val="000000"/>
        </w:rPr>
        <w:t xml:space="preserve"> and </w:t>
      </w:r>
      <w:r w:rsidR="00E60464" w:rsidRPr="007C0B9B">
        <w:rPr>
          <w:rFonts w:ascii="Book Antiqua" w:eastAsia="Book Antiqua" w:hAnsi="Book Antiqua"/>
          <w:color w:val="000000"/>
        </w:rPr>
        <w:t>B</w:t>
      </w:r>
      <w:r w:rsidRPr="007C0B9B">
        <w:rPr>
          <w:rFonts w:ascii="Book Antiqua" w:eastAsia="Book Antiqua" w:hAnsi="Book Antiqua"/>
          <w:color w:val="000000"/>
        </w:rPr>
        <w:t>).</w:t>
      </w:r>
    </w:p>
    <w:p w14:paraId="2C76A36D" w14:textId="77777777" w:rsidR="00A77B3E" w:rsidRPr="007C0B9B" w:rsidRDefault="00A77B3E" w:rsidP="007C0B9B">
      <w:pPr>
        <w:adjustRightInd w:val="0"/>
        <w:snapToGrid w:val="0"/>
        <w:spacing w:line="360" w:lineRule="auto"/>
        <w:jc w:val="both"/>
        <w:rPr>
          <w:rFonts w:ascii="Book Antiqua" w:hAnsi="Book Antiqua"/>
        </w:rPr>
      </w:pPr>
    </w:p>
    <w:p w14:paraId="5E684D42"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aps/>
          <w:color w:val="000000"/>
          <w:u w:val="single"/>
        </w:rPr>
        <w:t>DISCUSSION</w:t>
      </w:r>
    </w:p>
    <w:p w14:paraId="75BA107A" w14:textId="59002144" w:rsidR="00A11C83"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Cervical cancer has a complicated etiology, and HPV infection is a recognized risk </w:t>
      </w:r>
      <w:proofErr w:type="gramStart"/>
      <w:r w:rsidRPr="007C0B9B">
        <w:rPr>
          <w:rFonts w:ascii="Book Antiqua" w:eastAsia="Book Antiqua" w:hAnsi="Book Antiqua"/>
          <w:color w:val="000000"/>
        </w:rPr>
        <w:t>factor</w:t>
      </w:r>
      <w:bookmarkStart w:id="3" w:name="OLE_LINK4"/>
      <w:r w:rsidR="004235E9" w:rsidRPr="007C0B9B">
        <w:rPr>
          <w:rFonts w:ascii="Book Antiqua" w:eastAsia="Book Antiqua" w:hAnsi="Book Antiqua"/>
          <w:color w:val="000000"/>
          <w:vertAlign w:val="superscript"/>
        </w:rPr>
        <w:t>[</w:t>
      </w:r>
      <w:proofErr w:type="gramEnd"/>
      <w:r w:rsidR="004235E9" w:rsidRPr="007C0B9B">
        <w:rPr>
          <w:rFonts w:ascii="Book Antiqua" w:eastAsia="Book Antiqua" w:hAnsi="Book Antiqua"/>
          <w:color w:val="000000"/>
          <w:vertAlign w:val="superscript"/>
        </w:rPr>
        <w:t>8]</w:t>
      </w:r>
      <w:bookmarkEnd w:id="3"/>
      <w:r w:rsidRPr="007C0B9B">
        <w:rPr>
          <w:rFonts w:ascii="Book Antiqua" w:eastAsia="Book Antiqua" w:hAnsi="Book Antiqua"/>
          <w:color w:val="000000"/>
        </w:rPr>
        <w:t xml:space="preserve">. </w:t>
      </w:r>
      <w:bookmarkStart w:id="4" w:name="OLE_LINK3"/>
      <w:r w:rsidR="004C443B" w:rsidRPr="007C0B9B">
        <w:rPr>
          <w:rFonts w:ascii="Book Antiqua" w:eastAsia="Book Antiqua" w:hAnsi="Book Antiqua"/>
          <w:color w:val="000000"/>
        </w:rPr>
        <w:t xml:space="preserve">Tumor cells often have the ability to evade immune </w:t>
      </w:r>
      <w:proofErr w:type="gramStart"/>
      <w:r w:rsidR="004C443B" w:rsidRPr="007C0B9B">
        <w:rPr>
          <w:rFonts w:ascii="Book Antiqua" w:eastAsia="Book Antiqua" w:hAnsi="Book Antiqua"/>
          <w:color w:val="000000"/>
        </w:rPr>
        <w:t>recognition</w:t>
      </w:r>
      <w:r w:rsidR="004C443B" w:rsidRPr="007C0B9B">
        <w:rPr>
          <w:rFonts w:ascii="Book Antiqua" w:eastAsia="Book Antiqua" w:hAnsi="Book Antiqua"/>
          <w:color w:val="000000"/>
          <w:vertAlign w:val="superscript"/>
        </w:rPr>
        <w:t>[</w:t>
      </w:r>
      <w:proofErr w:type="gramEnd"/>
      <w:r w:rsidR="004C443B" w:rsidRPr="007C0B9B">
        <w:rPr>
          <w:rFonts w:ascii="Book Antiqua" w:eastAsia="Book Antiqua" w:hAnsi="Book Antiqua"/>
          <w:color w:val="000000"/>
          <w:vertAlign w:val="superscript"/>
        </w:rPr>
        <w:t>9]</w:t>
      </w:r>
      <w:r w:rsidR="004C443B" w:rsidRPr="007C0B9B">
        <w:rPr>
          <w:rFonts w:ascii="Book Antiqua" w:eastAsia="Book Antiqua" w:hAnsi="Book Antiqua"/>
          <w:color w:val="000000"/>
        </w:rPr>
        <w:t xml:space="preserve">. </w:t>
      </w:r>
      <w:r w:rsidRPr="007C0B9B">
        <w:rPr>
          <w:rFonts w:ascii="Book Antiqua" w:eastAsia="Book Antiqua" w:hAnsi="Book Antiqua"/>
          <w:color w:val="000000"/>
        </w:rPr>
        <w:t>Disturbed immune responses</w:t>
      </w:r>
      <w:bookmarkEnd w:id="4"/>
      <w:r w:rsidRPr="007C0B9B">
        <w:rPr>
          <w:rFonts w:ascii="Book Antiqua" w:eastAsia="Book Antiqua" w:hAnsi="Book Antiqua"/>
          <w:color w:val="000000"/>
        </w:rPr>
        <w:t xml:space="preserve"> not only facilitate HPV infection but also cause persistent infection and increase the risk of epithelial malignant </w:t>
      </w:r>
      <w:proofErr w:type="gramStart"/>
      <w:r w:rsidRPr="007C0B9B">
        <w:rPr>
          <w:rFonts w:ascii="Book Antiqua" w:eastAsia="Book Antiqua" w:hAnsi="Book Antiqua"/>
          <w:color w:val="000000"/>
        </w:rPr>
        <w:t>transformation</w:t>
      </w:r>
      <w:r w:rsidRPr="007C0B9B">
        <w:rPr>
          <w:rFonts w:ascii="Book Antiqua" w:eastAsia="Book Antiqua" w:hAnsi="Book Antiqua"/>
          <w:color w:val="000000"/>
          <w:vertAlign w:val="superscript"/>
        </w:rPr>
        <w:t>[</w:t>
      </w:r>
      <w:proofErr w:type="gramEnd"/>
      <w:r w:rsidR="00745158" w:rsidRPr="007C0B9B">
        <w:rPr>
          <w:rFonts w:ascii="Book Antiqua" w:eastAsia="Book Antiqua" w:hAnsi="Book Antiqua"/>
          <w:color w:val="000000"/>
          <w:vertAlign w:val="superscript"/>
        </w:rPr>
        <w:t>10</w:t>
      </w:r>
      <w:r w:rsidR="00A11C83" w:rsidRPr="007C0B9B">
        <w:rPr>
          <w:rFonts w:ascii="Book Antiqua" w:eastAsia="Book Antiqua" w:hAnsi="Book Antiqua"/>
          <w:color w:val="000000"/>
          <w:vertAlign w:val="superscript"/>
        </w:rPr>
        <w:t>,</w:t>
      </w:r>
      <w:r w:rsidR="00745158" w:rsidRPr="007C0B9B">
        <w:rPr>
          <w:rFonts w:ascii="Book Antiqua" w:eastAsia="Book Antiqua" w:hAnsi="Book Antiqua"/>
          <w:color w:val="000000"/>
          <w:vertAlign w:val="superscript"/>
        </w:rPr>
        <w:t>11</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In addition, cervical cancer is prone to peripheral nerve invasion and invasive metastasis, which are important factors that result in a poor </w:t>
      </w:r>
      <w:proofErr w:type="gramStart"/>
      <w:r w:rsidRPr="007C0B9B">
        <w:rPr>
          <w:rFonts w:ascii="Book Antiqua" w:eastAsia="Book Antiqua" w:hAnsi="Book Antiqua"/>
          <w:color w:val="000000"/>
        </w:rPr>
        <w:t>prognosis</w:t>
      </w:r>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2</w:t>
      </w:r>
      <w:r w:rsidRPr="007C0B9B">
        <w:rPr>
          <w:rFonts w:ascii="Book Antiqua" w:eastAsia="Book Antiqua" w:hAnsi="Book Antiqua"/>
          <w:color w:val="000000"/>
          <w:vertAlign w:val="superscript"/>
        </w:rPr>
        <w:t>]</w:t>
      </w:r>
      <w:r w:rsidRPr="007C0B9B">
        <w:rPr>
          <w:rFonts w:ascii="Book Antiqua" w:eastAsia="Book Antiqua" w:hAnsi="Book Antiqua"/>
          <w:color w:val="000000"/>
        </w:rPr>
        <w:t>. Therefore, it is imperative to analyze the factors related to invasion and infiltration and the antitumor immune response to improve cervical cancer prognosis.</w:t>
      </w:r>
    </w:p>
    <w:p w14:paraId="6A92AF8C" w14:textId="7F659CCE" w:rsidR="00A77B3E" w:rsidRPr="007C0B9B" w:rsidRDefault="00455B3E" w:rsidP="007C0B9B">
      <w:pPr>
        <w:adjustRightInd w:val="0"/>
        <w:snapToGrid w:val="0"/>
        <w:spacing w:line="360" w:lineRule="auto"/>
        <w:ind w:firstLineChars="100" w:firstLine="240"/>
        <w:jc w:val="both"/>
        <w:rPr>
          <w:rFonts w:ascii="Book Antiqua" w:hAnsi="Book Antiqua"/>
        </w:rPr>
      </w:pPr>
      <w:r w:rsidRPr="007C0B9B">
        <w:rPr>
          <w:rFonts w:ascii="Book Antiqua" w:eastAsia="Book Antiqua" w:hAnsi="Book Antiqua"/>
          <w:color w:val="000000"/>
        </w:rPr>
        <w:t xml:space="preserve">Spondin-2 is a secreted protein, which was originally discovered in ovarian cancer cells, and is linked to innate and acquired immunity as a pattern-recognition molecule and integrin ligand for pathogenic </w:t>
      </w:r>
      <w:proofErr w:type="gramStart"/>
      <w:r w:rsidRPr="007C0B9B">
        <w:rPr>
          <w:rFonts w:ascii="Book Antiqua" w:eastAsia="Book Antiqua" w:hAnsi="Book Antiqua"/>
          <w:color w:val="000000"/>
        </w:rPr>
        <w:t>microorganisms</w:t>
      </w:r>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3</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Spondin-2 is reportedly a critical indicator of the initial response to innate immunity, but its expression levels differ in tumor and non-tumor </w:t>
      </w:r>
      <w:proofErr w:type="gramStart"/>
      <w:r w:rsidRPr="007C0B9B">
        <w:rPr>
          <w:rFonts w:ascii="Book Antiqua" w:eastAsia="Book Antiqua" w:hAnsi="Book Antiqua"/>
          <w:color w:val="000000"/>
        </w:rPr>
        <w:t>cells</w:t>
      </w:r>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4</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Moreover, Spondin-2 expression levels were elevated in the sera of patients with prostate </w:t>
      </w:r>
      <w:proofErr w:type="gramStart"/>
      <w:r w:rsidRPr="007C0B9B">
        <w:rPr>
          <w:rFonts w:ascii="Book Antiqua" w:eastAsia="Book Antiqua" w:hAnsi="Book Antiqua"/>
          <w:color w:val="000000"/>
        </w:rPr>
        <w:t>cancer</w:t>
      </w:r>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5</w:t>
      </w:r>
      <w:r w:rsidRPr="007C0B9B">
        <w:rPr>
          <w:rFonts w:ascii="Book Antiqua" w:eastAsia="Book Antiqua" w:hAnsi="Book Antiqua"/>
          <w:color w:val="000000"/>
          <w:vertAlign w:val="superscript"/>
        </w:rPr>
        <w:t>]</w:t>
      </w:r>
      <w:r w:rsidRPr="007C0B9B">
        <w:rPr>
          <w:rFonts w:ascii="Book Antiqua" w:eastAsia="Book Antiqua" w:hAnsi="Book Antiqua"/>
          <w:color w:val="000000"/>
        </w:rPr>
        <w:t>, hepatocellular carcinoma</w:t>
      </w:r>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6</w:t>
      </w:r>
      <w:r w:rsidRPr="007C0B9B">
        <w:rPr>
          <w:rFonts w:ascii="Book Antiqua" w:eastAsia="Book Antiqua" w:hAnsi="Book Antiqua"/>
          <w:color w:val="000000"/>
          <w:vertAlign w:val="superscript"/>
        </w:rPr>
        <w:t>]</w:t>
      </w:r>
      <w:r w:rsidRPr="007C0B9B">
        <w:rPr>
          <w:rFonts w:ascii="Book Antiqua" w:eastAsia="Book Antiqua" w:hAnsi="Book Antiqua"/>
          <w:color w:val="000000"/>
        </w:rPr>
        <w:t>, and pancreatic cancer</w:t>
      </w:r>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7</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and high levels were associated with bone metastasis and lymph node metastasis, suggesting that Spondin-2 was also involved in tumor invasion and metastasis. This study found that serum Spondin-2 expression was significantly higher in the cervical cancer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than in the benign and control </w:t>
      </w:r>
      <w:r w:rsidR="00DF1878" w:rsidRPr="007C0B9B">
        <w:rPr>
          <w:rFonts w:ascii="Book Antiqua" w:eastAsia="Book Antiqua" w:hAnsi="Book Antiqua"/>
          <w:color w:val="000000"/>
        </w:rPr>
        <w:t>group</w:t>
      </w:r>
      <w:r w:rsidRPr="007C0B9B">
        <w:rPr>
          <w:rFonts w:ascii="Book Antiqua" w:eastAsia="Book Antiqua" w:hAnsi="Book Antiqua"/>
          <w:color w:val="000000"/>
        </w:rPr>
        <w:t>s, suggesting that Spondin-2 expression is elevated in the sera of patients with cervical cancer and may play a role in the development of cervical tumors and their microenvironment. An </w:t>
      </w:r>
      <w:bookmarkStart w:id="5" w:name="OLE_LINK5"/>
      <w:r w:rsidRPr="007C0B9B">
        <w:rPr>
          <w:rFonts w:ascii="Book Antiqua" w:eastAsia="Book Antiqua" w:hAnsi="Book Antiqua"/>
          <w:color w:val="000000"/>
        </w:rPr>
        <w:t>ROC</w:t>
      </w:r>
      <w:bookmarkEnd w:id="5"/>
      <w:r w:rsidRPr="007C0B9B">
        <w:rPr>
          <w:rFonts w:ascii="Book Antiqua" w:eastAsia="Book Antiqua" w:hAnsi="Book Antiqua"/>
          <w:color w:val="000000"/>
        </w:rPr>
        <w:t xml:space="preserve"> curve was used to determine the cutoff value for serum Spondin-2 diagnosis, and patients with cervical cancer were divided into high Spondin-2 and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s. The results showed that the number of patients with FIGO stage III, nerve invasion, vascular invasion, and lymph node metastasis was higher in the high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implying that serum Spondin-2 expression is related to these aspects progression of cervical cancer; thus, its high expression indicates disease progression. </w:t>
      </w:r>
      <w:bookmarkStart w:id="6" w:name="OLE_LINK6"/>
      <w:r w:rsidR="00835CD9" w:rsidRPr="007C0B9B">
        <w:rPr>
          <w:rFonts w:ascii="Book Antiqua" w:eastAsia="Book Antiqua" w:hAnsi="Book Antiqua"/>
          <w:color w:val="000000"/>
        </w:rPr>
        <w:t xml:space="preserve">Tumor cells can induce neovascularization in </w:t>
      </w:r>
      <w:r w:rsidR="00835CD9" w:rsidRPr="007C0B9B">
        <w:rPr>
          <w:rFonts w:ascii="Book Antiqua" w:eastAsia="Book Antiqua" w:hAnsi="Book Antiqua"/>
          <w:color w:val="000000"/>
        </w:rPr>
        <w:lastRenderedPageBreak/>
        <w:t xml:space="preserve">surrounding non-malignant tissues, which not only supports tumor growth but also </w:t>
      </w:r>
      <w:r w:rsidR="00745158" w:rsidRPr="007C0B9B">
        <w:rPr>
          <w:rFonts w:ascii="Book Antiqua" w:eastAsia="Book Antiqua" w:hAnsi="Book Antiqua"/>
          <w:color w:val="000000"/>
        </w:rPr>
        <w:t xml:space="preserve">provides a pathway for </w:t>
      </w:r>
      <w:proofErr w:type="gramStart"/>
      <w:r w:rsidR="00745158" w:rsidRPr="007C0B9B">
        <w:rPr>
          <w:rFonts w:ascii="Book Antiqua" w:eastAsia="Book Antiqua" w:hAnsi="Book Antiqua"/>
          <w:color w:val="000000"/>
        </w:rPr>
        <w:t>metastasis</w:t>
      </w:r>
      <w:r w:rsidR="00745158" w:rsidRPr="007C0B9B">
        <w:rPr>
          <w:rFonts w:ascii="Book Antiqua" w:eastAsia="Book Antiqua" w:hAnsi="Book Antiqua"/>
          <w:color w:val="000000"/>
          <w:vertAlign w:val="superscript"/>
        </w:rPr>
        <w:t>[</w:t>
      </w:r>
      <w:proofErr w:type="gramEnd"/>
      <w:r w:rsidR="00745158" w:rsidRPr="007C0B9B">
        <w:rPr>
          <w:rFonts w:ascii="Book Antiqua" w:eastAsia="Book Antiqua" w:hAnsi="Book Antiqua"/>
          <w:color w:val="000000"/>
          <w:vertAlign w:val="superscript"/>
        </w:rPr>
        <w:t>18]</w:t>
      </w:r>
      <w:r w:rsidR="00835CD9" w:rsidRPr="007C0B9B">
        <w:rPr>
          <w:rFonts w:ascii="Book Antiqua" w:eastAsia="Book Antiqua" w:hAnsi="Book Antiqua"/>
          <w:color w:val="000000"/>
        </w:rPr>
        <w:t xml:space="preserve">. </w:t>
      </w:r>
      <w:r w:rsidRPr="007C0B9B">
        <w:rPr>
          <w:rFonts w:ascii="Book Antiqua" w:eastAsia="Book Antiqua" w:hAnsi="Book Antiqua"/>
          <w:color w:val="000000"/>
        </w:rPr>
        <w:t>Nerve invasion</w:t>
      </w:r>
      <w:bookmarkEnd w:id="6"/>
      <w:r w:rsidRPr="007C0B9B">
        <w:rPr>
          <w:rFonts w:ascii="Book Antiqua" w:eastAsia="Book Antiqua" w:hAnsi="Book Antiqua"/>
          <w:color w:val="000000"/>
        </w:rPr>
        <w:t xml:space="preserve"> is</w:t>
      </w:r>
      <w:r w:rsidR="00835CD9" w:rsidRPr="007C0B9B">
        <w:rPr>
          <w:rFonts w:ascii="Book Antiqua" w:eastAsia="Book Antiqua" w:hAnsi="Book Antiqua"/>
          <w:color w:val="000000"/>
        </w:rPr>
        <w:t xml:space="preserve"> also</w:t>
      </w:r>
      <w:r w:rsidRPr="007C0B9B">
        <w:rPr>
          <w:rFonts w:ascii="Book Antiqua" w:eastAsia="Book Antiqua" w:hAnsi="Book Antiqua"/>
          <w:color w:val="000000"/>
        </w:rPr>
        <w:t xml:space="preserve"> one of the routes of tumor metastasis and mainly refers to neurotropic invasion and peripheral spread of the </w:t>
      </w:r>
      <w:proofErr w:type="gramStart"/>
      <w:r w:rsidRPr="007C0B9B">
        <w:rPr>
          <w:rFonts w:ascii="Book Antiqua" w:eastAsia="Book Antiqua" w:hAnsi="Book Antiqua"/>
          <w:color w:val="000000"/>
        </w:rPr>
        <w:t>tumor</w:t>
      </w:r>
      <w:r w:rsidRPr="007C0B9B">
        <w:rPr>
          <w:rFonts w:ascii="Book Antiqua" w:eastAsia="Book Antiqua" w:hAnsi="Book Antiqua"/>
          <w:color w:val="000000"/>
          <w:vertAlign w:val="superscript"/>
        </w:rPr>
        <w:t>[</w:t>
      </w:r>
      <w:proofErr w:type="gramEnd"/>
      <w:r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9</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It involves the detachment of tumor cells into the stroma and vascular system and the formation of tumor thrombi around the lesion and other tissues and organs, forming the basis of tumor metastasis; these are high-risk indicators affecting the recurrence rate of cervical cancer and patient </w:t>
      </w:r>
      <w:proofErr w:type="gramStart"/>
      <w:r w:rsidRPr="007C0B9B">
        <w:rPr>
          <w:rFonts w:ascii="Book Antiqua" w:eastAsia="Book Antiqua" w:hAnsi="Book Antiqua"/>
          <w:color w:val="000000"/>
        </w:rPr>
        <w:t>survival</w:t>
      </w:r>
      <w:r w:rsidRPr="007C0B9B">
        <w:rPr>
          <w:rFonts w:ascii="Book Antiqua" w:eastAsia="Book Antiqua" w:hAnsi="Book Antiqua"/>
          <w:color w:val="000000"/>
          <w:vertAlign w:val="superscript"/>
        </w:rPr>
        <w:t>[</w:t>
      </w:r>
      <w:proofErr w:type="gramEnd"/>
      <w:r w:rsidR="00745158" w:rsidRPr="007C0B9B">
        <w:rPr>
          <w:rFonts w:ascii="Book Antiqua" w:eastAsia="Book Antiqua" w:hAnsi="Book Antiqua"/>
          <w:color w:val="000000"/>
          <w:vertAlign w:val="superscript"/>
        </w:rPr>
        <w:t>20</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Spondin-2 influences the proliferation, invasion, and metastasis of cancer cells by regulating the </w:t>
      </w:r>
      <w:proofErr w:type="spellStart"/>
      <w:r w:rsidRPr="007C0B9B">
        <w:rPr>
          <w:rFonts w:ascii="Book Antiqua" w:eastAsia="Book Antiqua" w:hAnsi="Book Antiqua"/>
          <w:color w:val="000000"/>
        </w:rPr>
        <w:t>Wnt</w:t>
      </w:r>
      <w:proofErr w:type="spellEnd"/>
      <w:r w:rsidRPr="007C0B9B">
        <w:rPr>
          <w:rFonts w:ascii="Book Antiqua" w:eastAsia="Book Antiqua" w:hAnsi="Book Antiqua"/>
          <w:color w:val="000000"/>
        </w:rPr>
        <w:t xml:space="preserve"> signaling pathway, which may be related to the invasion and infiltration of cervical cancer </w:t>
      </w:r>
      <w:proofErr w:type="gramStart"/>
      <w:r w:rsidRPr="007C0B9B">
        <w:rPr>
          <w:rFonts w:ascii="Book Antiqua" w:eastAsia="Book Antiqua" w:hAnsi="Book Antiqua"/>
          <w:color w:val="000000"/>
        </w:rPr>
        <w:t>cells</w:t>
      </w:r>
      <w:r w:rsidRPr="007C0B9B">
        <w:rPr>
          <w:rFonts w:ascii="Book Antiqua" w:eastAsia="Book Antiqua" w:hAnsi="Book Antiqua"/>
          <w:color w:val="000000"/>
          <w:vertAlign w:val="superscript"/>
        </w:rPr>
        <w:t>[</w:t>
      </w:r>
      <w:proofErr w:type="gramEnd"/>
      <w:r w:rsidR="00745158" w:rsidRPr="007C0B9B">
        <w:rPr>
          <w:rFonts w:ascii="Book Antiqua" w:eastAsia="Book Antiqua" w:hAnsi="Book Antiqua"/>
          <w:color w:val="000000"/>
          <w:vertAlign w:val="superscript"/>
        </w:rPr>
        <w:t>21</w:t>
      </w:r>
      <w:r w:rsidRPr="007C0B9B">
        <w:rPr>
          <w:rFonts w:ascii="Book Antiqua" w:eastAsia="Book Antiqua" w:hAnsi="Book Antiqua"/>
          <w:color w:val="000000"/>
          <w:vertAlign w:val="superscript"/>
        </w:rPr>
        <w:t>]</w:t>
      </w:r>
      <w:r w:rsidRPr="007C0B9B">
        <w:rPr>
          <w:rFonts w:ascii="Book Antiqua" w:eastAsia="Book Antiqua" w:hAnsi="Book Antiqua"/>
          <w:color w:val="000000"/>
        </w:rPr>
        <w:t xml:space="preserve">. Moreover, the susceptibility of cervical cancer to invasion and infiltration may be related to immune </w:t>
      </w:r>
      <w:proofErr w:type="gramStart"/>
      <w:r w:rsidRPr="007C0B9B">
        <w:rPr>
          <w:rFonts w:ascii="Book Antiqua" w:eastAsia="Book Antiqua" w:hAnsi="Book Antiqua"/>
          <w:color w:val="000000"/>
        </w:rPr>
        <w:t>dysfunction</w:t>
      </w:r>
      <w:r w:rsidRPr="007C0B9B">
        <w:rPr>
          <w:rFonts w:ascii="Book Antiqua" w:eastAsia="Book Antiqua" w:hAnsi="Book Antiqua"/>
          <w:color w:val="000000"/>
          <w:vertAlign w:val="superscript"/>
        </w:rPr>
        <w:t>[</w:t>
      </w:r>
      <w:proofErr w:type="gramEnd"/>
      <w:r w:rsidR="00B405F6" w:rsidRPr="007C0B9B">
        <w:rPr>
          <w:rFonts w:ascii="Book Antiqua" w:eastAsia="Book Antiqua" w:hAnsi="Book Antiqua"/>
          <w:color w:val="000000"/>
          <w:vertAlign w:val="superscript"/>
        </w:rPr>
        <w:t>1</w:t>
      </w:r>
      <w:r w:rsidR="00745158" w:rsidRPr="007C0B9B">
        <w:rPr>
          <w:rFonts w:ascii="Book Antiqua" w:eastAsia="Book Antiqua" w:hAnsi="Book Antiqua"/>
          <w:color w:val="000000"/>
          <w:vertAlign w:val="superscript"/>
        </w:rPr>
        <w:t>4</w:t>
      </w:r>
      <w:r w:rsidRPr="007C0B9B">
        <w:rPr>
          <w:rFonts w:ascii="Book Antiqua" w:eastAsia="Book Antiqua" w:hAnsi="Book Antiqua"/>
          <w:color w:val="000000"/>
          <w:vertAlign w:val="superscript"/>
        </w:rPr>
        <w:t>]</w:t>
      </w:r>
      <w:r w:rsidRPr="007C0B9B">
        <w:rPr>
          <w:rFonts w:ascii="Book Antiqua" w:eastAsia="Book Antiqua" w:hAnsi="Book Antiqua"/>
          <w:color w:val="000000"/>
        </w:rPr>
        <w:t>, and Spondin-2 may influence cancer cell invasion and infiltration by participating in the body’s specific and non-specific immune responses. T lymphocytes mediate the body’s antitumor immune response, which is crucial for HPV elimination and monitoring of abnormal growing cells; when the immune function is abnormal, malignant cervical cells cannot be recognized and removed in time, which triggers the development and progression of cervical cancer.</w:t>
      </w:r>
      <w:r w:rsidRPr="007C0B9B">
        <w:rPr>
          <w:rFonts w:ascii="Book Antiqua" w:eastAsia="Book Antiqua" w:hAnsi="Book Antiqua"/>
          <w:b/>
          <w:bCs/>
          <w:color w:val="000000"/>
        </w:rPr>
        <w:t> </w:t>
      </w:r>
      <w:r w:rsidRPr="007C0B9B">
        <w:rPr>
          <w:rFonts w:ascii="Book Antiqua" w:eastAsia="Book Antiqua" w:hAnsi="Book Antiqua"/>
          <w:color w:val="000000"/>
        </w:rPr>
        <w:t xml:space="preserve">Spondin-2 acts as an integrin ligand in the extracellular matrix and can interfere with the body’s normal immune response by recruiting inflammatory </w:t>
      </w:r>
      <w:proofErr w:type="gramStart"/>
      <w:r w:rsidRPr="007C0B9B">
        <w:rPr>
          <w:rFonts w:ascii="Book Antiqua" w:eastAsia="Book Antiqua" w:hAnsi="Book Antiqua"/>
          <w:color w:val="000000"/>
        </w:rPr>
        <w:t>cells</w:t>
      </w:r>
      <w:r w:rsidRPr="007C0B9B">
        <w:rPr>
          <w:rFonts w:ascii="Book Antiqua" w:eastAsia="Book Antiqua" w:hAnsi="Book Antiqua"/>
          <w:color w:val="000000"/>
          <w:vertAlign w:val="superscript"/>
        </w:rPr>
        <w:t>[</w:t>
      </w:r>
      <w:proofErr w:type="gramEnd"/>
      <w:r w:rsidR="00745158" w:rsidRPr="007C0B9B">
        <w:rPr>
          <w:rFonts w:ascii="Book Antiqua" w:eastAsia="Book Antiqua" w:hAnsi="Book Antiqua"/>
          <w:color w:val="000000"/>
          <w:vertAlign w:val="superscript"/>
        </w:rPr>
        <w:t>2</w:t>
      </w:r>
      <w:r w:rsidR="001B0E48" w:rsidRPr="007C0B9B">
        <w:rPr>
          <w:rFonts w:ascii="Book Antiqua" w:eastAsia="Book Antiqua" w:hAnsi="Book Antiqua"/>
          <w:color w:val="000000"/>
          <w:vertAlign w:val="superscript"/>
        </w:rPr>
        <w:t>2</w:t>
      </w:r>
      <w:r w:rsidRPr="007C0B9B">
        <w:rPr>
          <w:rFonts w:ascii="Book Antiqua" w:eastAsia="Book Antiqua" w:hAnsi="Book Antiqua"/>
          <w:color w:val="000000"/>
          <w:vertAlign w:val="superscript"/>
        </w:rPr>
        <w:t>]</w:t>
      </w:r>
      <w:r w:rsidRPr="007C0B9B">
        <w:rPr>
          <w:rFonts w:ascii="Book Antiqua" w:eastAsia="Book Antiqua" w:hAnsi="Book Antiqua"/>
          <w:color w:val="000000"/>
        </w:rPr>
        <w:t>. This study revealed that IL-4 and IL-5 in high Spondin-2 group were higher than those in low Spondin-2 group,</w:t>
      </w:r>
      <w:r w:rsidR="00A11C83" w:rsidRPr="007C0B9B">
        <w:rPr>
          <w:rFonts w:ascii="Book Antiqua" w:eastAsia="Book Antiqua" w:hAnsi="Book Antiqua"/>
          <w:color w:val="000000"/>
        </w:rPr>
        <w:t xml:space="preserve"> </w:t>
      </w:r>
      <w:r w:rsidRPr="007C0B9B">
        <w:rPr>
          <w:rFonts w:ascii="Book Antiqua" w:eastAsia="Book Antiqua" w:hAnsi="Book Antiqua"/>
          <w:color w:val="000000"/>
        </w:rPr>
        <w:t xml:space="preserve">while IL-2 and TNF- α level lower than low Spondin-2 group, suggesting that Spondin-2 is involved in the antitumor immune response. CD4+ is the primary cell type that exerts specific immune effects, including T helper type 1 (Th1) and Th2 subtypes, with the former secreting IL-2 and TNF-α. In contrast, the latter secretes IL-4 and IL-5, which play an immunosuppressive role. The findings of this study indicate that Spondin-2 can inhibit the antitumor immune response and promote the immune escape of tumor cells, thus affecting the progression of the disease. After 3 years of follow-up, PFS and OS were shorter in the high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than in the low Spondin-2 </w:t>
      </w:r>
      <w:r w:rsidR="00DF1878" w:rsidRPr="007C0B9B">
        <w:rPr>
          <w:rFonts w:ascii="Book Antiqua" w:eastAsia="Book Antiqua" w:hAnsi="Book Antiqua"/>
          <w:color w:val="000000"/>
        </w:rPr>
        <w:t>group</w:t>
      </w:r>
      <w:r w:rsidRPr="007C0B9B">
        <w:rPr>
          <w:rFonts w:ascii="Book Antiqua" w:eastAsia="Book Antiqua" w:hAnsi="Book Antiqua"/>
          <w:color w:val="000000"/>
        </w:rPr>
        <w:t xml:space="preserve">, indicating that high serum Spondin-2 expression is associated </w:t>
      </w:r>
      <w:r w:rsidRPr="007C0B9B">
        <w:rPr>
          <w:rFonts w:ascii="Book Antiqua" w:eastAsia="Book Antiqua" w:hAnsi="Book Antiqua"/>
          <w:color w:val="000000"/>
        </w:rPr>
        <w:lastRenderedPageBreak/>
        <w:t>with a poor prognosis of cervical cancer and further validating the involvement of Spondin-2 in the development of cervical cancer.</w:t>
      </w:r>
    </w:p>
    <w:p w14:paraId="186577A9" w14:textId="77777777" w:rsidR="00A77B3E" w:rsidRPr="007C0B9B" w:rsidRDefault="00A77B3E" w:rsidP="007C0B9B">
      <w:pPr>
        <w:adjustRightInd w:val="0"/>
        <w:snapToGrid w:val="0"/>
        <w:spacing w:line="360" w:lineRule="auto"/>
        <w:jc w:val="both"/>
        <w:rPr>
          <w:rFonts w:ascii="Book Antiqua" w:hAnsi="Book Antiqua"/>
        </w:rPr>
      </w:pPr>
    </w:p>
    <w:p w14:paraId="07AC5428"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aps/>
          <w:color w:val="000000"/>
          <w:u w:val="single"/>
        </w:rPr>
        <w:t>CONCLUSION</w:t>
      </w:r>
    </w:p>
    <w:p w14:paraId="79253A20"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In conclusion, the serum level of Spondin-2 is elevated in patients with cervical cancer and is linked to tumor invasion and infiltration, antitumor immune response, and prognosis. Thus, it is a potential novel diagnostic marker and treatment target for cervical cancer. However, this study did not investigate its specific mechanism of action in depth, and further studies should be conducted.</w:t>
      </w:r>
    </w:p>
    <w:p w14:paraId="2433D54A" w14:textId="77777777" w:rsidR="00A77B3E" w:rsidRPr="007C0B9B" w:rsidRDefault="00A77B3E" w:rsidP="007C0B9B">
      <w:pPr>
        <w:adjustRightInd w:val="0"/>
        <w:snapToGrid w:val="0"/>
        <w:spacing w:line="360" w:lineRule="auto"/>
        <w:jc w:val="both"/>
        <w:rPr>
          <w:rFonts w:ascii="Book Antiqua" w:hAnsi="Book Antiqua"/>
        </w:rPr>
      </w:pPr>
    </w:p>
    <w:p w14:paraId="738A2E81"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aps/>
          <w:color w:val="000000"/>
          <w:u w:val="single"/>
        </w:rPr>
        <w:t>ARTICLE HIGHLIGHTS</w:t>
      </w:r>
    </w:p>
    <w:p w14:paraId="1726F4A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background</w:t>
      </w:r>
    </w:p>
    <w:p w14:paraId="4C84E384"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Cervical cancer is a gynecological malignancy that is common in middle-aged and older patients, with a high mortality rate; it seriously endangers the health of patients. Spondin-2 is an important molecular marker that is involved in innate and acquired immune responses. This study focused on the relationship between serum Spondin-2 expression, tumor invasion and infiltration, and immune response in patients with cervical cancer to provide a theoretical basis for clinical practice.</w:t>
      </w:r>
    </w:p>
    <w:p w14:paraId="21191CEA" w14:textId="77777777" w:rsidR="00A77B3E" w:rsidRPr="007C0B9B" w:rsidRDefault="00A77B3E" w:rsidP="007C0B9B">
      <w:pPr>
        <w:adjustRightInd w:val="0"/>
        <w:snapToGrid w:val="0"/>
        <w:spacing w:line="360" w:lineRule="auto"/>
        <w:jc w:val="both"/>
        <w:rPr>
          <w:rFonts w:ascii="Book Antiqua" w:hAnsi="Book Antiqua"/>
        </w:rPr>
      </w:pPr>
    </w:p>
    <w:p w14:paraId="5B770E4E"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motivation</w:t>
      </w:r>
    </w:p>
    <w:p w14:paraId="016CA340"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The motivation of this study was to investigate the differences in serum Spondin-2 expression levels in patients with cervical cancer, patients with benign uterine lesions, and healthy subjects, as well as the relationship between serum Spondin-2 Levels, tumor invasion and infiltration, and antitumor immune response.</w:t>
      </w:r>
    </w:p>
    <w:p w14:paraId="3FBF8AB8" w14:textId="77777777" w:rsidR="00A77B3E" w:rsidRPr="007C0B9B" w:rsidRDefault="00A77B3E" w:rsidP="007C0B9B">
      <w:pPr>
        <w:adjustRightInd w:val="0"/>
        <w:snapToGrid w:val="0"/>
        <w:spacing w:line="360" w:lineRule="auto"/>
        <w:jc w:val="both"/>
        <w:rPr>
          <w:rFonts w:ascii="Book Antiqua" w:hAnsi="Book Antiqua"/>
        </w:rPr>
      </w:pPr>
    </w:p>
    <w:p w14:paraId="32397EB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objectives</w:t>
      </w:r>
    </w:p>
    <w:p w14:paraId="62BF6841"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This study aimed to investigate the relationship between serum Spondin-2 expression, tumor invasion and infiltration, and antitumor immune response in patients with cervical cancer.</w:t>
      </w:r>
    </w:p>
    <w:p w14:paraId="640F78C7" w14:textId="77777777" w:rsidR="00A77B3E" w:rsidRPr="007C0B9B" w:rsidRDefault="00A77B3E" w:rsidP="007C0B9B">
      <w:pPr>
        <w:adjustRightInd w:val="0"/>
        <w:snapToGrid w:val="0"/>
        <w:spacing w:line="360" w:lineRule="auto"/>
        <w:jc w:val="both"/>
        <w:rPr>
          <w:rFonts w:ascii="Book Antiqua" w:hAnsi="Book Antiqua"/>
        </w:rPr>
      </w:pPr>
    </w:p>
    <w:p w14:paraId="40994B1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methods</w:t>
      </w:r>
    </w:p>
    <w:p w14:paraId="53E2F1FF"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We detected Spondin-2 expression in the sera of patients with cervical cancer or benign uterine lesions and in those of healthy subjects. According to the threshold of Spondin-2 used in cervical cancer diagnosis, patients with cervical cancer were divided into high Spondin-2 and low Spondin-2 groups. Clinicopathological features, immune cytokine levels, and prognosis of patients with different levels of Spondin-2 expression were compared.</w:t>
      </w:r>
    </w:p>
    <w:p w14:paraId="446A9D67" w14:textId="77777777" w:rsidR="00A77B3E" w:rsidRPr="007C0B9B" w:rsidRDefault="00A77B3E" w:rsidP="007C0B9B">
      <w:pPr>
        <w:adjustRightInd w:val="0"/>
        <w:snapToGrid w:val="0"/>
        <w:spacing w:line="360" w:lineRule="auto"/>
        <w:jc w:val="both"/>
        <w:rPr>
          <w:rFonts w:ascii="Book Antiqua" w:hAnsi="Book Antiqua"/>
        </w:rPr>
      </w:pPr>
    </w:p>
    <w:p w14:paraId="4925431F"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results</w:t>
      </w:r>
    </w:p>
    <w:p w14:paraId="358CD9C6" w14:textId="324B6615"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 xml:space="preserve">The serum Spondin-2 expression level was significantly higher in the cervical cancer group than in the benign and control groups. The proportion of patients with </w:t>
      </w:r>
      <w:r w:rsidR="00A11C83" w:rsidRPr="007C0B9B">
        <w:rPr>
          <w:rFonts w:ascii="Book Antiqua" w:eastAsia="Book Antiqua" w:hAnsi="Book Antiqua"/>
          <w:color w:val="000000"/>
        </w:rPr>
        <w:t xml:space="preserve">Federation of Gynecology and Obstetrics </w:t>
      </w:r>
      <w:r w:rsidRPr="007C0B9B">
        <w:rPr>
          <w:rFonts w:ascii="Book Antiqua" w:eastAsia="Book Antiqua" w:hAnsi="Book Antiqua"/>
          <w:color w:val="000000"/>
        </w:rPr>
        <w:t xml:space="preserve">stage III, nerve invasion, vascular invasion, and lymph node metastasis was higher in the high Spondin-2 group than in the low Spondin-2 group. The levels of </w:t>
      </w:r>
      <w:r w:rsidR="000634E0" w:rsidRPr="007C0B9B">
        <w:rPr>
          <w:rFonts w:ascii="Book Antiqua" w:eastAsia="Book Antiqua" w:hAnsi="Book Antiqua"/>
          <w:color w:val="000000"/>
        </w:rPr>
        <w:t>interleukin (</w:t>
      </w:r>
      <w:r w:rsidRPr="007C0B9B">
        <w:rPr>
          <w:rFonts w:ascii="Book Antiqua" w:eastAsia="Book Antiqua" w:hAnsi="Book Antiqua"/>
          <w:color w:val="000000"/>
        </w:rPr>
        <w:t>IL</w:t>
      </w:r>
      <w:r w:rsidR="000634E0" w:rsidRPr="007C0B9B">
        <w:rPr>
          <w:rFonts w:ascii="Book Antiqua" w:eastAsia="Book Antiqua" w:hAnsi="Book Antiqua"/>
          <w:color w:val="000000"/>
        </w:rPr>
        <w:t>)</w:t>
      </w:r>
      <w:r w:rsidRPr="007C0B9B">
        <w:rPr>
          <w:rFonts w:ascii="Book Antiqua" w:eastAsia="Book Antiqua" w:hAnsi="Book Antiqua"/>
          <w:color w:val="000000"/>
        </w:rPr>
        <w:t>-5 and IL-4 were higher in the high Spondin-2 group than in the low Spondin-2 group, whereas the levels of IL-2 and tumor necrosis factor-α were lower in the high Spondin-2 group than in the low Spondin-2 group. After 3 years of follow-up, progression-free survival and overall survival were significantly lower in the high Spondin-2 group than in the low Spondin-2 group.</w:t>
      </w:r>
    </w:p>
    <w:p w14:paraId="778B4EC7" w14:textId="77777777" w:rsidR="00A77B3E" w:rsidRPr="007C0B9B" w:rsidRDefault="00A77B3E" w:rsidP="007C0B9B">
      <w:pPr>
        <w:adjustRightInd w:val="0"/>
        <w:snapToGrid w:val="0"/>
        <w:spacing w:line="360" w:lineRule="auto"/>
        <w:jc w:val="both"/>
        <w:rPr>
          <w:rFonts w:ascii="Book Antiqua" w:hAnsi="Book Antiqua"/>
        </w:rPr>
      </w:pPr>
    </w:p>
    <w:p w14:paraId="365A1DEE"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conclusions</w:t>
      </w:r>
    </w:p>
    <w:p w14:paraId="3A3B1432"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The expression of Spondin-2 in patients with cervical cancer was upregulated, and it was associated with tumor invasion and infiltration, antitumor immune response, and prognosis.</w:t>
      </w:r>
    </w:p>
    <w:p w14:paraId="078288C0" w14:textId="77777777" w:rsidR="00A77B3E" w:rsidRPr="007C0B9B" w:rsidRDefault="00A77B3E" w:rsidP="007C0B9B">
      <w:pPr>
        <w:adjustRightInd w:val="0"/>
        <w:snapToGrid w:val="0"/>
        <w:spacing w:line="360" w:lineRule="auto"/>
        <w:jc w:val="both"/>
        <w:rPr>
          <w:rFonts w:ascii="Book Antiqua" w:hAnsi="Book Antiqua"/>
        </w:rPr>
      </w:pPr>
    </w:p>
    <w:p w14:paraId="35C4E546"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i/>
          <w:color w:val="000000"/>
        </w:rPr>
        <w:t>Research perspectives</w:t>
      </w:r>
    </w:p>
    <w:p w14:paraId="5D9C78C2"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Serum Spondin-2 Levels can be used as a new diagnostic marker and therapeutic target for cervical cancer, providing a theoretical basis for clinical diagnosis and disease evaluation.</w:t>
      </w:r>
    </w:p>
    <w:p w14:paraId="56D18B82" w14:textId="77777777" w:rsidR="00A77B3E" w:rsidRPr="007C0B9B" w:rsidRDefault="00A77B3E" w:rsidP="007C0B9B">
      <w:pPr>
        <w:adjustRightInd w:val="0"/>
        <w:snapToGrid w:val="0"/>
        <w:spacing w:line="360" w:lineRule="auto"/>
        <w:jc w:val="both"/>
        <w:rPr>
          <w:rFonts w:ascii="Book Antiqua" w:hAnsi="Book Antiqua"/>
        </w:rPr>
      </w:pPr>
    </w:p>
    <w:p w14:paraId="3FE1DCAF"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REFERENCES</w:t>
      </w:r>
    </w:p>
    <w:p w14:paraId="1FA6FED1"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 </w:t>
      </w:r>
      <w:proofErr w:type="spellStart"/>
      <w:r w:rsidRPr="007C0B9B">
        <w:rPr>
          <w:rFonts w:ascii="Book Antiqua" w:hAnsi="Book Antiqua"/>
          <w:b/>
          <w:bCs/>
        </w:rPr>
        <w:t>Gnade</w:t>
      </w:r>
      <w:proofErr w:type="spellEnd"/>
      <w:r w:rsidRPr="007C0B9B">
        <w:rPr>
          <w:rFonts w:ascii="Book Antiqua" w:hAnsi="Book Antiqua"/>
          <w:b/>
          <w:bCs/>
        </w:rPr>
        <w:t xml:space="preserve"> CM</w:t>
      </w:r>
      <w:r w:rsidRPr="007C0B9B">
        <w:rPr>
          <w:rFonts w:ascii="Book Antiqua" w:hAnsi="Book Antiqua"/>
        </w:rPr>
        <w:t xml:space="preserve">, Hill EK, </w:t>
      </w:r>
      <w:proofErr w:type="spellStart"/>
      <w:r w:rsidRPr="007C0B9B">
        <w:rPr>
          <w:rFonts w:ascii="Book Antiqua" w:hAnsi="Book Antiqua"/>
        </w:rPr>
        <w:t>Botkin</w:t>
      </w:r>
      <w:proofErr w:type="spellEnd"/>
      <w:r w:rsidRPr="007C0B9B">
        <w:rPr>
          <w:rFonts w:ascii="Book Antiqua" w:hAnsi="Book Antiqua"/>
        </w:rPr>
        <w:t xml:space="preserve"> HE, </w:t>
      </w:r>
      <w:proofErr w:type="spellStart"/>
      <w:r w:rsidRPr="007C0B9B">
        <w:rPr>
          <w:rFonts w:ascii="Book Antiqua" w:hAnsi="Book Antiqua"/>
        </w:rPr>
        <w:t>Hefel</w:t>
      </w:r>
      <w:proofErr w:type="spellEnd"/>
      <w:r w:rsidRPr="007C0B9B">
        <w:rPr>
          <w:rFonts w:ascii="Book Antiqua" w:hAnsi="Book Antiqua"/>
        </w:rPr>
        <w:t xml:space="preserve"> AR, Hansen HE, Sheets KA, Mott SL, Hardy-Fairbanks AJ, Stockdale CK. Is the age of cervical cancer diagnosis changing over time? </w:t>
      </w:r>
      <w:r w:rsidRPr="007C0B9B">
        <w:rPr>
          <w:rFonts w:ascii="Book Antiqua" w:hAnsi="Book Antiqua"/>
          <w:i/>
          <w:iCs/>
        </w:rPr>
        <w:t xml:space="preserve">J </w:t>
      </w:r>
      <w:proofErr w:type="spellStart"/>
      <w:r w:rsidRPr="007C0B9B">
        <w:rPr>
          <w:rFonts w:ascii="Book Antiqua" w:hAnsi="Book Antiqua"/>
          <w:i/>
          <w:iCs/>
        </w:rPr>
        <w:t>Gynecol</w:t>
      </w:r>
      <w:proofErr w:type="spellEnd"/>
      <w:r w:rsidRPr="007C0B9B">
        <w:rPr>
          <w:rFonts w:ascii="Book Antiqua" w:hAnsi="Book Antiqua"/>
          <w:i/>
          <w:iCs/>
        </w:rPr>
        <w:t xml:space="preserve"> </w:t>
      </w:r>
      <w:proofErr w:type="spellStart"/>
      <w:r w:rsidRPr="007C0B9B">
        <w:rPr>
          <w:rFonts w:ascii="Book Antiqua" w:hAnsi="Book Antiqua"/>
          <w:i/>
          <w:iCs/>
        </w:rPr>
        <w:t>Obstet</w:t>
      </w:r>
      <w:proofErr w:type="spellEnd"/>
      <w:r w:rsidRPr="007C0B9B">
        <w:rPr>
          <w:rFonts w:ascii="Book Antiqua" w:hAnsi="Book Antiqua"/>
          <w:i/>
          <w:iCs/>
        </w:rPr>
        <w:t xml:space="preserve"> Hum </w:t>
      </w:r>
      <w:proofErr w:type="spellStart"/>
      <w:r w:rsidRPr="007C0B9B">
        <w:rPr>
          <w:rFonts w:ascii="Book Antiqua" w:hAnsi="Book Antiqua"/>
          <w:i/>
          <w:iCs/>
        </w:rPr>
        <w:t>Reprod</w:t>
      </w:r>
      <w:proofErr w:type="spellEnd"/>
      <w:r w:rsidRPr="007C0B9B">
        <w:rPr>
          <w:rFonts w:ascii="Book Antiqua" w:hAnsi="Book Antiqua"/>
        </w:rPr>
        <w:t xml:space="preserve"> 2021; </w:t>
      </w:r>
      <w:r w:rsidRPr="007C0B9B">
        <w:rPr>
          <w:rFonts w:ascii="Book Antiqua" w:hAnsi="Book Antiqua"/>
          <w:b/>
          <w:bCs/>
        </w:rPr>
        <w:t>50</w:t>
      </w:r>
      <w:r w:rsidRPr="007C0B9B">
        <w:rPr>
          <w:rFonts w:ascii="Book Antiqua" w:hAnsi="Book Antiqua"/>
        </w:rPr>
        <w:t>: 102040 [PMID: 33316464 DOI: 10.1016/j.jogoh.2020.102040]</w:t>
      </w:r>
    </w:p>
    <w:p w14:paraId="648A5DC2"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2 </w:t>
      </w:r>
      <w:r w:rsidRPr="007C0B9B">
        <w:rPr>
          <w:rFonts w:ascii="Book Antiqua" w:hAnsi="Book Antiqua"/>
          <w:b/>
          <w:bCs/>
        </w:rPr>
        <w:t>Wang Y</w:t>
      </w:r>
      <w:r w:rsidRPr="007C0B9B">
        <w:rPr>
          <w:rFonts w:ascii="Book Antiqua" w:hAnsi="Book Antiqua"/>
        </w:rPr>
        <w:t xml:space="preserve">, He M, Zhang G, Cao K, Yang M, Zhang H, Liu H. The immune landscape during the tumorigenesis of cervical cancer. </w:t>
      </w:r>
      <w:r w:rsidRPr="007C0B9B">
        <w:rPr>
          <w:rFonts w:ascii="Book Antiqua" w:hAnsi="Book Antiqua"/>
          <w:i/>
          <w:iCs/>
        </w:rPr>
        <w:t>Cancer Med</w:t>
      </w:r>
      <w:r w:rsidRPr="007C0B9B">
        <w:rPr>
          <w:rFonts w:ascii="Book Antiqua" w:hAnsi="Book Antiqua"/>
        </w:rPr>
        <w:t xml:space="preserve"> 2021; </w:t>
      </w:r>
      <w:r w:rsidRPr="007C0B9B">
        <w:rPr>
          <w:rFonts w:ascii="Book Antiqua" w:hAnsi="Book Antiqua"/>
          <w:b/>
          <w:bCs/>
        </w:rPr>
        <w:t>10</w:t>
      </w:r>
      <w:r w:rsidRPr="007C0B9B">
        <w:rPr>
          <w:rFonts w:ascii="Book Antiqua" w:hAnsi="Book Antiqua"/>
        </w:rPr>
        <w:t>: 2380-2395 [PMID: 33694292 DOI: 10.1002/cam4.3833]</w:t>
      </w:r>
    </w:p>
    <w:p w14:paraId="2B3BC068"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3 </w:t>
      </w:r>
      <w:r w:rsidRPr="007C0B9B">
        <w:rPr>
          <w:rFonts w:ascii="Book Antiqua" w:hAnsi="Book Antiqua"/>
          <w:b/>
          <w:bCs/>
        </w:rPr>
        <w:t>Li Y</w:t>
      </w:r>
      <w:r w:rsidRPr="007C0B9B">
        <w:rPr>
          <w:rFonts w:ascii="Book Antiqua" w:hAnsi="Book Antiqua"/>
        </w:rPr>
        <w:t xml:space="preserve">, Lu S, Wang S, Peng X, Lang J. Identification of immune subtypes of cervical squamous cell carcinoma predicting prognosis and immunotherapy responses. </w:t>
      </w:r>
      <w:r w:rsidRPr="007C0B9B">
        <w:rPr>
          <w:rFonts w:ascii="Book Antiqua" w:hAnsi="Book Antiqua"/>
          <w:i/>
          <w:iCs/>
        </w:rPr>
        <w:t xml:space="preserve">J </w:t>
      </w:r>
      <w:proofErr w:type="spellStart"/>
      <w:r w:rsidRPr="007C0B9B">
        <w:rPr>
          <w:rFonts w:ascii="Book Antiqua" w:hAnsi="Book Antiqua"/>
          <w:i/>
          <w:iCs/>
        </w:rPr>
        <w:t>Transl</w:t>
      </w:r>
      <w:proofErr w:type="spellEnd"/>
      <w:r w:rsidRPr="007C0B9B">
        <w:rPr>
          <w:rFonts w:ascii="Book Antiqua" w:hAnsi="Book Antiqua"/>
          <w:i/>
          <w:iCs/>
        </w:rPr>
        <w:t xml:space="preserve"> Med</w:t>
      </w:r>
      <w:r w:rsidRPr="007C0B9B">
        <w:rPr>
          <w:rFonts w:ascii="Book Antiqua" w:hAnsi="Book Antiqua"/>
        </w:rPr>
        <w:t xml:space="preserve"> 2021; </w:t>
      </w:r>
      <w:r w:rsidRPr="007C0B9B">
        <w:rPr>
          <w:rFonts w:ascii="Book Antiqua" w:hAnsi="Book Antiqua"/>
          <w:b/>
          <w:bCs/>
        </w:rPr>
        <w:t>19</w:t>
      </w:r>
      <w:r w:rsidRPr="007C0B9B">
        <w:rPr>
          <w:rFonts w:ascii="Book Antiqua" w:hAnsi="Book Antiqua"/>
        </w:rPr>
        <w:t>: 222 [PMID: 34030694 DOI: 10.1186/s12967-021-02894-3]</w:t>
      </w:r>
    </w:p>
    <w:p w14:paraId="2E5122F5"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4 </w:t>
      </w:r>
      <w:r w:rsidRPr="007C0B9B">
        <w:rPr>
          <w:rFonts w:ascii="Book Antiqua" w:hAnsi="Book Antiqua"/>
          <w:b/>
          <w:bCs/>
        </w:rPr>
        <w:t>Zhu BP</w:t>
      </w:r>
      <w:r w:rsidRPr="007C0B9B">
        <w:rPr>
          <w:rFonts w:ascii="Book Antiqua" w:hAnsi="Book Antiqua"/>
        </w:rPr>
        <w:t xml:space="preserve">, Guo ZQ, Lin L, Liu Q. Serum BSP, PSADT, and Spondin-2 levels in prostate cancer and the diagnostic significance of their ROC curves in bone metastasis. </w:t>
      </w:r>
      <w:proofErr w:type="spellStart"/>
      <w:r w:rsidRPr="007C0B9B">
        <w:rPr>
          <w:rFonts w:ascii="Book Antiqua" w:hAnsi="Book Antiqua"/>
          <w:i/>
          <w:iCs/>
        </w:rPr>
        <w:t>Eur</w:t>
      </w:r>
      <w:proofErr w:type="spellEnd"/>
      <w:r w:rsidRPr="007C0B9B">
        <w:rPr>
          <w:rFonts w:ascii="Book Antiqua" w:hAnsi="Book Antiqua"/>
          <w:i/>
          <w:iCs/>
        </w:rPr>
        <w:t xml:space="preserve"> Rev Med </w:t>
      </w:r>
      <w:proofErr w:type="spellStart"/>
      <w:r w:rsidRPr="007C0B9B">
        <w:rPr>
          <w:rFonts w:ascii="Book Antiqua" w:hAnsi="Book Antiqua"/>
          <w:i/>
          <w:iCs/>
        </w:rPr>
        <w:t>Pharmacol</w:t>
      </w:r>
      <w:proofErr w:type="spellEnd"/>
      <w:r w:rsidRPr="007C0B9B">
        <w:rPr>
          <w:rFonts w:ascii="Book Antiqua" w:hAnsi="Book Antiqua"/>
          <w:i/>
          <w:iCs/>
        </w:rPr>
        <w:t xml:space="preserve"> Sci</w:t>
      </w:r>
      <w:r w:rsidRPr="007C0B9B">
        <w:rPr>
          <w:rFonts w:ascii="Book Antiqua" w:hAnsi="Book Antiqua"/>
        </w:rPr>
        <w:t xml:space="preserve"> 2017; </w:t>
      </w:r>
      <w:r w:rsidRPr="007C0B9B">
        <w:rPr>
          <w:rFonts w:ascii="Book Antiqua" w:hAnsi="Book Antiqua"/>
          <w:b/>
          <w:bCs/>
        </w:rPr>
        <w:t>21</w:t>
      </w:r>
      <w:r w:rsidRPr="007C0B9B">
        <w:rPr>
          <w:rFonts w:ascii="Book Antiqua" w:hAnsi="Book Antiqua"/>
        </w:rPr>
        <w:t>: 61-67 [PMID: 28121355]</w:t>
      </w:r>
    </w:p>
    <w:p w14:paraId="79B6EE49"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5 </w:t>
      </w:r>
      <w:r w:rsidRPr="007C0B9B">
        <w:rPr>
          <w:rFonts w:ascii="Book Antiqua" w:hAnsi="Book Antiqua"/>
          <w:b/>
          <w:bCs/>
        </w:rPr>
        <w:t>Yuan X</w:t>
      </w:r>
      <w:r w:rsidRPr="007C0B9B">
        <w:rPr>
          <w:rFonts w:ascii="Book Antiqua" w:hAnsi="Book Antiqua"/>
        </w:rPr>
        <w:t xml:space="preserve">, </w:t>
      </w:r>
      <w:proofErr w:type="spellStart"/>
      <w:r w:rsidRPr="007C0B9B">
        <w:rPr>
          <w:rFonts w:ascii="Book Antiqua" w:hAnsi="Book Antiqua"/>
        </w:rPr>
        <w:t>Bian</w:t>
      </w:r>
      <w:proofErr w:type="spellEnd"/>
      <w:r w:rsidRPr="007C0B9B">
        <w:rPr>
          <w:rFonts w:ascii="Book Antiqua" w:hAnsi="Book Antiqua"/>
        </w:rPr>
        <w:t xml:space="preserve"> T, Liu J, </w:t>
      </w:r>
      <w:proofErr w:type="spellStart"/>
      <w:r w:rsidRPr="007C0B9B">
        <w:rPr>
          <w:rFonts w:ascii="Book Antiqua" w:hAnsi="Book Antiqua"/>
        </w:rPr>
        <w:t>Ke</w:t>
      </w:r>
      <w:proofErr w:type="spellEnd"/>
      <w:r w:rsidRPr="007C0B9B">
        <w:rPr>
          <w:rFonts w:ascii="Book Antiqua" w:hAnsi="Book Antiqua"/>
        </w:rPr>
        <w:t xml:space="preserve"> H, </w:t>
      </w:r>
      <w:proofErr w:type="spellStart"/>
      <w:r w:rsidRPr="007C0B9B">
        <w:rPr>
          <w:rFonts w:ascii="Book Antiqua" w:hAnsi="Book Antiqua"/>
        </w:rPr>
        <w:t>Feng</w:t>
      </w:r>
      <w:proofErr w:type="spellEnd"/>
      <w:r w:rsidRPr="007C0B9B">
        <w:rPr>
          <w:rFonts w:ascii="Book Antiqua" w:hAnsi="Book Antiqua"/>
        </w:rPr>
        <w:t xml:space="preserve"> J, Zhang Q, Qian L, Li X, Liu Y, Zhang J. Spondin2 is a new prognostic biomarker for lung adenocarcinoma. </w:t>
      </w:r>
      <w:proofErr w:type="spellStart"/>
      <w:r w:rsidRPr="007C0B9B">
        <w:rPr>
          <w:rFonts w:ascii="Book Antiqua" w:hAnsi="Book Antiqua"/>
          <w:i/>
          <w:iCs/>
        </w:rPr>
        <w:t>Oncotarget</w:t>
      </w:r>
      <w:proofErr w:type="spellEnd"/>
      <w:r w:rsidRPr="007C0B9B">
        <w:rPr>
          <w:rFonts w:ascii="Book Antiqua" w:hAnsi="Book Antiqua"/>
        </w:rPr>
        <w:t xml:space="preserve"> 2017; </w:t>
      </w:r>
      <w:r w:rsidRPr="007C0B9B">
        <w:rPr>
          <w:rFonts w:ascii="Book Antiqua" w:hAnsi="Book Antiqua"/>
          <w:b/>
          <w:bCs/>
        </w:rPr>
        <w:t>8</w:t>
      </w:r>
      <w:r w:rsidRPr="007C0B9B">
        <w:rPr>
          <w:rFonts w:ascii="Book Antiqua" w:hAnsi="Book Antiqua"/>
        </w:rPr>
        <w:t>: 59324-59332 [PMID: 28938639 DOI: 10.18632/oncotarget.19577]</w:t>
      </w:r>
    </w:p>
    <w:p w14:paraId="79E06C30"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6 </w:t>
      </w:r>
      <w:proofErr w:type="spellStart"/>
      <w:r w:rsidRPr="007C0B9B">
        <w:rPr>
          <w:rFonts w:ascii="Book Antiqua" w:hAnsi="Book Antiqua"/>
          <w:b/>
          <w:bCs/>
        </w:rPr>
        <w:t>Koh</w:t>
      </w:r>
      <w:proofErr w:type="spellEnd"/>
      <w:r w:rsidRPr="007C0B9B">
        <w:rPr>
          <w:rFonts w:ascii="Book Antiqua" w:hAnsi="Book Antiqua"/>
          <w:b/>
          <w:bCs/>
        </w:rPr>
        <w:t xml:space="preserve"> WJ</w:t>
      </w:r>
      <w:r w:rsidRPr="007C0B9B">
        <w:rPr>
          <w:rFonts w:ascii="Book Antiqua" w:hAnsi="Book Antiqua"/>
        </w:rPr>
        <w:t>, Abu-</w:t>
      </w:r>
      <w:proofErr w:type="spellStart"/>
      <w:r w:rsidRPr="007C0B9B">
        <w:rPr>
          <w:rFonts w:ascii="Book Antiqua" w:hAnsi="Book Antiqua"/>
        </w:rPr>
        <w:t>Rustum</w:t>
      </w:r>
      <w:proofErr w:type="spellEnd"/>
      <w:r w:rsidRPr="007C0B9B">
        <w:rPr>
          <w:rFonts w:ascii="Book Antiqua" w:hAnsi="Book Antiqua"/>
        </w:rPr>
        <w:t xml:space="preserve"> NR, Bean S, Bradley K, Campos SM, Cho KR, Chon HS, Chu C, Clark R, Cohn D, </w:t>
      </w:r>
      <w:proofErr w:type="spellStart"/>
      <w:r w:rsidRPr="007C0B9B">
        <w:rPr>
          <w:rFonts w:ascii="Book Antiqua" w:hAnsi="Book Antiqua"/>
        </w:rPr>
        <w:t>Crispens</w:t>
      </w:r>
      <w:proofErr w:type="spellEnd"/>
      <w:r w:rsidRPr="007C0B9B">
        <w:rPr>
          <w:rFonts w:ascii="Book Antiqua" w:hAnsi="Book Antiqua"/>
        </w:rPr>
        <w:t xml:space="preserve"> MA, </w:t>
      </w:r>
      <w:proofErr w:type="spellStart"/>
      <w:r w:rsidRPr="007C0B9B">
        <w:rPr>
          <w:rFonts w:ascii="Book Antiqua" w:hAnsi="Book Antiqua"/>
        </w:rPr>
        <w:t>Damast</w:t>
      </w:r>
      <w:proofErr w:type="spellEnd"/>
      <w:r w:rsidRPr="007C0B9B">
        <w:rPr>
          <w:rFonts w:ascii="Book Antiqua" w:hAnsi="Book Antiqua"/>
        </w:rPr>
        <w:t xml:space="preserve"> S, </w:t>
      </w:r>
      <w:proofErr w:type="spellStart"/>
      <w:r w:rsidRPr="007C0B9B">
        <w:rPr>
          <w:rFonts w:ascii="Book Antiqua" w:hAnsi="Book Antiqua"/>
        </w:rPr>
        <w:t>Dorigo</w:t>
      </w:r>
      <w:proofErr w:type="spellEnd"/>
      <w:r w:rsidRPr="007C0B9B">
        <w:rPr>
          <w:rFonts w:ascii="Book Antiqua" w:hAnsi="Book Antiqua"/>
        </w:rPr>
        <w:t xml:space="preserve"> O, Eifel PJ, Fisher CM, Frederick P, Gaffney DK, Han E, Huh WK, </w:t>
      </w:r>
      <w:proofErr w:type="spellStart"/>
      <w:r w:rsidRPr="007C0B9B">
        <w:rPr>
          <w:rFonts w:ascii="Book Antiqua" w:hAnsi="Book Antiqua"/>
        </w:rPr>
        <w:t>Lurain</w:t>
      </w:r>
      <w:proofErr w:type="spellEnd"/>
      <w:r w:rsidRPr="007C0B9B">
        <w:rPr>
          <w:rFonts w:ascii="Book Antiqua" w:hAnsi="Book Antiqua"/>
        </w:rPr>
        <w:t xml:space="preserve"> JR, </w:t>
      </w:r>
      <w:proofErr w:type="spellStart"/>
      <w:r w:rsidRPr="007C0B9B">
        <w:rPr>
          <w:rFonts w:ascii="Book Antiqua" w:hAnsi="Book Antiqua"/>
        </w:rPr>
        <w:t>Mariani</w:t>
      </w:r>
      <w:proofErr w:type="spellEnd"/>
      <w:r w:rsidRPr="007C0B9B">
        <w:rPr>
          <w:rFonts w:ascii="Book Antiqua" w:hAnsi="Book Antiqua"/>
        </w:rPr>
        <w:t xml:space="preserve"> A, </w:t>
      </w:r>
      <w:proofErr w:type="spellStart"/>
      <w:r w:rsidRPr="007C0B9B">
        <w:rPr>
          <w:rFonts w:ascii="Book Antiqua" w:hAnsi="Book Antiqua"/>
        </w:rPr>
        <w:t>Mutch</w:t>
      </w:r>
      <w:proofErr w:type="spellEnd"/>
      <w:r w:rsidRPr="007C0B9B">
        <w:rPr>
          <w:rFonts w:ascii="Book Antiqua" w:hAnsi="Book Antiqua"/>
        </w:rPr>
        <w:t xml:space="preserve"> D, Nagel C, </w:t>
      </w:r>
      <w:proofErr w:type="spellStart"/>
      <w:r w:rsidRPr="007C0B9B">
        <w:rPr>
          <w:rFonts w:ascii="Book Antiqua" w:hAnsi="Book Antiqua"/>
        </w:rPr>
        <w:t>Nekhlyudov</w:t>
      </w:r>
      <w:proofErr w:type="spellEnd"/>
      <w:r w:rsidRPr="007C0B9B">
        <w:rPr>
          <w:rFonts w:ascii="Book Antiqua" w:hAnsi="Book Antiqua"/>
        </w:rPr>
        <w:t xml:space="preserve"> L, Fader AN, </w:t>
      </w:r>
      <w:proofErr w:type="spellStart"/>
      <w:r w:rsidRPr="007C0B9B">
        <w:rPr>
          <w:rFonts w:ascii="Book Antiqua" w:hAnsi="Book Antiqua"/>
        </w:rPr>
        <w:t>Remmenga</w:t>
      </w:r>
      <w:proofErr w:type="spellEnd"/>
      <w:r w:rsidRPr="007C0B9B">
        <w:rPr>
          <w:rFonts w:ascii="Book Antiqua" w:hAnsi="Book Antiqua"/>
        </w:rPr>
        <w:t xml:space="preserve"> SW, Reynolds RK, </w:t>
      </w:r>
      <w:proofErr w:type="spellStart"/>
      <w:r w:rsidRPr="007C0B9B">
        <w:rPr>
          <w:rFonts w:ascii="Book Antiqua" w:hAnsi="Book Antiqua"/>
        </w:rPr>
        <w:t>Tillmanns</w:t>
      </w:r>
      <w:proofErr w:type="spellEnd"/>
      <w:r w:rsidRPr="007C0B9B">
        <w:rPr>
          <w:rFonts w:ascii="Book Antiqua" w:hAnsi="Book Antiqua"/>
        </w:rPr>
        <w:t xml:space="preserve"> T, Ueda S, Wyse E, Yashar CM, McMillian NR, </w:t>
      </w:r>
      <w:proofErr w:type="spellStart"/>
      <w:r w:rsidRPr="007C0B9B">
        <w:rPr>
          <w:rFonts w:ascii="Book Antiqua" w:hAnsi="Book Antiqua"/>
        </w:rPr>
        <w:t>Scavone</w:t>
      </w:r>
      <w:proofErr w:type="spellEnd"/>
      <w:r w:rsidRPr="007C0B9B">
        <w:rPr>
          <w:rFonts w:ascii="Book Antiqua" w:hAnsi="Book Antiqua"/>
        </w:rPr>
        <w:t xml:space="preserve"> JL. Cervical Cancer, Version 3.2019, NCCN Clinical Practice Guidelines in Oncology. </w:t>
      </w:r>
      <w:r w:rsidRPr="007C0B9B">
        <w:rPr>
          <w:rFonts w:ascii="Book Antiqua" w:hAnsi="Book Antiqua"/>
          <w:i/>
          <w:iCs/>
        </w:rPr>
        <w:t xml:space="preserve">J </w:t>
      </w:r>
      <w:proofErr w:type="spellStart"/>
      <w:r w:rsidRPr="007C0B9B">
        <w:rPr>
          <w:rFonts w:ascii="Book Antiqua" w:hAnsi="Book Antiqua"/>
          <w:i/>
          <w:iCs/>
        </w:rPr>
        <w:t>Natl</w:t>
      </w:r>
      <w:proofErr w:type="spellEnd"/>
      <w:r w:rsidRPr="007C0B9B">
        <w:rPr>
          <w:rFonts w:ascii="Book Antiqua" w:hAnsi="Book Antiqua"/>
          <w:i/>
          <w:iCs/>
        </w:rPr>
        <w:t xml:space="preserve"> </w:t>
      </w:r>
      <w:proofErr w:type="spellStart"/>
      <w:r w:rsidRPr="007C0B9B">
        <w:rPr>
          <w:rFonts w:ascii="Book Antiqua" w:hAnsi="Book Antiqua"/>
          <w:i/>
          <w:iCs/>
        </w:rPr>
        <w:t>Compr</w:t>
      </w:r>
      <w:proofErr w:type="spellEnd"/>
      <w:r w:rsidRPr="007C0B9B">
        <w:rPr>
          <w:rFonts w:ascii="Book Antiqua" w:hAnsi="Book Antiqua"/>
          <w:i/>
          <w:iCs/>
        </w:rPr>
        <w:t xml:space="preserve"> </w:t>
      </w:r>
      <w:proofErr w:type="spellStart"/>
      <w:r w:rsidRPr="007C0B9B">
        <w:rPr>
          <w:rFonts w:ascii="Book Antiqua" w:hAnsi="Book Antiqua"/>
          <w:i/>
          <w:iCs/>
        </w:rPr>
        <w:t>Canc</w:t>
      </w:r>
      <w:proofErr w:type="spellEnd"/>
      <w:r w:rsidRPr="007C0B9B">
        <w:rPr>
          <w:rFonts w:ascii="Book Antiqua" w:hAnsi="Book Antiqua"/>
          <w:i/>
          <w:iCs/>
        </w:rPr>
        <w:t xml:space="preserve"> </w:t>
      </w:r>
      <w:proofErr w:type="spellStart"/>
      <w:r w:rsidRPr="007C0B9B">
        <w:rPr>
          <w:rFonts w:ascii="Book Antiqua" w:hAnsi="Book Antiqua"/>
          <w:i/>
          <w:iCs/>
        </w:rPr>
        <w:t>Netw</w:t>
      </w:r>
      <w:proofErr w:type="spellEnd"/>
      <w:r w:rsidRPr="007C0B9B">
        <w:rPr>
          <w:rFonts w:ascii="Book Antiqua" w:hAnsi="Book Antiqua"/>
        </w:rPr>
        <w:t xml:space="preserve"> 2019; </w:t>
      </w:r>
      <w:r w:rsidRPr="007C0B9B">
        <w:rPr>
          <w:rFonts w:ascii="Book Antiqua" w:hAnsi="Book Antiqua"/>
          <w:b/>
          <w:bCs/>
        </w:rPr>
        <w:t>17</w:t>
      </w:r>
      <w:r w:rsidRPr="007C0B9B">
        <w:rPr>
          <w:rFonts w:ascii="Book Antiqua" w:hAnsi="Book Antiqua"/>
        </w:rPr>
        <w:t>: 64-84 [PMID: 30659131 DOI: 10.6004/jnccn.2019.0001]</w:t>
      </w:r>
    </w:p>
    <w:p w14:paraId="31A36F70"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7 </w:t>
      </w:r>
      <w:r w:rsidRPr="007C0B9B">
        <w:rPr>
          <w:rFonts w:ascii="Book Antiqua" w:hAnsi="Book Antiqua"/>
          <w:b/>
          <w:bCs/>
        </w:rPr>
        <w:t>Liu Z</w:t>
      </w:r>
      <w:r w:rsidRPr="007C0B9B">
        <w:rPr>
          <w:rFonts w:ascii="Book Antiqua" w:hAnsi="Book Antiqua"/>
        </w:rPr>
        <w:t xml:space="preserve">, Yang X, Liu R, Bao J, An N, Jiang S, Miao S, Guo C, Qu G, Meng H. Phototherapy together with it triggered immunological response for Anti-HPV treatment of oropharyngeal cancer: Removing tumor and pathogenic virus </w:t>
      </w:r>
      <w:r w:rsidRPr="007C0B9B">
        <w:rPr>
          <w:rFonts w:ascii="Book Antiqua" w:hAnsi="Book Antiqua"/>
        </w:rPr>
        <w:lastRenderedPageBreak/>
        <w:t xml:space="preserve">simultaneously. </w:t>
      </w:r>
      <w:r w:rsidRPr="007C0B9B">
        <w:rPr>
          <w:rFonts w:ascii="Book Antiqua" w:hAnsi="Book Antiqua"/>
          <w:i/>
          <w:iCs/>
        </w:rPr>
        <w:t>Biomaterials</w:t>
      </w:r>
      <w:r w:rsidRPr="007C0B9B">
        <w:rPr>
          <w:rFonts w:ascii="Book Antiqua" w:hAnsi="Book Antiqua"/>
        </w:rPr>
        <w:t xml:space="preserve"> 2021; </w:t>
      </w:r>
      <w:r w:rsidRPr="007C0B9B">
        <w:rPr>
          <w:rFonts w:ascii="Book Antiqua" w:hAnsi="Book Antiqua"/>
          <w:b/>
          <w:bCs/>
        </w:rPr>
        <w:t>272</w:t>
      </w:r>
      <w:r w:rsidRPr="007C0B9B">
        <w:rPr>
          <w:rFonts w:ascii="Book Antiqua" w:hAnsi="Book Antiqua"/>
        </w:rPr>
        <w:t>: 120777 [PMID: 33813258 DOI: 10.1016/j.biomaterials.2021.120777]</w:t>
      </w:r>
    </w:p>
    <w:p w14:paraId="65F6FB38"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8 </w:t>
      </w:r>
      <w:r w:rsidRPr="007C0B9B">
        <w:rPr>
          <w:rFonts w:ascii="Book Antiqua" w:hAnsi="Book Antiqua"/>
          <w:b/>
          <w:bCs/>
        </w:rPr>
        <w:t>Ding W</w:t>
      </w:r>
      <w:r w:rsidRPr="007C0B9B">
        <w:rPr>
          <w:rFonts w:ascii="Book Antiqua" w:hAnsi="Book Antiqua"/>
        </w:rPr>
        <w:t xml:space="preserve">, Ma Y, Ma C, Malone DC, Ma A, Tang W, Si L. The Lifetime Cost Estimation of Human Papillomavirus-related Diseases in China: A Modeling Study. </w:t>
      </w:r>
      <w:r w:rsidRPr="007C0B9B">
        <w:rPr>
          <w:rFonts w:ascii="Book Antiqua" w:hAnsi="Book Antiqua"/>
          <w:i/>
          <w:iCs/>
        </w:rPr>
        <w:t xml:space="preserve">J </w:t>
      </w:r>
      <w:proofErr w:type="spellStart"/>
      <w:r w:rsidRPr="007C0B9B">
        <w:rPr>
          <w:rFonts w:ascii="Book Antiqua" w:hAnsi="Book Antiqua"/>
          <w:i/>
          <w:iCs/>
        </w:rPr>
        <w:t>Transl</w:t>
      </w:r>
      <w:proofErr w:type="spellEnd"/>
      <w:r w:rsidRPr="007C0B9B">
        <w:rPr>
          <w:rFonts w:ascii="Book Antiqua" w:hAnsi="Book Antiqua"/>
          <w:i/>
          <w:iCs/>
        </w:rPr>
        <w:t xml:space="preserve"> </w:t>
      </w:r>
      <w:proofErr w:type="spellStart"/>
      <w:r w:rsidRPr="007C0B9B">
        <w:rPr>
          <w:rFonts w:ascii="Book Antiqua" w:hAnsi="Book Antiqua"/>
          <w:i/>
          <w:iCs/>
        </w:rPr>
        <w:t>Int</w:t>
      </w:r>
      <w:proofErr w:type="spellEnd"/>
      <w:r w:rsidRPr="007C0B9B">
        <w:rPr>
          <w:rFonts w:ascii="Book Antiqua" w:hAnsi="Book Antiqua"/>
          <w:i/>
          <w:iCs/>
        </w:rPr>
        <w:t xml:space="preserve"> Med</w:t>
      </w:r>
      <w:r w:rsidRPr="007C0B9B">
        <w:rPr>
          <w:rFonts w:ascii="Book Antiqua" w:hAnsi="Book Antiqua"/>
        </w:rPr>
        <w:t xml:space="preserve"> 2021; </w:t>
      </w:r>
      <w:r w:rsidRPr="007C0B9B">
        <w:rPr>
          <w:rFonts w:ascii="Book Antiqua" w:hAnsi="Book Antiqua"/>
          <w:b/>
          <w:bCs/>
        </w:rPr>
        <w:t>9</w:t>
      </w:r>
      <w:r w:rsidRPr="007C0B9B">
        <w:rPr>
          <w:rFonts w:ascii="Book Antiqua" w:hAnsi="Book Antiqua"/>
        </w:rPr>
        <w:t>: 200-211 [PMID: 34900631 DOI: 10.2478/jtim-2021-0039]</w:t>
      </w:r>
    </w:p>
    <w:p w14:paraId="4F1083E3"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9 </w:t>
      </w:r>
      <w:r w:rsidRPr="007C0B9B">
        <w:rPr>
          <w:rFonts w:ascii="Book Antiqua" w:hAnsi="Book Antiqua"/>
          <w:b/>
          <w:bCs/>
        </w:rPr>
        <w:t>Wang Y</w:t>
      </w:r>
      <w:r w:rsidRPr="007C0B9B">
        <w:rPr>
          <w:rFonts w:ascii="Book Antiqua" w:hAnsi="Book Antiqua"/>
        </w:rPr>
        <w:t xml:space="preserve">, </w:t>
      </w:r>
      <w:proofErr w:type="spellStart"/>
      <w:r w:rsidRPr="007C0B9B">
        <w:rPr>
          <w:rFonts w:ascii="Book Antiqua" w:hAnsi="Book Antiqua"/>
        </w:rPr>
        <w:t>Hou</w:t>
      </w:r>
      <w:proofErr w:type="spellEnd"/>
      <w:r w:rsidRPr="007C0B9B">
        <w:rPr>
          <w:rFonts w:ascii="Book Antiqua" w:hAnsi="Book Antiqua"/>
        </w:rPr>
        <w:t xml:space="preserve"> K, Jin Y, </w:t>
      </w:r>
      <w:proofErr w:type="spellStart"/>
      <w:r w:rsidRPr="007C0B9B">
        <w:rPr>
          <w:rFonts w:ascii="Book Antiqua" w:hAnsi="Book Antiqua"/>
        </w:rPr>
        <w:t>Bao</w:t>
      </w:r>
      <w:proofErr w:type="spellEnd"/>
      <w:r w:rsidRPr="007C0B9B">
        <w:rPr>
          <w:rFonts w:ascii="Book Antiqua" w:hAnsi="Book Antiqua"/>
        </w:rPr>
        <w:t xml:space="preserve"> B, Tang S, Qi J, Yang Y, Che X, Liu Y, Hu X, Zheng C. Lung adenocarcinoma-specific three-integrin signature contributes to poor outcomes by metastasis and immune escape pathways. </w:t>
      </w:r>
      <w:r w:rsidRPr="007C0B9B">
        <w:rPr>
          <w:rFonts w:ascii="Book Antiqua" w:hAnsi="Book Antiqua"/>
          <w:i/>
          <w:iCs/>
        </w:rPr>
        <w:t xml:space="preserve">J </w:t>
      </w:r>
      <w:proofErr w:type="spellStart"/>
      <w:r w:rsidRPr="007C0B9B">
        <w:rPr>
          <w:rFonts w:ascii="Book Antiqua" w:hAnsi="Book Antiqua"/>
          <w:i/>
          <w:iCs/>
        </w:rPr>
        <w:t>Transl</w:t>
      </w:r>
      <w:proofErr w:type="spellEnd"/>
      <w:r w:rsidRPr="007C0B9B">
        <w:rPr>
          <w:rFonts w:ascii="Book Antiqua" w:hAnsi="Book Antiqua"/>
          <w:i/>
          <w:iCs/>
        </w:rPr>
        <w:t xml:space="preserve"> </w:t>
      </w:r>
      <w:proofErr w:type="spellStart"/>
      <w:r w:rsidRPr="007C0B9B">
        <w:rPr>
          <w:rFonts w:ascii="Book Antiqua" w:hAnsi="Book Antiqua"/>
          <w:i/>
          <w:iCs/>
        </w:rPr>
        <w:t>Int</w:t>
      </w:r>
      <w:proofErr w:type="spellEnd"/>
      <w:r w:rsidRPr="007C0B9B">
        <w:rPr>
          <w:rFonts w:ascii="Book Antiqua" w:hAnsi="Book Antiqua"/>
          <w:i/>
          <w:iCs/>
        </w:rPr>
        <w:t xml:space="preserve"> Med</w:t>
      </w:r>
      <w:r w:rsidRPr="007C0B9B">
        <w:rPr>
          <w:rFonts w:ascii="Book Antiqua" w:hAnsi="Book Antiqua"/>
        </w:rPr>
        <w:t xml:space="preserve"> 2021; </w:t>
      </w:r>
      <w:r w:rsidRPr="007C0B9B">
        <w:rPr>
          <w:rFonts w:ascii="Book Antiqua" w:hAnsi="Book Antiqua"/>
          <w:b/>
          <w:bCs/>
        </w:rPr>
        <w:t>9</w:t>
      </w:r>
      <w:r w:rsidRPr="007C0B9B">
        <w:rPr>
          <w:rFonts w:ascii="Book Antiqua" w:hAnsi="Book Antiqua"/>
        </w:rPr>
        <w:t>: 249-263 [PMID: 35136724 DOI: 10.2478/jtim-2021-0046]</w:t>
      </w:r>
    </w:p>
    <w:p w14:paraId="47A06E8F"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10 </w:t>
      </w:r>
      <w:proofErr w:type="spellStart"/>
      <w:r w:rsidRPr="007C0B9B">
        <w:rPr>
          <w:rFonts w:ascii="Book Antiqua" w:hAnsi="Book Antiqua"/>
          <w:b/>
          <w:bCs/>
        </w:rPr>
        <w:t>Dejima</w:t>
      </w:r>
      <w:proofErr w:type="spellEnd"/>
      <w:r w:rsidRPr="007C0B9B">
        <w:rPr>
          <w:rFonts w:ascii="Book Antiqua" w:hAnsi="Book Antiqua"/>
          <w:b/>
          <w:bCs/>
        </w:rPr>
        <w:t xml:space="preserve"> H</w:t>
      </w:r>
      <w:r w:rsidRPr="007C0B9B">
        <w:rPr>
          <w:rFonts w:ascii="Book Antiqua" w:hAnsi="Book Antiqua"/>
        </w:rPr>
        <w:t xml:space="preserve">, Hu X, Chen R, Zhang J, Fujimoto J, Parra ER, Haymaker C, Hubert SM, </w:t>
      </w:r>
      <w:proofErr w:type="spellStart"/>
      <w:r w:rsidRPr="007C0B9B">
        <w:rPr>
          <w:rFonts w:ascii="Book Antiqua" w:hAnsi="Book Antiqua"/>
        </w:rPr>
        <w:t>Duose</w:t>
      </w:r>
      <w:proofErr w:type="spellEnd"/>
      <w:r w:rsidRPr="007C0B9B">
        <w:rPr>
          <w:rFonts w:ascii="Book Antiqua" w:hAnsi="Book Antiqua"/>
        </w:rPr>
        <w:t xml:space="preserve"> D, Solis LM, Su D, Fukuoka J, Tabata K, Pham HHN, </w:t>
      </w:r>
      <w:proofErr w:type="spellStart"/>
      <w:r w:rsidRPr="007C0B9B">
        <w:rPr>
          <w:rFonts w:ascii="Book Antiqua" w:hAnsi="Book Antiqua"/>
        </w:rPr>
        <w:t>Mcgranahan</w:t>
      </w:r>
      <w:proofErr w:type="spellEnd"/>
      <w:r w:rsidRPr="007C0B9B">
        <w:rPr>
          <w:rFonts w:ascii="Book Antiqua" w:hAnsi="Book Antiqua"/>
        </w:rPr>
        <w:t xml:space="preserve"> N, Zhang B, Ye J, Ying L, Little L, Gumbs C, Chow CW, </w:t>
      </w:r>
      <w:proofErr w:type="spellStart"/>
      <w:r w:rsidRPr="007C0B9B">
        <w:rPr>
          <w:rFonts w:ascii="Book Antiqua" w:hAnsi="Book Antiqua"/>
        </w:rPr>
        <w:t>Estecio</w:t>
      </w:r>
      <w:proofErr w:type="spellEnd"/>
      <w:r w:rsidRPr="007C0B9B">
        <w:rPr>
          <w:rFonts w:ascii="Book Antiqua" w:hAnsi="Book Antiqua"/>
        </w:rPr>
        <w:t xml:space="preserve"> MR, Godoy MCB, </w:t>
      </w:r>
      <w:proofErr w:type="spellStart"/>
      <w:r w:rsidRPr="007C0B9B">
        <w:rPr>
          <w:rFonts w:ascii="Book Antiqua" w:hAnsi="Book Antiqua"/>
        </w:rPr>
        <w:t>Antonoff</w:t>
      </w:r>
      <w:proofErr w:type="spellEnd"/>
      <w:r w:rsidRPr="007C0B9B">
        <w:rPr>
          <w:rFonts w:ascii="Book Antiqua" w:hAnsi="Book Antiqua"/>
        </w:rPr>
        <w:t xml:space="preserve"> MB, </w:t>
      </w:r>
      <w:proofErr w:type="spellStart"/>
      <w:r w:rsidRPr="007C0B9B">
        <w:rPr>
          <w:rFonts w:ascii="Book Antiqua" w:hAnsi="Book Antiqua"/>
        </w:rPr>
        <w:t>Sepesi</w:t>
      </w:r>
      <w:proofErr w:type="spellEnd"/>
      <w:r w:rsidRPr="007C0B9B">
        <w:rPr>
          <w:rFonts w:ascii="Book Antiqua" w:hAnsi="Book Antiqua"/>
        </w:rPr>
        <w:t xml:space="preserve"> B, Pass HI, Behrens C, Zhang J, </w:t>
      </w:r>
      <w:proofErr w:type="spellStart"/>
      <w:r w:rsidRPr="007C0B9B">
        <w:rPr>
          <w:rFonts w:ascii="Book Antiqua" w:hAnsi="Book Antiqua"/>
        </w:rPr>
        <w:t>Vaporciyan</w:t>
      </w:r>
      <w:proofErr w:type="spellEnd"/>
      <w:r w:rsidRPr="007C0B9B">
        <w:rPr>
          <w:rFonts w:ascii="Book Antiqua" w:hAnsi="Book Antiqua"/>
        </w:rPr>
        <w:t xml:space="preserve"> AA, </w:t>
      </w:r>
      <w:proofErr w:type="spellStart"/>
      <w:r w:rsidRPr="007C0B9B">
        <w:rPr>
          <w:rFonts w:ascii="Book Antiqua" w:hAnsi="Book Antiqua"/>
        </w:rPr>
        <w:t>Heymach</w:t>
      </w:r>
      <w:proofErr w:type="spellEnd"/>
      <w:r w:rsidRPr="007C0B9B">
        <w:rPr>
          <w:rFonts w:ascii="Book Antiqua" w:hAnsi="Book Antiqua"/>
        </w:rPr>
        <w:t xml:space="preserve"> JV, </w:t>
      </w:r>
      <w:proofErr w:type="spellStart"/>
      <w:r w:rsidRPr="007C0B9B">
        <w:rPr>
          <w:rFonts w:ascii="Book Antiqua" w:hAnsi="Book Antiqua"/>
        </w:rPr>
        <w:t>Scheet</w:t>
      </w:r>
      <w:proofErr w:type="spellEnd"/>
      <w:r w:rsidRPr="007C0B9B">
        <w:rPr>
          <w:rFonts w:ascii="Book Antiqua" w:hAnsi="Book Antiqua"/>
        </w:rPr>
        <w:t xml:space="preserve"> P, Lee JJ, Wu J, </w:t>
      </w:r>
      <w:proofErr w:type="spellStart"/>
      <w:r w:rsidRPr="007C0B9B">
        <w:rPr>
          <w:rFonts w:ascii="Book Antiqua" w:hAnsi="Book Antiqua"/>
        </w:rPr>
        <w:t>Futreal</w:t>
      </w:r>
      <w:proofErr w:type="spellEnd"/>
      <w:r w:rsidRPr="007C0B9B">
        <w:rPr>
          <w:rFonts w:ascii="Book Antiqua" w:hAnsi="Book Antiqua"/>
        </w:rPr>
        <w:t xml:space="preserve"> PA, Reuben A, </w:t>
      </w:r>
      <w:proofErr w:type="spellStart"/>
      <w:r w:rsidRPr="007C0B9B">
        <w:rPr>
          <w:rFonts w:ascii="Book Antiqua" w:hAnsi="Book Antiqua"/>
        </w:rPr>
        <w:t>Kadara</w:t>
      </w:r>
      <w:proofErr w:type="spellEnd"/>
      <w:r w:rsidRPr="007C0B9B">
        <w:rPr>
          <w:rFonts w:ascii="Book Antiqua" w:hAnsi="Book Antiqua"/>
        </w:rPr>
        <w:t xml:space="preserve"> H, </w:t>
      </w:r>
      <w:proofErr w:type="spellStart"/>
      <w:r w:rsidRPr="007C0B9B">
        <w:rPr>
          <w:rFonts w:ascii="Book Antiqua" w:hAnsi="Book Antiqua"/>
        </w:rPr>
        <w:t>Wistuba</w:t>
      </w:r>
      <w:proofErr w:type="spellEnd"/>
      <w:r w:rsidRPr="007C0B9B">
        <w:rPr>
          <w:rFonts w:ascii="Book Antiqua" w:hAnsi="Book Antiqua"/>
        </w:rPr>
        <w:t xml:space="preserve"> II, Zhang J. Immune evolution from preneoplasia to invasive lung adenocarcinomas and underlying molecular features. </w:t>
      </w:r>
      <w:r w:rsidRPr="007C0B9B">
        <w:rPr>
          <w:rFonts w:ascii="Book Antiqua" w:hAnsi="Book Antiqua"/>
          <w:i/>
          <w:iCs/>
        </w:rPr>
        <w:t xml:space="preserve">Nat </w:t>
      </w:r>
      <w:proofErr w:type="spellStart"/>
      <w:r w:rsidRPr="007C0B9B">
        <w:rPr>
          <w:rFonts w:ascii="Book Antiqua" w:hAnsi="Book Antiqua"/>
          <w:i/>
          <w:iCs/>
        </w:rPr>
        <w:t>Commun</w:t>
      </w:r>
      <w:proofErr w:type="spellEnd"/>
      <w:r w:rsidRPr="007C0B9B">
        <w:rPr>
          <w:rFonts w:ascii="Book Antiqua" w:hAnsi="Book Antiqua"/>
        </w:rPr>
        <w:t xml:space="preserve"> 2021; </w:t>
      </w:r>
      <w:r w:rsidRPr="007C0B9B">
        <w:rPr>
          <w:rFonts w:ascii="Book Antiqua" w:hAnsi="Book Antiqua"/>
          <w:b/>
          <w:bCs/>
        </w:rPr>
        <w:t>12</w:t>
      </w:r>
      <w:r w:rsidRPr="007C0B9B">
        <w:rPr>
          <w:rFonts w:ascii="Book Antiqua" w:hAnsi="Book Antiqua"/>
        </w:rPr>
        <w:t>: 2722 [PMID: 33976164 DOI: 10.1038/s41467-021-22890-x]</w:t>
      </w:r>
    </w:p>
    <w:p w14:paraId="70BE4EA5"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11 </w:t>
      </w:r>
      <w:proofErr w:type="spellStart"/>
      <w:r w:rsidRPr="007C0B9B">
        <w:rPr>
          <w:rFonts w:ascii="Book Antiqua" w:hAnsi="Book Antiqua"/>
          <w:b/>
          <w:bCs/>
        </w:rPr>
        <w:t>Dogan</w:t>
      </w:r>
      <w:proofErr w:type="spellEnd"/>
      <w:r w:rsidRPr="007C0B9B">
        <w:rPr>
          <w:rFonts w:ascii="Book Antiqua" w:hAnsi="Book Antiqua"/>
          <w:b/>
          <w:bCs/>
        </w:rPr>
        <w:t xml:space="preserve"> S</w:t>
      </w:r>
      <w:r w:rsidRPr="007C0B9B">
        <w:rPr>
          <w:rFonts w:ascii="Book Antiqua" w:hAnsi="Book Antiqua"/>
        </w:rPr>
        <w:t xml:space="preserve">, </w:t>
      </w:r>
      <w:proofErr w:type="spellStart"/>
      <w:r w:rsidRPr="007C0B9B">
        <w:rPr>
          <w:rFonts w:ascii="Book Antiqua" w:hAnsi="Book Antiqua"/>
        </w:rPr>
        <w:t>Terzioglu</w:t>
      </w:r>
      <w:proofErr w:type="spellEnd"/>
      <w:r w:rsidRPr="007C0B9B">
        <w:rPr>
          <w:rFonts w:ascii="Book Antiqua" w:hAnsi="Book Antiqua"/>
        </w:rPr>
        <w:t xml:space="preserve"> E, </w:t>
      </w:r>
      <w:proofErr w:type="spellStart"/>
      <w:r w:rsidRPr="007C0B9B">
        <w:rPr>
          <w:rFonts w:ascii="Book Antiqua" w:hAnsi="Book Antiqua"/>
        </w:rPr>
        <w:t>Ucar</w:t>
      </w:r>
      <w:proofErr w:type="spellEnd"/>
      <w:r w:rsidRPr="007C0B9B">
        <w:rPr>
          <w:rFonts w:ascii="Book Antiqua" w:hAnsi="Book Antiqua"/>
        </w:rPr>
        <w:t xml:space="preserve"> S. Innate immune response against HPV: Possible </w:t>
      </w:r>
      <w:proofErr w:type="spellStart"/>
      <w:r w:rsidRPr="007C0B9B">
        <w:rPr>
          <w:rFonts w:ascii="Book Antiqua" w:hAnsi="Book Antiqua"/>
        </w:rPr>
        <w:t>crosstalking</w:t>
      </w:r>
      <w:proofErr w:type="spellEnd"/>
      <w:r w:rsidRPr="007C0B9B">
        <w:rPr>
          <w:rFonts w:ascii="Book Antiqua" w:hAnsi="Book Antiqua"/>
        </w:rPr>
        <w:t xml:space="preserve"> with </w:t>
      </w:r>
      <w:proofErr w:type="spellStart"/>
      <w:r w:rsidRPr="007C0B9B">
        <w:rPr>
          <w:rFonts w:ascii="Book Antiqua" w:hAnsi="Book Antiqua"/>
        </w:rPr>
        <w:t>endocervical</w:t>
      </w:r>
      <w:proofErr w:type="spellEnd"/>
      <w:r w:rsidRPr="007C0B9B">
        <w:rPr>
          <w:rFonts w:ascii="Book Antiqua" w:hAnsi="Book Antiqua"/>
        </w:rPr>
        <w:t xml:space="preserve"> </w:t>
      </w:r>
      <w:proofErr w:type="spellStart"/>
      <w:r w:rsidRPr="007C0B9B">
        <w:rPr>
          <w:rFonts w:ascii="Book Antiqua" w:hAnsi="Book Antiqua"/>
        </w:rPr>
        <w:t>γδ</w:t>
      </w:r>
      <w:proofErr w:type="spellEnd"/>
      <w:r w:rsidRPr="007C0B9B">
        <w:rPr>
          <w:rFonts w:ascii="Book Antiqua" w:hAnsi="Book Antiqua"/>
        </w:rPr>
        <w:t xml:space="preserve"> T cells. </w:t>
      </w:r>
      <w:r w:rsidRPr="007C0B9B">
        <w:rPr>
          <w:rFonts w:ascii="Book Antiqua" w:hAnsi="Book Antiqua"/>
          <w:i/>
          <w:iCs/>
        </w:rPr>
        <w:t xml:space="preserve">J </w:t>
      </w:r>
      <w:proofErr w:type="spellStart"/>
      <w:r w:rsidRPr="007C0B9B">
        <w:rPr>
          <w:rFonts w:ascii="Book Antiqua" w:hAnsi="Book Antiqua"/>
          <w:i/>
          <w:iCs/>
        </w:rPr>
        <w:t>Reprod</w:t>
      </w:r>
      <w:proofErr w:type="spellEnd"/>
      <w:r w:rsidRPr="007C0B9B">
        <w:rPr>
          <w:rFonts w:ascii="Book Antiqua" w:hAnsi="Book Antiqua"/>
          <w:i/>
          <w:iCs/>
        </w:rPr>
        <w:t xml:space="preserve"> </w:t>
      </w:r>
      <w:proofErr w:type="spellStart"/>
      <w:r w:rsidRPr="007C0B9B">
        <w:rPr>
          <w:rFonts w:ascii="Book Antiqua" w:hAnsi="Book Antiqua"/>
          <w:i/>
          <w:iCs/>
        </w:rPr>
        <w:t>Immunol</w:t>
      </w:r>
      <w:proofErr w:type="spellEnd"/>
      <w:r w:rsidRPr="007C0B9B">
        <w:rPr>
          <w:rFonts w:ascii="Book Antiqua" w:hAnsi="Book Antiqua"/>
        </w:rPr>
        <w:t xml:space="preserve"> 2021; </w:t>
      </w:r>
      <w:r w:rsidRPr="007C0B9B">
        <w:rPr>
          <w:rFonts w:ascii="Book Antiqua" w:hAnsi="Book Antiqua"/>
          <w:b/>
          <w:bCs/>
        </w:rPr>
        <w:t>148</w:t>
      </w:r>
      <w:r w:rsidRPr="007C0B9B">
        <w:rPr>
          <w:rFonts w:ascii="Book Antiqua" w:hAnsi="Book Antiqua"/>
        </w:rPr>
        <w:t>: 103435 [PMID: 34741834 DOI: 10.1016/j.jri.2021.103435]</w:t>
      </w:r>
    </w:p>
    <w:p w14:paraId="4FDC02F5"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12 </w:t>
      </w:r>
      <w:proofErr w:type="spellStart"/>
      <w:r w:rsidRPr="007C0B9B">
        <w:rPr>
          <w:rFonts w:ascii="Book Antiqua" w:hAnsi="Book Antiqua"/>
          <w:b/>
          <w:bCs/>
        </w:rPr>
        <w:t>Helmink</w:t>
      </w:r>
      <w:proofErr w:type="spellEnd"/>
      <w:r w:rsidRPr="007C0B9B">
        <w:rPr>
          <w:rFonts w:ascii="Book Antiqua" w:hAnsi="Book Antiqua"/>
          <w:b/>
          <w:bCs/>
        </w:rPr>
        <w:t xml:space="preserve"> BA</w:t>
      </w:r>
      <w:r w:rsidRPr="007C0B9B">
        <w:rPr>
          <w:rFonts w:ascii="Book Antiqua" w:hAnsi="Book Antiqua"/>
        </w:rPr>
        <w:t xml:space="preserve">, Reddy SM, Gao J, Zhang S, </w:t>
      </w:r>
      <w:proofErr w:type="spellStart"/>
      <w:r w:rsidRPr="007C0B9B">
        <w:rPr>
          <w:rFonts w:ascii="Book Antiqua" w:hAnsi="Book Antiqua"/>
        </w:rPr>
        <w:t>Basar</w:t>
      </w:r>
      <w:proofErr w:type="spellEnd"/>
      <w:r w:rsidRPr="007C0B9B">
        <w:rPr>
          <w:rFonts w:ascii="Book Antiqua" w:hAnsi="Book Antiqua"/>
        </w:rPr>
        <w:t xml:space="preserve"> R, Thakur R, </w:t>
      </w:r>
      <w:proofErr w:type="spellStart"/>
      <w:r w:rsidRPr="007C0B9B">
        <w:rPr>
          <w:rFonts w:ascii="Book Antiqua" w:hAnsi="Book Antiqua"/>
        </w:rPr>
        <w:t>Yizhak</w:t>
      </w:r>
      <w:proofErr w:type="spellEnd"/>
      <w:r w:rsidRPr="007C0B9B">
        <w:rPr>
          <w:rFonts w:ascii="Book Antiqua" w:hAnsi="Book Antiqua"/>
        </w:rPr>
        <w:t xml:space="preserve"> K, Sade-Feldman M, </w:t>
      </w:r>
      <w:proofErr w:type="spellStart"/>
      <w:r w:rsidRPr="007C0B9B">
        <w:rPr>
          <w:rFonts w:ascii="Book Antiqua" w:hAnsi="Book Antiqua"/>
        </w:rPr>
        <w:t>Blando</w:t>
      </w:r>
      <w:proofErr w:type="spellEnd"/>
      <w:r w:rsidRPr="007C0B9B">
        <w:rPr>
          <w:rFonts w:ascii="Book Antiqua" w:hAnsi="Book Antiqua"/>
        </w:rPr>
        <w:t xml:space="preserve"> J, Han G, Gopalakrishnan V, Xi Y, Zhao H, </w:t>
      </w:r>
      <w:proofErr w:type="spellStart"/>
      <w:r w:rsidRPr="007C0B9B">
        <w:rPr>
          <w:rFonts w:ascii="Book Antiqua" w:hAnsi="Book Antiqua"/>
        </w:rPr>
        <w:t>Amaria</w:t>
      </w:r>
      <w:proofErr w:type="spellEnd"/>
      <w:r w:rsidRPr="007C0B9B">
        <w:rPr>
          <w:rFonts w:ascii="Book Antiqua" w:hAnsi="Book Antiqua"/>
        </w:rPr>
        <w:t xml:space="preserve"> RN, </w:t>
      </w:r>
      <w:proofErr w:type="spellStart"/>
      <w:r w:rsidRPr="007C0B9B">
        <w:rPr>
          <w:rFonts w:ascii="Book Antiqua" w:hAnsi="Book Antiqua"/>
        </w:rPr>
        <w:t>Tawbi</w:t>
      </w:r>
      <w:proofErr w:type="spellEnd"/>
      <w:r w:rsidRPr="007C0B9B">
        <w:rPr>
          <w:rFonts w:ascii="Book Antiqua" w:hAnsi="Book Antiqua"/>
        </w:rPr>
        <w:t xml:space="preserve"> HA, </w:t>
      </w:r>
      <w:proofErr w:type="spellStart"/>
      <w:r w:rsidRPr="007C0B9B">
        <w:rPr>
          <w:rFonts w:ascii="Book Antiqua" w:hAnsi="Book Antiqua"/>
        </w:rPr>
        <w:t>Cogdill</w:t>
      </w:r>
      <w:proofErr w:type="spellEnd"/>
      <w:r w:rsidRPr="007C0B9B">
        <w:rPr>
          <w:rFonts w:ascii="Book Antiqua" w:hAnsi="Book Antiqua"/>
        </w:rPr>
        <w:t xml:space="preserve"> AP, Liu W, </w:t>
      </w:r>
      <w:proofErr w:type="spellStart"/>
      <w:r w:rsidRPr="007C0B9B">
        <w:rPr>
          <w:rFonts w:ascii="Book Antiqua" w:hAnsi="Book Antiqua"/>
        </w:rPr>
        <w:t>LeBleu</w:t>
      </w:r>
      <w:proofErr w:type="spellEnd"/>
      <w:r w:rsidRPr="007C0B9B">
        <w:rPr>
          <w:rFonts w:ascii="Book Antiqua" w:hAnsi="Book Antiqua"/>
        </w:rPr>
        <w:t xml:space="preserve"> VS, </w:t>
      </w:r>
      <w:proofErr w:type="spellStart"/>
      <w:r w:rsidRPr="007C0B9B">
        <w:rPr>
          <w:rFonts w:ascii="Book Antiqua" w:hAnsi="Book Antiqua"/>
        </w:rPr>
        <w:t>Kugeratski</w:t>
      </w:r>
      <w:proofErr w:type="spellEnd"/>
      <w:r w:rsidRPr="007C0B9B">
        <w:rPr>
          <w:rFonts w:ascii="Book Antiqua" w:hAnsi="Book Antiqua"/>
        </w:rPr>
        <w:t xml:space="preserve"> FG, Patel S, Davies MA, </w:t>
      </w:r>
      <w:proofErr w:type="spellStart"/>
      <w:r w:rsidRPr="007C0B9B">
        <w:rPr>
          <w:rFonts w:ascii="Book Antiqua" w:hAnsi="Book Antiqua"/>
        </w:rPr>
        <w:t>Hwu</w:t>
      </w:r>
      <w:proofErr w:type="spellEnd"/>
      <w:r w:rsidRPr="007C0B9B">
        <w:rPr>
          <w:rFonts w:ascii="Book Antiqua" w:hAnsi="Book Antiqua"/>
        </w:rPr>
        <w:t xml:space="preserve"> P, Lee JE, </w:t>
      </w:r>
      <w:proofErr w:type="spellStart"/>
      <w:r w:rsidRPr="007C0B9B">
        <w:rPr>
          <w:rFonts w:ascii="Book Antiqua" w:hAnsi="Book Antiqua"/>
        </w:rPr>
        <w:t>Gershenwald</w:t>
      </w:r>
      <w:proofErr w:type="spellEnd"/>
      <w:r w:rsidRPr="007C0B9B">
        <w:rPr>
          <w:rFonts w:ascii="Book Antiqua" w:hAnsi="Book Antiqua"/>
        </w:rPr>
        <w:t xml:space="preserve"> JE, </w:t>
      </w:r>
      <w:proofErr w:type="spellStart"/>
      <w:r w:rsidRPr="007C0B9B">
        <w:rPr>
          <w:rFonts w:ascii="Book Antiqua" w:hAnsi="Book Antiqua"/>
        </w:rPr>
        <w:t>Lucci</w:t>
      </w:r>
      <w:proofErr w:type="spellEnd"/>
      <w:r w:rsidRPr="007C0B9B">
        <w:rPr>
          <w:rFonts w:ascii="Book Antiqua" w:hAnsi="Book Antiqua"/>
        </w:rPr>
        <w:t xml:space="preserve"> A, Arora R, Woodman S, Keung EZ, Gaudreau PO, Reuben A, Spencer CN, Burton EM, </w:t>
      </w:r>
      <w:proofErr w:type="spellStart"/>
      <w:r w:rsidRPr="007C0B9B">
        <w:rPr>
          <w:rFonts w:ascii="Book Antiqua" w:hAnsi="Book Antiqua"/>
        </w:rPr>
        <w:t>Haydu</w:t>
      </w:r>
      <w:proofErr w:type="spellEnd"/>
      <w:r w:rsidRPr="007C0B9B">
        <w:rPr>
          <w:rFonts w:ascii="Book Antiqua" w:hAnsi="Book Antiqua"/>
        </w:rPr>
        <w:t xml:space="preserve"> LE, Lazar AJ, </w:t>
      </w:r>
      <w:proofErr w:type="spellStart"/>
      <w:r w:rsidRPr="007C0B9B">
        <w:rPr>
          <w:rFonts w:ascii="Book Antiqua" w:hAnsi="Book Antiqua"/>
        </w:rPr>
        <w:t>Zapassodi</w:t>
      </w:r>
      <w:proofErr w:type="spellEnd"/>
      <w:r w:rsidRPr="007C0B9B">
        <w:rPr>
          <w:rFonts w:ascii="Book Antiqua" w:hAnsi="Book Antiqua"/>
        </w:rPr>
        <w:t xml:space="preserve"> R, </w:t>
      </w:r>
      <w:proofErr w:type="spellStart"/>
      <w:r w:rsidRPr="007C0B9B">
        <w:rPr>
          <w:rFonts w:ascii="Book Antiqua" w:hAnsi="Book Antiqua"/>
        </w:rPr>
        <w:t>Hudgens</w:t>
      </w:r>
      <w:proofErr w:type="spellEnd"/>
      <w:r w:rsidRPr="007C0B9B">
        <w:rPr>
          <w:rFonts w:ascii="Book Antiqua" w:hAnsi="Book Antiqua"/>
        </w:rPr>
        <w:t xml:space="preserve"> CW, Ledesma DA, Ong S, Bailey M, Warren S, </w:t>
      </w:r>
      <w:proofErr w:type="spellStart"/>
      <w:r w:rsidRPr="007C0B9B">
        <w:rPr>
          <w:rFonts w:ascii="Book Antiqua" w:hAnsi="Book Antiqua"/>
        </w:rPr>
        <w:t>Rao</w:t>
      </w:r>
      <w:proofErr w:type="spellEnd"/>
      <w:r w:rsidRPr="007C0B9B">
        <w:rPr>
          <w:rFonts w:ascii="Book Antiqua" w:hAnsi="Book Antiqua"/>
        </w:rPr>
        <w:t xml:space="preserve"> D, </w:t>
      </w:r>
      <w:proofErr w:type="spellStart"/>
      <w:r w:rsidRPr="007C0B9B">
        <w:rPr>
          <w:rFonts w:ascii="Book Antiqua" w:hAnsi="Book Antiqua"/>
        </w:rPr>
        <w:t>Krijgsman</w:t>
      </w:r>
      <w:proofErr w:type="spellEnd"/>
      <w:r w:rsidRPr="007C0B9B">
        <w:rPr>
          <w:rFonts w:ascii="Book Antiqua" w:hAnsi="Book Antiqua"/>
        </w:rPr>
        <w:t xml:space="preserve"> O, </w:t>
      </w:r>
      <w:proofErr w:type="spellStart"/>
      <w:r w:rsidRPr="007C0B9B">
        <w:rPr>
          <w:rFonts w:ascii="Book Antiqua" w:hAnsi="Book Antiqua"/>
        </w:rPr>
        <w:t>Rozeman</w:t>
      </w:r>
      <w:proofErr w:type="spellEnd"/>
      <w:r w:rsidRPr="007C0B9B">
        <w:rPr>
          <w:rFonts w:ascii="Book Antiqua" w:hAnsi="Book Antiqua"/>
        </w:rPr>
        <w:t xml:space="preserve"> EA, Peeper D, Blank CU, Schumacher TN, Butterfield LH, </w:t>
      </w:r>
      <w:proofErr w:type="spellStart"/>
      <w:r w:rsidRPr="007C0B9B">
        <w:rPr>
          <w:rFonts w:ascii="Book Antiqua" w:hAnsi="Book Antiqua"/>
        </w:rPr>
        <w:t>Zelazowska</w:t>
      </w:r>
      <w:proofErr w:type="spellEnd"/>
      <w:r w:rsidRPr="007C0B9B">
        <w:rPr>
          <w:rFonts w:ascii="Book Antiqua" w:hAnsi="Book Antiqua"/>
        </w:rPr>
        <w:t xml:space="preserve"> MA, McBride KM, </w:t>
      </w:r>
      <w:proofErr w:type="spellStart"/>
      <w:r w:rsidRPr="007C0B9B">
        <w:rPr>
          <w:rFonts w:ascii="Book Antiqua" w:hAnsi="Book Antiqua"/>
        </w:rPr>
        <w:t>Kalluri</w:t>
      </w:r>
      <w:proofErr w:type="spellEnd"/>
      <w:r w:rsidRPr="007C0B9B">
        <w:rPr>
          <w:rFonts w:ascii="Book Antiqua" w:hAnsi="Book Antiqua"/>
        </w:rPr>
        <w:t xml:space="preserve"> R, Allison J, </w:t>
      </w:r>
      <w:proofErr w:type="spellStart"/>
      <w:r w:rsidRPr="007C0B9B">
        <w:rPr>
          <w:rFonts w:ascii="Book Antiqua" w:hAnsi="Book Antiqua"/>
        </w:rPr>
        <w:t>Petitprez</w:t>
      </w:r>
      <w:proofErr w:type="spellEnd"/>
      <w:r w:rsidRPr="007C0B9B">
        <w:rPr>
          <w:rFonts w:ascii="Book Antiqua" w:hAnsi="Book Antiqua"/>
        </w:rPr>
        <w:t xml:space="preserve"> F, </w:t>
      </w:r>
      <w:proofErr w:type="spellStart"/>
      <w:r w:rsidRPr="007C0B9B">
        <w:rPr>
          <w:rFonts w:ascii="Book Antiqua" w:hAnsi="Book Antiqua"/>
        </w:rPr>
        <w:t>Fridman</w:t>
      </w:r>
      <w:proofErr w:type="spellEnd"/>
      <w:r w:rsidRPr="007C0B9B">
        <w:rPr>
          <w:rFonts w:ascii="Book Antiqua" w:hAnsi="Book Antiqua"/>
        </w:rPr>
        <w:t xml:space="preserve"> WH, </w:t>
      </w:r>
      <w:proofErr w:type="spellStart"/>
      <w:r w:rsidRPr="007C0B9B">
        <w:rPr>
          <w:rFonts w:ascii="Book Antiqua" w:hAnsi="Book Antiqua"/>
        </w:rPr>
        <w:t>Sautès-Fridman</w:t>
      </w:r>
      <w:proofErr w:type="spellEnd"/>
      <w:r w:rsidRPr="007C0B9B">
        <w:rPr>
          <w:rFonts w:ascii="Book Antiqua" w:hAnsi="Book Antiqua"/>
        </w:rPr>
        <w:t xml:space="preserve"> C, </w:t>
      </w:r>
      <w:proofErr w:type="spellStart"/>
      <w:r w:rsidRPr="007C0B9B">
        <w:rPr>
          <w:rFonts w:ascii="Book Antiqua" w:hAnsi="Book Antiqua"/>
        </w:rPr>
        <w:t>Hacohen</w:t>
      </w:r>
      <w:proofErr w:type="spellEnd"/>
      <w:r w:rsidRPr="007C0B9B">
        <w:rPr>
          <w:rFonts w:ascii="Book Antiqua" w:hAnsi="Book Antiqua"/>
        </w:rPr>
        <w:t xml:space="preserve"> N, </w:t>
      </w:r>
      <w:proofErr w:type="spellStart"/>
      <w:r w:rsidRPr="007C0B9B">
        <w:rPr>
          <w:rFonts w:ascii="Book Antiqua" w:hAnsi="Book Antiqua"/>
        </w:rPr>
        <w:t>Rezvani</w:t>
      </w:r>
      <w:proofErr w:type="spellEnd"/>
      <w:r w:rsidRPr="007C0B9B">
        <w:rPr>
          <w:rFonts w:ascii="Book Antiqua" w:hAnsi="Book Antiqua"/>
        </w:rPr>
        <w:t xml:space="preserve"> K, Sharma P, </w:t>
      </w:r>
      <w:proofErr w:type="spellStart"/>
      <w:r w:rsidRPr="007C0B9B">
        <w:rPr>
          <w:rFonts w:ascii="Book Antiqua" w:hAnsi="Book Antiqua"/>
        </w:rPr>
        <w:t>Tetzlaff</w:t>
      </w:r>
      <w:proofErr w:type="spellEnd"/>
      <w:r w:rsidRPr="007C0B9B">
        <w:rPr>
          <w:rFonts w:ascii="Book Antiqua" w:hAnsi="Book Antiqua"/>
        </w:rPr>
        <w:t xml:space="preserve"> MT, Wang L, </w:t>
      </w:r>
      <w:proofErr w:type="spellStart"/>
      <w:r w:rsidRPr="007C0B9B">
        <w:rPr>
          <w:rFonts w:ascii="Book Antiqua" w:hAnsi="Book Antiqua"/>
        </w:rPr>
        <w:t>Wargo</w:t>
      </w:r>
      <w:proofErr w:type="spellEnd"/>
      <w:r w:rsidRPr="007C0B9B">
        <w:rPr>
          <w:rFonts w:ascii="Book Antiqua" w:hAnsi="Book Antiqua"/>
        </w:rPr>
        <w:t xml:space="preserve"> JA. B cells and tertiary lymphoid structures promote </w:t>
      </w:r>
      <w:r w:rsidRPr="007C0B9B">
        <w:rPr>
          <w:rFonts w:ascii="Book Antiqua" w:hAnsi="Book Antiqua"/>
        </w:rPr>
        <w:lastRenderedPageBreak/>
        <w:t xml:space="preserve">immunotherapy response. </w:t>
      </w:r>
      <w:r w:rsidRPr="007C0B9B">
        <w:rPr>
          <w:rFonts w:ascii="Book Antiqua" w:hAnsi="Book Antiqua"/>
          <w:i/>
          <w:iCs/>
        </w:rPr>
        <w:t>Nature</w:t>
      </w:r>
      <w:r w:rsidRPr="007C0B9B">
        <w:rPr>
          <w:rFonts w:ascii="Book Antiqua" w:hAnsi="Book Antiqua"/>
        </w:rPr>
        <w:t xml:space="preserve"> 2020; </w:t>
      </w:r>
      <w:r w:rsidRPr="007C0B9B">
        <w:rPr>
          <w:rFonts w:ascii="Book Antiqua" w:hAnsi="Book Antiqua"/>
          <w:b/>
          <w:bCs/>
        </w:rPr>
        <w:t>577</w:t>
      </w:r>
      <w:r w:rsidRPr="007C0B9B">
        <w:rPr>
          <w:rFonts w:ascii="Book Antiqua" w:hAnsi="Book Antiqua"/>
        </w:rPr>
        <w:t>: 549-555 [PMID: 31942075 DOI: 10.1038/s41586-019-1922-8]</w:t>
      </w:r>
    </w:p>
    <w:p w14:paraId="466A43F3"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13 </w:t>
      </w:r>
      <w:r w:rsidRPr="007C0B9B">
        <w:rPr>
          <w:rFonts w:ascii="Book Antiqua" w:hAnsi="Book Antiqua"/>
          <w:b/>
          <w:bCs/>
        </w:rPr>
        <w:t>Sun R</w:t>
      </w:r>
      <w:r w:rsidRPr="007C0B9B">
        <w:rPr>
          <w:rFonts w:ascii="Book Antiqua" w:hAnsi="Book Antiqua"/>
        </w:rPr>
        <w:t xml:space="preserve">, He L, Lee H, Glinka A, Andresen C, </w:t>
      </w:r>
      <w:proofErr w:type="spellStart"/>
      <w:r w:rsidRPr="007C0B9B">
        <w:rPr>
          <w:rFonts w:ascii="Book Antiqua" w:hAnsi="Book Antiqua"/>
        </w:rPr>
        <w:t>Hübschmann</w:t>
      </w:r>
      <w:proofErr w:type="spellEnd"/>
      <w:r w:rsidRPr="007C0B9B">
        <w:rPr>
          <w:rFonts w:ascii="Book Antiqua" w:hAnsi="Book Antiqua"/>
        </w:rPr>
        <w:t xml:space="preserve"> D, </w:t>
      </w:r>
      <w:proofErr w:type="spellStart"/>
      <w:r w:rsidRPr="007C0B9B">
        <w:rPr>
          <w:rFonts w:ascii="Book Antiqua" w:hAnsi="Book Antiqua"/>
        </w:rPr>
        <w:t>Jeremias</w:t>
      </w:r>
      <w:proofErr w:type="spellEnd"/>
      <w:r w:rsidRPr="007C0B9B">
        <w:rPr>
          <w:rFonts w:ascii="Book Antiqua" w:hAnsi="Book Antiqua"/>
        </w:rPr>
        <w:t xml:space="preserve"> I, Müller-Decker K, Pabst C, </w:t>
      </w:r>
      <w:proofErr w:type="spellStart"/>
      <w:r w:rsidRPr="007C0B9B">
        <w:rPr>
          <w:rFonts w:ascii="Book Antiqua" w:hAnsi="Book Antiqua"/>
        </w:rPr>
        <w:t>Niehrs</w:t>
      </w:r>
      <w:proofErr w:type="spellEnd"/>
      <w:r w:rsidRPr="007C0B9B">
        <w:rPr>
          <w:rFonts w:ascii="Book Antiqua" w:hAnsi="Book Antiqua"/>
        </w:rPr>
        <w:t xml:space="preserve"> C. RSPO2 inhibits BMP signaling to promote self-renewal in acute myeloid leukemia. </w:t>
      </w:r>
      <w:r w:rsidRPr="007C0B9B">
        <w:rPr>
          <w:rFonts w:ascii="Book Antiqua" w:hAnsi="Book Antiqua"/>
          <w:i/>
          <w:iCs/>
        </w:rPr>
        <w:t>Cell Rep</w:t>
      </w:r>
      <w:r w:rsidRPr="007C0B9B">
        <w:rPr>
          <w:rFonts w:ascii="Book Antiqua" w:hAnsi="Book Antiqua"/>
        </w:rPr>
        <w:t xml:space="preserve"> 2021; </w:t>
      </w:r>
      <w:r w:rsidRPr="007C0B9B">
        <w:rPr>
          <w:rFonts w:ascii="Book Antiqua" w:hAnsi="Book Antiqua"/>
          <w:b/>
          <w:bCs/>
        </w:rPr>
        <w:t>36</w:t>
      </w:r>
      <w:r w:rsidRPr="007C0B9B">
        <w:rPr>
          <w:rFonts w:ascii="Book Antiqua" w:hAnsi="Book Antiqua"/>
        </w:rPr>
        <w:t>: 109559 [PMID: 34407399 DOI: 10.1016/j.celrep.2021.109559]</w:t>
      </w:r>
    </w:p>
    <w:p w14:paraId="75BD9E09"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14 </w:t>
      </w:r>
      <w:r w:rsidRPr="007C0B9B">
        <w:rPr>
          <w:rFonts w:ascii="Book Antiqua" w:hAnsi="Book Antiqua"/>
          <w:b/>
          <w:bCs/>
        </w:rPr>
        <w:t>Lu H</w:t>
      </w:r>
      <w:r w:rsidRPr="007C0B9B">
        <w:rPr>
          <w:rFonts w:ascii="Book Antiqua" w:hAnsi="Book Antiqua"/>
        </w:rPr>
        <w:t xml:space="preserve">, Feng Y, Hu Y, Guo Y, Liu Y, Mao Q, </w:t>
      </w:r>
      <w:proofErr w:type="spellStart"/>
      <w:r w:rsidRPr="007C0B9B">
        <w:rPr>
          <w:rFonts w:ascii="Book Antiqua" w:hAnsi="Book Antiqua"/>
        </w:rPr>
        <w:t>Xue</w:t>
      </w:r>
      <w:proofErr w:type="spellEnd"/>
      <w:r w:rsidRPr="007C0B9B">
        <w:rPr>
          <w:rFonts w:ascii="Book Antiqua" w:hAnsi="Book Antiqua"/>
        </w:rPr>
        <w:t xml:space="preserve"> W. </w:t>
      </w:r>
      <w:proofErr w:type="spellStart"/>
      <w:r w:rsidRPr="007C0B9B">
        <w:rPr>
          <w:rFonts w:ascii="Book Antiqua" w:hAnsi="Book Antiqua"/>
        </w:rPr>
        <w:t>Spondin</w:t>
      </w:r>
      <w:proofErr w:type="spellEnd"/>
      <w:r w:rsidRPr="007C0B9B">
        <w:rPr>
          <w:rFonts w:ascii="Book Antiqua" w:hAnsi="Book Antiqua"/>
        </w:rPr>
        <w:t xml:space="preserve"> 2 promotes the proliferation, migration and invasion of gastric cancer cells. </w:t>
      </w:r>
      <w:r w:rsidRPr="007C0B9B">
        <w:rPr>
          <w:rFonts w:ascii="Book Antiqua" w:hAnsi="Book Antiqua"/>
          <w:i/>
          <w:iCs/>
        </w:rPr>
        <w:t>J Cell Mol Med</w:t>
      </w:r>
      <w:r w:rsidRPr="007C0B9B">
        <w:rPr>
          <w:rFonts w:ascii="Book Antiqua" w:hAnsi="Book Antiqua"/>
        </w:rPr>
        <w:t xml:space="preserve"> 2020; </w:t>
      </w:r>
      <w:r w:rsidRPr="007C0B9B">
        <w:rPr>
          <w:rFonts w:ascii="Book Antiqua" w:hAnsi="Book Antiqua"/>
          <w:b/>
          <w:bCs/>
        </w:rPr>
        <w:t>24</w:t>
      </w:r>
      <w:r w:rsidRPr="007C0B9B">
        <w:rPr>
          <w:rFonts w:ascii="Book Antiqua" w:hAnsi="Book Antiqua"/>
        </w:rPr>
        <w:t>: 98-113 [PMID: 31691494 DOI: 10.1111/jcmm.14618]</w:t>
      </w:r>
    </w:p>
    <w:p w14:paraId="0664BA88"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15 </w:t>
      </w:r>
      <w:r w:rsidRPr="007C0B9B">
        <w:rPr>
          <w:rFonts w:ascii="Book Antiqua" w:hAnsi="Book Antiqua"/>
          <w:b/>
          <w:bCs/>
        </w:rPr>
        <w:t>Yang Y,</w:t>
      </w:r>
      <w:r w:rsidRPr="007C0B9B">
        <w:rPr>
          <w:rFonts w:ascii="Book Antiqua" w:hAnsi="Book Antiqua"/>
        </w:rPr>
        <w:t xml:space="preserve"> Shao ZQ, Guo JX. [Expression of malignant molecules in prostate cancer tissue and its correlation with serum PSA, XAGE-1b and Spondin-2 contents]. </w:t>
      </w:r>
      <w:r w:rsidRPr="007C0B9B">
        <w:rPr>
          <w:rFonts w:ascii="Book Antiqua" w:hAnsi="Book Antiqua"/>
          <w:i/>
          <w:iCs/>
        </w:rPr>
        <w:t xml:space="preserve">Hainan </w:t>
      </w:r>
      <w:proofErr w:type="spellStart"/>
      <w:r w:rsidRPr="007C0B9B">
        <w:rPr>
          <w:rFonts w:ascii="Book Antiqua" w:hAnsi="Book Antiqua"/>
          <w:i/>
          <w:iCs/>
        </w:rPr>
        <w:t>Yixueyuan</w:t>
      </w:r>
      <w:proofErr w:type="spellEnd"/>
      <w:r w:rsidRPr="007C0B9B">
        <w:rPr>
          <w:rFonts w:ascii="Book Antiqua" w:hAnsi="Book Antiqua"/>
          <w:i/>
          <w:iCs/>
        </w:rPr>
        <w:t xml:space="preserve"> </w:t>
      </w:r>
      <w:proofErr w:type="spellStart"/>
      <w:r w:rsidRPr="007C0B9B">
        <w:rPr>
          <w:rFonts w:ascii="Book Antiqua" w:hAnsi="Book Antiqua"/>
          <w:i/>
          <w:iCs/>
        </w:rPr>
        <w:t>Xuebao</w:t>
      </w:r>
      <w:proofErr w:type="spellEnd"/>
      <w:r w:rsidRPr="007C0B9B">
        <w:rPr>
          <w:rFonts w:ascii="Book Antiqua" w:hAnsi="Book Antiqua"/>
        </w:rPr>
        <w:t xml:space="preserve"> 2015; </w:t>
      </w:r>
      <w:r w:rsidRPr="007C0B9B">
        <w:rPr>
          <w:rFonts w:ascii="Book Antiqua" w:hAnsi="Book Antiqua"/>
          <w:b/>
          <w:bCs/>
        </w:rPr>
        <w:t>21</w:t>
      </w:r>
      <w:r w:rsidRPr="007C0B9B">
        <w:rPr>
          <w:rFonts w:ascii="Book Antiqua" w:hAnsi="Book Antiqua"/>
        </w:rPr>
        <w:t>: 1693-1696 [DOI: 10.13210/j.cnki.jhmu.20150720.014]</w:t>
      </w:r>
    </w:p>
    <w:p w14:paraId="61549F3D"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16 </w:t>
      </w:r>
      <w:r w:rsidRPr="007C0B9B">
        <w:rPr>
          <w:rFonts w:ascii="Book Antiqua" w:hAnsi="Book Antiqua"/>
          <w:b/>
          <w:bCs/>
        </w:rPr>
        <w:t>Huang C</w:t>
      </w:r>
      <w:r w:rsidRPr="007C0B9B">
        <w:rPr>
          <w:rFonts w:ascii="Book Antiqua" w:hAnsi="Book Antiqua"/>
        </w:rPr>
        <w:t xml:space="preserve">, </w:t>
      </w:r>
      <w:proofErr w:type="spellStart"/>
      <w:r w:rsidRPr="007C0B9B">
        <w:rPr>
          <w:rFonts w:ascii="Book Antiqua" w:hAnsi="Book Antiqua"/>
        </w:rPr>
        <w:t>Ou</w:t>
      </w:r>
      <w:proofErr w:type="spellEnd"/>
      <w:r w:rsidRPr="007C0B9B">
        <w:rPr>
          <w:rFonts w:ascii="Book Antiqua" w:hAnsi="Book Antiqua"/>
        </w:rPr>
        <w:t xml:space="preserve"> R, Chen X, Zhang Y, Li J, Liang Y, Zhu X, Liu L, Li M, Lin D, </w:t>
      </w:r>
      <w:proofErr w:type="spellStart"/>
      <w:r w:rsidRPr="007C0B9B">
        <w:rPr>
          <w:rFonts w:ascii="Book Antiqua" w:hAnsi="Book Antiqua"/>
        </w:rPr>
        <w:t>Qiu</w:t>
      </w:r>
      <w:proofErr w:type="spellEnd"/>
      <w:r w:rsidRPr="007C0B9B">
        <w:rPr>
          <w:rFonts w:ascii="Book Antiqua" w:hAnsi="Book Antiqua"/>
        </w:rPr>
        <w:t xml:space="preserve"> J, Liu G, Zhang L, Wu Y, Tang H, Liu Y, Liang L, Ding Y, Liao W. Tumor cell-derived SPON2 promotes M2-polarized tumor-associated macrophage infiltration and cancer progression by activating PYK2 in CRC. </w:t>
      </w:r>
      <w:r w:rsidRPr="007C0B9B">
        <w:rPr>
          <w:rFonts w:ascii="Book Antiqua" w:hAnsi="Book Antiqua"/>
          <w:i/>
          <w:iCs/>
        </w:rPr>
        <w:t>J Exp Clin Cancer Res</w:t>
      </w:r>
      <w:r w:rsidRPr="007C0B9B">
        <w:rPr>
          <w:rFonts w:ascii="Book Antiqua" w:hAnsi="Book Antiqua"/>
        </w:rPr>
        <w:t xml:space="preserve"> 2021; </w:t>
      </w:r>
      <w:r w:rsidRPr="007C0B9B">
        <w:rPr>
          <w:rFonts w:ascii="Book Antiqua" w:hAnsi="Book Antiqua"/>
          <w:b/>
          <w:bCs/>
        </w:rPr>
        <w:t>40</w:t>
      </w:r>
      <w:r w:rsidRPr="007C0B9B">
        <w:rPr>
          <w:rFonts w:ascii="Book Antiqua" w:hAnsi="Book Antiqua"/>
        </w:rPr>
        <w:t>: 304 [PMID: 34583750 DOI: 10.1186/s13046-021-02108-0]</w:t>
      </w:r>
    </w:p>
    <w:p w14:paraId="066DCAF8"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17 </w:t>
      </w:r>
      <w:r w:rsidRPr="007C0B9B">
        <w:rPr>
          <w:rFonts w:ascii="Book Antiqua" w:hAnsi="Book Antiqua"/>
          <w:b/>
          <w:bCs/>
        </w:rPr>
        <w:t>Berger MD</w:t>
      </w:r>
      <w:r w:rsidRPr="007C0B9B">
        <w:rPr>
          <w:rFonts w:ascii="Book Antiqua" w:hAnsi="Book Antiqua"/>
        </w:rPr>
        <w:t xml:space="preserve">, </w:t>
      </w:r>
      <w:proofErr w:type="spellStart"/>
      <w:r w:rsidRPr="007C0B9B">
        <w:rPr>
          <w:rFonts w:ascii="Book Antiqua" w:hAnsi="Book Antiqua"/>
        </w:rPr>
        <w:t>Ning</w:t>
      </w:r>
      <w:proofErr w:type="spellEnd"/>
      <w:r w:rsidRPr="007C0B9B">
        <w:rPr>
          <w:rFonts w:ascii="Book Antiqua" w:hAnsi="Book Antiqua"/>
        </w:rPr>
        <w:t xml:space="preserve"> Y, </w:t>
      </w:r>
      <w:proofErr w:type="spellStart"/>
      <w:r w:rsidRPr="007C0B9B">
        <w:rPr>
          <w:rFonts w:ascii="Book Antiqua" w:hAnsi="Book Antiqua"/>
        </w:rPr>
        <w:t>Stintzing</w:t>
      </w:r>
      <w:proofErr w:type="spellEnd"/>
      <w:r w:rsidRPr="007C0B9B">
        <w:rPr>
          <w:rFonts w:ascii="Book Antiqua" w:hAnsi="Book Antiqua"/>
        </w:rPr>
        <w:t xml:space="preserve"> S, Heinemann V, Cao S, Zhang W, Yang D, Miyamoto Y, </w:t>
      </w:r>
      <w:proofErr w:type="spellStart"/>
      <w:r w:rsidRPr="007C0B9B">
        <w:rPr>
          <w:rFonts w:ascii="Book Antiqua" w:hAnsi="Book Antiqua"/>
        </w:rPr>
        <w:t>Suenaga</w:t>
      </w:r>
      <w:proofErr w:type="spellEnd"/>
      <w:r w:rsidRPr="007C0B9B">
        <w:rPr>
          <w:rFonts w:ascii="Book Antiqua" w:hAnsi="Book Antiqua"/>
        </w:rPr>
        <w:t xml:space="preserve"> M, </w:t>
      </w:r>
      <w:proofErr w:type="spellStart"/>
      <w:r w:rsidRPr="007C0B9B">
        <w:rPr>
          <w:rFonts w:ascii="Book Antiqua" w:hAnsi="Book Antiqua"/>
        </w:rPr>
        <w:t>Schirripa</w:t>
      </w:r>
      <w:proofErr w:type="spellEnd"/>
      <w:r w:rsidRPr="007C0B9B">
        <w:rPr>
          <w:rFonts w:ascii="Book Antiqua" w:hAnsi="Book Antiqua"/>
        </w:rPr>
        <w:t xml:space="preserve"> M, Hanna DL, </w:t>
      </w:r>
      <w:proofErr w:type="spellStart"/>
      <w:r w:rsidRPr="007C0B9B">
        <w:rPr>
          <w:rFonts w:ascii="Book Antiqua" w:hAnsi="Book Antiqua"/>
        </w:rPr>
        <w:t>Soni</w:t>
      </w:r>
      <w:proofErr w:type="spellEnd"/>
      <w:r w:rsidRPr="007C0B9B">
        <w:rPr>
          <w:rFonts w:ascii="Book Antiqua" w:hAnsi="Book Antiqua"/>
        </w:rPr>
        <w:t xml:space="preserve"> S, Puccini A, Tokunaga R, </w:t>
      </w:r>
      <w:proofErr w:type="spellStart"/>
      <w:r w:rsidRPr="007C0B9B">
        <w:rPr>
          <w:rFonts w:ascii="Book Antiqua" w:hAnsi="Book Antiqua"/>
        </w:rPr>
        <w:t>Naseem</w:t>
      </w:r>
      <w:proofErr w:type="spellEnd"/>
      <w:r w:rsidRPr="007C0B9B">
        <w:rPr>
          <w:rFonts w:ascii="Book Antiqua" w:hAnsi="Book Antiqua"/>
        </w:rPr>
        <w:t xml:space="preserve"> M, </w:t>
      </w:r>
      <w:proofErr w:type="spellStart"/>
      <w:r w:rsidRPr="007C0B9B">
        <w:rPr>
          <w:rFonts w:ascii="Book Antiqua" w:hAnsi="Book Antiqua"/>
        </w:rPr>
        <w:t>Battaglin</w:t>
      </w:r>
      <w:proofErr w:type="spellEnd"/>
      <w:r w:rsidRPr="007C0B9B">
        <w:rPr>
          <w:rFonts w:ascii="Book Antiqua" w:hAnsi="Book Antiqua"/>
        </w:rPr>
        <w:t xml:space="preserve"> F, </w:t>
      </w:r>
      <w:proofErr w:type="spellStart"/>
      <w:r w:rsidRPr="007C0B9B">
        <w:rPr>
          <w:rFonts w:ascii="Book Antiqua" w:hAnsi="Book Antiqua"/>
        </w:rPr>
        <w:t>Cremolini</w:t>
      </w:r>
      <w:proofErr w:type="spellEnd"/>
      <w:r w:rsidRPr="007C0B9B">
        <w:rPr>
          <w:rFonts w:ascii="Book Antiqua" w:hAnsi="Book Antiqua"/>
        </w:rPr>
        <w:t xml:space="preserve"> C, Falcone A, </w:t>
      </w:r>
      <w:proofErr w:type="spellStart"/>
      <w:r w:rsidRPr="007C0B9B">
        <w:rPr>
          <w:rFonts w:ascii="Book Antiqua" w:hAnsi="Book Antiqua"/>
        </w:rPr>
        <w:t>Loupakis</w:t>
      </w:r>
      <w:proofErr w:type="spellEnd"/>
      <w:r w:rsidRPr="007C0B9B">
        <w:rPr>
          <w:rFonts w:ascii="Book Antiqua" w:hAnsi="Book Antiqua"/>
        </w:rPr>
        <w:t xml:space="preserve"> F, Lenz HJ. A polymorphism within the R-</w:t>
      </w:r>
      <w:proofErr w:type="spellStart"/>
      <w:r w:rsidRPr="007C0B9B">
        <w:rPr>
          <w:rFonts w:ascii="Book Antiqua" w:hAnsi="Book Antiqua"/>
        </w:rPr>
        <w:t>spondin</w:t>
      </w:r>
      <w:proofErr w:type="spellEnd"/>
      <w:r w:rsidRPr="007C0B9B">
        <w:rPr>
          <w:rFonts w:ascii="Book Antiqua" w:hAnsi="Book Antiqua"/>
        </w:rPr>
        <w:t xml:space="preserve"> 2 gene predicts outcome in metastatic colorectal cancer patients treated with FOLFIRI/bevacizumab: data from FIRE-3 and TRIBE trials. </w:t>
      </w:r>
      <w:proofErr w:type="spellStart"/>
      <w:r w:rsidRPr="007C0B9B">
        <w:rPr>
          <w:rFonts w:ascii="Book Antiqua" w:hAnsi="Book Antiqua"/>
          <w:i/>
          <w:iCs/>
        </w:rPr>
        <w:t>Eur</w:t>
      </w:r>
      <w:proofErr w:type="spellEnd"/>
      <w:r w:rsidRPr="007C0B9B">
        <w:rPr>
          <w:rFonts w:ascii="Book Antiqua" w:hAnsi="Book Antiqua"/>
          <w:i/>
          <w:iCs/>
        </w:rPr>
        <w:t xml:space="preserve"> J Cancer</w:t>
      </w:r>
      <w:r w:rsidRPr="007C0B9B">
        <w:rPr>
          <w:rFonts w:ascii="Book Antiqua" w:hAnsi="Book Antiqua"/>
        </w:rPr>
        <w:t xml:space="preserve"> 2020; </w:t>
      </w:r>
      <w:r w:rsidRPr="007C0B9B">
        <w:rPr>
          <w:rFonts w:ascii="Book Antiqua" w:hAnsi="Book Antiqua"/>
          <w:b/>
          <w:bCs/>
        </w:rPr>
        <w:t>131</w:t>
      </w:r>
      <w:r w:rsidRPr="007C0B9B">
        <w:rPr>
          <w:rFonts w:ascii="Book Antiqua" w:hAnsi="Book Antiqua"/>
        </w:rPr>
        <w:t>: 89-97 [PMID: 32305727 DOI: 10.1016/j.ejca.2020.02.048]</w:t>
      </w:r>
    </w:p>
    <w:p w14:paraId="3D103D79"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18 </w:t>
      </w:r>
      <w:r w:rsidRPr="007C0B9B">
        <w:rPr>
          <w:rFonts w:ascii="Book Antiqua" w:hAnsi="Book Antiqua"/>
          <w:b/>
          <w:bCs/>
        </w:rPr>
        <w:t>Sun K</w:t>
      </w:r>
      <w:r w:rsidRPr="007C0B9B">
        <w:rPr>
          <w:rFonts w:ascii="Book Antiqua" w:hAnsi="Book Antiqua"/>
        </w:rPr>
        <w:t xml:space="preserve">, </w:t>
      </w:r>
      <w:proofErr w:type="spellStart"/>
      <w:r w:rsidRPr="007C0B9B">
        <w:rPr>
          <w:rFonts w:ascii="Book Antiqua" w:hAnsi="Book Antiqua"/>
        </w:rPr>
        <w:t>Lv</w:t>
      </w:r>
      <w:proofErr w:type="spellEnd"/>
      <w:r w:rsidRPr="007C0B9B">
        <w:rPr>
          <w:rFonts w:ascii="Book Antiqua" w:hAnsi="Book Antiqua"/>
        </w:rPr>
        <w:t xml:space="preserve"> H, Chen B, </w:t>
      </w:r>
      <w:proofErr w:type="spellStart"/>
      <w:r w:rsidRPr="007C0B9B">
        <w:rPr>
          <w:rFonts w:ascii="Book Antiqua" w:hAnsi="Book Antiqua"/>
        </w:rPr>
        <w:t>Nie</w:t>
      </w:r>
      <w:proofErr w:type="spellEnd"/>
      <w:r w:rsidRPr="007C0B9B">
        <w:rPr>
          <w:rFonts w:ascii="Book Antiqua" w:hAnsi="Book Antiqua"/>
        </w:rPr>
        <w:t xml:space="preserve"> C, Zhao J, Wang S, Wang J, Xu W, Chen X. Dawning precision treatment for gastric cancer: The latest biomarkers. </w:t>
      </w:r>
      <w:r w:rsidRPr="007C0B9B">
        <w:rPr>
          <w:rFonts w:ascii="Book Antiqua" w:hAnsi="Book Antiqua"/>
          <w:i/>
          <w:iCs/>
        </w:rPr>
        <w:t xml:space="preserve">J </w:t>
      </w:r>
      <w:proofErr w:type="spellStart"/>
      <w:r w:rsidRPr="007C0B9B">
        <w:rPr>
          <w:rFonts w:ascii="Book Antiqua" w:hAnsi="Book Antiqua"/>
          <w:i/>
          <w:iCs/>
        </w:rPr>
        <w:t>Transl</w:t>
      </w:r>
      <w:proofErr w:type="spellEnd"/>
      <w:r w:rsidRPr="007C0B9B">
        <w:rPr>
          <w:rFonts w:ascii="Book Antiqua" w:hAnsi="Book Antiqua"/>
          <w:i/>
          <w:iCs/>
        </w:rPr>
        <w:t xml:space="preserve"> </w:t>
      </w:r>
      <w:proofErr w:type="spellStart"/>
      <w:r w:rsidRPr="007C0B9B">
        <w:rPr>
          <w:rFonts w:ascii="Book Antiqua" w:hAnsi="Book Antiqua"/>
          <w:i/>
          <w:iCs/>
        </w:rPr>
        <w:t>Int</w:t>
      </w:r>
      <w:proofErr w:type="spellEnd"/>
      <w:r w:rsidRPr="007C0B9B">
        <w:rPr>
          <w:rFonts w:ascii="Book Antiqua" w:hAnsi="Book Antiqua"/>
          <w:i/>
          <w:iCs/>
        </w:rPr>
        <w:t xml:space="preserve"> Med</w:t>
      </w:r>
      <w:r w:rsidRPr="007C0B9B">
        <w:rPr>
          <w:rFonts w:ascii="Book Antiqua" w:hAnsi="Book Antiqua"/>
        </w:rPr>
        <w:t xml:space="preserve"> 2021; </w:t>
      </w:r>
      <w:r w:rsidRPr="007C0B9B">
        <w:rPr>
          <w:rFonts w:ascii="Book Antiqua" w:hAnsi="Book Antiqua"/>
          <w:b/>
          <w:bCs/>
        </w:rPr>
        <w:t>9</w:t>
      </w:r>
      <w:r w:rsidRPr="007C0B9B">
        <w:rPr>
          <w:rFonts w:ascii="Book Antiqua" w:hAnsi="Book Antiqua"/>
        </w:rPr>
        <w:t>: 228-230 [PMID: 35136720 DOI: 10.2478/jtim-2021-0023]</w:t>
      </w:r>
    </w:p>
    <w:p w14:paraId="33131955"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19 </w:t>
      </w:r>
      <w:r w:rsidRPr="007C0B9B">
        <w:rPr>
          <w:rFonts w:ascii="Book Antiqua" w:hAnsi="Book Antiqua"/>
          <w:b/>
          <w:bCs/>
        </w:rPr>
        <w:t>Jackson SR</w:t>
      </w:r>
      <w:r w:rsidRPr="007C0B9B">
        <w:rPr>
          <w:rFonts w:ascii="Book Antiqua" w:hAnsi="Book Antiqua"/>
        </w:rPr>
        <w:t xml:space="preserve">, Costa MFDM, Pastore CF, Zhao G, Weiner AI, Adams S, </w:t>
      </w:r>
      <w:proofErr w:type="spellStart"/>
      <w:r w:rsidRPr="007C0B9B">
        <w:rPr>
          <w:rFonts w:ascii="Book Antiqua" w:hAnsi="Book Antiqua"/>
        </w:rPr>
        <w:t>Palashikar</w:t>
      </w:r>
      <w:proofErr w:type="spellEnd"/>
      <w:r w:rsidRPr="007C0B9B">
        <w:rPr>
          <w:rFonts w:ascii="Book Antiqua" w:hAnsi="Book Antiqua"/>
        </w:rPr>
        <w:t xml:space="preserve"> G, </w:t>
      </w:r>
      <w:proofErr w:type="spellStart"/>
      <w:r w:rsidRPr="007C0B9B">
        <w:rPr>
          <w:rFonts w:ascii="Book Antiqua" w:hAnsi="Book Antiqua"/>
        </w:rPr>
        <w:t>Quansah</w:t>
      </w:r>
      <w:proofErr w:type="spellEnd"/>
      <w:r w:rsidRPr="007C0B9B">
        <w:rPr>
          <w:rFonts w:ascii="Book Antiqua" w:hAnsi="Book Antiqua"/>
        </w:rPr>
        <w:t xml:space="preserve"> K, </w:t>
      </w:r>
      <w:proofErr w:type="spellStart"/>
      <w:r w:rsidRPr="007C0B9B">
        <w:rPr>
          <w:rFonts w:ascii="Book Antiqua" w:hAnsi="Book Antiqua"/>
        </w:rPr>
        <w:t>Hankenson</w:t>
      </w:r>
      <w:proofErr w:type="spellEnd"/>
      <w:r w:rsidRPr="007C0B9B">
        <w:rPr>
          <w:rFonts w:ascii="Book Antiqua" w:hAnsi="Book Antiqua"/>
        </w:rPr>
        <w:t xml:space="preserve"> K, Herbert DR, Vaughan AE. R-</w:t>
      </w:r>
      <w:proofErr w:type="spellStart"/>
      <w:r w:rsidRPr="007C0B9B">
        <w:rPr>
          <w:rFonts w:ascii="Book Antiqua" w:hAnsi="Book Antiqua"/>
        </w:rPr>
        <w:t>spondin</w:t>
      </w:r>
      <w:proofErr w:type="spellEnd"/>
      <w:r w:rsidRPr="007C0B9B">
        <w:rPr>
          <w:rFonts w:ascii="Book Antiqua" w:hAnsi="Book Antiqua"/>
        </w:rPr>
        <w:t xml:space="preserve"> 2 mediates neutrophil </w:t>
      </w:r>
      <w:r w:rsidRPr="007C0B9B">
        <w:rPr>
          <w:rFonts w:ascii="Book Antiqua" w:hAnsi="Book Antiqua"/>
        </w:rPr>
        <w:lastRenderedPageBreak/>
        <w:t xml:space="preserve">egress into the alveolar space through increased lung permeability. </w:t>
      </w:r>
      <w:r w:rsidRPr="007C0B9B">
        <w:rPr>
          <w:rFonts w:ascii="Book Antiqua" w:hAnsi="Book Antiqua"/>
          <w:i/>
          <w:iCs/>
        </w:rPr>
        <w:t>BMC Res Notes</w:t>
      </w:r>
      <w:r w:rsidRPr="007C0B9B">
        <w:rPr>
          <w:rFonts w:ascii="Book Antiqua" w:hAnsi="Book Antiqua"/>
        </w:rPr>
        <w:t xml:space="preserve"> 2020; </w:t>
      </w:r>
      <w:r w:rsidRPr="007C0B9B">
        <w:rPr>
          <w:rFonts w:ascii="Book Antiqua" w:hAnsi="Book Antiqua"/>
          <w:b/>
          <w:bCs/>
        </w:rPr>
        <w:t>13</w:t>
      </w:r>
      <w:r w:rsidRPr="007C0B9B">
        <w:rPr>
          <w:rFonts w:ascii="Book Antiqua" w:hAnsi="Book Antiqua"/>
        </w:rPr>
        <w:t>: 54 [PMID: 32019591 DOI: 10.1186/s13104-020-4930-8]</w:t>
      </w:r>
    </w:p>
    <w:p w14:paraId="7EBFAB91"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20 </w:t>
      </w:r>
      <w:r w:rsidRPr="007C0B9B">
        <w:rPr>
          <w:rFonts w:ascii="Book Antiqua" w:hAnsi="Book Antiqua"/>
          <w:b/>
          <w:bCs/>
        </w:rPr>
        <w:t>Hwang SU</w:t>
      </w:r>
      <w:r w:rsidRPr="007C0B9B">
        <w:rPr>
          <w:rFonts w:ascii="Book Antiqua" w:hAnsi="Book Antiqua"/>
        </w:rPr>
        <w:t>, Yoon JD, Kim M, Cai L, Choi H, Oh D, Kim E, Hyun SH. R-</w:t>
      </w:r>
      <w:proofErr w:type="spellStart"/>
      <w:r w:rsidRPr="007C0B9B">
        <w:rPr>
          <w:rFonts w:ascii="Book Antiqua" w:hAnsi="Book Antiqua"/>
        </w:rPr>
        <w:t>Spondin</w:t>
      </w:r>
      <w:proofErr w:type="spellEnd"/>
      <w:r w:rsidRPr="007C0B9B">
        <w:rPr>
          <w:rFonts w:ascii="Book Antiqua" w:hAnsi="Book Antiqua"/>
        </w:rPr>
        <w:t xml:space="preserve"> 2 and WNT/CTNNB1 Signaling Pathways Are Required for Porcine Follicle Development and In Vitro Maturation. </w:t>
      </w:r>
      <w:r w:rsidRPr="007C0B9B">
        <w:rPr>
          <w:rFonts w:ascii="Book Antiqua" w:hAnsi="Book Antiqua"/>
          <w:i/>
          <w:iCs/>
        </w:rPr>
        <w:t>Animals (Basel)</w:t>
      </w:r>
      <w:r w:rsidRPr="007C0B9B">
        <w:rPr>
          <w:rFonts w:ascii="Book Antiqua" w:hAnsi="Book Antiqua"/>
        </w:rPr>
        <w:t xml:space="preserve"> 2021; </w:t>
      </w:r>
      <w:r w:rsidRPr="007C0B9B">
        <w:rPr>
          <w:rFonts w:ascii="Book Antiqua" w:hAnsi="Book Antiqua"/>
          <w:b/>
          <w:bCs/>
        </w:rPr>
        <w:t>11</w:t>
      </w:r>
      <w:r w:rsidRPr="007C0B9B">
        <w:rPr>
          <w:rFonts w:ascii="Book Antiqua" w:hAnsi="Book Antiqua"/>
        </w:rPr>
        <w:t xml:space="preserve"> [PMID: 33807916 DOI: 10.3390/ani11030709]</w:t>
      </w:r>
    </w:p>
    <w:p w14:paraId="1A25C3C7"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21 </w:t>
      </w:r>
      <w:r w:rsidRPr="007C0B9B">
        <w:rPr>
          <w:rFonts w:ascii="Book Antiqua" w:hAnsi="Book Antiqua"/>
          <w:b/>
          <w:bCs/>
        </w:rPr>
        <w:t>Gong Y</w:t>
      </w:r>
      <w:r w:rsidRPr="007C0B9B">
        <w:rPr>
          <w:rFonts w:ascii="Book Antiqua" w:hAnsi="Book Antiqua"/>
        </w:rPr>
        <w:t>, Yuan S, Sun J, Wang Y, Liu S, Guo R, Dong W, Li R. R-</w:t>
      </w:r>
      <w:proofErr w:type="spellStart"/>
      <w:r w:rsidRPr="007C0B9B">
        <w:rPr>
          <w:rFonts w:ascii="Book Antiqua" w:hAnsi="Book Antiqua"/>
        </w:rPr>
        <w:t>Spondin</w:t>
      </w:r>
      <w:proofErr w:type="spellEnd"/>
      <w:r w:rsidRPr="007C0B9B">
        <w:rPr>
          <w:rFonts w:ascii="Book Antiqua" w:hAnsi="Book Antiqua"/>
        </w:rPr>
        <w:t xml:space="preserve"> 2 Induces </w:t>
      </w:r>
      <w:proofErr w:type="spellStart"/>
      <w:r w:rsidRPr="007C0B9B">
        <w:rPr>
          <w:rFonts w:ascii="Book Antiqua" w:hAnsi="Book Antiqua"/>
        </w:rPr>
        <w:t>Odontogenic</w:t>
      </w:r>
      <w:proofErr w:type="spellEnd"/>
      <w:r w:rsidRPr="007C0B9B">
        <w:rPr>
          <w:rFonts w:ascii="Book Antiqua" w:hAnsi="Book Antiqua"/>
        </w:rPr>
        <w:t xml:space="preserve"> Differentiation of Dental Pulp Stem/Progenitor Cells via Regulation of </w:t>
      </w:r>
      <w:proofErr w:type="spellStart"/>
      <w:r w:rsidRPr="007C0B9B">
        <w:rPr>
          <w:rFonts w:ascii="Book Antiqua" w:hAnsi="Book Antiqua"/>
        </w:rPr>
        <w:t>Wnt</w:t>
      </w:r>
      <w:proofErr w:type="spellEnd"/>
      <w:r w:rsidRPr="007C0B9B">
        <w:rPr>
          <w:rFonts w:ascii="Book Antiqua" w:hAnsi="Book Antiqua"/>
        </w:rPr>
        <w:t xml:space="preserve">/β-Catenin Signaling. </w:t>
      </w:r>
      <w:r w:rsidRPr="007C0B9B">
        <w:rPr>
          <w:rFonts w:ascii="Book Antiqua" w:hAnsi="Book Antiqua"/>
          <w:i/>
          <w:iCs/>
        </w:rPr>
        <w:t xml:space="preserve">Front </w:t>
      </w:r>
      <w:proofErr w:type="spellStart"/>
      <w:r w:rsidRPr="007C0B9B">
        <w:rPr>
          <w:rFonts w:ascii="Book Antiqua" w:hAnsi="Book Antiqua"/>
          <w:i/>
          <w:iCs/>
        </w:rPr>
        <w:t>Physiol</w:t>
      </w:r>
      <w:proofErr w:type="spellEnd"/>
      <w:r w:rsidRPr="007C0B9B">
        <w:rPr>
          <w:rFonts w:ascii="Book Antiqua" w:hAnsi="Book Antiqua"/>
        </w:rPr>
        <w:t xml:space="preserve"> 2020; </w:t>
      </w:r>
      <w:r w:rsidRPr="007C0B9B">
        <w:rPr>
          <w:rFonts w:ascii="Book Antiqua" w:hAnsi="Book Antiqua"/>
          <w:b/>
          <w:bCs/>
        </w:rPr>
        <w:t>11</w:t>
      </w:r>
      <w:r w:rsidRPr="007C0B9B">
        <w:rPr>
          <w:rFonts w:ascii="Book Antiqua" w:hAnsi="Book Antiqua"/>
        </w:rPr>
        <w:t>: 918 [PMID: 32848860 DOI: 10.3389/fphys.2020.00918]</w:t>
      </w:r>
    </w:p>
    <w:p w14:paraId="35D46490" w14:textId="77777777" w:rsidR="006D1563" w:rsidRPr="007C0B9B" w:rsidRDefault="006D1563" w:rsidP="007C0B9B">
      <w:pPr>
        <w:adjustRightInd w:val="0"/>
        <w:snapToGrid w:val="0"/>
        <w:spacing w:line="360" w:lineRule="auto"/>
        <w:jc w:val="both"/>
        <w:rPr>
          <w:rFonts w:ascii="Book Antiqua" w:hAnsi="Book Antiqua"/>
        </w:rPr>
      </w:pPr>
      <w:r w:rsidRPr="007C0B9B">
        <w:rPr>
          <w:rFonts w:ascii="Book Antiqua" w:hAnsi="Book Antiqua"/>
        </w:rPr>
        <w:t xml:space="preserve">22 </w:t>
      </w:r>
      <w:proofErr w:type="spellStart"/>
      <w:r w:rsidRPr="007C0B9B">
        <w:rPr>
          <w:rFonts w:ascii="Book Antiqua" w:hAnsi="Book Antiqua"/>
          <w:b/>
          <w:bCs/>
        </w:rPr>
        <w:t>Kuramitsu</w:t>
      </w:r>
      <w:proofErr w:type="spellEnd"/>
      <w:r w:rsidRPr="007C0B9B">
        <w:rPr>
          <w:rFonts w:ascii="Book Antiqua" w:hAnsi="Book Antiqua"/>
          <w:b/>
          <w:bCs/>
        </w:rPr>
        <w:t xml:space="preserve"> S</w:t>
      </w:r>
      <w:r w:rsidRPr="007C0B9B">
        <w:rPr>
          <w:rFonts w:ascii="Book Antiqua" w:hAnsi="Book Antiqua"/>
        </w:rPr>
        <w:t xml:space="preserve">, Masuda T, Hu Q, </w:t>
      </w:r>
      <w:proofErr w:type="spellStart"/>
      <w:r w:rsidRPr="007C0B9B">
        <w:rPr>
          <w:rFonts w:ascii="Book Antiqua" w:hAnsi="Book Antiqua"/>
        </w:rPr>
        <w:t>Tobo</w:t>
      </w:r>
      <w:proofErr w:type="spellEnd"/>
      <w:r w:rsidRPr="007C0B9B">
        <w:rPr>
          <w:rFonts w:ascii="Book Antiqua" w:hAnsi="Book Antiqua"/>
        </w:rPr>
        <w:t xml:space="preserve"> T, Yashiro M, </w:t>
      </w:r>
      <w:proofErr w:type="spellStart"/>
      <w:r w:rsidRPr="007C0B9B">
        <w:rPr>
          <w:rFonts w:ascii="Book Antiqua" w:hAnsi="Book Antiqua"/>
        </w:rPr>
        <w:t>Fujii</w:t>
      </w:r>
      <w:proofErr w:type="spellEnd"/>
      <w:r w:rsidRPr="007C0B9B">
        <w:rPr>
          <w:rFonts w:ascii="Book Antiqua" w:hAnsi="Book Antiqua"/>
        </w:rPr>
        <w:t xml:space="preserve"> A, Kitagawa A, Abe T, Otsu H, Ito S, Oki E, Mori M, </w:t>
      </w:r>
      <w:proofErr w:type="spellStart"/>
      <w:r w:rsidRPr="007C0B9B">
        <w:rPr>
          <w:rFonts w:ascii="Book Antiqua" w:hAnsi="Book Antiqua"/>
        </w:rPr>
        <w:t>Mimori</w:t>
      </w:r>
      <w:proofErr w:type="spellEnd"/>
      <w:r w:rsidRPr="007C0B9B">
        <w:rPr>
          <w:rFonts w:ascii="Book Antiqua" w:hAnsi="Book Antiqua"/>
        </w:rPr>
        <w:t xml:space="preserve"> K. Cancer-associated Fibroblast-derived Spondin-2 Promotes Motility of Gastric Cancer Cells. </w:t>
      </w:r>
      <w:r w:rsidRPr="007C0B9B">
        <w:rPr>
          <w:rFonts w:ascii="Book Antiqua" w:hAnsi="Book Antiqua"/>
          <w:i/>
          <w:iCs/>
        </w:rPr>
        <w:t>Cancer Genomics Proteomics</w:t>
      </w:r>
      <w:r w:rsidRPr="007C0B9B">
        <w:rPr>
          <w:rFonts w:ascii="Book Antiqua" w:hAnsi="Book Antiqua"/>
        </w:rPr>
        <w:t xml:space="preserve"> 2021; </w:t>
      </w:r>
      <w:r w:rsidRPr="007C0B9B">
        <w:rPr>
          <w:rFonts w:ascii="Book Antiqua" w:hAnsi="Book Antiqua"/>
          <w:b/>
          <w:bCs/>
        </w:rPr>
        <w:t>18</w:t>
      </w:r>
      <w:r w:rsidRPr="007C0B9B">
        <w:rPr>
          <w:rFonts w:ascii="Book Antiqua" w:hAnsi="Book Antiqua"/>
        </w:rPr>
        <w:t>: 521-529 [PMID: 34183385 DOI: 10.21873/cgp.20277]</w:t>
      </w:r>
    </w:p>
    <w:p w14:paraId="6C807366" w14:textId="77777777" w:rsidR="00B32F18" w:rsidRDefault="00B32F18">
      <w:pPr>
        <w:rPr>
          <w:rFonts w:ascii="Book Antiqua" w:eastAsia="Book Antiqua" w:hAnsi="Book Antiqua"/>
          <w:b/>
          <w:color w:val="000000"/>
        </w:rPr>
      </w:pPr>
      <w:r>
        <w:rPr>
          <w:rFonts w:ascii="Book Antiqua" w:eastAsia="Book Antiqua" w:hAnsi="Book Antiqua"/>
          <w:b/>
          <w:color w:val="000000"/>
        </w:rPr>
        <w:br w:type="page"/>
      </w:r>
    </w:p>
    <w:p w14:paraId="3E9A606C" w14:textId="643BFDB2"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lastRenderedPageBreak/>
        <w:t>Footnotes</w:t>
      </w:r>
    </w:p>
    <w:p w14:paraId="4371D78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Institutional review board statement: </w:t>
      </w:r>
      <w:r w:rsidRPr="007C0B9B">
        <w:rPr>
          <w:rFonts w:ascii="Book Antiqua" w:eastAsia="Book Antiqua" w:hAnsi="Book Antiqua"/>
          <w:color w:val="000000"/>
        </w:rPr>
        <w:t>This study was approved by the Ethics Committee of the Maternal and Child Health Hospital of Hubei Province.</w:t>
      </w:r>
    </w:p>
    <w:p w14:paraId="0166ADD7" w14:textId="77777777" w:rsidR="00A77B3E" w:rsidRPr="007C0B9B" w:rsidRDefault="00A77B3E" w:rsidP="007C0B9B">
      <w:pPr>
        <w:adjustRightInd w:val="0"/>
        <w:snapToGrid w:val="0"/>
        <w:spacing w:line="360" w:lineRule="auto"/>
        <w:jc w:val="both"/>
        <w:rPr>
          <w:rFonts w:ascii="Book Antiqua" w:hAnsi="Book Antiqua"/>
        </w:rPr>
      </w:pPr>
    </w:p>
    <w:p w14:paraId="5B27C960"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Informed consent statement: </w:t>
      </w:r>
      <w:r w:rsidRPr="007C0B9B">
        <w:rPr>
          <w:rFonts w:ascii="Book Antiqua" w:eastAsia="Book Antiqua" w:hAnsi="Book Antiqua"/>
          <w:color w:val="000000"/>
        </w:rPr>
        <w:t>All study participants signed an informed consent form before participating in the study.</w:t>
      </w:r>
    </w:p>
    <w:p w14:paraId="20655187" w14:textId="77777777" w:rsidR="00A77B3E" w:rsidRPr="007C0B9B" w:rsidRDefault="00A77B3E" w:rsidP="007C0B9B">
      <w:pPr>
        <w:adjustRightInd w:val="0"/>
        <w:snapToGrid w:val="0"/>
        <w:spacing w:line="360" w:lineRule="auto"/>
        <w:jc w:val="both"/>
        <w:rPr>
          <w:rFonts w:ascii="Book Antiqua" w:hAnsi="Book Antiqua"/>
        </w:rPr>
      </w:pPr>
    </w:p>
    <w:p w14:paraId="69F56B54"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Conflict-of-interest statement: </w:t>
      </w:r>
      <w:r w:rsidRPr="007C0B9B">
        <w:rPr>
          <w:rFonts w:ascii="Book Antiqua" w:eastAsia="Book Antiqua" w:hAnsi="Book Antiqua"/>
          <w:color w:val="000000"/>
        </w:rPr>
        <w:t>The authors declare no conflict of interest.</w:t>
      </w:r>
    </w:p>
    <w:p w14:paraId="072353B4" w14:textId="77777777" w:rsidR="00A77B3E" w:rsidRPr="007C0B9B" w:rsidRDefault="00A77B3E" w:rsidP="007C0B9B">
      <w:pPr>
        <w:adjustRightInd w:val="0"/>
        <w:snapToGrid w:val="0"/>
        <w:spacing w:line="360" w:lineRule="auto"/>
        <w:jc w:val="both"/>
        <w:rPr>
          <w:rFonts w:ascii="Book Antiqua" w:hAnsi="Book Antiqua"/>
        </w:rPr>
      </w:pPr>
    </w:p>
    <w:p w14:paraId="714EE03A"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Data sharing statement: </w:t>
      </w:r>
      <w:r w:rsidRPr="007C0B9B">
        <w:rPr>
          <w:rFonts w:ascii="Book Antiqua" w:eastAsia="Book Antiqua" w:hAnsi="Book Antiqua"/>
          <w:color w:val="000000"/>
        </w:rPr>
        <w:t>No additional data are available.</w:t>
      </w:r>
    </w:p>
    <w:p w14:paraId="79FD07FA" w14:textId="77777777" w:rsidR="00A77B3E" w:rsidRPr="007C0B9B" w:rsidRDefault="00A77B3E" w:rsidP="007C0B9B">
      <w:pPr>
        <w:adjustRightInd w:val="0"/>
        <w:snapToGrid w:val="0"/>
        <w:spacing w:line="360" w:lineRule="auto"/>
        <w:jc w:val="both"/>
        <w:rPr>
          <w:rFonts w:ascii="Book Antiqua" w:hAnsi="Book Antiqua"/>
        </w:rPr>
      </w:pPr>
    </w:p>
    <w:p w14:paraId="7B280C36"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bCs/>
          <w:color w:val="000000"/>
        </w:rPr>
        <w:t xml:space="preserve">Open-Access: </w:t>
      </w:r>
      <w:r w:rsidRPr="007C0B9B">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0B9B">
        <w:rPr>
          <w:rFonts w:ascii="Book Antiqua" w:eastAsia="Book Antiqua" w:hAnsi="Book Antiqua"/>
          <w:color w:val="000000"/>
        </w:rPr>
        <w:t>NonCommercial</w:t>
      </w:r>
      <w:proofErr w:type="spellEnd"/>
      <w:r w:rsidRPr="007C0B9B">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696056" w14:textId="77777777" w:rsidR="00A77B3E" w:rsidRPr="007C0B9B" w:rsidRDefault="00A77B3E" w:rsidP="007C0B9B">
      <w:pPr>
        <w:adjustRightInd w:val="0"/>
        <w:snapToGrid w:val="0"/>
        <w:spacing w:line="360" w:lineRule="auto"/>
        <w:jc w:val="both"/>
        <w:rPr>
          <w:rFonts w:ascii="Book Antiqua" w:hAnsi="Book Antiqua"/>
        </w:rPr>
      </w:pPr>
    </w:p>
    <w:p w14:paraId="47A1B2A9"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Provenance and peer review: </w:t>
      </w:r>
      <w:r w:rsidRPr="007C0B9B">
        <w:rPr>
          <w:rFonts w:ascii="Book Antiqua" w:eastAsia="Book Antiqua" w:hAnsi="Book Antiqua"/>
          <w:color w:val="000000"/>
        </w:rPr>
        <w:t>Unsolicited article; Externally peer reviewed.</w:t>
      </w:r>
    </w:p>
    <w:p w14:paraId="214FDB0F"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Peer-review model: </w:t>
      </w:r>
      <w:r w:rsidRPr="007C0B9B">
        <w:rPr>
          <w:rFonts w:ascii="Book Antiqua" w:eastAsia="Book Antiqua" w:hAnsi="Book Antiqua"/>
          <w:color w:val="000000"/>
        </w:rPr>
        <w:t>Single blind</w:t>
      </w:r>
    </w:p>
    <w:p w14:paraId="0F9383E0" w14:textId="77777777" w:rsidR="00A77B3E" w:rsidRPr="007C0B9B" w:rsidRDefault="00A77B3E" w:rsidP="007C0B9B">
      <w:pPr>
        <w:adjustRightInd w:val="0"/>
        <w:snapToGrid w:val="0"/>
        <w:spacing w:line="360" w:lineRule="auto"/>
        <w:jc w:val="both"/>
        <w:rPr>
          <w:rFonts w:ascii="Book Antiqua" w:hAnsi="Book Antiqua"/>
        </w:rPr>
      </w:pPr>
    </w:p>
    <w:p w14:paraId="2936EF69"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Peer-review started: </w:t>
      </w:r>
      <w:r w:rsidRPr="007C0B9B">
        <w:rPr>
          <w:rFonts w:ascii="Book Antiqua" w:eastAsia="Book Antiqua" w:hAnsi="Book Antiqua"/>
          <w:color w:val="000000"/>
        </w:rPr>
        <w:t>October 19, 2022</w:t>
      </w:r>
    </w:p>
    <w:p w14:paraId="3B8B4A1D"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First decision: </w:t>
      </w:r>
      <w:r w:rsidRPr="007C0B9B">
        <w:rPr>
          <w:rFonts w:ascii="Book Antiqua" w:eastAsia="Book Antiqua" w:hAnsi="Book Antiqua"/>
          <w:color w:val="000000"/>
        </w:rPr>
        <w:t>November 4, 2022</w:t>
      </w:r>
    </w:p>
    <w:p w14:paraId="69A71280" w14:textId="16D7F2D0"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Article in press: </w:t>
      </w:r>
      <w:r w:rsidR="00B32F18" w:rsidRPr="006F5A56">
        <w:rPr>
          <w:rFonts w:ascii="Book Antiqua" w:eastAsia="Book Antiqua" w:hAnsi="Book Antiqua"/>
          <w:color w:val="000000"/>
        </w:rPr>
        <w:t>November 28, 2022</w:t>
      </w:r>
    </w:p>
    <w:p w14:paraId="497D9BC8" w14:textId="77777777" w:rsidR="00A77B3E" w:rsidRPr="007C0B9B" w:rsidRDefault="00A77B3E" w:rsidP="007C0B9B">
      <w:pPr>
        <w:adjustRightInd w:val="0"/>
        <w:snapToGrid w:val="0"/>
        <w:spacing w:line="360" w:lineRule="auto"/>
        <w:jc w:val="both"/>
        <w:rPr>
          <w:rFonts w:ascii="Book Antiqua" w:hAnsi="Book Antiqua"/>
        </w:rPr>
      </w:pPr>
    </w:p>
    <w:p w14:paraId="72CE14FB" w14:textId="758AD878" w:rsidR="00A77B3E" w:rsidRPr="00B32F18" w:rsidRDefault="00455B3E" w:rsidP="007C0B9B">
      <w:pPr>
        <w:adjustRightInd w:val="0"/>
        <w:snapToGrid w:val="0"/>
        <w:spacing w:line="360" w:lineRule="auto"/>
        <w:jc w:val="both"/>
        <w:rPr>
          <w:rFonts w:ascii="Book Antiqua" w:hAnsi="Book Antiqua"/>
          <w:lang w:eastAsia="zh-CN"/>
        </w:rPr>
      </w:pPr>
      <w:r w:rsidRPr="007C0B9B">
        <w:rPr>
          <w:rFonts w:ascii="Book Antiqua" w:eastAsia="Book Antiqua" w:hAnsi="Book Antiqua"/>
          <w:b/>
          <w:color w:val="000000"/>
        </w:rPr>
        <w:t xml:space="preserve">Specialty type: </w:t>
      </w:r>
      <w:r w:rsidRPr="007C0B9B">
        <w:rPr>
          <w:rFonts w:ascii="Book Antiqua" w:eastAsia="Book Antiqua" w:hAnsi="Book Antiqua"/>
          <w:color w:val="000000"/>
        </w:rPr>
        <w:t>Oncology</w:t>
      </w:r>
    </w:p>
    <w:p w14:paraId="6707CC67"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 xml:space="preserve">Country/Territory of origin: </w:t>
      </w:r>
      <w:r w:rsidRPr="007C0B9B">
        <w:rPr>
          <w:rFonts w:ascii="Book Antiqua" w:eastAsia="Book Antiqua" w:hAnsi="Book Antiqua"/>
          <w:color w:val="000000"/>
        </w:rPr>
        <w:t>China</w:t>
      </w:r>
    </w:p>
    <w:p w14:paraId="313988ED"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b/>
          <w:color w:val="000000"/>
        </w:rPr>
        <w:t>Peer-review report’s scientific quality classification</w:t>
      </w:r>
    </w:p>
    <w:p w14:paraId="0746A918"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lastRenderedPageBreak/>
        <w:t>Grade A (Excellent): 0</w:t>
      </w:r>
    </w:p>
    <w:p w14:paraId="3CD1ABA6"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Grade B (Very good): 0</w:t>
      </w:r>
    </w:p>
    <w:p w14:paraId="52B2E668"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Grade C (Good): C, C</w:t>
      </w:r>
    </w:p>
    <w:p w14:paraId="343DFB39"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Grade D (Fair): 0</w:t>
      </w:r>
    </w:p>
    <w:p w14:paraId="48DB9292" w14:textId="77777777" w:rsidR="00A77B3E" w:rsidRPr="007C0B9B" w:rsidRDefault="00455B3E" w:rsidP="007C0B9B">
      <w:pPr>
        <w:adjustRightInd w:val="0"/>
        <w:snapToGrid w:val="0"/>
        <w:spacing w:line="360" w:lineRule="auto"/>
        <w:jc w:val="both"/>
        <w:rPr>
          <w:rFonts w:ascii="Book Antiqua" w:hAnsi="Book Antiqua"/>
        </w:rPr>
      </w:pPr>
      <w:r w:rsidRPr="007C0B9B">
        <w:rPr>
          <w:rFonts w:ascii="Book Antiqua" w:eastAsia="Book Antiqua" w:hAnsi="Book Antiqua"/>
          <w:color w:val="000000"/>
        </w:rPr>
        <w:t>Grade E (Poor): 0</w:t>
      </w:r>
    </w:p>
    <w:p w14:paraId="2A92D537" w14:textId="77777777" w:rsidR="00A77B3E" w:rsidRPr="007C0B9B" w:rsidRDefault="00A77B3E" w:rsidP="007C0B9B">
      <w:pPr>
        <w:adjustRightInd w:val="0"/>
        <w:snapToGrid w:val="0"/>
        <w:spacing w:line="360" w:lineRule="auto"/>
        <w:jc w:val="both"/>
        <w:rPr>
          <w:rFonts w:ascii="Book Antiqua" w:hAnsi="Book Antiqua"/>
        </w:rPr>
      </w:pPr>
    </w:p>
    <w:p w14:paraId="5E0A6137" w14:textId="103E5FF7" w:rsidR="00A77B3E" w:rsidRPr="007C0B9B" w:rsidRDefault="00455B3E" w:rsidP="007C0B9B">
      <w:pPr>
        <w:adjustRightInd w:val="0"/>
        <w:snapToGrid w:val="0"/>
        <w:spacing w:line="360" w:lineRule="auto"/>
        <w:jc w:val="both"/>
        <w:rPr>
          <w:rFonts w:ascii="Book Antiqua" w:eastAsia="宋体" w:hAnsi="Book Antiqua"/>
          <w:bCs/>
          <w:color w:val="000000"/>
          <w:lang w:eastAsia="zh-CN"/>
        </w:rPr>
      </w:pPr>
      <w:r w:rsidRPr="007C0B9B">
        <w:rPr>
          <w:rFonts w:ascii="Book Antiqua" w:eastAsia="Book Antiqua" w:hAnsi="Book Antiqua"/>
          <w:b/>
          <w:color w:val="000000"/>
        </w:rPr>
        <w:t xml:space="preserve">P-Reviewer: </w:t>
      </w:r>
      <w:proofErr w:type="spellStart"/>
      <w:r w:rsidRPr="007C0B9B">
        <w:rPr>
          <w:rFonts w:ascii="Book Antiqua" w:eastAsia="Book Antiqua" w:hAnsi="Book Antiqua"/>
          <w:color w:val="000000"/>
        </w:rPr>
        <w:t>Arif</w:t>
      </w:r>
      <w:proofErr w:type="spellEnd"/>
      <w:r w:rsidRPr="007C0B9B">
        <w:rPr>
          <w:rFonts w:ascii="Book Antiqua" w:eastAsia="Book Antiqua" w:hAnsi="Book Antiqua"/>
          <w:color w:val="000000"/>
        </w:rPr>
        <w:t xml:space="preserve"> N, Pakistan; </w:t>
      </w:r>
      <w:proofErr w:type="spellStart"/>
      <w:r w:rsidRPr="007C0B9B">
        <w:rPr>
          <w:rFonts w:ascii="Book Antiqua" w:eastAsia="Book Antiqua" w:hAnsi="Book Antiqua"/>
          <w:color w:val="000000"/>
        </w:rPr>
        <w:t>Javed</w:t>
      </w:r>
      <w:proofErr w:type="spellEnd"/>
      <w:r w:rsidRPr="007C0B9B">
        <w:rPr>
          <w:rFonts w:ascii="Book Antiqua" w:eastAsia="Book Antiqua" w:hAnsi="Book Antiqua"/>
          <w:color w:val="000000"/>
        </w:rPr>
        <w:t xml:space="preserve"> R, </w:t>
      </w:r>
      <w:r w:rsidR="00AA3903" w:rsidRPr="007C0B9B">
        <w:rPr>
          <w:rFonts w:ascii="Book Antiqua" w:eastAsia="Book Antiqua" w:hAnsi="Book Antiqua"/>
          <w:color w:val="000000"/>
        </w:rPr>
        <w:t xml:space="preserve">India </w:t>
      </w:r>
      <w:r w:rsidRPr="007C0B9B">
        <w:rPr>
          <w:rFonts w:ascii="Book Antiqua" w:eastAsia="Book Antiqua" w:hAnsi="Book Antiqua"/>
          <w:b/>
          <w:color w:val="000000"/>
        </w:rPr>
        <w:t xml:space="preserve">S-Editor: </w:t>
      </w:r>
      <w:r w:rsidR="00AA3903" w:rsidRPr="007C0B9B">
        <w:rPr>
          <w:rFonts w:ascii="Book Antiqua" w:eastAsia="Book Antiqua" w:hAnsi="Book Antiqua"/>
          <w:bCs/>
          <w:color w:val="000000"/>
        </w:rPr>
        <w:t>W</w:t>
      </w:r>
      <w:r w:rsidR="00AA3903" w:rsidRPr="007C0B9B">
        <w:rPr>
          <w:rFonts w:ascii="Book Antiqua" w:eastAsia="宋体" w:hAnsi="Book Antiqua"/>
          <w:bCs/>
          <w:color w:val="000000"/>
          <w:lang w:eastAsia="zh-CN"/>
        </w:rPr>
        <w:t>ang JL</w:t>
      </w:r>
      <w:r w:rsidR="00AA3903" w:rsidRPr="007C0B9B">
        <w:rPr>
          <w:rFonts w:ascii="Book Antiqua" w:eastAsia="宋体" w:hAnsi="Book Antiqua"/>
          <w:b/>
          <w:color w:val="000000"/>
          <w:lang w:eastAsia="zh-CN"/>
        </w:rPr>
        <w:t xml:space="preserve"> </w:t>
      </w:r>
      <w:r w:rsidRPr="007C0B9B">
        <w:rPr>
          <w:rFonts w:ascii="Book Antiqua" w:eastAsia="Book Antiqua" w:hAnsi="Book Antiqua"/>
          <w:b/>
          <w:color w:val="000000"/>
        </w:rPr>
        <w:t xml:space="preserve">L-Editor: </w:t>
      </w:r>
      <w:r w:rsidR="00AA3903" w:rsidRPr="007C0B9B">
        <w:rPr>
          <w:rFonts w:ascii="Book Antiqua" w:eastAsia="Book Antiqua" w:hAnsi="Book Antiqua"/>
          <w:bCs/>
          <w:color w:val="000000"/>
        </w:rPr>
        <w:t>A</w:t>
      </w:r>
      <w:r w:rsidRPr="007C0B9B">
        <w:rPr>
          <w:rFonts w:ascii="Book Antiqua" w:eastAsia="Book Antiqua" w:hAnsi="Book Antiqua"/>
          <w:b/>
          <w:color w:val="000000"/>
        </w:rPr>
        <w:t xml:space="preserve"> P-Editor: </w:t>
      </w:r>
      <w:r w:rsidR="00AA3903" w:rsidRPr="007C0B9B">
        <w:rPr>
          <w:rFonts w:ascii="Book Antiqua" w:eastAsia="Book Antiqua" w:hAnsi="Book Antiqua"/>
          <w:bCs/>
          <w:color w:val="000000"/>
        </w:rPr>
        <w:t>W</w:t>
      </w:r>
      <w:r w:rsidR="00AA3903" w:rsidRPr="007C0B9B">
        <w:rPr>
          <w:rFonts w:ascii="Book Antiqua" w:eastAsia="宋体" w:hAnsi="Book Antiqua"/>
          <w:bCs/>
          <w:color w:val="000000"/>
          <w:lang w:eastAsia="zh-CN"/>
        </w:rPr>
        <w:t>ang JL</w:t>
      </w:r>
    </w:p>
    <w:p w14:paraId="37520198" w14:textId="012BB12D" w:rsidR="004F17D3" w:rsidRPr="007C0B9B" w:rsidRDefault="00AB2BBF" w:rsidP="007C0B9B">
      <w:pPr>
        <w:adjustRightInd w:val="0"/>
        <w:snapToGrid w:val="0"/>
        <w:spacing w:line="360" w:lineRule="auto"/>
        <w:jc w:val="both"/>
        <w:rPr>
          <w:rFonts w:ascii="Book Antiqua" w:eastAsia="宋体" w:hAnsi="Book Antiqua"/>
          <w:b/>
          <w:color w:val="000000"/>
          <w:lang w:eastAsia="zh-CN"/>
        </w:rPr>
      </w:pPr>
      <w:r w:rsidRPr="007C0B9B">
        <w:rPr>
          <w:rFonts w:ascii="Book Antiqua" w:eastAsia="宋体" w:hAnsi="Book Antiqua"/>
          <w:b/>
          <w:color w:val="000000"/>
          <w:lang w:eastAsia="zh-CN"/>
        </w:rPr>
        <w:br w:type="page"/>
      </w:r>
      <w:r w:rsidR="004F17D3" w:rsidRPr="007C0B9B">
        <w:rPr>
          <w:rFonts w:ascii="Book Antiqua" w:eastAsia="宋体" w:hAnsi="Book Antiqua"/>
          <w:b/>
          <w:color w:val="000000"/>
          <w:lang w:eastAsia="zh-CN"/>
        </w:rPr>
        <w:lastRenderedPageBreak/>
        <w:t>Figure Legends</w:t>
      </w:r>
    </w:p>
    <w:p w14:paraId="11CF0BB8" w14:textId="77777777" w:rsidR="00AB2BBF" w:rsidRPr="007C0B9B" w:rsidRDefault="00AB2BBF" w:rsidP="007C0B9B">
      <w:pPr>
        <w:adjustRightInd w:val="0"/>
        <w:snapToGrid w:val="0"/>
        <w:spacing w:line="360" w:lineRule="auto"/>
        <w:jc w:val="both"/>
        <w:rPr>
          <w:rFonts w:ascii="Book Antiqua" w:eastAsia="宋体" w:hAnsi="Book Antiqua"/>
          <w:b/>
          <w:bCs/>
        </w:rPr>
      </w:pPr>
      <w:r w:rsidRPr="007C0B9B">
        <w:rPr>
          <w:rFonts w:ascii="Book Antiqua" w:hAnsi="Book Antiqua"/>
          <w:noProof/>
          <w:lang w:eastAsia="zh-CN"/>
        </w:rPr>
        <w:drawing>
          <wp:inline distT="0" distB="0" distL="0" distR="0" wp14:anchorId="4730579B" wp14:editId="18518339">
            <wp:extent cx="4069232" cy="4134654"/>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69232" cy="4134654"/>
                    </a:xfrm>
                    <a:prstGeom prst="rect">
                      <a:avLst/>
                    </a:prstGeom>
                    <a:noFill/>
                    <a:ln>
                      <a:noFill/>
                    </a:ln>
                  </pic:spPr>
                </pic:pic>
              </a:graphicData>
            </a:graphic>
          </wp:inline>
        </w:drawing>
      </w:r>
    </w:p>
    <w:p w14:paraId="6991B1B9" w14:textId="37354619" w:rsidR="004F17D3" w:rsidRPr="007C0B9B" w:rsidRDefault="004F17D3" w:rsidP="007C0B9B">
      <w:pPr>
        <w:adjustRightInd w:val="0"/>
        <w:snapToGrid w:val="0"/>
        <w:spacing w:line="360" w:lineRule="auto"/>
        <w:jc w:val="both"/>
        <w:rPr>
          <w:rFonts w:ascii="Book Antiqua" w:hAnsi="Book Antiqua"/>
          <w:b/>
          <w:bCs/>
        </w:rPr>
      </w:pPr>
      <w:r w:rsidRPr="007C0B9B">
        <w:rPr>
          <w:rFonts w:ascii="Book Antiqua" w:eastAsia="宋体" w:hAnsi="Book Antiqua"/>
          <w:b/>
          <w:bCs/>
        </w:rPr>
        <w:t xml:space="preserve">Figure 1 </w:t>
      </w:r>
      <w:r w:rsidRPr="007C0B9B">
        <w:rPr>
          <w:rFonts w:ascii="Book Antiqua" w:eastAsia="等线" w:hAnsi="Book Antiqua"/>
          <w:b/>
          <w:bCs/>
        </w:rPr>
        <w:t>Receiver operating characteristic</w:t>
      </w:r>
      <w:r w:rsidRPr="007C0B9B">
        <w:rPr>
          <w:rFonts w:ascii="Book Antiqua" w:eastAsia="宋体" w:hAnsi="Book Antiqua"/>
          <w:b/>
          <w:bCs/>
        </w:rPr>
        <w:t xml:space="preserve"> curve of Spondin-2 in the diagnosis of cervical cancer.</w:t>
      </w:r>
    </w:p>
    <w:p w14:paraId="4A1BDA77" w14:textId="77777777" w:rsidR="00316DCF" w:rsidRDefault="00316DCF">
      <w:pPr>
        <w:rPr>
          <w:rFonts w:ascii="Book Antiqua" w:hAnsi="Book Antiqua"/>
          <w:kern w:val="2"/>
          <w:lang w:eastAsia="zh-CN"/>
        </w:rPr>
      </w:pPr>
      <w:r>
        <w:rPr>
          <w:rFonts w:ascii="Book Antiqua" w:hAnsi="Book Antiqua"/>
        </w:rPr>
        <w:br w:type="page"/>
      </w:r>
    </w:p>
    <w:p w14:paraId="6BC6A1FC" w14:textId="0829E3FB" w:rsidR="00AB2BBF" w:rsidRPr="007C0B9B" w:rsidRDefault="00AB2BBF" w:rsidP="007C0B9B">
      <w:pPr>
        <w:pStyle w:val="a3"/>
        <w:adjustRightInd w:val="0"/>
        <w:snapToGrid w:val="0"/>
        <w:spacing w:line="360" w:lineRule="auto"/>
        <w:ind w:firstLineChars="0" w:firstLine="0"/>
        <w:rPr>
          <w:rFonts w:ascii="Book Antiqua" w:hAnsi="Book Antiqua" w:cs="Times New Roman"/>
          <w:b/>
          <w:bCs/>
          <w:sz w:val="24"/>
        </w:rPr>
      </w:pPr>
      <w:r w:rsidRPr="007C0B9B">
        <w:rPr>
          <w:rFonts w:ascii="Book Antiqua" w:hAnsi="Book Antiqua" w:cs="Times New Roman"/>
          <w:noProof/>
          <w:sz w:val="24"/>
        </w:rPr>
        <w:lastRenderedPageBreak/>
        <w:drawing>
          <wp:inline distT="0" distB="0" distL="0" distR="0" wp14:anchorId="0E2F8D58" wp14:editId="37A02014">
            <wp:extent cx="5261902" cy="82219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1902" cy="8221980"/>
                    </a:xfrm>
                    <a:prstGeom prst="rect">
                      <a:avLst/>
                    </a:prstGeom>
                    <a:noFill/>
                    <a:ln>
                      <a:noFill/>
                    </a:ln>
                  </pic:spPr>
                </pic:pic>
              </a:graphicData>
            </a:graphic>
          </wp:inline>
        </w:drawing>
      </w:r>
    </w:p>
    <w:p w14:paraId="24601E16" w14:textId="01105CD9" w:rsidR="004F17D3" w:rsidRPr="007C0B9B" w:rsidRDefault="004F17D3" w:rsidP="007C0B9B">
      <w:pPr>
        <w:pStyle w:val="a3"/>
        <w:adjustRightInd w:val="0"/>
        <w:snapToGrid w:val="0"/>
        <w:spacing w:line="360" w:lineRule="auto"/>
        <w:ind w:firstLineChars="0" w:firstLine="0"/>
        <w:rPr>
          <w:rFonts w:ascii="Book Antiqua" w:eastAsia="等线" w:hAnsi="Book Antiqua" w:cs="Times New Roman"/>
          <w:sz w:val="24"/>
        </w:rPr>
      </w:pPr>
      <w:r w:rsidRPr="007C0B9B">
        <w:rPr>
          <w:rFonts w:ascii="Book Antiqua" w:hAnsi="Book Antiqua" w:cs="Times New Roman"/>
          <w:b/>
          <w:bCs/>
          <w:sz w:val="24"/>
        </w:rPr>
        <w:lastRenderedPageBreak/>
        <w:t xml:space="preserve">Figure 2 Comparison of </w:t>
      </w:r>
      <w:r w:rsidRPr="007C0B9B">
        <w:rPr>
          <w:rFonts w:ascii="Book Antiqua" w:eastAsia="等线" w:hAnsi="Book Antiqua" w:cs="Times New Roman"/>
          <w:b/>
          <w:bCs/>
          <w:sz w:val="24"/>
        </w:rPr>
        <w:t xml:space="preserve">progression-free and overall survival </w:t>
      </w:r>
      <w:r w:rsidRPr="007C0B9B">
        <w:rPr>
          <w:rFonts w:ascii="Book Antiqua" w:hAnsi="Book Antiqua" w:cs="Times New Roman"/>
          <w:b/>
          <w:bCs/>
          <w:sz w:val="24"/>
        </w:rPr>
        <w:t xml:space="preserve">in patients with different serum Spondin-2 expression levels. </w:t>
      </w:r>
      <w:r w:rsidRPr="007C0B9B">
        <w:rPr>
          <w:rFonts w:ascii="Book Antiqua" w:hAnsi="Book Antiqua" w:cs="Times New Roman"/>
          <w:sz w:val="24"/>
        </w:rPr>
        <w:t xml:space="preserve">A: </w:t>
      </w:r>
      <w:r w:rsidRPr="007C0B9B">
        <w:rPr>
          <w:rFonts w:ascii="Book Antiqua" w:eastAsia="等线" w:hAnsi="Book Antiqua" w:cs="Times New Roman"/>
          <w:sz w:val="24"/>
        </w:rPr>
        <w:t>Progression-free survival; B: Overall survival. PFS: Progression-free survival; OS: Overall survival.</w:t>
      </w:r>
    </w:p>
    <w:p w14:paraId="094CAD71" w14:textId="15C49504"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eastAsia="等线" w:hAnsi="Book Antiqua"/>
        </w:rPr>
        <w:br w:type="page"/>
      </w:r>
      <w:r w:rsidRPr="007C0B9B">
        <w:rPr>
          <w:rFonts w:ascii="Book Antiqua" w:hAnsi="Book Antiqua"/>
          <w:b/>
          <w:bCs/>
        </w:rPr>
        <w:lastRenderedPageBreak/>
        <w:t xml:space="preserve">Table 1 Serum Spondin-2 expression in each </w:t>
      </w:r>
      <w:r w:rsidR="00DF1878" w:rsidRPr="007C0B9B">
        <w:rPr>
          <w:rFonts w:ascii="Book Antiqua" w:hAnsi="Book Antiqua"/>
          <w:b/>
          <w:bCs/>
        </w:rPr>
        <w:t>group</w:t>
      </w:r>
      <w:r w:rsidRPr="007C0B9B">
        <w:rPr>
          <w:rFonts w:ascii="Book Antiqua" w:hAnsi="Book Antiqua"/>
          <w:b/>
          <w:bCs/>
        </w:rPr>
        <w:t xml:space="preserve"> (</w:t>
      </w:r>
      <w:r w:rsidR="00765A4D" w:rsidRPr="007C0B9B">
        <w:rPr>
          <w:rFonts w:ascii="Book Antiqua" w:hAnsi="Book Antiqua"/>
          <w:b/>
          <w:bCs/>
        </w:rPr>
        <w:t xml:space="preserve">mean </w:t>
      </w:r>
      <w:r w:rsidR="00765A4D" w:rsidRPr="007C0B9B">
        <w:rPr>
          <w:rFonts w:ascii="Book Antiqua" w:hAnsi="Book Antiqua"/>
          <w:b/>
          <w:bCs/>
          <w:lang w:eastAsia="zh-CN"/>
        </w:rPr>
        <w:t>±</w:t>
      </w:r>
      <w:r w:rsidR="00765A4D" w:rsidRPr="007C0B9B">
        <w:rPr>
          <w:rFonts w:ascii="Book Antiqua" w:hAnsi="Book Antiqua"/>
          <w:b/>
          <w:bCs/>
        </w:rPr>
        <w:t xml:space="preserve"> SD</w:t>
      </w:r>
      <w:r w:rsidR="00765A4D" w:rsidRPr="007C0B9B">
        <w:rPr>
          <w:rFonts w:ascii="Book Antiqua" w:hAnsi="Book Antiqua"/>
          <w:b/>
          <w:bCs/>
          <w:lang w:eastAsia="zh-CN"/>
        </w:rPr>
        <w:t>)</w:t>
      </w:r>
    </w:p>
    <w:tbl>
      <w:tblPr>
        <w:tblStyle w:val="a4"/>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2689"/>
        <w:gridCol w:w="1040"/>
        <w:gridCol w:w="2976"/>
        <w:gridCol w:w="1450"/>
        <w:gridCol w:w="1421"/>
      </w:tblGrid>
      <w:tr w:rsidR="005D2787" w:rsidRPr="007C0B9B" w14:paraId="49A77574" w14:textId="77777777" w:rsidTr="00316DCF">
        <w:trPr>
          <w:trHeight w:val="58"/>
        </w:trPr>
        <w:tc>
          <w:tcPr>
            <w:tcW w:w="1404" w:type="pct"/>
            <w:tcBorders>
              <w:top w:val="single" w:sz="4" w:space="0" w:color="auto"/>
              <w:bottom w:val="single" w:sz="4" w:space="0" w:color="auto"/>
            </w:tcBorders>
          </w:tcPr>
          <w:p w14:paraId="5DA66E56" w14:textId="4F3F1742" w:rsidR="005D2787" w:rsidRPr="007C0B9B" w:rsidRDefault="00DF1878" w:rsidP="007C0B9B">
            <w:pPr>
              <w:adjustRightInd w:val="0"/>
              <w:snapToGrid w:val="0"/>
              <w:spacing w:line="360" w:lineRule="auto"/>
              <w:jc w:val="both"/>
              <w:rPr>
                <w:rFonts w:ascii="Book Antiqua" w:hAnsi="Book Antiqua"/>
                <w:b/>
                <w:bCs/>
              </w:rPr>
            </w:pPr>
            <w:r w:rsidRPr="007C0B9B">
              <w:rPr>
                <w:rFonts w:ascii="Book Antiqua" w:hAnsi="Book Antiqua"/>
                <w:b/>
                <w:bCs/>
              </w:rPr>
              <w:t>Group</w:t>
            </w:r>
          </w:p>
        </w:tc>
        <w:tc>
          <w:tcPr>
            <w:tcW w:w="543" w:type="pct"/>
            <w:tcBorders>
              <w:top w:val="single" w:sz="4" w:space="0" w:color="auto"/>
              <w:bottom w:val="single" w:sz="4" w:space="0" w:color="auto"/>
            </w:tcBorders>
          </w:tcPr>
          <w:p w14:paraId="54E3D27A" w14:textId="77777777" w:rsidR="005D2787" w:rsidRPr="007C0B9B" w:rsidRDefault="005D2787" w:rsidP="007C0B9B">
            <w:pPr>
              <w:adjustRightInd w:val="0"/>
              <w:snapToGrid w:val="0"/>
              <w:spacing w:line="360" w:lineRule="auto"/>
              <w:jc w:val="both"/>
              <w:rPr>
                <w:rFonts w:ascii="Book Antiqua" w:hAnsi="Book Antiqua"/>
                <w:b/>
                <w:bCs/>
                <w:i/>
                <w:iCs/>
              </w:rPr>
            </w:pPr>
            <w:r w:rsidRPr="007C0B9B">
              <w:rPr>
                <w:rFonts w:ascii="Book Antiqua" w:hAnsi="Book Antiqua"/>
                <w:b/>
                <w:bCs/>
                <w:i/>
                <w:iCs/>
              </w:rPr>
              <w:t>n</w:t>
            </w:r>
          </w:p>
        </w:tc>
        <w:tc>
          <w:tcPr>
            <w:tcW w:w="1554" w:type="pct"/>
            <w:tcBorders>
              <w:top w:val="single" w:sz="4" w:space="0" w:color="auto"/>
              <w:bottom w:val="single" w:sz="4" w:space="0" w:color="auto"/>
            </w:tcBorders>
          </w:tcPr>
          <w:p w14:paraId="430E681D" w14:textId="77777777"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Spondin-2 (</w:t>
            </w:r>
            <w:proofErr w:type="spellStart"/>
            <w:r w:rsidRPr="007C0B9B">
              <w:rPr>
                <w:rFonts w:ascii="Book Antiqua" w:hAnsi="Book Antiqua"/>
                <w:b/>
                <w:bCs/>
              </w:rPr>
              <w:t>μg</w:t>
            </w:r>
            <w:proofErr w:type="spellEnd"/>
            <w:r w:rsidRPr="007C0B9B">
              <w:rPr>
                <w:rFonts w:ascii="Book Antiqua" w:hAnsi="Book Antiqua"/>
                <w:b/>
                <w:bCs/>
              </w:rPr>
              <w:t>/L)</w:t>
            </w:r>
          </w:p>
        </w:tc>
        <w:tc>
          <w:tcPr>
            <w:tcW w:w="757" w:type="pct"/>
            <w:tcBorders>
              <w:top w:val="single" w:sz="4" w:space="0" w:color="auto"/>
              <w:bottom w:val="single" w:sz="4" w:space="0" w:color="auto"/>
            </w:tcBorders>
          </w:tcPr>
          <w:p w14:paraId="1ABCF98D" w14:textId="77777777" w:rsidR="005D2787" w:rsidRPr="007C0B9B" w:rsidRDefault="005D2787" w:rsidP="007C0B9B">
            <w:pPr>
              <w:adjustRightInd w:val="0"/>
              <w:snapToGrid w:val="0"/>
              <w:spacing w:line="360" w:lineRule="auto"/>
              <w:jc w:val="both"/>
              <w:rPr>
                <w:rFonts w:ascii="Book Antiqua" w:hAnsi="Book Antiqua"/>
                <w:b/>
                <w:bCs/>
                <w:i/>
                <w:iCs/>
              </w:rPr>
            </w:pPr>
            <w:r w:rsidRPr="007C0B9B">
              <w:rPr>
                <w:rFonts w:ascii="Book Antiqua" w:hAnsi="Book Antiqua"/>
                <w:b/>
                <w:bCs/>
                <w:i/>
                <w:iCs/>
              </w:rPr>
              <w:t>F</w:t>
            </w:r>
          </w:p>
        </w:tc>
        <w:tc>
          <w:tcPr>
            <w:tcW w:w="742" w:type="pct"/>
            <w:tcBorders>
              <w:top w:val="single" w:sz="4" w:space="0" w:color="auto"/>
              <w:bottom w:val="single" w:sz="4" w:space="0" w:color="auto"/>
            </w:tcBorders>
          </w:tcPr>
          <w:p w14:paraId="5EBE67F8" w14:textId="08546ED9"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i/>
                <w:iCs/>
              </w:rPr>
              <w:t>P</w:t>
            </w:r>
            <w:r w:rsidR="00FF4804" w:rsidRPr="007C0B9B">
              <w:rPr>
                <w:rFonts w:ascii="Book Antiqua" w:hAnsi="Book Antiqua"/>
                <w:b/>
                <w:bCs/>
              </w:rPr>
              <w:t xml:space="preserve"> </w:t>
            </w:r>
            <w:r w:rsidRPr="007C0B9B">
              <w:rPr>
                <w:rFonts w:ascii="Book Antiqua" w:hAnsi="Book Antiqua"/>
                <w:b/>
                <w:bCs/>
              </w:rPr>
              <w:t>value</w:t>
            </w:r>
          </w:p>
        </w:tc>
      </w:tr>
      <w:tr w:rsidR="005D2787" w:rsidRPr="007C0B9B" w14:paraId="51875B06" w14:textId="77777777" w:rsidTr="00316DCF">
        <w:trPr>
          <w:trHeight w:val="58"/>
        </w:trPr>
        <w:tc>
          <w:tcPr>
            <w:tcW w:w="1404" w:type="pct"/>
            <w:tcBorders>
              <w:top w:val="single" w:sz="4" w:space="0" w:color="auto"/>
            </w:tcBorders>
          </w:tcPr>
          <w:p w14:paraId="3851AD3F" w14:textId="4900B016"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 xml:space="preserve">Cervical cancer </w:t>
            </w:r>
            <w:r w:rsidR="00DF1878" w:rsidRPr="007C0B9B">
              <w:rPr>
                <w:rFonts w:ascii="Book Antiqua" w:hAnsi="Book Antiqua"/>
              </w:rPr>
              <w:t>group</w:t>
            </w:r>
          </w:p>
        </w:tc>
        <w:tc>
          <w:tcPr>
            <w:tcW w:w="543" w:type="pct"/>
            <w:tcBorders>
              <w:top w:val="single" w:sz="4" w:space="0" w:color="auto"/>
            </w:tcBorders>
          </w:tcPr>
          <w:p w14:paraId="30701604"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147</w:t>
            </w:r>
          </w:p>
        </w:tc>
        <w:tc>
          <w:tcPr>
            <w:tcW w:w="1554" w:type="pct"/>
            <w:tcBorders>
              <w:top w:val="single" w:sz="4" w:space="0" w:color="auto"/>
            </w:tcBorders>
          </w:tcPr>
          <w:p w14:paraId="57095FE8" w14:textId="69F9BDB8"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25.68</w:t>
            </w:r>
            <w:r w:rsidR="00FF4804" w:rsidRPr="007C0B9B">
              <w:rPr>
                <w:rFonts w:ascii="Book Antiqua" w:hAnsi="Book Antiqua"/>
              </w:rPr>
              <w:t xml:space="preserve"> </w:t>
            </w:r>
            <w:r w:rsidRPr="007C0B9B">
              <w:rPr>
                <w:rFonts w:ascii="Book Antiqua" w:hAnsi="Book Antiqua"/>
              </w:rPr>
              <w:t>±</w:t>
            </w:r>
            <w:r w:rsidR="00FF4804" w:rsidRPr="007C0B9B">
              <w:rPr>
                <w:rFonts w:ascii="Book Antiqua" w:hAnsi="Book Antiqua"/>
              </w:rPr>
              <w:t xml:space="preserve"> </w:t>
            </w:r>
            <w:r w:rsidRPr="007C0B9B">
              <w:rPr>
                <w:rFonts w:ascii="Book Antiqua" w:hAnsi="Book Antiqua"/>
              </w:rPr>
              <w:t>7.11</w:t>
            </w:r>
          </w:p>
        </w:tc>
        <w:tc>
          <w:tcPr>
            <w:tcW w:w="757" w:type="pct"/>
            <w:tcBorders>
              <w:top w:val="single" w:sz="4" w:space="0" w:color="auto"/>
            </w:tcBorders>
          </w:tcPr>
          <w:p w14:paraId="1DB139E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105.790</w:t>
            </w:r>
          </w:p>
        </w:tc>
        <w:tc>
          <w:tcPr>
            <w:tcW w:w="742" w:type="pct"/>
            <w:tcBorders>
              <w:top w:val="single" w:sz="4" w:space="0" w:color="auto"/>
            </w:tcBorders>
          </w:tcPr>
          <w:p w14:paraId="3307E921"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0.000</w:t>
            </w:r>
          </w:p>
        </w:tc>
      </w:tr>
      <w:tr w:rsidR="005D2787" w:rsidRPr="007C0B9B" w14:paraId="5346E000" w14:textId="77777777" w:rsidTr="00316DCF">
        <w:trPr>
          <w:trHeight w:val="68"/>
        </w:trPr>
        <w:tc>
          <w:tcPr>
            <w:tcW w:w="1404" w:type="pct"/>
          </w:tcPr>
          <w:p w14:paraId="50BBCC52" w14:textId="7B77E1BA"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 xml:space="preserve">Benign </w:t>
            </w:r>
            <w:r w:rsidR="00DF1878" w:rsidRPr="007C0B9B">
              <w:rPr>
                <w:rFonts w:ascii="Book Antiqua" w:hAnsi="Book Antiqua"/>
              </w:rPr>
              <w:t>group</w:t>
            </w:r>
          </w:p>
        </w:tc>
        <w:tc>
          <w:tcPr>
            <w:tcW w:w="543" w:type="pct"/>
          </w:tcPr>
          <w:p w14:paraId="4F9A4925"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92</w:t>
            </w:r>
          </w:p>
        </w:tc>
        <w:tc>
          <w:tcPr>
            <w:tcW w:w="1554" w:type="pct"/>
          </w:tcPr>
          <w:p w14:paraId="6CF4E4BC" w14:textId="157929CD"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17.52</w:t>
            </w:r>
            <w:r w:rsidR="00FF4804" w:rsidRPr="007C0B9B">
              <w:rPr>
                <w:rFonts w:ascii="Book Antiqua" w:hAnsi="Book Antiqua"/>
              </w:rPr>
              <w:t xml:space="preserve"> </w:t>
            </w:r>
            <w:r w:rsidRPr="007C0B9B">
              <w:rPr>
                <w:rFonts w:ascii="Book Antiqua" w:hAnsi="Book Antiqua"/>
              </w:rPr>
              <w:t>±</w:t>
            </w:r>
            <w:r w:rsidR="00FF4804" w:rsidRPr="007C0B9B">
              <w:rPr>
                <w:rFonts w:ascii="Book Antiqua" w:hAnsi="Book Antiqua"/>
              </w:rPr>
              <w:t xml:space="preserve"> </w:t>
            </w:r>
            <w:r w:rsidRPr="007C0B9B">
              <w:rPr>
                <w:rFonts w:ascii="Book Antiqua" w:hAnsi="Book Antiqua"/>
              </w:rPr>
              <w:t>5.76</w:t>
            </w:r>
          </w:p>
        </w:tc>
        <w:tc>
          <w:tcPr>
            <w:tcW w:w="757" w:type="pct"/>
          </w:tcPr>
          <w:p w14:paraId="09F7E767" w14:textId="77777777" w:rsidR="005D2787" w:rsidRPr="007C0B9B" w:rsidRDefault="005D2787" w:rsidP="007C0B9B">
            <w:pPr>
              <w:adjustRightInd w:val="0"/>
              <w:snapToGrid w:val="0"/>
              <w:spacing w:line="360" w:lineRule="auto"/>
              <w:jc w:val="both"/>
              <w:rPr>
                <w:rFonts w:ascii="Book Antiqua" w:hAnsi="Book Antiqua"/>
              </w:rPr>
            </w:pPr>
          </w:p>
        </w:tc>
        <w:tc>
          <w:tcPr>
            <w:tcW w:w="742" w:type="pct"/>
          </w:tcPr>
          <w:p w14:paraId="06750B80"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3E5E5EA7" w14:textId="77777777" w:rsidTr="00316DCF">
        <w:trPr>
          <w:trHeight w:val="68"/>
        </w:trPr>
        <w:tc>
          <w:tcPr>
            <w:tcW w:w="1404" w:type="pct"/>
          </w:tcPr>
          <w:p w14:paraId="610C4A2C" w14:textId="5843AD2A"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 xml:space="preserve">Control </w:t>
            </w:r>
            <w:r w:rsidR="00DF1878" w:rsidRPr="007C0B9B">
              <w:rPr>
                <w:rFonts w:ascii="Book Antiqua" w:hAnsi="Book Antiqua"/>
              </w:rPr>
              <w:t>group</w:t>
            </w:r>
          </w:p>
        </w:tc>
        <w:tc>
          <w:tcPr>
            <w:tcW w:w="543" w:type="pct"/>
          </w:tcPr>
          <w:p w14:paraId="2F866296"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86</w:t>
            </w:r>
          </w:p>
        </w:tc>
        <w:tc>
          <w:tcPr>
            <w:tcW w:w="1554" w:type="pct"/>
          </w:tcPr>
          <w:p w14:paraId="5180DDD9" w14:textId="55F3E145"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14.16</w:t>
            </w:r>
            <w:r w:rsidR="00FF4804" w:rsidRPr="007C0B9B">
              <w:rPr>
                <w:rFonts w:ascii="Book Antiqua" w:hAnsi="Book Antiqua"/>
              </w:rPr>
              <w:t xml:space="preserve"> </w:t>
            </w:r>
            <w:r w:rsidRPr="007C0B9B">
              <w:rPr>
                <w:rFonts w:ascii="Book Antiqua" w:hAnsi="Book Antiqua"/>
              </w:rPr>
              <w:t>±</w:t>
            </w:r>
            <w:r w:rsidR="00FF4804" w:rsidRPr="007C0B9B">
              <w:rPr>
                <w:rFonts w:ascii="Book Antiqua" w:hAnsi="Book Antiqua"/>
              </w:rPr>
              <w:t xml:space="preserve"> </w:t>
            </w:r>
            <w:r w:rsidRPr="007C0B9B">
              <w:rPr>
                <w:rFonts w:ascii="Book Antiqua" w:hAnsi="Book Antiqua"/>
              </w:rPr>
              <w:t>4.96</w:t>
            </w:r>
          </w:p>
        </w:tc>
        <w:tc>
          <w:tcPr>
            <w:tcW w:w="757" w:type="pct"/>
          </w:tcPr>
          <w:p w14:paraId="57CBA100" w14:textId="77777777" w:rsidR="005D2787" w:rsidRPr="007C0B9B" w:rsidRDefault="005D2787" w:rsidP="007C0B9B">
            <w:pPr>
              <w:adjustRightInd w:val="0"/>
              <w:snapToGrid w:val="0"/>
              <w:spacing w:line="360" w:lineRule="auto"/>
              <w:jc w:val="both"/>
              <w:rPr>
                <w:rFonts w:ascii="Book Antiqua" w:hAnsi="Book Antiqua"/>
              </w:rPr>
            </w:pPr>
          </w:p>
        </w:tc>
        <w:tc>
          <w:tcPr>
            <w:tcW w:w="742" w:type="pct"/>
          </w:tcPr>
          <w:p w14:paraId="39EC6EAB" w14:textId="77777777" w:rsidR="005D2787" w:rsidRPr="007C0B9B" w:rsidRDefault="005D2787" w:rsidP="007C0B9B">
            <w:pPr>
              <w:adjustRightInd w:val="0"/>
              <w:snapToGrid w:val="0"/>
              <w:spacing w:line="360" w:lineRule="auto"/>
              <w:jc w:val="both"/>
              <w:rPr>
                <w:rFonts w:ascii="Book Antiqua" w:hAnsi="Book Antiqua"/>
              </w:rPr>
            </w:pPr>
          </w:p>
        </w:tc>
      </w:tr>
    </w:tbl>
    <w:p w14:paraId="5932C3E0" w14:textId="77777777" w:rsidR="00B32F18" w:rsidRDefault="00B32F18">
      <w:pPr>
        <w:rPr>
          <w:rFonts w:ascii="Book Antiqua" w:hAnsi="Book Antiqua"/>
          <w:b/>
          <w:bCs/>
        </w:rPr>
      </w:pPr>
      <w:r>
        <w:rPr>
          <w:rFonts w:ascii="Book Antiqua" w:hAnsi="Book Antiqua"/>
          <w:b/>
          <w:bCs/>
        </w:rPr>
        <w:br w:type="page"/>
      </w:r>
    </w:p>
    <w:p w14:paraId="19175A4C" w14:textId="61998290" w:rsidR="005D2787" w:rsidRPr="007C0B9B" w:rsidRDefault="005D2787" w:rsidP="007C0B9B">
      <w:pPr>
        <w:adjustRightInd w:val="0"/>
        <w:snapToGrid w:val="0"/>
        <w:spacing w:line="360" w:lineRule="auto"/>
        <w:jc w:val="both"/>
        <w:rPr>
          <w:rFonts w:ascii="Book Antiqua" w:hAnsi="Book Antiqua"/>
          <w:b/>
        </w:rPr>
      </w:pPr>
      <w:r w:rsidRPr="007C0B9B">
        <w:rPr>
          <w:rFonts w:ascii="Book Antiqua" w:hAnsi="Book Antiqua"/>
          <w:b/>
        </w:rPr>
        <w:lastRenderedPageBreak/>
        <w:t>Table 2 Serum Spondin-2 expression in patients with different clinicopathological features of cervical cancer</w:t>
      </w:r>
    </w:p>
    <w:tbl>
      <w:tblPr>
        <w:tblStyle w:val="a4"/>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3118"/>
        <w:gridCol w:w="2118"/>
        <w:gridCol w:w="2160"/>
        <w:gridCol w:w="1044"/>
        <w:gridCol w:w="1136"/>
      </w:tblGrid>
      <w:tr w:rsidR="005D2787" w:rsidRPr="007C0B9B" w14:paraId="0A606852" w14:textId="77777777" w:rsidTr="00B224F6">
        <w:tc>
          <w:tcPr>
            <w:tcW w:w="1628" w:type="pct"/>
            <w:tcBorders>
              <w:top w:val="single" w:sz="4" w:space="0" w:color="auto"/>
              <w:bottom w:val="single" w:sz="4" w:space="0" w:color="auto"/>
            </w:tcBorders>
          </w:tcPr>
          <w:p w14:paraId="2FEFE45C" w14:textId="77777777"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Clinical pathology</w:t>
            </w:r>
          </w:p>
        </w:tc>
        <w:tc>
          <w:tcPr>
            <w:tcW w:w="1106" w:type="pct"/>
            <w:tcBorders>
              <w:top w:val="single" w:sz="4" w:space="0" w:color="auto"/>
              <w:bottom w:val="single" w:sz="4" w:space="0" w:color="auto"/>
            </w:tcBorders>
          </w:tcPr>
          <w:p w14:paraId="21187397" w14:textId="2269D3B5"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 xml:space="preserve">High Spondin-2 </w:t>
            </w:r>
            <w:r w:rsidR="00DF1878" w:rsidRPr="007C0B9B">
              <w:rPr>
                <w:rFonts w:ascii="Book Antiqua" w:hAnsi="Book Antiqua"/>
                <w:b/>
                <w:bCs/>
              </w:rPr>
              <w:t>group</w:t>
            </w:r>
            <w:r w:rsidRPr="007C0B9B">
              <w:rPr>
                <w:rFonts w:ascii="Book Antiqua" w:hAnsi="Book Antiqua"/>
                <w:b/>
                <w:bCs/>
              </w:rPr>
              <w:t xml:space="preserve"> (</w:t>
            </w:r>
            <w:r w:rsidRPr="007C0B9B">
              <w:rPr>
                <w:rFonts w:ascii="Book Antiqua" w:hAnsi="Book Antiqua"/>
                <w:b/>
                <w:bCs/>
                <w:i/>
                <w:iCs/>
              </w:rPr>
              <w:t>n</w:t>
            </w:r>
            <w:r w:rsidR="00B224F6" w:rsidRPr="007C0B9B">
              <w:rPr>
                <w:rFonts w:ascii="Book Antiqua" w:hAnsi="Book Antiqua"/>
                <w:b/>
                <w:bCs/>
              </w:rPr>
              <w:t xml:space="preserve"> </w:t>
            </w:r>
            <w:r w:rsidRPr="007C0B9B">
              <w:rPr>
                <w:rFonts w:ascii="Book Antiqua" w:hAnsi="Book Antiqua"/>
                <w:b/>
                <w:bCs/>
              </w:rPr>
              <w:t>=</w:t>
            </w:r>
            <w:r w:rsidR="00B224F6" w:rsidRPr="007C0B9B">
              <w:rPr>
                <w:rFonts w:ascii="Book Antiqua" w:hAnsi="Book Antiqua"/>
                <w:b/>
                <w:bCs/>
              </w:rPr>
              <w:t xml:space="preserve"> </w:t>
            </w:r>
            <w:r w:rsidRPr="007C0B9B">
              <w:rPr>
                <w:rFonts w:ascii="Book Antiqua" w:hAnsi="Book Antiqua"/>
                <w:b/>
                <w:bCs/>
              </w:rPr>
              <w:t>101)</w:t>
            </w:r>
          </w:p>
        </w:tc>
        <w:tc>
          <w:tcPr>
            <w:tcW w:w="1128" w:type="pct"/>
            <w:tcBorders>
              <w:top w:val="single" w:sz="4" w:space="0" w:color="auto"/>
              <w:bottom w:val="single" w:sz="4" w:space="0" w:color="auto"/>
            </w:tcBorders>
          </w:tcPr>
          <w:p w14:paraId="42173D59" w14:textId="79C7A109"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 xml:space="preserve">Low Spondin-2 </w:t>
            </w:r>
            <w:r w:rsidR="00DF1878" w:rsidRPr="007C0B9B">
              <w:rPr>
                <w:rFonts w:ascii="Book Antiqua" w:hAnsi="Book Antiqua"/>
                <w:b/>
                <w:bCs/>
              </w:rPr>
              <w:t>group</w:t>
            </w:r>
            <w:r w:rsidRPr="007C0B9B">
              <w:rPr>
                <w:rFonts w:ascii="Book Antiqua" w:hAnsi="Book Antiqua"/>
                <w:b/>
                <w:bCs/>
              </w:rPr>
              <w:t xml:space="preserve"> (</w:t>
            </w:r>
            <w:r w:rsidRPr="007C0B9B">
              <w:rPr>
                <w:rFonts w:ascii="Book Antiqua" w:hAnsi="Book Antiqua"/>
                <w:b/>
                <w:bCs/>
                <w:i/>
                <w:iCs/>
              </w:rPr>
              <w:t>n</w:t>
            </w:r>
            <w:r w:rsidR="00B224F6" w:rsidRPr="007C0B9B">
              <w:rPr>
                <w:rFonts w:ascii="Book Antiqua" w:hAnsi="Book Antiqua"/>
                <w:b/>
                <w:bCs/>
              </w:rPr>
              <w:t xml:space="preserve"> </w:t>
            </w:r>
            <w:r w:rsidRPr="007C0B9B">
              <w:rPr>
                <w:rFonts w:ascii="Book Antiqua" w:hAnsi="Book Antiqua"/>
                <w:b/>
                <w:bCs/>
              </w:rPr>
              <w:t>=</w:t>
            </w:r>
            <w:r w:rsidR="00B224F6" w:rsidRPr="007C0B9B">
              <w:rPr>
                <w:rFonts w:ascii="Book Antiqua" w:hAnsi="Book Antiqua"/>
                <w:b/>
                <w:bCs/>
              </w:rPr>
              <w:t xml:space="preserve"> </w:t>
            </w:r>
            <w:r w:rsidRPr="007C0B9B">
              <w:rPr>
                <w:rFonts w:ascii="Book Antiqua" w:hAnsi="Book Antiqua"/>
                <w:b/>
                <w:bCs/>
              </w:rPr>
              <w:t>46)</w:t>
            </w:r>
          </w:p>
        </w:tc>
        <w:tc>
          <w:tcPr>
            <w:tcW w:w="545" w:type="pct"/>
            <w:tcBorders>
              <w:top w:val="single" w:sz="4" w:space="0" w:color="auto"/>
              <w:bottom w:val="single" w:sz="4" w:space="0" w:color="auto"/>
            </w:tcBorders>
          </w:tcPr>
          <w:p w14:paraId="109962D7" w14:textId="2D1685DC" w:rsidR="005D2787" w:rsidRPr="007C0B9B" w:rsidRDefault="005D2787" w:rsidP="007C0B9B">
            <w:pPr>
              <w:adjustRightInd w:val="0"/>
              <w:snapToGrid w:val="0"/>
              <w:spacing w:line="360" w:lineRule="auto"/>
              <w:jc w:val="both"/>
              <w:rPr>
                <w:rFonts w:ascii="Book Antiqua" w:hAnsi="Book Antiqua"/>
                <w:b/>
                <w:bCs/>
                <w:i/>
                <w:iCs/>
              </w:rPr>
            </w:pPr>
            <w:r w:rsidRPr="007C0B9B">
              <w:rPr>
                <w:rFonts w:ascii="Book Antiqua" w:hAnsi="Book Antiqua"/>
                <w:b/>
                <w:bCs/>
                <w:i/>
              </w:rPr>
              <w:t>χ</w:t>
            </w:r>
            <w:r w:rsidRPr="007C0B9B">
              <w:rPr>
                <w:rFonts w:ascii="Book Antiqua" w:hAnsi="Book Antiqua"/>
                <w:b/>
                <w:bCs/>
                <w:vertAlign w:val="superscript"/>
              </w:rPr>
              <w:t>2</w:t>
            </w:r>
            <w:r w:rsidR="00B224F6" w:rsidRPr="007C0B9B">
              <w:rPr>
                <w:rFonts w:ascii="Book Antiqua" w:hAnsi="Book Antiqua"/>
                <w:b/>
                <w:bCs/>
              </w:rPr>
              <w:t xml:space="preserve"> value</w:t>
            </w:r>
          </w:p>
        </w:tc>
        <w:tc>
          <w:tcPr>
            <w:tcW w:w="593" w:type="pct"/>
            <w:tcBorders>
              <w:top w:val="single" w:sz="4" w:space="0" w:color="auto"/>
              <w:bottom w:val="single" w:sz="4" w:space="0" w:color="auto"/>
            </w:tcBorders>
          </w:tcPr>
          <w:p w14:paraId="67718DF9" w14:textId="1EA240CF"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i/>
                <w:iCs/>
              </w:rPr>
              <w:t>P</w:t>
            </w:r>
            <w:r w:rsidR="00B224F6" w:rsidRPr="007C0B9B">
              <w:rPr>
                <w:rFonts w:ascii="Book Antiqua" w:hAnsi="Book Antiqua"/>
                <w:b/>
                <w:bCs/>
                <w:i/>
                <w:iCs/>
              </w:rPr>
              <w:t xml:space="preserve"> </w:t>
            </w:r>
            <w:r w:rsidRPr="007C0B9B">
              <w:rPr>
                <w:rFonts w:ascii="Book Antiqua" w:hAnsi="Book Antiqua"/>
                <w:b/>
                <w:bCs/>
              </w:rPr>
              <w:t>value</w:t>
            </w:r>
          </w:p>
        </w:tc>
      </w:tr>
      <w:tr w:rsidR="005D2787" w:rsidRPr="007C0B9B" w14:paraId="5CD4C504" w14:textId="77777777" w:rsidTr="00B224F6">
        <w:tc>
          <w:tcPr>
            <w:tcW w:w="1628" w:type="pct"/>
            <w:tcBorders>
              <w:top w:val="single" w:sz="4" w:space="0" w:color="auto"/>
            </w:tcBorders>
          </w:tcPr>
          <w:p w14:paraId="2F8EC39E"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Pathological type</w:t>
            </w:r>
          </w:p>
        </w:tc>
        <w:tc>
          <w:tcPr>
            <w:tcW w:w="1106" w:type="pct"/>
            <w:tcBorders>
              <w:top w:val="single" w:sz="4" w:space="0" w:color="auto"/>
            </w:tcBorders>
          </w:tcPr>
          <w:p w14:paraId="12F35639" w14:textId="77777777" w:rsidR="005D2787" w:rsidRPr="007C0B9B" w:rsidRDefault="005D2787" w:rsidP="007C0B9B">
            <w:pPr>
              <w:adjustRightInd w:val="0"/>
              <w:snapToGrid w:val="0"/>
              <w:spacing w:line="360" w:lineRule="auto"/>
              <w:jc w:val="both"/>
              <w:rPr>
                <w:rFonts w:ascii="Book Antiqua" w:hAnsi="Book Antiqua"/>
              </w:rPr>
            </w:pPr>
          </w:p>
        </w:tc>
        <w:tc>
          <w:tcPr>
            <w:tcW w:w="1128" w:type="pct"/>
            <w:tcBorders>
              <w:top w:val="single" w:sz="4" w:space="0" w:color="auto"/>
            </w:tcBorders>
          </w:tcPr>
          <w:p w14:paraId="1C3F89AC" w14:textId="77777777" w:rsidR="005D2787" w:rsidRPr="007C0B9B" w:rsidRDefault="005D2787" w:rsidP="007C0B9B">
            <w:pPr>
              <w:adjustRightInd w:val="0"/>
              <w:snapToGrid w:val="0"/>
              <w:spacing w:line="360" w:lineRule="auto"/>
              <w:jc w:val="both"/>
              <w:rPr>
                <w:rFonts w:ascii="Book Antiqua" w:hAnsi="Book Antiqua"/>
              </w:rPr>
            </w:pPr>
          </w:p>
        </w:tc>
        <w:tc>
          <w:tcPr>
            <w:tcW w:w="545" w:type="pct"/>
            <w:tcBorders>
              <w:top w:val="single" w:sz="4" w:space="0" w:color="auto"/>
            </w:tcBorders>
          </w:tcPr>
          <w:p w14:paraId="4C915178" w14:textId="77777777" w:rsidR="005D2787" w:rsidRPr="007C0B9B" w:rsidRDefault="005D2787" w:rsidP="007C0B9B">
            <w:pPr>
              <w:adjustRightInd w:val="0"/>
              <w:snapToGrid w:val="0"/>
              <w:spacing w:line="360" w:lineRule="auto"/>
              <w:jc w:val="both"/>
              <w:rPr>
                <w:rFonts w:ascii="Book Antiqua" w:hAnsi="Book Antiqua"/>
              </w:rPr>
            </w:pPr>
          </w:p>
        </w:tc>
        <w:tc>
          <w:tcPr>
            <w:tcW w:w="593" w:type="pct"/>
            <w:tcBorders>
              <w:top w:val="single" w:sz="4" w:space="0" w:color="auto"/>
            </w:tcBorders>
          </w:tcPr>
          <w:p w14:paraId="7DEF3518"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51AAA533" w14:textId="77777777" w:rsidTr="00B224F6">
        <w:tc>
          <w:tcPr>
            <w:tcW w:w="1628" w:type="pct"/>
          </w:tcPr>
          <w:p w14:paraId="6997087C"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Squamous cell carcinoma</w:t>
            </w:r>
          </w:p>
        </w:tc>
        <w:tc>
          <w:tcPr>
            <w:tcW w:w="1106" w:type="pct"/>
          </w:tcPr>
          <w:p w14:paraId="622D7BA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70</w:t>
            </w:r>
          </w:p>
        </w:tc>
        <w:tc>
          <w:tcPr>
            <w:tcW w:w="1128" w:type="pct"/>
          </w:tcPr>
          <w:p w14:paraId="05EE74A4"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31</w:t>
            </w:r>
          </w:p>
        </w:tc>
        <w:tc>
          <w:tcPr>
            <w:tcW w:w="545" w:type="pct"/>
          </w:tcPr>
          <w:p w14:paraId="27FD746C"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 xml:space="preserve">0.595 </w:t>
            </w:r>
          </w:p>
        </w:tc>
        <w:tc>
          <w:tcPr>
            <w:tcW w:w="593" w:type="pct"/>
          </w:tcPr>
          <w:p w14:paraId="41681998"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0.743</w:t>
            </w:r>
          </w:p>
        </w:tc>
      </w:tr>
      <w:tr w:rsidR="005D2787" w:rsidRPr="007C0B9B" w14:paraId="35F91CF5" w14:textId="77777777" w:rsidTr="00B224F6">
        <w:tc>
          <w:tcPr>
            <w:tcW w:w="1628" w:type="pct"/>
          </w:tcPr>
          <w:p w14:paraId="1A906C39"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Adenocarcinoma</w:t>
            </w:r>
          </w:p>
        </w:tc>
        <w:tc>
          <w:tcPr>
            <w:tcW w:w="1106" w:type="pct"/>
          </w:tcPr>
          <w:p w14:paraId="31948041"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18</w:t>
            </w:r>
          </w:p>
        </w:tc>
        <w:tc>
          <w:tcPr>
            <w:tcW w:w="1128" w:type="pct"/>
          </w:tcPr>
          <w:p w14:paraId="29090446"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7</w:t>
            </w:r>
          </w:p>
        </w:tc>
        <w:tc>
          <w:tcPr>
            <w:tcW w:w="545" w:type="pct"/>
          </w:tcPr>
          <w:p w14:paraId="59F5AFEB"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416AB6F1"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2EAB2E9D" w14:textId="77777777" w:rsidTr="00B224F6">
        <w:tc>
          <w:tcPr>
            <w:tcW w:w="1628" w:type="pct"/>
          </w:tcPr>
          <w:p w14:paraId="30D8C1F0" w14:textId="77777777" w:rsidR="005D2787" w:rsidRPr="007C0B9B" w:rsidRDefault="005D2787" w:rsidP="007C0B9B">
            <w:pPr>
              <w:adjustRightInd w:val="0"/>
              <w:snapToGrid w:val="0"/>
              <w:spacing w:line="360" w:lineRule="auto"/>
              <w:jc w:val="both"/>
              <w:rPr>
                <w:rFonts w:ascii="Book Antiqua" w:hAnsi="Book Antiqua"/>
              </w:rPr>
            </w:pPr>
            <w:proofErr w:type="spellStart"/>
            <w:r w:rsidRPr="007C0B9B">
              <w:rPr>
                <w:rFonts w:ascii="Book Antiqua" w:hAnsi="Book Antiqua"/>
              </w:rPr>
              <w:t>Adenosquamous</w:t>
            </w:r>
            <w:proofErr w:type="spellEnd"/>
            <w:r w:rsidRPr="007C0B9B">
              <w:rPr>
                <w:rFonts w:ascii="Book Antiqua" w:hAnsi="Book Antiqua"/>
              </w:rPr>
              <w:t xml:space="preserve"> carcinoma</w:t>
            </w:r>
          </w:p>
        </w:tc>
        <w:tc>
          <w:tcPr>
            <w:tcW w:w="1106" w:type="pct"/>
          </w:tcPr>
          <w:p w14:paraId="0694F35A"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13</w:t>
            </w:r>
          </w:p>
        </w:tc>
        <w:tc>
          <w:tcPr>
            <w:tcW w:w="1128" w:type="pct"/>
          </w:tcPr>
          <w:p w14:paraId="1B486B09"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8</w:t>
            </w:r>
          </w:p>
        </w:tc>
        <w:tc>
          <w:tcPr>
            <w:tcW w:w="545" w:type="pct"/>
          </w:tcPr>
          <w:p w14:paraId="443EF99B"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3EFA9822"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220F4025" w14:textId="77777777" w:rsidTr="00B224F6">
        <w:tc>
          <w:tcPr>
            <w:tcW w:w="1628" w:type="pct"/>
          </w:tcPr>
          <w:p w14:paraId="782803D7"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rPr>
              <w:t>FIGO stage</w:t>
            </w:r>
          </w:p>
        </w:tc>
        <w:tc>
          <w:tcPr>
            <w:tcW w:w="1106" w:type="pct"/>
          </w:tcPr>
          <w:p w14:paraId="322841E6" w14:textId="77777777" w:rsidR="005D2787" w:rsidRPr="007C0B9B" w:rsidRDefault="005D2787" w:rsidP="007C0B9B">
            <w:pPr>
              <w:adjustRightInd w:val="0"/>
              <w:snapToGrid w:val="0"/>
              <w:spacing w:line="360" w:lineRule="auto"/>
              <w:jc w:val="both"/>
              <w:rPr>
                <w:rFonts w:ascii="Book Antiqua" w:hAnsi="Book Antiqua"/>
              </w:rPr>
            </w:pPr>
          </w:p>
        </w:tc>
        <w:tc>
          <w:tcPr>
            <w:tcW w:w="1128" w:type="pct"/>
          </w:tcPr>
          <w:p w14:paraId="4D74D285" w14:textId="77777777" w:rsidR="005D2787" w:rsidRPr="007C0B9B" w:rsidRDefault="005D2787" w:rsidP="007C0B9B">
            <w:pPr>
              <w:adjustRightInd w:val="0"/>
              <w:snapToGrid w:val="0"/>
              <w:spacing w:line="360" w:lineRule="auto"/>
              <w:jc w:val="both"/>
              <w:rPr>
                <w:rFonts w:ascii="Book Antiqua" w:hAnsi="Book Antiqua"/>
              </w:rPr>
            </w:pPr>
          </w:p>
        </w:tc>
        <w:tc>
          <w:tcPr>
            <w:tcW w:w="545" w:type="pct"/>
          </w:tcPr>
          <w:p w14:paraId="15BD1A7A"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12AD6BDA"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59749323" w14:textId="77777777" w:rsidTr="00B224F6">
        <w:tc>
          <w:tcPr>
            <w:tcW w:w="1628" w:type="pct"/>
          </w:tcPr>
          <w:p w14:paraId="3E1C9CE4"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rPr>
              <w:t>Stage I–II</w:t>
            </w:r>
          </w:p>
        </w:tc>
        <w:tc>
          <w:tcPr>
            <w:tcW w:w="1106" w:type="pct"/>
          </w:tcPr>
          <w:p w14:paraId="6ABB9B4F"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50</w:t>
            </w:r>
          </w:p>
        </w:tc>
        <w:tc>
          <w:tcPr>
            <w:tcW w:w="1128" w:type="pct"/>
          </w:tcPr>
          <w:p w14:paraId="3A4226A7"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41</w:t>
            </w:r>
          </w:p>
        </w:tc>
        <w:tc>
          <w:tcPr>
            <w:tcW w:w="545" w:type="pct"/>
          </w:tcPr>
          <w:p w14:paraId="16D19F4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10.501</w:t>
            </w:r>
          </w:p>
        </w:tc>
        <w:tc>
          <w:tcPr>
            <w:tcW w:w="593" w:type="pct"/>
          </w:tcPr>
          <w:p w14:paraId="02D8FD28"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0.001</w:t>
            </w:r>
          </w:p>
        </w:tc>
      </w:tr>
      <w:tr w:rsidR="005D2787" w:rsidRPr="007C0B9B" w14:paraId="3D914181" w14:textId="77777777" w:rsidTr="00B224F6">
        <w:tc>
          <w:tcPr>
            <w:tcW w:w="1628" w:type="pct"/>
          </w:tcPr>
          <w:p w14:paraId="683D9AFA"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rPr>
              <w:t>Stage III</w:t>
            </w:r>
          </w:p>
        </w:tc>
        <w:tc>
          <w:tcPr>
            <w:tcW w:w="1106" w:type="pct"/>
          </w:tcPr>
          <w:p w14:paraId="1E6F63EE"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51</w:t>
            </w:r>
          </w:p>
        </w:tc>
        <w:tc>
          <w:tcPr>
            <w:tcW w:w="1128" w:type="pct"/>
          </w:tcPr>
          <w:p w14:paraId="325965A6"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5</w:t>
            </w:r>
          </w:p>
        </w:tc>
        <w:tc>
          <w:tcPr>
            <w:tcW w:w="545" w:type="pct"/>
          </w:tcPr>
          <w:p w14:paraId="2A9D5005"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7013AAED"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1D58AECA" w14:textId="77777777" w:rsidTr="00B224F6">
        <w:tc>
          <w:tcPr>
            <w:tcW w:w="1628" w:type="pct"/>
          </w:tcPr>
          <w:p w14:paraId="088AD200"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rPr>
              <w:t>Nerve invasion</w:t>
            </w:r>
          </w:p>
        </w:tc>
        <w:tc>
          <w:tcPr>
            <w:tcW w:w="1106" w:type="pct"/>
          </w:tcPr>
          <w:p w14:paraId="50A6FF33" w14:textId="77777777" w:rsidR="005D2787" w:rsidRPr="007C0B9B" w:rsidRDefault="005D2787" w:rsidP="007C0B9B">
            <w:pPr>
              <w:adjustRightInd w:val="0"/>
              <w:snapToGrid w:val="0"/>
              <w:spacing w:line="360" w:lineRule="auto"/>
              <w:jc w:val="both"/>
              <w:rPr>
                <w:rFonts w:ascii="Book Antiqua" w:hAnsi="Book Antiqua"/>
              </w:rPr>
            </w:pPr>
          </w:p>
        </w:tc>
        <w:tc>
          <w:tcPr>
            <w:tcW w:w="1128" w:type="pct"/>
          </w:tcPr>
          <w:p w14:paraId="31992005" w14:textId="77777777" w:rsidR="005D2787" w:rsidRPr="007C0B9B" w:rsidRDefault="005D2787" w:rsidP="007C0B9B">
            <w:pPr>
              <w:adjustRightInd w:val="0"/>
              <w:snapToGrid w:val="0"/>
              <w:spacing w:line="360" w:lineRule="auto"/>
              <w:jc w:val="both"/>
              <w:rPr>
                <w:rFonts w:ascii="Book Antiqua" w:hAnsi="Book Antiqua"/>
              </w:rPr>
            </w:pPr>
          </w:p>
        </w:tc>
        <w:tc>
          <w:tcPr>
            <w:tcW w:w="545" w:type="pct"/>
          </w:tcPr>
          <w:p w14:paraId="5A6E2726"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4EE0B3A5"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2FC90F05" w14:textId="77777777" w:rsidTr="00B224F6">
        <w:tc>
          <w:tcPr>
            <w:tcW w:w="1628" w:type="pct"/>
          </w:tcPr>
          <w:p w14:paraId="6E3639CC"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iCs/>
              </w:rPr>
              <w:t>Yes</w:t>
            </w:r>
          </w:p>
        </w:tc>
        <w:tc>
          <w:tcPr>
            <w:tcW w:w="1106" w:type="pct"/>
          </w:tcPr>
          <w:p w14:paraId="31542CB7"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72</w:t>
            </w:r>
          </w:p>
        </w:tc>
        <w:tc>
          <w:tcPr>
            <w:tcW w:w="1128" w:type="pct"/>
          </w:tcPr>
          <w:p w14:paraId="054427A6"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20</w:t>
            </w:r>
          </w:p>
        </w:tc>
        <w:tc>
          <w:tcPr>
            <w:tcW w:w="545" w:type="pct"/>
          </w:tcPr>
          <w:p w14:paraId="22B1C381"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10.438</w:t>
            </w:r>
          </w:p>
        </w:tc>
        <w:tc>
          <w:tcPr>
            <w:tcW w:w="593" w:type="pct"/>
          </w:tcPr>
          <w:p w14:paraId="18A5E82F"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0.001</w:t>
            </w:r>
          </w:p>
        </w:tc>
      </w:tr>
      <w:tr w:rsidR="005D2787" w:rsidRPr="007C0B9B" w14:paraId="43310D78" w14:textId="77777777" w:rsidTr="00B224F6">
        <w:tc>
          <w:tcPr>
            <w:tcW w:w="1628" w:type="pct"/>
          </w:tcPr>
          <w:p w14:paraId="4F51F248"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iCs/>
              </w:rPr>
              <w:t>No</w:t>
            </w:r>
          </w:p>
        </w:tc>
        <w:tc>
          <w:tcPr>
            <w:tcW w:w="1106" w:type="pct"/>
          </w:tcPr>
          <w:p w14:paraId="15C8883B"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29</w:t>
            </w:r>
          </w:p>
        </w:tc>
        <w:tc>
          <w:tcPr>
            <w:tcW w:w="1128" w:type="pct"/>
          </w:tcPr>
          <w:p w14:paraId="491EEB44"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26</w:t>
            </w:r>
          </w:p>
        </w:tc>
        <w:tc>
          <w:tcPr>
            <w:tcW w:w="545" w:type="pct"/>
          </w:tcPr>
          <w:p w14:paraId="42347382"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714019F7"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097155C5" w14:textId="77777777" w:rsidTr="00B224F6">
        <w:tc>
          <w:tcPr>
            <w:tcW w:w="1628" w:type="pct"/>
          </w:tcPr>
          <w:p w14:paraId="4BDE8E6F"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rPr>
              <w:t>Vascular invasion</w:t>
            </w:r>
          </w:p>
        </w:tc>
        <w:tc>
          <w:tcPr>
            <w:tcW w:w="1106" w:type="pct"/>
          </w:tcPr>
          <w:p w14:paraId="340B09FF" w14:textId="77777777" w:rsidR="005D2787" w:rsidRPr="007C0B9B" w:rsidRDefault="005D2787" w:rsidP="007C0B9B">
            <w:pPr>
              <w:adjustRightInd w:val="0"/>
              <w:snapToGrid w:val="0"/>
              <w:spacing w:line="360" w:lineRule="auto"/>
              <w:jc w:val="both"/>
              <w:rPr>
                <w:rFonts w:ascii="Book Antiqua" w:hAnsi="Book Antiqua"/>
              </w:rPr>
            </w:pPr>
          </w:p>
        </w:tc>
        <w:tc>
          <w:tcPr>
            <w:tcW w:w="1128" w:type="pct"/>
          </w:tcPr>
          <w:p w14:paraId="268B5507" w14:textId="77777777" w:rsidR="005D2787" w:rsidRPr="007C0B9B" w:rsidRDefault="005D2787" w:rsidP="007C0B9B">
            <w:pPr>
              <w:adjustRightInd w:val="0"/>
              <w:snapToGrid w:val="0"/>
              <w:spacing w:line="360" w:lineRule="auto"/>
              <w:jc w:val="both"/>
              <w:rPr>
                <w:rFonts w:ascii="Book Antiqua" w:hAnsi="Book Antiqua"/>
              </w:rPr>
            </w:pPr>
          </w:p>
        </w:tc>
        <w:tc>
          <w:tcPr>
            <w:tcW w:w="545" w:type="pct"/>
          </w:tcPr>
          <w:p w14:paraId="4A49BBC5"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09B54053"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557EB665" w14:textId="77777777" w:rsidTr="00B224F6">
        <w:tc>
          <w:tcPr>
            <w:tcW w:w="1628" w:type="pct"/>
          </w:tcPr>
          <w:p w14:paraId="5BF42116"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iCs/>
              </w:rPr>
              <w:t>Yes</w:t>
            </w:r>
          </w:p>
        </w:tc>
        <w:tc>
          <w:tcPr>
            <w:tcW w:w="1106" w:type="pct"/>
          </w:tcPr>
          <w:p w14:paraId="3FA61D83"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57</w:t>
            </w:r>
          </w:p>
        </w:tc>
        <w:tc>
          <w:tcPr>
            <w:tcW w:w="1128" w:type="pct"/>
          </w:tcPr>
          <w:p w14:paraId="62C7003B"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12</w:t>
            </w:r>
          </w:p>
        </w:tc>
        <w:tc>
          <w:tcPr>
            <w:tcW w:w="545" w:type="pct"/>
          </w:tcPr>
          <w:p w14:paraId="0760C8E1"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11.688</w:t>
            </w:r>
          </w:p>
        </w:tc>
        <w:tc>
          <w:tcPr>
            <w:tcW w:w="593" w:type="pct"/>
          </w:tcPr>
          <w:p w14:paraId="2707135E"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0.001</w:t>
            </w:r>
          </w:p>
        </w:tc>
      </w:tr>
      <w:tr w:rsidR="005D2787" w:rsidRPr="007C0B9B" w14:paraId="43AAB42B" w14:textId="77777777" w:rsidTr="00B224F6">
        <w:tc>
          <w:tcPr>
            <w:tcW w:w="1628" w:type="pct"/>
          </w:tcPr>
          <w:p w14:paraId="792811D6"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iCs/>
              </w:rPr>
              <w:t>No</w:t>
            </w:r>
          </w:p>
        </w:tc>
        <w:tc>
          <w:tcPr>
            <w:tcW w:w="1106" w:type="pct"/>
          </w:tcPr>
          <w:p w14:paraId="11413415"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44</w:t>
            </w:r>
          </w:p>
        </w:tc>
        <w:tc>
          <w:tcPr>
            <w:tcW w:w="1128" w:type="pct"/>
          </w:tcPr>
          <w:p w14:paraId="0D77CE7E"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34</w:t>
            </w:r>
          </w:p>
        </w:tc>
        <w:tc>
          <w:tcPr>
            <w:tcW w:w="545" w:type="pct"/>
          </w:tcPr>
          <w:p w14:paraId="4839687A"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5D69ECB5"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50780127" w14:textId="77777777" w:rsidTr="00B224F6">
        <w:tc>
          <w:tcPr>
            <w:tcW w:w="1628" w:type="pct"/>
          </w:tcPr>
          <w:p w14:paraId="06CEBC5A"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rPr>
              <w:t>Lymph node metastasis</w:t>
            </w:r>
          </w:p>
        </w:tc>
        <w:tc>
          <w:tcPr>
            <w:tcW w:w="1106" w:type="pct"/>
          </w:tcPr>
          <w:p w14:paraId="441C7D4C" w14:textId="77777777" w:rsidR="005D2787" w:rsidRPr="007C0B9B" w:rsidRDefault="005D2787" w:rsidP="007C0B9B">
            <w:pPr>
              <w:adjustRightInd w:val="0"/>
              <w:snapToGrid w:val="0"/>
              <w:spacing w:line="360" w:lineRule="auto"/>
              <w:jc w:val="both"/>
              <w:rPr>
                <w:rFonts w:ascii="Book Antiqua" w:hAnsi="Book Antiqua"/>
              </w:rPr>
            </w:pPr>
          </w:p>
        </w:tc>
        <w:tc>
          <w:tcPr>
            <w:tcW w:w="1128" w:type="pct"/>
          </w:tcPr>
          <w:p w14:paraId="13FF93B8" w14:textId="77777777" w:rsidR="005D2787" w:rsidRPr="007C0B9B" w:rsidRDefault="005D2787" w:rsidP="007C0B9B">
            <w:pPr>
              <w:adjustRightInd w:val="0"/>
              <w:snapToGrid w:val="0"/>
              <w:spacing w:line="360" w:lineRule="auto"/>
              <w:jc w:val="both"/>
              <w:rPr>
                <w:rFonts w:ascii="Book Antiqua" w:hAnsi="Book Antiqua"/>
              </w:rPr>
            </w:pPr>
          </w:p>
        </w:tc>
        <w:tc>
          <w:tcPr>
            <w:tcW w:w="545" w:type="pct"/>
          </w:tcPr>
          <w:p w14:paraId="4ED2BBC8"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057ABB81" w14:textId="77777777" w:rsidR="005D2787" w:rsidRPr="007C0B9B" w:rsidRDefault="005D2787" w:rsidP="007C0B9B">
            <w:pPr>
              <w:adjustRightInd w:val="0"/>
              <w:snapToGrid w:val="0"/>
              <w:spacing w:line="360" w:lineRule="auto"/>
              <w:jc w:val="both"/>
              <w:rPr>
                <w:rFonts w:ascii="Book Antiqua" w:hAnsi="Book Antiqua"/>
              </w:rPr>
            </w:pPr>
          </w:p>
        </w:tc>
      </w:tr>
      <w:tr w:rsidR="005D2787" w:rsidRPr="007C0B9B" w14:paraId="505233FA" w14:textId="77777777" w:rsidTr="00B224F6">
        <w:tc>
          <w:tcPr>
            <w:tcW w:w="1628" w:type="pct"/>
          </w:tcPr>
          <w:p w14:paraId="26D12556"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iCs/>
              </w:rPr>
              <w:t>Yes</w:t>
            </w:r>
          </w:p>
        </w:tc>
        <w:tc>
          <w:tcPr>
            <w:tcW w:w="1106" w:type="pct"/>
          </w:tcPr>
          <w:p w14:paraId="40922ADC"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66</w:t>
            </w:r>
          </w:p>
        </w:tc>
        <w:tc>
          <w:tcPr>
            <w:tcW w:w="1128" w:type="pct"/>
          </w:tcPr>
          <w:p w14:paraId="428312D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21</w:t>
            </w:r>
          </w:p>
        </w:tc>
        <w:tc>
          <w:tcPr>
            <w:tcW w:w="545" w:type="pct"/>
          </w:tcPr>
          <w:p w14:paraId="39777310"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5.075</w:t>
            </w:r>
          </w:p>
        </w:tc>
        <w:tc>
          <w:tcPr>
            <w:tcW w:w="593" w:type="pct"/>
          </w:tcPr>
          <w:p w14:paraId="3686114B"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0.024</w:t>
            </w:r>
          </w:p>
        </w:tc>
      </w:tr>
      <w:tr w:rsidR="005D2787" w:rsidRPr="007C0B9B" w14:paraId="6AC6CD97" w14:textId="77777777" w:rsidTr="00B224F6">
        <w:tc>
          <w:tcPr>
            <w:tcW w:w="1628" w:type="pct"/>
          </w:tcPr>
          <w:p w14:paraId="7CA0CD77" w14:textId="77777777" w:rsidR="005D2787" w:rsidRPr="007C0B9B" w:rsidRDefault="005D2787" w:rsidP="007C0B9B">
            <w:pPr>
              <w:adjustRightInd w:val="0"/>
              <w:snapToGrid w:val="0"/>
              <w:spacing w:line="360" w:lineRule="auto"/>
              <w:jc w:val="both"/>
              <w:rPr>
                <w:rFonts w:ascii="Book Antiqua" w:hAnsi="Book Antiqua"/>
                <w:iCs/>
              </w:rPr>
            </w:pPr>
            <w:r w:rsidRPr="007C0B9B">
              <w:rPr>
                <w:rFonts w:ascii="Book Antiqua" w:hAnsi="Book Antiqua"/>
                <w:iCs/>
              </w:rPr>
              <w:t>No</w:t>
            </w:r>
          </w:p>
        </w:tc>
        <w:tc>
          <w:tcPr>
            <w:tcW w:w="1106" w:type="pct"/>
          </w:tcPr>
          <w:p w14:paraId="3FF751A8"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35</w:t>
            </w:r>
          </w:p>
        </w:tc>
        <w:tc>
          <w:tcPr>
            <w:tcW w:w="1128" w:type="pct"/>
          </w:tcPr>
          <w:p w14:paraId="0E046497"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25</w:t>
            </w:r>
          </w:p>
        </w:tc>
        <w:tc>
          <w:tcPr>
            <w:tcW w:w="545" w:type="pct"/>
          </w:tcPr>
          <w:p w14:paraId="59939E11" w14:textId="77777777" w:rsidR="005D2787" w:rsidRPr="007C0B9B" w:rsidRDefault="005D2787" w:rsidP="007C0B9B">
            <w:pPr>
              <w:adjustRightInd w:val="0"/>
              <w:snapToGrid w:val="0"/>
              <w:spacing w:line="360" w:lineRule="auto"/>
              <w:jc w:val="both"/>
              <w:rPr>
                <w:rFonts w:ascii="Book Antiqua" w:hAnsi="Book Antiqua"/>
              </w:rPr>
            </w:pPr>
          </w:p>
        </w:tc>
        <w:tc>
          <w:tcPr>
            <w:tcW w:w="593" w:type="pct"/>
          </w:tcPr>
          <w:p w14:paraId="0F23C846" w14:textId="77777777" w:rsidR="005D2787" w:rsidRPr="007C0B9B" w:rsidRDefault="005D2787" w:rsidP="007C0B9B">
            <w:pPr>
              <w:adjustRightInd w:val="0"/>
              <w:snapToGrid w:val="0"/>
              <w:spacing w:line="360" w:lineRule="auto"/>
              <w:jc w:val="both"/>
              <w:rPr>
                <w:rFonts w:ascii="Book Antiqua" w:hAnsi="Book Antiqua"/>
              </w:rPr>
            </w:pPr>
          </w:p>
        </w:tc>
      </w:tr>
    </w:tbl>
    <w:p w14:paraId="67CA017B" w14:textId="7282B93D" w:rsidR="005D2787" w:rsidRPr="007C0B9B" w:rsidRDefault="00B224F6" w:rsidP="007C0B9B">
      <w:pPr>
        <w:adjustRightInd w:val="0"/>
        <w:snapToGrid w:val="0"/>
        <w:spacing w:line="360" w:lineRule="auto"/>
        <w:jc w:val="both"/>
        <w:rPr>
          <w:rFonts w:ascii="Book Antiqua" w:hAnsi="Book Antiqua"/>
          <w:b/>
          <w:bCs/>
        </w:rPr>
      </w:pPr>
      <w:r w:rsidRPr="007C0B9B">
        <w:rPr>
          <w:rFonts w:ascii="Book Antiqua" w:eastAsia="宋体" w:hAnsi="Book Antiqua"/>
        </w:rPr>
        <w:t xml:space="preserve">FIGO: </w:t>
      </w:r>
      <w:r w:rsidRPr="007C0B9B">
        <w:rPr>
          <w:rFonts w:ascii="Book Antiqua" w:eastAsia="Book Antiqua" w:hAnsi="Book Antiqua"/>
          <w:color w:val="000000"/>
        </w:rPr>
        <w:t>Federation of Gynecology and Obstetrics.</w:t>
      </w:r>
    </w:p>
    <w:p w14:paraId="5E9D6A0A" w14:textId="77777777" w:rsidR="00B32F18" w:rsidRDefault="00B32F18">
      <w:pPr>
        <w:rPr>
          <w:rFonts w:ascii="Book Antiqua" w:hAnsi="Book Antiqua"/>
          <w:b/>
          <w:bCs/>
        </w:rPr>
      </w:pPr>
      <w:r>
        <w:rPr>
          <w:rFonts w:ascii="Book Antiqua" w:hAnsi="Book Antiqua"/>
          <w:b/>
          <w:bCs/>
        </w:rPr>
        <w:br w:type="page"/>
      </w:r>
    </w:p>
    <w:p w14:paraId="7ABC4962" w14:textId="0B9141FE" w:rsidR="005D2787" w:rsidRPr="007C0B9B" w:rsidRDefault="005D2787" w:rsidP="007C0B9B">
      <w:pPr>
        <w:pStyle w:val="a3"/>
        <w:adjustRightInd w:val="0"/>
        <w:snapToGrid w:val="0"/>
        <w:spacing w:line="360" w:lineRule="auto"/>
        <w:ind w:firstLineChars="0" w:firstLine="0"/>
        <w:rPr>
          <w:rFonts w:ascii="Book Antiqua" w:hAnsi="Book Antiqua" w:cs="Times New Roman"/>
          <w:b/>
          <w:bCs/>
          <w:sz w:val="24"/>
        </w:rPr>
      </w:pPr>
      <w:r w:rsidRPr="007C0B9B">
        <w:rPr>
          <w:rFonts w:ascii="Book Antiqua" w:hAnsi="Book Antiqua" w:cs="Times New Roman"/>
          <w:b/>
          <w:bCs/>
          <w:sz w:val="24"/>
        </w:rPr>
        <w:lastRenderedPageBreak/>
        <w:t xml:space="preserve">Table </w:t>
      </w:r>
      <w:r w:rsidRPr="007C0B9B">
        <w:rPr>
          <w:rFonts w:ascii="Book Antiqua" w:eastAsia="宋体" w:hAnsi="Book Antiqua" w:cs="Times New Roman"/>
          <w:b/>
          <w:bCs/>
          <w:sz w:val="24"/>
        </w:rPr>
        <w:t>3</w:t>
      </w:r>
      <w:r w:rsidRPr="007C0B9B">
        <w:rPr>
          <w:rFonts w:ascii="Book Antiqua" w:hAnsi="Book Antiqua" w:cs="Times New Roman"/>
          <w:b/>
          <w:bCs/>
          <w:sz w:val="24"/>
        </w:rPr>
        <w:t xml:space="preserve"> Relationship between serum Spondin-2 expression and immune response in patients with cervical cancer </w:t>
      </w:r>
      <w:r w:rsidR="00B224F6" w:rsidRPr="007C0B9B">
        <w:rPr>
          <w:rFonts w:ascii="Book Antiqua" w:hAnsi="Book Antiqua" w:cs="Times New Roman"/>
          <w:b/>
          <w:bCs/>
          <w:sz w:val="24"/>
        </w:rPr>
        <w:t>(mean ± SD)</w:t>
      </w:r>
    </w:p>
    <w:tbl>
      <w:tblPr>
        <w:tblStyle w:val="a4"/>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2153"/>
        <w:gridCol w:w="617"/>
        <w:gridCol w:w="1624"/>
        <w:gridCol w:w="1888"/>
        <w:gridCol w:w="1724"/>
        <w:gridCol w:w="1570"/>
      </w:tblGrid>
      <w:tr w:rsidR="005D2787" w:rsidRPr="007C0B9B" w14:paraId="4B5022D8" w14:textId="77777777" w:rsidTr="001028E4">
        <w:tc>
          <w:tcPr>
            <w:tcW w:w="1124" w:type="pct"/>
            <w:tcBorders>
              <w:top w:val="single" w:sz="4" w:space="0" w:color="auto"/>
              <w:bottom w:val="single" w:sz="4" w:space="0" w:color="auto"/>
            </w:tcBorders>
          </w:tcPr>
          <w:p w14:paraId="24581D47" w14:textId="2DBE61F2" w:rsidR="005D2787" w:rsidRPr="007C0B9B" w:rsidRDefault="00DF1878" w:rsidP="007C0B9B">
            <w:pPr>
              <w:adjustRightInd w:val="0"/>
              <w:snapToGrid w:val="0"/>
              <w:spacing w:line="360" w:lineRule="auto"/>
              <w:jc w:val="both"/>
              <w:rPr>
                <w:rFonts w:ascii="Book Antiqua" w:hAnsi="Book Antiqua"/>
                <w:b/>
                <w:bCs/>
              </w:rPr>
            </w:pPr>
            <w:r w:rsidRPr="007C0B9B">
              <w:rPr>
                <w:rFonts w:ascii="Book Antiqua" w:hAnsi="Book Antiqua"/>
                <w:b/>
                <w:bCs/>
              </w:rPr>
              <w:t>Group</w:t>
            </w:r>
          </w:p>
        </w:tc>
        <w:tc>
          <w:tcPr>
            <w:tcW w:w="322" w:type="pct"/>
            <w:tcBorders>
              <w:top w:val="single" w:sz="4" w:space="0" w:color="auto"/>
              <w:bottom w:val="single" w:sz="4" w:space="0" w:color="auto"/>
            </w:tcBorders>
          </w:tcPr>
          <w:p w14:paraId="6367FD30" w14:textId="77777777" w:rsidR="005D2787" w:rsidRPr="007C0B9B" w:rsidRDefault="005D2787" w:rsidP="007C0B9B">
            <w:pPr>
              <w:adjustRightInd w:val="0"/>
              <w:snapToGrid w:val="0"/>
              <w:spacing w:line="360" w:lineRule="auto"/>
              <w:jc w:val="both"/>
              <w:rPr>
                <w:rFonts w:ascii="Book Antiqua" w:hAnsi="Book Antiqua"/>
                <w:b/>
                <w:bCs/>
                <w:i/>
                <w:iCs/>
              </w:rPr>
            </w:pPr>
            <w:r w:rsidRPr="007C0B9B">
              <w:rPr>
                <w:rFonts w:ascii="Book Antiqua" w:hAnsi="Book Antiqua"/>
                <w:b/>
                <w:bCs/>
                <w:i/>
                <w:iCs/>
              </w:rPr>
              <w:t>n</w:t>
            </w:r>
          </w:p>
        </w:tc>
        <w:tc>
          <w:tcPr>
            <w:tcW w:w="848" w:type="pct"/>
            <w:tcBorders>
              <w:top w:val="single" w:sz="4" w:space="0" w:color="auto"/>
              <w:bottom w:val="single" w:sz="4" w:space="0" w:color="auto"/>
            </w:tcBorders>
          </w:tcPr>
          <w:p w14:paraId="276916D2" w14:textId="77777777"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IL-2 (</w:t>
            </w:r>
            <w:proofErr w:type="spellStart"/>
            <w:r w:rsidRPr="007C0B9B">
              <w:rPr>
                <w:rFonts w:ascii="Book Antiqua" w:hAnsi="Book Antiqua"/>
                <w:b/>
                <w:bCs/>
              </w:rPr>
              <w:t>pg</w:t>
            </w:r>
            <w:proofErr w:type="spellEnd"/>
            <w:r w:rsidRPr="007C0B9B">
              <w:rPr>
                <w:rFonts w:ascii="Book Antiqua" w:hAnsi="Book Antiqua"/>
                <w:b/>
                <w:bCs/>
              </w:rPr>
              <w:t>/mL)</w:t>
            </w:r>
          </w:p>
        </w:tc>
        <w:tc>
          <w:tcPr>
            <w:tcW w:w="986" w:type="pct"/>
            <w:tcBorders>
              <w:top w:val="single" w:sz="4" w:space="0" w:color="auto"/>
              <w:bottom w:val="single" w:sz="4" w:space="0" w:color="auto"/>
            </w:tcBorders>
          </w:tcPr>
          <w:p w14:paraId="059D3DD9" w14:textId="77777777"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TNF-</w:t>
            </w:r>
            <w:r w:rsidRPr="007C0B9B">
              <w:rPr>
                <w:rFonts w:ascii="宋体" w:hAnsi="宋体" w:cs="宋体" w:hint="eastAsia"/>
                <w:b/>
                <w:bCs/>
              </w:rPr>
              <w:t>ɑ</w:t>
            </w:r>
            <w:r w:rsidRPr="007C0B9B">
              <w:rPr>
                <w:rFonts w:ascii="Book Antiqua" w:hAnsi="Book Antiqua"/>
                <w:b/>
                <w:bCs/>
              </w:rPr>
              <w:t xml:space="preserve"> (ng/mL)</w:t>
            </w:r>
          </w:p>
        </w:tc>
        <w:tc>
          <w:tcPr>
            <w:tcW w:w="900" w:type="pct"/>
            <w:tcBorders>
              <w:top w:val="single" w:sz="4" w:space="0" w:color="auto"/>
              <w:bottom w:val="single" w:sz="4" w:space="0" w:color="auto"/>
            </w:tcBorders>
          </w:tcPr>
          <w:p w14:paraId="7C5A7336" w14:textId="77777777"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IL-4 (</w:t>
            </w:r>
            <w:proofErr w:type="spellStart"/>
            <w:r w:rsidRPr="007C0B9B">
              <w:rPr>
                <w:rFonts w:ascii="Book Antiqua" w:hAnsi="Book Antiqua"/>
                <w:b/>
                <w:bCs/>
              </w:rPr>
              <w:t>pg</w:t>
            </w:r>
            <w:proofErr w:type="spellEnd"/>
            <w:r w:rsidRPr="007C0B9B">
              <w:rPr>
                <w:rFonts w:ascii="Book Antiqua" w:hAnsi="Book Antiqua"/>
                <w:b/>
                <w:bCs/>
              </w:rPr>
              <w:t>/mL)</w:t>
            </w:r>
          </w:p>
        </w:tc>
        <w:tc>
          <w:tcPr>
            <w:tcW w:w="820" w:type="pct"/>
            <w:tcBorders>
              <w:top w:val="single" w:sz="4" w:space="0" w:color="auto"/>
              <w:bottom w:val="single" w:sz="4" w:space="0" w:color="auto"/>
            </w:tcBorders>
          </w:tcPr>
          <w:p w14:paraId="3502E677" w14:textId="77777777"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IL-5 (</w:t>
            </w:r>
            <w:proofErr w:type="spellStart"/>
            <w:r w:rsidRPr="007C0B9B">
              <w:rPr>
                <w:rFonts w:ascii="Book Antiqua" w:hAnsi="Book Antiqua"/>
                <w:b/>
                <w:bCs/>
              </w:rPr>
              <w:t>pg</w:t>
            </w:r>
            <w:proofErr w:type="spellEnd"/>
            <w:r w:rsidRPr="007C0B9B">
              <w:rPr>
                <w:rFonts w:ascii="Book Antiqua" w:hAnsi="Book Antiqua"/>
                <w:b/>
                <w:bCs/>
              </w:rPr>
              <w:t>/mL)</w:t>
            </w:r>
          </w:p>
        </w:tc>
      </w:tr>
      <w:tr w:rsidR="005D2787" w:rsidRPr="007C0B9B" w14:paraId="15EF52CD" w14:textId="77777777" w:rsidTr="001028E4">
        <w:tc>
          <w:tcPr>
            <w:tcW w:w="1124" w:type="pct"/>
            <w:tcBorders>
              <w:top w:val="single" w:sz="4" w:space="0" w:color="auto"/>
            </w:tcBorders>
          </w:tcPr>
          <w:p w14:paraId="5C559A79" w14:textId="1C247E46" w:rsidR="005D2787" w:rsidRPr="007C0B9B" w:rsidRDefault="005D2787" w:rsidP="007C0B9B">
            <w:pPr>
              <w:adjustRightInd w:val="0"/>
              <w:snapToGrid w:val="0"/>
              <w:spacing w:line="360" w:lineRule="auto"/>
              <w:jc w:val="both"/>
              <w:rPr>
                <w:rFonts w:ascii="Book Antiqua" w:hAnsi="Book Antiqua"/>
                <w:bCs/>
              </w:rPr>
            </w:pPr>
            <w:r w:rsidRPr="007C0B9B">
              <w:rPr>
                <w:rFonts w:ascii="Book Antiqua" w:hAnsi="Book Antiqua"/>
              </w:rPr>
              <w:t xml:space="preserve">High Spondin-2 </w:t>
            </w:r>
            <w:r w:rsidR="00DF1878" w:rsidRPr="007C0B9B">
              <w:rPr>
                <w:rFonts w:ascii="Book Antiqua" w:hAnsi="Book Antiqua"/>
              </w:rPr>
              <w:t>group</w:t>
            </w:r>
          </w:p>
        </w:tc>
        <w:tc>
          <w:tcPr>
            <w:tcW w:w="322" w:type="pct"/>
            <w:tcBorders>
              <w:top w:val="single" w:sz="4" w:space="0" w:color="auto"/>
            </w:tcBorders>
          </w:tcPr>
          <w:p w14:paraId="5B140446"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101</w:t>
            </w:r>
          </w:p>
        </w:tc>
        <w:tc>
          <w:tcPr>
            <w:tcW w:w="848" w:type="pct"/>
            <w:tcBorders>
              <w:top w:val="single" w:sz="4" w:space="0" w:color="auto"/>
            </w:tcBorders>
          </w:tcPr>
          <w:p w14:paraId="29F4D5FC" w14:textId="47E4B3A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3.52</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0.83</w:t>
            </w:r>
          </w:p>
        </w:tc>
        <w:tc>
          <w:tcPr>
            <w:tcW w:w="986" w:type="pct"/>
            <w:tcBorders>
              <w:top w:val="single" w:sz="4" w:space="0" w:color="auto"/>
            </w:tcBorders>
          </w:tcPr>
          <w:p w14:paraId="30C1F53F" w14:textId="566E71D3"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10.62</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1.80</w:t>
            </w:r>
          </w:p>
        </w:tc>
        <w:tc>
          <w:tcPr>
            <w:tcW w:w="900" w:type="pct"/>
            <w:tcBorders>
              <w:top w:val="single" w:sz="4" w:space="0" w:color="auto"/>
            </w:tcBorders>
          </w:tcPr>
          <w:p w14:paraId="1BEA3D6B" w14:textId="48E1E874"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2.98</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0.53</w:t>
            </w:r>
          </w:p>
        </w:tc>
        <w:tc>
          <w:tcPr>
            <w:tcW w:w="820" w:type="pct"/>
            <w:tcBorders>
              <w:top w:val="single" w:sz="4" w:space="0" w:color="auto"/>
            </w:tcBorders>
          </w:tcPr>
          <w:p w14:paraId="0442E8F3" w14:textId="77AEF1FE"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4.43</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1.08</w:t>
            </w:r>
          </w:p>
        </w:tc>
      </w:tr>
      <w:tr w:rsidR="005D2787" w:rsidRPr="007C0B9B" w14:paraId="785AC2B9" w14:textId="77777777" w:rsidTr="001028E4">
        <w:tc>
          <w:tcPr>
            <w:tcW w:w="1124" w:type="pct"/>
          </w:tcPr>
          <w:p w14:paraId="19482F82" w14:textId="6F8B7266" w:rsidR="005D2787" w:rsidRPr="007C0B9B" w:rsidRDefault="005D2787" w:rsidP="007C0B9B">
            <w:pPr>
              <w:adjustRightInd w:val="0"/>
              <w:snapToGrid w:val="0"/>
              <w:spacing w:line="360" w:lineRule="auto"/>
              <w:jc w:val="both"/>
              <w:rPr>
                <w:rFonts w:ascii="Book Antiqua" w:hAnsi="Book Antiqua"/>
                <w:bCs/>
              </w:rPr>
            </w:pPr>
            <w:r w:rsidRPr="007C0B9B">
              <w:rPr>
                <w:rFonts w:ascii="Book Antiqua" w:hAnsi="Book Antiqua"/>
              </w:rPr>
              <w:t xml:space="preserve">Low Spondin-2 </w:t>
            </w:r>
            <w:r w:rsidR="00DF1878" w:rsidRPr="007C0B9B">
              <w:rPr>
                <w:rFonts w:ascii="Book Antiqua" w:hAnsi="Book Antiqua"/>
              </w:rPr>
              <w:t>group</w:t>
            </w:r>
          </w:p>
        </w:tc>
        <w:tc>
          <w:tcPr>
            <w:tcW w:w="322" w:type="pct"/>
          </w:tcPr>
          <w:p w14:paraId="01534813"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46</w:t>
            </w:r>
          </w:p>
        </w:tc>
        <w:tc>
          <w:tcPr>
            <w:tcW w:w="848" w:type="pct"/>
          </w:tcPr>
          <w:p w14:paraId="7300BD11" w14:textId="6ECBD88B"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4.12</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1.13</w:t>
            </w:r>
          </w:p>
        </w:tc>
        <w:tc>
          <w:tcPr>
            <w:tcW w:w="986" w:type="pct"/>
          </w:tcPr>
          <w:p w14:paraId="7E622FE8" w14:textId="1DB3C021"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13.83</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2.56</w:t>
            </w:r>
          </w:p>
        </w:tc>
        <w:tc>
          <w:tcPr>
            <w:tcW w:w="900" w:type="pct"/>
          </w:tcPr>
          <w:p w14:paraId="17D4D0E5" w14:textId="0D6B90C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2.45</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0.76</w:t>
            </w:r>
          </w:p>
        </w:tc>
        <w:tc>
          <w:tcPr>
            <w:tcW w:w="820" w:type="pct"/>
          </w:tcPr>
          <w:p w14:paraId="5A5E8D2C" w14:textId="2EDEF88E"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3.18</w:t>
            </w:r>
            <w:r w:rsidR="00232E2D" w:rsidRPr="007C0B9B">
              <w:rPr>
                <w:rFonts w:ascii="Book Antiqua" w:hAnsi="Book Antiqua"/>
              </w:rPr>
              <w:t xml:space="preserve"> </w:t>
            </w:r>
            <w:r w:rsidRPr="007C0B9B">
              <w:rPr>
                <w:rFonts w:ascii="Book Antiqua" w:hAnsi="Book Antiqua"/>
              </w:rPr>
              <w:t>±</w:t>
            </w:r>
            <w:r w:rsidR="00232E2D" w:rsidRPr="007C0B9B">
              <w:rPr>
                <w:rFonts w:ascii="Book Antiqua" w:hAnsi="Book Antiqua"/>
              </w:rPr>
              <w:t xml:space="preserve"> </w:t>
            </w:r>
            <w:r w:rsidRPr="007C0B9B">
              <w:rPr>
                <w:rFonts w:ascii="Book Antiqua" w:hAnsi="Book Antiqua"/>
              </w:rPr>
              <w:t>0.72</w:t>
            </w:r>
          </w:p>
        </w:tc>
      </w:tr>
      <w:tr w:rsidR="005D2787" w:rsidRPr="007C0B9B" w14:paraId="39860B17" w14:textId="77777777" w:rsidTr="001028E4">
        <w:tc>
          <w:tcPr>
            <w:tcW w:w="1124" w:type="pct"/>
          </w:tcPr>
          <w:p w14:paraId="4CED2912" w14:textId="6895D33C" w:rsidR="005D2787" w:rsidRPr="007C0B9B" w:rsidRDefault="00C47206" w:rsidP="007C0B9B">
            <w:pPr>
              <w:adjustRightInd w:val="0"/>
              <w:snapToGrid w:val="0"/>
              <w:spacing w:line="360" w:lineRule="auto"/>
              <w:jc w:val="both"/>
              <w:rPr>
                <w:rFonts w:ascii="Book Antiqua" w:hAnsi="Book Antiqua"/>
                <w:i/>
                <w:iCs/>
              </w:rPr>
            </w:pPr>
            <w:r w:rsidRPr="007C0B9B">
              <w:rPr>
                <w:rFonts w:ascii="Book Antiqua" w:hAnsi="Book Antiqua"/>
                <w:i/>
                <w:iCs/>
              </w:rPr>
              <w:t>t</w:t>
            </w:r>
            <w:r w:rsidRPr="007C0B9B">
              <w:rPr>
                <w:rFonts w:ascii="Book Antiqua" w:hAnsi="Book Antiqua"/>
              </w:rPr>
              <w:t xml:space="preserve"> value</w:t>
            </w:r>
          </w:p>
        </w:tc>
        <w:tc>
          <w:tcPr>
            <w:tcW w:w="322" w:type="pct"/>
          </w:tcPr>
          <w:p w14:paraId="414D66B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w:t>
            </w:r>
          </w:p>
        </w:tc>
        <w:tc>
          <w:tcPr>
            <w:tcW w:w="848" w:type="pct"/>
          </w:tcPr>
          <w:p w14:paraId="516B3A46"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3.614</w:t>
            </w:r>
          </w:p>
        </w:tc>
        <w:tc>
          <w:tcPr>
            <w:tcW w:w="986" w:type="pct"/>
          </w:tcPr>
          <w:p w14:paraId="19A77290"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8.735</w:t>
            </w:r>
          </w:p>
        </w:tc>
        <w:tc>
          <w:tcPr>
            <w:tcW w:w="900" w:type="pct"/>
          </w:tcPr>
          <w:p w14:paraId="47E2BDB4"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4.879</w:t>
            </w:r>
          </w:p>
        </w:tc>
        <w:tc>
          <w:tcPr>
            <w:tcW w:w="820" w:type="pct"/>
          </w:tcPr>
          <w:p w14:paraId="60946F7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7.153</w:t>
            </w:r>
          </w:p>
        </w:tc>
      </w:tr>
      <w:tr w:rsidR="005D2787" w:rsidRPr="007C0B9B" w14:paraId="1C1113E7" w14:textId="77777777" w:rsidTr="001028E4">
        <w:tc>
          <w:tcPr>
            <w:tcW w:w="1124" w:type="pct"/>
          </w:tcPr>
          <w:p w14:paraId="666454C9" w14:textId="191BC81D" w:rsidR="005D2787" w:rsidRPr="007C0B9B" w:rsidRDefault="005D2787" w:rsidP="007C0B9B">
            <w:pPr>
              <w:adjustRightInd w:val="0"/>
              <w:snapToGrid w:val="0"/>
              <w:spacing w:line="360" w:lineRule="auto"/>
              <w:jc w:val="both"/>
              <w:rPr>
                <w:rFonts w:ascii="Book Antiqua" w:hAnsi="Book Antiqua"/>
                <w:i/>
                <w:iCs/>
              </w:rPr>
            </w:pPr>
            <w:r w:rsidRPr="007C0B9B">
              <w:rPr>
                <w:rFonts w:ascii="Book Antiqua" w:hAnsi="Book Antiqua"/>
                <w:i/>
                <w:iCs/>
              </w:rPr>
              <w:t>P</w:t>
            </w:r>
            <w:r w:rsidR="00C47206" w:rsidRPr="007C0B9B">
              <w:rPr>
                <w:rFonts w:ascii="Book Antiqua" w:hAnsi="Book Antiqua"/>
              </w:rPr>
              <w:t xml:space="preserve"> value</w:t>
            </w:r>
          </w:p>
        </w:tc>
        <w:tc>
          <w:tcPr>
            <w:tcW w:w="322" w:type="pct"/>
          </w:tcPr>
          <w:p w14:paraId="32157E49"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w:t>
            </w:r>
          </w:p>
        </w:tc>
        <w:tc>
          <w:tcPr>
            <w:tcW w:w="848" w:type="pct"/>
          </w:tcPr>
          <w:p w14:paraId="7D9A7322"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0.000</w:t>
            </w:r>
          </w:p>
        </w:tc>
        <w:tc>
          <w:tcPr>
            <w:tcW w:w="986" w:type="pct"/>
          </w:tcPr>
          <w:p w14:paraId="293FDD88"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0.000</w:t>
            </w:r>
          </w:p>
        </w:tc>
        <w:tc>
          <w:tcPr>
            <w:tcW w:w="900" w:type="pct"/>
          </w:tcPr>
          <w:p w14:paraId="12227FC1"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0.000</w:t>
            </w:r>
          </w:p>
        </w:tc>
        <w:tc>
          <w:tcPr>
            <w:tcW w:w="820" w:type="pct"/>
          </w:tcPr>
          <w:p w14:paraId="508BBE51"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0.000</w:t>
            </w:r>
          </w:p>
        </w:tc>
      </w:tr>
    </w:tbl>
    <w:p w14:paraId="56353CAA" w14:textId="6D8FF678" w:rsidR="005D2787" w:rsidRPr="007C0B9B" w:rsidRDefault="005D2787" w:rsidP="007C0B9B">
      <w:pPr>
        <w:adjustRightInd w:val="0"/>
        <w:snapToGrid w:val="0"/>
        <w:spacing w:line="360" w:lineRule="auto"/>
        <w:jc w:val="both"/>
        <w:rPr>
          <w:rFonts w:ascii="Book Antiqua" w:eastAsia="宋体" w:hAnsi="Book Antiqua"/>
          <w:lang w:eastAsia="zh-CN"/>
        </w:rPr>
      </w:pPr>
      <w:r w:rsidRPr="007C0B9B">
        <w:rPr>
          <w:rFonts w:ascii="Book Antiqua" w:eastAsia="宋体" w:hAnsi="Book Antiqua"/>
        </w:rPr>
        <w:t>IL</w:t>
      </w:r>
      <w:r w:rsidR="00C47206" w:rsidRPr="007C0B9B">
        <w:rPr>
          <w:rFonts w:ascii="Book Antiqua" w:hAnsi="Book Antiqua"/>
        </w:rPr>
        <w:t>:</w:t>
      </w:r>
      <w:r w:rsidRPr="007C0B9B">
        <w:rPr>
          <w:rFonts w:ascii="Book Antiqua" w:hAnsi="Book Antiqua"/>
        </w:rPr>
        <w:t xml:space="preserve"> </w:t>
      </w:r>
      <w:r w:rsidR="00C47206" w:rsidRPr="007C0B9B">
        <w:rPr>
          <w:rFonts w:ascii="Book Antiqua" w:hAnsi="Book Antiqua"/>
        </w:rPr>
        <w:t>Interleukin</w:t>
      </w:r>
      <w:r w:rsidRPr="007C0B9B">
        <w:rPr>
          <w:rFonts w:ascii="Book Antiqua" w:hAnsi="Book Antiqua"/>
        </w:rPr>
        <w:t>; TNF</w:t>
      </w:r>
      <w:r w:rsidR="00C47206" w:rsidRPr="007C0B9B">
        <w:rPr>
          <w:rFonts w:ascii="Book Antiqua" w:hAnsi="Book Antiqua"/>
        </w:rPr>
        <w:t>:</w:t>
      </w:r>
      <w:r w:rsidRPr="007C0B9B">
        <w:rPr>
          <w:rFonts w:ascii="Book Antiqua" w:hAnsi="Book Antiqua"/>
        </w:rPr>
        <w:t xml:space="preserve"> tumor necrosis factor</w:t>
      </w:r>
      <w:r w:rsidR="00C47206" w:rsidRPr="007C0B9B">
        <w:rPr>
          <w:rFonts w:ascii="Book Antiqua" w:eastAsia="宋体" w:hAnsi="Book Antiqua"/>
          <w:lang w:eastAsia="zh-CN"/>
        </w:rPr>
        <w:t>.</w:t>
      </w:r>
    </w:p>
    <w:p w14:paraId="292E8E11" w14:textId="77777777" w:rsidR="00B32F18" w:rsidRDefault="00B32F18">
      <w:pPr>
        <w:rPr>
          <w:rFonts w:ascii="Book Antiqua" w:eastAsia="宋体" w:hAnsi="Book Antiqua"/>
          <w:lang w:eastAsia="zh-CN"/>
        </w:rPr>
      </w:pPr>
      <w:r>
        <w:rPr>
          <w:rFonts w:ascii="Book Antiqua" w:eastAsia="宋体" w:hAnsi="Book Antiqua"/>
        </w:rPr>
        <w:br w:type="page"/>
      </w:r>
    </w:p>
    <w:p w14:paraId="0C831922" w14:textId="57F9E762" w:rsidR="005D2787" w:rsidRPr="007C0B9B" w:rsidRDefault="005D2787" w:rsidP="007C0B9B">
      <w:pPr>
        <w:pStyle w:val="a3"/>
        <w:adjustRightInd w:val="0"/>
        <w:snapToGrid w:val="0"/>
        <w:spacing w:line="360" w:lineRule="auto"/>
        <w:ind w:firstLineChars="0" w:firstLine="0"/>
        <w:rPr>
          <w:rFonts w:ascii="Book Antiqua" w:hAnsi="Book Antiqua" w:cs="Times New Roman"/>
          <w:b/>
          <w:bCs/>
          <w:sz w:val="24"/>
        </w:rPr>
      </w:pPr>
      <w:r w:rsidRPr="007C0B9B">
        <w:rPr>
          <w:rFonts w:ascii="Book Antiqua" w:hAnsi="Book Antiqua" w:cs="Times New Roman"/>
          <w:b/>
          <w:bCs/>
          <w:sz w:val="24"/>
        </w:rPr>
        <w:lastRenderedPageBreak/>
        <w:t xml:space="preserve">Table </w:t>
      </w:r>
      <w:r w:rsidRPr="007C0B9B">
        <w:rPr>
          <w:rFonts w:ascii="Book Antiqua" w:eastAsia="宋体" w:hAnsi="Book Antiqua" w:cs="Times New Roman"/>
          <w:b/>
          <w:bCs/>
          <w:sz w:val="24"/>
        </w:rPr>
        <w:t>4</w:t>
      </w:r>
      <w:r w:rsidRPr="007C0B9B">
        <w:rPr>
          <w:rFonts w:ascii="Book Antiqua" w:hAnsi="Book Antiqua" w:cs="Times New Roman"/>
          <w:b/>
          <w:bCs/>
          <w:sz w:val="24"/>
        </w:rPr>
        <w:t xml:space="preserve"> Relationship between serum Spondin-2 expression and prognosis in patients with cervical cancer</w:t>
      </w:r>
      <w:r w:rsidR="001028E4" w:rsidRPr="007C0B9B">
        <w:rPr>
          <w:rFonts w:ascii="Book Antiqua" w:hAnsi="Book Antiqua" w:cs="Times New Roman"/>
          <w:b/>
          <w:bCs/>
          <w:sz w:val="24"/>
        </w:rPr>
        <w:t xml:space="preserve"> (mean ± SD)</w:t>
      </w:r>
    </w:p>
    <w:tbl>
      <w:tblPr>
        <w:tblStyle w:val="a4"/>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2829"/>
        <w:gridCol w:w="896"/>
        <w:gridCol w:w="2752"/>
        <w:gridCol w:w="3099"/>
      </w:tblGrid>
      <w:tr w:rsidR="005D2787" w:rsidRPr="007C0B9B" w14:paraId="4FE49E6B" w14:textId="77777777" w:rsidTr="00316DCF">
        <w:trPr>
          <w:trHeight w:val="58"/>
        </w:trPr>
        <w:tc>
          <w:tcPr>
            <w:tcW w:w="1477" w:type="pct"/>
            <w:tcBorders>
              <w:top w:val="single" w:sz="4" w:space="0" w:color="auto"/>
              <w:bottom w:val="single" w:sz="4" w:space="0" w:color="auto"/>
            </w:tcBorders>
          </w:tcPr>
          <w:p w14:paraId="1C67F031" w14:textId="3B1F10A4" w:rsidR="005D2787" w:rsidRPr="007C0B9B" w:rsidRDefault="00DF1878" w:rsidP="007C0B9B">
            <w:pPr>
              <w:adjustRightInd w:val="0"/>
              <w:snapToGrid w:val="0"/>
              <w:spacing w:line="360" w:lineRule="auto"/>
              <w:jc w:val="both"/>
              <w:rPr>
                <w:rFonts w:ascii="Book Antiqua" w:hAnsi="Book Antiqua"/>
                <w:b/>
                <w:bCs/>
              </w:rPr>
            </w:pPr>
            <w:r w:rsidRPr="007C0B9B">
              <w:rPr>
                <w:rFonts w:ascii="Book Antiqua" w:hAnsi="Book Antiqua"/>
                <w:b/>
                <w:bCs/>
              </w:rPr>
              <w:t>Group</w:t>
            </w:r>
          </w:p>
        </w:tc>
        <w:tc>
          <w:tcPr>
            <w:tcW w:w="468" w:type="pct"/>
            <w:tcBorders>
              <w:top w:val="single" w:sz="4" w:space="0" w:color="auto"/>
              <w:bottom w:val="single" w:sz="4" w:space="0" w:color="auto"/>
            </w:tcBorders>
          </w:tcPr>
          <w:p w14:paraId="5A763C2D" w14:textId="77777777" w:rsidR="005D2787" w:rsidRPr="007C0B9B" w:rsidRDefault="005D2787" w:rsidP="007C0B9B">
            <w:pPr>
              <w:adjustRightInd w:val="0"/>
              <w:snapToGrid w:val="0"/>
              <w:spacing w:line="360" w:lineRule="auto"/>
              <w:jc w:val="both"/>
              <w:rPr>
                <w:rFonts w:ascii="Book Antiqua" w:hAnsi="Book Antiqua"/>
                <w:b/>
                <w:bCs/>
                <w:i/>
                <w:iCs/>
              </w:rPr>
            </w:pPr>
            <w:r w:rsidRPr="007C0B9B">
              <w:rPr>
                <w:rFonts w:ascii="Book Antiqua" w:hAnsi="Book Antiqua"/>
                <w:b/>
                <w:bCs/>
                <w:i/>
                <w:iCs/>
              </w:rPr>
              <w:t>n</w:t>
            </w:r>
          </w:p>
        </w:tc>
        <w:tc>
          <w:tcPr>
            <w:tcW w:w="1437" w:type="pct"/>
            <w:tcBorders>
              <w:top w:val="single" w:sz="4" w:space="0" w:color="auto"/>
              <w:bottom w:val="single" w:sz="4" w:space="0" w:color="auto"/>
            </w:tcBorders>
          </w:tcPr>
          <w:p w14:paraId="04EF62EB" w14:textId="1AF60EE2"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PFS (</w:t>
            </w:r>
            <w:proofErr w:type="spellStart"/>
            <w:r w:rsidR="001028E4" w:rsidRPr="007C0B9B">
              <w:rPr>
                <w:rFonts w:ascii="Book Antiqua" w:hAnsi="Book Antiqua"/>
                <w:b/>
                <w:bCs/>
              </w:rPr>
              <w:t>mo</w:t>
            </w:r>
            <w:proofErr w:type="spellEnd"/>
            <w:r w:rsidRPr="007C0B9B">
              <w:rPr>
                <w:rFonts w:ascii="Book Antiqua" w:hAnsi="Book Antiqua"/>
                <w:b/>
                <w:bCs/>
              </w:rPr>
              <w:t>)</w:t>
            </w:r>
          </w:p>
        </w:tc>
        <w:tc>
          <w:tcPr>
            <w:tcW w:w="1618" w:type="pct"/>
            <w:tcBorders>
              <w:top w:val="single" w:sz="4" w:space="0" w:color="auto"/>
              <w:bottom w:val="single" w:sz="4" w:space="0" w:color="auto"/>
            </w:tcBorders>
          </w:tcPr>
          <w:p w14:paraId="6EB2794E" w14:textId="2108D89A" w:rsidR="005D2787" w:rsidRPr="007C0B9B" w:rsidRDefault="005D2787" w:rsidP="007C0B9B">
            <w:pPr>
              <w:adjustRightInd w:val="0"/>
              <w:snapToGrid w:val="0"/>
              <w:spacing w:line="360" w:lineRule="auto"/>
              <w:jc w:val="both"/>
              <w:rPr>
                <w:rFonts w:ascii="Book Antiqua" w:hAnsi="Book Antiqua"/>
                <w:b/>
                <w:bCs/>
              </w:rPr>
            </w:pPr>
            <w:r w:rsidRPr="007C0B9B">
              <w:rPr>
                <w:rFonts w:ascii="Book Antiqua" w:hAnsi="Book Antiqua"/>
                <w:b/>
                <w:bCs/>
              </w:rPr>
              <w:t>OS (</w:t>
            </w:r>
            <w:proofErr w:type="spellStart"/>
            <w:r w:rsidR="001028E4" w:rsidRPr="007C0B9B">
              <w:rPr>
                <w:rFonts w:ascii="Book Antiqua" w:hAnsi="Book Antiqua"/>
                <w:b/>
                <w:bCs/>
              </w:rPr>
              <w:t>mo</w:t>
            </w:r>
            <w:proofErr w:type="spellEnd"/>
            <w:r w:rsidRPr="007C0B9B">
              <w:rPr>
                <w:rFonts w:ascii="Book Antiqua" w:hAnsi="Book Antiqua"/>
                <w:b/>
                <w:bCs/>
              </w:rPr>
              <w:t>)</w:t>
            </w:r>
          </w:p>
        </w:tc>
      </w:tr>
      <w:tr w:rsidR="005D2787" w:rsidRPr="007C0B9B" w14:paraId="6D73B9A6" w14:textId="77777777" w:rsidTr="000D6DBA">
        <w:tc>
          <w:tcPr>
            <w:tcW w:w="1477" w:type="pct"/>
            <w:tcBorders>
              <w:top w:val="single" w:sz="4" w:space="0" w:color="auto"/>
            </w:tcBorders>
          </w:tcPr>
          <w:p w14:paraId="109E5D18" w14:textId="4E70768E" w:rsidR="005D2787" w:rsidRPr="007C0B9B" w:rsidRDefault="005D2787" w:rsidP="007C0B9B">
            <w:pPr>
              <w:adjustRightInd w:val="0"/>
              <w:snapToGrid w:val="0"/>
              <w:spacing w:line="360" w:lineRule="auto"/>
              <w:jc w:val="both"/>
              <w:rPr>
                <w:rFonts w:ascii="Book Antiqua" w:hAnsi="Book Antiqua"/>
                <w:bCs/>
              </w:rPr>
            </w:pPr>
            <w:r w:rsidRPr="007C0B9B">
              <w:rPr>
                <w:rFonts w:ascii="Book Antiqua" w:hAnsi="Book Antiqua"/>
              </w:rPr>
              <w:t xml:space="preserve">High Spondin-2 </w:t>
            </w:r>
            <w:r w:rsidR="00DF1878" w:rsidRPr="007C0B9B">
              <w:rPr>
                <w:rFonts w:ascii="Book Antiqua" w:hAnsi="Book Antiqua"/>
              </w:rPr>
              <w:t>group</w:t>
            </w:r>
          </w:p>
        </w:tc>
        <w:tc>
          <w:tcPr>
            <w:tcW w:w="468" w:type="pct"/>
            <w:tcBorders>
              <w:top w:val="single" w:sz="4" w:space="0" w:color="auto"/>
            </w:tcBorders>
          </w:tcPr>
          <w:p w14:paraId="26661C9D"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101</w:t>
            </w:r>
          </w:p>
        </w:tc>
        <w:tc>
          <w:tcPr>
            <w:tcW w:w="1437" w:type="pct"/>
            <w:tcBorders>
              <w:top w:val="single" w:sz="4" w:space="0" w:color="auto"/>
            </w:tcBorders>
          </w:tcPr>
          <w:p w14:paraId="36648409" w14:textId="42B90BB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23.2</w:t>
            </w:r>
            <w:r w:rsidR="001028E4" w:rsidRPr="007C0B9B">
              <w:rPr>
                <w:rFonts w:ascii="Book Antiqua" w:hAnsi="Book Antiqua"/>
              </w:rPr>
              <w:t xml:space="preserve"> </w:t>
            </w:r>
            <w:r w:rsidRPr="007C0B9B">
              <w:rPr>
                <w:rFonts w:ascii="Book Antiqua" w:hAnsi="Book Antiqua"/>
              </w:rPr>
              <w:t>±</w:t>
            </w:r>
            <w:r w:rsidR="001028E4" w:rsidRPr="007C0B9B">
              <w:rPr>
                <w:rFonts w:ascii="Book Antiqua" w:hAnsi="Book Antiqua"/>
              </w:rPr>
              <w:t xml:space="preserve"> </w:t>
            </w:r>
            <w:r w:rsidRPr="007C0B9B">
              <w:rPr>
                <w:rFonts w:ascii="Book Antiqua" w:hAnsi="Book Antiqua"/>
              </w:rPr>
              <w:t>9.3</w:t>
            </w:r>
          </w:p>
        </w:tc>
        <w:tc>
          <w:tcPr>
            <w:tcW w:w="1618" w:type="pct"/>
            <w:tcBorders>
              <w:top w:val="single" w:sz="4" w:space="0" w:color="auto"/>
            </w:tcBorders>
          </w:tcPr>
          <w:p w14:paraId="492A0E4F" w14:textId="4F576DDB"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26.8</w:t>
            </w:r>
            <w:r w:rsidR="001028E4" w:rsidRPr="007C0B9B">
              <w:rPr>
                <w:rFonts w:ascii="Book Antiqua" w:hAnsi="Book Antiqua"/>
              </w:rPr>
              <w:t xml:space="preserve"> </w:t>
            </w:r>
            <w:r w:rsidRPr="007C0B9B">
              <w:rPr>
                <w:rFonts w:ascii="Book Antiqua" w:hAnsi="Book Antiqua"/>
              </w:rPr>
              <w:t>±</w:t>
            </w:r>
            <w:r w:rsidR="001028E4" w:rsidRPr="007C0B9B">
              <w:rPr>
                <w:rFonts w:ascii="Book Antiqua" w:hAnsi="Book Antiqua"/>
              </w:rPr>
              <w:t xml:space="preserve"> </w:t>
            </w:r>
            <w:r w:rsidRPr="007C0B9B">
              <w:rPr>
                <w:rFonts w:ascii="Book Antiqua" w:hAnsi="Book Antiqua"/>
              </w:rPr>
              <w:t>8.7</w:t>
            </w:r>
          </w:p>
        </w:tc>
      </w:tr>
      <w:tr w:rsidR="005D2787" w:rsidRPr="007C0B9B" w14:paraId="150D8701" w14:textId="77777777" w:rsidTr="000D6DBA">
        <w:tc>
          <w:tcPr>
            <w:tcW w:w="1477" w:type="pct"/>
          </w:tcPr>
          <w:p w14:paraId="0BA6040D" w14:textId="2D8EF8E3" w:rsidR="005D2787" w:rsidRPr="007C0B9B" w:rsidRDefault="005D2787" w:rsidP="007C0B9B">
            <w:pPr>
              <w:adjustRightInd w:val="0"/>
              <w:snapToGrid w:val="0"/>
              <w:spacing w:line="360" w:lineRule="auto"/>
              <w:jc w:val="both"/>
              <w:rPr>
                <w:rFonts w:ascii="Book Antiqua" w:hAnsi="Book Antiqua"/>
                <w:bCs/>
              </w:rPr>
            </w:pPr>
            <w:r w:rsidRPr="007C0B9B">
              <w:rPr>
                <w:rFonts w:ascii="Book Antiqua" w:hAnsi="Book Antiqua"/>
              </w:rPr>
              <w:t xml:space="preserve">Low Spondin-2 </w:t>
            </w:r>
            <w:r w:rsidR="00DF1878" w:rsidRPr="007C0B9B">
              <w:rPr>
                <w:rFonts w:ascii="Book Antiqua" w:hAnsi="Book Antiqua"/>
              </w:rPr>
              <w:t>group</w:t>
            </w:r>
          </w:p>
        </w:tc>
        <w:tc>
          <w:tcPr>
            <w:tcW w:w="468" w:type="pct"/>
          </w:tcPr>
          <w:p w14:paraId="7AF62C2E" w14:textId="77777777"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bCs/>
              </w:rPr>
              <w:t>46</w:t>
            </w:r>
          </w:p>
        </w:tc>
        <w:tc>
          <w:tcPr>
            <w:tcW w:w="1437" w:type="pct"/>
          </w:tcPr>
          <w:p w14:paraId="5109C929" w14:textId="2A55F7A4"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28.9</w:t>
            </w:r>
            <w:r w:rsidR="001028E4" w:rsidRPr="007C0B9B">
              <w:rPr>
                <w:rFonts w:ascii="Book Antiqua" w:hAnsi="Book Antiqua"/>
              </w:rPr>
              <w:t xml:space="preserve"> </w:t>
            </w:r>
            <w:r w:rsidRPr="007C0B9B">
              <w:rPr>
                <w:rFonts w:ascii="Book Antiqua" w:hAnsi="Book Antiqua"/>
              </w:rPr>
              <w:t>±</w:t>
            </w:r>
            <w:r w:rsidR="001028E4" w:rsidRPr="007C0B9B">
              <w:rPr>
                <w:rFonts w:ascii="Book Antiqua" w:hAnsi="Book Antiqua"/>
              </w:rPr>
              <w:t xml:space="preserve"> </w:t>
            </w:r>
            <w:r w:rsidRPr="007C0B9B">
              <w:rPr>
                <w:rFonts w:ascii="Book Antiqua" w:hAnsi="Book Antiqua"/>
              </w:rPr>
              <w:t>10.4</w:t>
            </w:r>
          </w:p>
        </w:tc>
        <w:tc>
          <w:tcPr>
            <w:tcW w:w="1618" w:type="pct"/>
          </w:tcPr>
          <w:p w14:paraId="7F770BD2" w14:textId="01FA16DA" w:rsidR="005D2787" w:rsidRPr="007C0B9B" w:rsidRDefault="005D2787" w:rsidP="007C0B9B">
            <w:pPr>
              <w:adjustRightInd w:val="0"/>
              <w:snapToGrid w:val="0"/>
              <w:spacing w:line="360" w:lineRule="auto"/>
              <w:jc w:val="both"/>
              <w:rPr>
                <w:rFonts w:ascii="Book Antiqua" w:hAnsi="Book Antiqua"/>
              </w:rPr>
            </w:pPr>
            <w:r w:rsidRPr="007C0B9B">
              <w:rPr>
                <w:rFonts w:ascii="Book Antiqua" w:hAnsi="Book Antiqua"/>
              </w:rPr>
              <w:t>30.1</w:t>
            </w:r>
            <w:r w:rsidR="001028E4" w:rsidRPr="007C0B9B">
              <w:rPr>
                <w:rFonts w:ascii="Book Antiqua" w:hAnsi="Book Antiqua"/>
              </w:rPr>
              <w:t xml:space="preserve"> </w:t>
            </w:r>
            <w:r w:rsidRPr="007C0B9B">
              <w:rPr>
                <w:rFonts w:ascii="Book Antiqua" w:hAnsi="Book Antiqua"/>
              </w:rPr>
              <w:t>±</w:t>
            </w:r>
            <w:r w:rsidR="001028E4" w:rsidRPr="007C0B9B">
              <w:rPr>
                <w:rFonts w:ascii="Book Antiqua" w:hAnsi="Book Antiqua"/>
              </w:rPr>
              <w:t xml:space="preserve"> </w:t>
            </w:r>
            <w:r w:rsidRPr="007C0B9B">
              <w:rPr>
                <w:rFonts w:ascii="Book Antiqua" w:hAnsi="Book Antiqua"/>
              </w:rPr>
              <w:t>9.7</w:t>
            </w:r>
          </w:p>
        </w:tc>
      </w:tr>
      <w:tr w:rsidR="00FE3212" w:rsidRPr="007C0B9B" w14:paraId="0C29E507" w14:textId="77777777" w:rsidTr="000D6DBA">
        <w:tc>
          <w:tcPr>
            <w:tcW w:w="1477" w:type="pct"/>
          </w:tcPr>
          <w:p w14:paraId="4300F3D3" w14:textId="0F452997" w:rsidR="00FE3212" w:rsidRPr="007C0B9B" w:rsidRDefault="00FE3212" w:rsidP="007C0B9B">
            <w:pPr>
              <w:adjustRightInd w:val="0"/>
              <w:snapToGrid w:val="0"/>
              <w:spacing w:line="360" w:lineRule="auto"/>
              <w:jc w:val="both"/>
              <w:rPr>
                <w:rFonts w:ascii="Book Antiqua" w:hAnsi="Book Antiqua"/>
                <w:i/>
                <w:iCs/>
              </w:rPr>
            </w:pPr>
            <w:r w:rsidRPr="007C0B9B">
              <w:rPr>
                <w:rFonts w:ascii="Book Antiqua" w:hAnsi="Book Antiqua"/>
                <w:i/>
                <w:iCs/>
              </w:rPr>
              <w:t>t</w:t>
            </w:r>
            <w:r w:rsidRPr="007C0B9B">
              <w:rPr>
                <w:rFonts w:ascii="Book Antiqua" w:hAnsi="Book Antiqua"/>
              </w:rPr>
              <w:t xml:space="preserve"> value</w:t>
            </w:r>
          </w:p>
        </w:tc>
        <w:tc>
          <w:tcPr>
            <w:tcW w:w="468" w:type="pct"/>
          </w:tcPr>
          <w:p w14:paraId="1696C3EA" w14:textId="77777777" w:rsidR="00FE3212" w:rsidRPr="007C0B9B" w:rsidRDefault="00FE3212" w:rsidP="007C0B9B">
            <w:pPr>
              <w:adjustRightInd w:val="0"/>
              <w:snapToGrid w:val="0"/>
              <w:spacing w:line="360" w:lineRule="auto"/>
              <w:jc w:val="both"/>
              <w:rPr>
                <w:rFonts w:ascii="Book Antiqua" w:hAnsi="Book Antiqua"/>
              </w:rPr>
            </w:pPr>
            <w:r w:rsidRPr="007C0B9B">
              <w:rPr>
                <w:rFonts w:ascii="Book Antiqua" w:hAnsi="Book Antiqua"/>
              </w:rPr>
              <w:t>-</w:t>
            </w:r>
          </w:p>
        </w:tc>
        <w:tc>
          <w:tcPr>
            <w:tcW w:w="1437" w:type="pct"/>
          </w:tcPr>
          <w:p w14:paraId="30E6AED1" w14:textId="77777777" w:rsidR="00FE3212" w:rsidRPr="007C0B9B" w:rsidRDefault="00FE3212" w:rsidP="007C0B9B">
            <w:pPr>
              <w:adjustRightInd w:val="0"/>
              <w:snapToGrid w:val="0"/>
              <w:spacing w:line="360" w:lineRule="auto"/>
              <w:jc w:val="both"/>
              <w:rPr>
                <w:rFonts w:ascii="Book Antiqua" w:hAnsi="Book Antiqua"/>
              </w:rPr>
            </w:pPr>
            <w:r w:rsidRPr="007C0B9B">
              <w:rPr>
                <w:rFonts w:ascii="Book Antiqua" w:hAnsi="Book Antiqua"/>
              </w:rPr>
              <w:t>3.319</w:t>
            </w:r>
          </w:p>
        </w:tc>
        <w:tc>
          <w:tcPr>
            <w:tcW w:w="1618" w:type="pct"/>
          </w:tcPr>
          <w:p w14:paraId="1CCD545B" w14:textId="77777777" w:rsidR="00FE3212" w:rsidRPr="007C0B9B" w:rsidRDefault="00FE3212" w:rsidP="007C0B9B">
            <w:pPr>
              <w:adjustRightInd w:val="0"/>
              <w:snapToGrid w:val="0"/>
              <w:spacing w:line="360" w:lineRule="auto"/>
              <w:jc w:val="both"/>
              <w:rPr>
                <w:rFonts w:ascii="Book Antiqua" w:hAnsi="Book Antiqua"/>
              </w:rPr>
            </w:pPr>
            <w:r w:rsidRPr="007C0B9B">
              <w:rPr>
                <w:rFonts w:ascii="Book Antiqua" w:hAnsi="Book Antiqua"/>
              </w:rPr>
              <w:t>2.056</w:t>
            </w:r>
          </w:p>
        </w:tc>
      </w:tr>
      <w:tr w:rsidR="00FE3212" w:rsidRPr="007C0B9B" w14:paraId="46A278BD" w14:textId="77777777" w:rsidTr="000D6DBA">
        <w:tc>
          <w:tcPr>
            <w:tcW w:w="1477" w:type="pct"/>
          </w:tcPr>
          <w:p w14:paraId="3E43F956" w14:textId="58DF64B7" w:rsidR="00FE3212" w:rsidRPr="007C0B9B" w:rsidRDefault="00FE3212" w:rsidP="007C0B9B">
            <w:pPr>
              <w:adjustRightInd w:val="0"/>
              <w:snapToGrid w:val="0"/>
              <w:spacing w:line="360" w:lineRule="auto"/>
              <w:jc w:val="both"/>
              <w:rPr>
                <w:rFonts w:ascii="Book Antiqua" w:hAnsi="Book Antiqua"/>
                <w:i/>
                <w:iCs/>
              </w:rPr>
            </w:pPr>
            <w:r w:rsidRPr="007C0B9B">
              <w:rPr>
                <w:rFonts w:ascii="Book Antiqua" w:hAnsi="Book Antiqua"/>
                <w:i/>
                <w:iCs/>
              </w:rPr>
              <w:t>P</w:t>
            </w:r>
            <w:r w:rsidRPr="007C0B9B">
              <w:rPr>
                <w:rFonts w:ascii="Book Antiqua" w:hAnsi="Book Antiqua"/>
              </w:rPr>
              <w:t xml:space="preserve"> value</w:t>
            </w:r>
          </w:p>
        </w:tc>
        <w:tc>
          <w:tcPr>
            <w:tcW w:w="468" w:type="pct"/>
          </w:tcPr>
          <w:p w14:paraId="50C13022" w14:textId="77777777" w:rsidR="00FE3212" w:rsidRPr="007C0B9B" w:rsidRDefault="00FE3212" w:rsidP="007C0B9B">
            <w:pPr>
              <w:adjustRightInd w:val="0"/>
              <w:snapToGrid w:val="0"/>
              <w:spacing w:line="360" w:lineRule="auto"/>
              <w:jc w:val="both"/>
              <w:rPr>
                <w:rFonts w:ascii="Book Antiqua" w:hAnsi="Book Antiqua"/>
              </w:rPr>
            </w:pPr>
            <w:r w:rsidRPr="007C0B9B">
              <w:rPr>
                <w:rFonts w:ascii="Book Antiqua" w:hAnsi="Book Antiqua"/>
              </w:rPr>
              <w:t>-</w:t>
            </w:r>
          </w:p>
        </w:tc>
        <w:tc>
          <w:tcPr>
            <w:tcW w:w="1437" w:type="pct"/>
          </w:tcPr>
          <w:p w14:paraId="1E6064AA" w14:textId="77777777" w:rsidR="00FE3212" w:rsidRPr="007C0B9B" w:rsidRDefault="00FE3212" w:rsidP="007C0B9B">
            <w:pPr>
              <w:adjustRightInd w:val="0"/>
              <w:snapToGrid w:val="0"/>
              <w:spacing w:line="360" w:lineRule="auto"/>
              <w:jc w:val="both"/>
              <w:rPr>
                <w:rFonts w:ascii="Book Antiqua" w:hAnsi="Book Antiqua"/>
              </w:rPr>
            </w:pPr>
            <w:r w:rsidRPr="007C0B9B">
              <w:rPr>
                <w:rFonts w:ascii="Book Antiqua" w:hAnsi="Book Antiqua"/>
              </w:rPr>
              <w:t>0.001</w:t>
            </w:r>
          </w:p>
        </w:tc>
        <w:tc>
          <w:tcPr>
            <w:tcW w:w="1618" w:type="pct"/>
          </w:tcPr>
          <w:p w14:paraId="73029F34" w14:textId="77777777" w:rsidR="00FE3212" w:rsidRPr="007C0B9B" w:rsidRDefault="00FE3212" w:rsidP="007C0B9B">
            <w:pPr>
              <w:adjustRightInd w:val="0"/>
              <w:snapToGrid w:val="0"/>
              <w:spacing w:line="360" w:lineRule="auto"/>
              <w:jc w:val="both"/>
              <w:rPr>
                <w:rFonts w:ascii="Book Antiqua" w:hAnsi="Book Antiqua"/>
              </w:rPr>
            </w:pPr>
            <w:r w:rsidRPr="007C0B9B">
              <w:rPr>
                <w:rFonts w:ascii="Book Antiqua" w:hAnsi="Book Antiqua"/>
              </w:rPr>
              <w:t>0.042</w:t>
            </w:r>
          </w:p>
        </w:tc>
      </w:tr>
    </w:tbl>
    <w:p w14:paraId="714904D4" w14:textId="1C23EF3B" w:rsidR="00B32F18" w:rsidRDefault="005D2787" w:rsidP="007C0B9B">
      <w:pPr>
        <w:adjustRightInd w:val="0"/>
        <w:snapToGrid w:val="0"/>
        <w:spacing w:line="360" w:lineRule="auto"/>
        <w:jc w:val="both"/>
        <w:rPr>
          <w:rFonts w:ascii="Book Antiqua" w:hAnsi="Book Antiqua"/>
        </w:rPr>
      </w:pPr>
      <w:r w:rsidRPr="007C0B9B">
        <w:rPr>
          <w:rFonts w:ascii="Book Antiqua" w:hAnsi="Book Antiqua"/>
        </w:rPr>
        <w:t xml:space="preserve"> PFS</w:t>
      </w:r>
      <w:r w:rsidR="000D6DBA" w:rsidRPr="007C0B9B">
        <w:rPr>
          <w:rFonts w:ascii="Book Antiqua" w:hAnsi="Book Antiqua"/>
        </w:rPr>
        <w:t>:</w:t>
      </w:r>
      <w:r w:rsidRPr="007C0B9B">
        <w:rPr>
          <w:rFonts w:ascii="Book Antiqua" w:hAnsi="Book Antiqua"/>
        </w:rPr>
        <w:t xml:space="preserve"> </w:t>
      </w:r>
      <w:r w:rsidR="000D6DBA" w:rsidRPr="007C0B9B">
        <w:rPr>
          <w:rFonts w:ascii="Book Antiqua" w:hAnsi="Book Antiqua"/>
        </w:rPr>
        <w:t xml:space="preserve">Progression </w:t>
      </w:r>
      <w:r w:rsidRPr="007C0B9B">
        <w:rPr>
          <w:rFonts w:ascii="Book Antiqua" w:hAnsi="Book Antiqua"/>
        </w:rPr>
        <w:t>free survival; OS</w:t>
      </w:r>
      <w:r w:rsidR="000D6DBA" w:rsidRPr="007C0B9B">
        <w:rPr>
          <w:rFonts w:ascii="Book Antiqua" w:hAnsi="Book Antiqua"/>
        </w:rPr>
        <w:t>:</w:t>
      </w:r>
      <w:r w:rsidRPr="007C0B9B">
        <w:rPr>
          <w:rFonts w:ascii="Book Antiqua" w:hAnsi="Book Antiqua"/>
        </w:rPr>
        <w:t xml:space="preserve"> </w:t>
      </w:r>
      <w:r w:rsidR="000D6DBA" w:rsidRPr="007C0B9B">
        <w:rPr>
          <w:rFonts w:ascii="Book Antiqua" w:hAnsi="Book Antiqua"/>
        </w:rPr>
        <w:t xml:space="preserve">Overall </w:t>
      </w:r>
      <w:r w:rsidRPr="007C0B9B">
        <w:rPr>
          <w:rFonts w:ascii="Book Antiqua" w:hAnsi="Book Antiqua"/>
        </w:rPr>
        <w:t>survival</w:t>
      </w:r>
      <w:r w:rsidR="000D6DBA" w:rsidRPr="007C0B9B">
        <w:rPr>
          <w:rFonts w:ascii="Book Antiqua" w:hAnsi="Book Antiqua"/>
        </w:rPr>
        <w:t>.</w:t>
      </w:r>
    </w:p>
    <w:p w14:paraId="299D6E05" w14:textId="77777777" w:rsidR="00B32F18" w:rsidRDefault="00B32F18">
      <w:pPr>
        <w:rPr>
          <w:rFonts w:ascii="Book Antiqua" w:hAnsi="Book Antiqua"/>
        </w:rPr>
      </w:pPr>
      <w:r>
        <w:rPr>
          <w:rFonts w:ascii="Book Antiqua" w:hAnsi="Book Antiqua"/>
        </w:rPr>
        <w:br w:type="page"/>
      </w:r>
    </w:p>
    <w:p w14:paraId="1EEC2487" w14:textId="77777777" w:rsidR="00CC2B83" w:rsidRDefault="00CC2B83" w:rsidP="00CC2B83">
      <w:pPr>
        <w:jc w:val="center"/>
        <w:rPr>
          <w:rFonts w:ascii="Book Antiqua" w:hAnsi="Book Antiqua"/>
        </w:rPr>
      </w:pPr>
    </w:p>
    <w:p w14:paraId="644212DA" w14:textId="77777777" w:rsidR="00CC2B83" w:rsidRDefault="00CC2B83" w:rsidP="00CC2B83">
      <w:pPr>
        <w:jc w:val="center"/>
        <w:rPr>
          <w:rFonts w:ascii="Book Antiqua" w:hAnsi="Book Antiqua"/>
        </w:rPr>
      </w:pPr>
    </w:p>
    <w:p w14:paraId="55DA1DCB" w14:textId="77777777" w:rsidR="00CC2B83" w:rsidRDefault="00CC2B83" w:rsidP="00CC2B83">
      <w:pPr>
        <w:jc w:val="center"/>
        <w:rPr>
          <w:rFonts w:ascii="Book Antiqua" w:hAnsi="Book Antiqua"/>
        </w:rPr>
      </w:pPr>
    </w:p>
    <w:p w14:paraId="2BB5E477" w14:textId="77777777" w:rsidR="00CC2B83" w:rsidRDefault="00CC2B83" w:rsidP="00CC2B83">
      <w:pPr>
        <w:jc w:val="center"/>
        <w:rPr>
          <w:rFonts w:ascii="Book Antiqua" w:hAnsi="Book Antiqua"/>
        </w:rPr>
      </w:pPr>
    </w:p>
    <w:p w14:paraId="7C0A7C66" w14:textId="77777777" w:rsidR="00CC2B83" w:rsidRDefault="00CC2B83" w:rsidP="00CC2B83">
      <w:pPr>
        <w:jc w:val="center"/>
        <w:rPr>
          <w:rFonts w:ascii="Book Antiqua" w:hAnsi="Book Antiqua"/>
        </w:rPr>
      </w:pPr>
    </w:p>
    <w:p w14:paraId="395346B9" w14:textId="77777777" w:rsidR="00CC2B83" w:rsidRDefault="00CC2B83" w:rsidP="00CC2B83">
      <w:pPr>
        <w:jc w:val="center"/>
        <w:rPr>
          <w:rFonts w:ascii="Book Antiqua" w:hAnsi="Book Antiqua"/>
        </w:rPr>
      </w:pPr>
      <w:r>
        <w:rPr>
          <w:rFonts w:ascii="Book Antiqua" w:hAnsi="Book Antiqua"/>
          <w:noProof/>
          <w:lang w:eastAsia="zh-CN"/>
        </w:rPr>
        <w:drawing>
          <wp:inline distT="0" distB="0" distL="0" distR="0" wp14:anchorId="0D5FAD9F" wp14:editId="2A9459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CCEFD0" w14:textId="77777777" w:rsidR="00CC2B83" w:rsidRDefault="00CC2B83" w:rsidP="00CC2B83">
      <w:pPr>
        <w:jc w:val="center"/>
        <w:rPr>
          <w:rFonts w:ascii="Book Antiqua" w:hAnsi="Book Antiqua"/>
        </w:rPr>
      </w:pPr>
    </w:p>
    <w:p w14:paraId="3318D8C7" w14:textId="77777777" w:rsidR="00CC2B83" w:rsidRPr="00763D22" w:rsidRDefault="00CC2B83" w:rsidP="00CC2B8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B411871" w14:textId="77777777" w:rsidR="00CC2B83" w:rsidRPr="00763D22" w:rsidRDefault="00CC2B83" w:rsidP="00CC2B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539232" w14:textId="77777777" w:rsidR="00CC2B83" w:rsidRPr="00763D22" w:rsidRDefault="00CC2B83" w:rsidP="00CC2B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1C7EA1" w14:textId="77777777" w:rsidR="00CC2B83" w:rsidRPr="00763D22" w:rsidRDefault="00CC2B83" w:rsidP="00CC2B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032A0B5" w14:textId="77777777" w:rsidR="00CC2B83" w:rsidRPr="00763D22" w:rsidRDefault="00CC2B83" w:rsidP="00CC2B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4C1EC5" w14:textId="77777777" w:rsidR="00CC2B83" w:rsidRPr="00763D22" w:rsidRDefault="00CC2B83" w:rsidP="00CC2B8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045135B" w14:textId="77777777" w:rsidR="00CC2B83" w:rsidRDefault="00CC2B83" w:rsidP="00CC2B83">
      <w:pPr>
        <w:jc w:val="center"/>
        <w:rPr>
          <w:rFonts w:ascii="Book Antiqua" w:hAnsi="Book Antiqua"/>
        </w:rPr>
      </w:pPr>
    </w:p>
    <w:p w14:paraId="65044ED7" w14:textId="77777777" w:rsidR="00CC2B83" w:rsidRDefault="00CC2B83" w:rsidP="00CC2B83">
      <w:pPr>
        <w:jc w:val="center"/>
        <w:rPr>
          <w:rFonts w:ascii="Book Antiqua" w:hAnsi="Book Antiqua"/>
        </w:rPr>
      </w:pPr>
    </w:p>
    <w:p w14:paraId="71518490" w14:textId="77777777" w:rsidR="00CC2B83" w:rsidRDefault="00CC2B83" w:rsidP="00CC2B83">
      <w:pPr>
        <w:jc w:val="center"/>
        <w:rPr>
          <w:rFonts w:ascii="Book Antiqua" w:hAnsi="Book Antiqua"/>
        </w:rPr>
      </w:pPr>
    </w:p>
    <w:p w14:paraId="5F578F2F" w14:textId="77777777" w:rsidR="00CC2B83" w:rsidRDefault="00CC2B83" w:rsidP="00CC2B83">
      <w:pPr>
        <w:jc w:val="center"/>
        <w:rPr>
          <w:rFonts w:ascii="Book Antiqua" w:hAnsi="Book Antiqua"/>
        </w:rPr>
      </w:pPr>
      <w:r>
        <w:rPr>
          <w:rFonts w:ascii="Book Antiqua" w:hAnsi="Book Antiqua"/>
          <w:noProof/>
          <w:lang w:eastAsia="zh-CN"/>
        </w:rPr>
        <w:drawing>
          <wp:inline distT="0" distB="0" distL="0" distR="0" wp14:anchorId="1845A0F5" wp14:editId="423C93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1CD61E" w14:textId="77777777" w:rsidR="00CC2B83" w:rsidRDefault="00CC2B83" w:rsidP="00CC2B83">
      <w:pPr>
        <w:jc w:val="center"/>
        <w:rPr>
          <w:rFonts w:ascii="Book Antiqua" w:hAnsi="Book Antiqua"/>
        </w:rPr>
      </w:pPr>
    </w:p>
    <w:p w14:paraId="164F00C9" w14:textId="77777777" w:rsidR="00CC2B83" w:rsidRDefault="00CC2B83" w:rsidP="00CC2B83">
      <w:pPr>
        <w:jc w:val="center"/>
        <w:rPr>
          <w:rFonts w:ascii="Book Antiqua" w:hAnsi="Book Antiqua"/>
        </w:rPr>
      </w:pPr>
    </w:p>
    <w:p w14:paraId="6FDDE839" w14:textId="77777777" w:rsidR="00CC2B83" w:rsidRDefault="00CC2B83" w:rsidP="00CC2B83">
      <w:pPr>
        <w:jc w:val="center"/>
        <w:rPr>
          <w:rFonts w:ascii="Book Antiqua" w:hAnsi="Book Antiqua"/>
        </w:rPr>
      </w:pPr>
    </w:p>
    <w:p w14:paraId="2F22BE4E" w14:textId="77777777" w:rsidR="00CC2B83" w:rsidRDefault="00CC2B83" w:rsidP="00CC2B83">
      <w:pPr>
        <w:jc w:val="center"/>
        <w:rPr>
          <w:rFonts w:ascii="Book Antiqua" w:hAnsi="Book Antiqua"/>
        </w:rPr>
      </w:pPr>
    </w:p>
    <w:p w14:paraId="62EB89E1" w14:textId="77777777" w:rsidR="00CC2B83" w:rsidRDefault="00CC2B83" w:rsidP="00CC2B83">
      <w:pPr>
        <w:jc w:val="center"/>
        <w:rPr>
          <w:rFonts w:ascii="Book Antiqua" w:hAnsi="Book Antiqua"/>
        </w:rPr>
      </w:pPr>
    </w:p>
    <w:p w14:paraId="01156AE3" w14:textId="77777777" w:rsidR="00CC2B83" w:rsidRDefault="00CC2B83" w:rsidP="00CC2B83">
      <w:pPr>
        <w:jc w:val="center"/>
        <w:rPr>
          <w:rFonts w:ascii="Book Antiqua" w:hAnsi="Book Antiqua"/>
        </w:rPr>
      </w:pPr>
    </w:p>
    <w:p w14:paraId="2DB23A64" w14:textId="77777777" w:rsidR="00CC2B83" w:rsidRDefault="00CC2B83" w:rsidP="00CC2B83">
      <w:pPr>
        <w:jc w:val="center"/>
        <w:rPr>
          <w:rFonts w:ascii="Book Antiqua" w:hAnsi="Book Antiqua"/>
        </w:rPr>
      </w:pPr>
    </w:p>
    <w:p w14:paraId="2976E373" w14:textId="77777777" w:rsidR="00CC2B83" w:rsidRDefault="00CC2B83" w:rsidP="00CC2B83">
      <w:pPr>
        <w:jc w:val="center"/>
        <w:rPr>
          <w:rFonts w:ascii="Book Antiqua" w:hAnsi="Book Antiqua"/>
        </w:rPr>
      </w:pPr>
    </w:p>
    <w:p w14:paraId="51007EF1" w14:textId="77777777" w:rsidR="00CC2B83" w:rsidRDefault="00CC2B83" w:rsidP="00CC2B83">
      <w:pPr>
        <w:jc w:val="center"/>
        <w:rPr>
          <w:rFonts w:ascii="Book Antiqua" w:hAnsi="Book Antiqua"/>
        </w:rPr>
      </w:pPr>
    </w:p>
    <w:p w14:paraId="1B12C2AD" w14:textId="77777777" w:rsidR="00CC2B83" w:rsidRPr="00763D22" w:rsidRDefault="00CC2B83" w:rsidP="00CC2B83">
      <w:pPr>
        <w:jc w:val="right"/>
        <w:rPr>
          <w:rFonts w:ascii="Book Antiqua" w:hAnsi="Book Antiqua"/>
          <w:color w:val="000000" w:themeColor="text1"/>
        </w:rPr>
      </w:pPr>
    </w:p>
    <w:p w14:paraId="39C31DEC" w14:textId="77777777" w:rsidR="00CC2B83" w:rsidRPr="00763D22" w:rsidRDefault="00CC2B83" w:rsidP="00CC2B8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EA5DD34" w14:textId="77777777" w:rsidR="005D2787" w:rsidRPr="007C0B9B" w:rsidRDefault="005D2787" w:rsidP="007C0B9B">
      <w:pPr>
        <w:adjustRightInd w:val="0"/>
        <w:snapToGrid w:val="0"/>
        <w:spacing w:line="360" w:lineRule="auto"/>
        <w:jc w:val="both"/>
        <w:rPr>
          <w:rFonts w:ascii="Book Antiqua" w:hAnsi="Book Antiqua"/>
        </w:rPr>
      </w:pPr>
    </w:p>
    <w:sectPr w:rsidR="005D2787" w:rsidRPr="007C0B9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D059" w14:textId="77777777" w:rsidR="00381B26" w:rsidRDefault="00381B26" w:rsidP="00606DE7">
      <w:r>
        <w:separator/>
      </w:r>
    </w:p>
  </w:endnote>
  <w:endnote w:type="continuationSeparator" w:id="0">
    <w:p w14:paraId="597DE360" w14:textId="77777777" w:rsidR="00381B26" w:rsidRDefault="00381B26" w:rsidP="0060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04377"/>
      <w:docPartObj>
        <w:docPartGallery w:val="Page Numbers (Bottom of Page)"/>
        <w:docPartUnique/>
      </w:docPartObj>
    </w:sdtPr>
    <w:sdtEndPr/>
    <w:sdtContent>
      <w:sdt>
        <w:sdtPr>
          <w:id w:val="-1769616900"/>
          <w:docPartObj>
            <w:docPartGallery w:val="Page Numbers (Top of Page)"/>
            <w:docPartUnique/>
          </w:docPartObj>
        </w:sdtPr>
        <w:sdtEndPr/>
        <w:sdtContent>
          <w:p w14:paraId="639A842A" w14:textId="0CB8C0B7" w:rsidR="00AC12BD" w:rsidRDefault="00AC12B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4620">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4620">
              <w:rPr>
                <w:b/>
                <w:bCs/>
                <w:noProof/>
              </w:rPr>
              <w:t>27</w:t>
            </w:r>
            <w:r>
              <w:rPr>
                <w:b/>
                <w:bCs/>
                <w:sz w:val="24"/>
                <w:szCs w:val="24"/>
              </w:rPr>
              <w:fldChar w:fldCharType="end"/>
            </w:r>
          </w:p>
        </w:sdtContent>
      </w:sdt>
    </w:sdtContent>
  </w:sdt>
  <w:p w14:paraId="68C49481" w14:textId="77777777" w:rsidR="00AC12BD" w:rsidRDefault="00AC12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58FE0" w14:textId="77777777" w:rsidR="00381B26" w:rsidRDefault="00381B26" w:rsidP="00606DE7">
      <w:r>
        <w:separator/>
      </w:r>
    </w:p>
  </w:footnote>
  <w:footnote w:type="continuationSeparator" w:id="0">
    <w:p w14:paraId="5F34B208" w14:textId="77777777" w:rsidR="00381B26" w:rsidRDefault="00381B26" w:rsidP="00606D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78E441C9-75F2-44D7-B162-0DFEF9DF5A6D}"/>
    <w:docVar w:name="KY_MEDREF_VERSION" w:val="3"/>
  </w:docVars>
  <w:rsids>
    <w:rsidRoot w:val="00A77B3E"/>
    <w:rsid w:val="00037B20"/>
    <w:rsid w:val="0006076F"/>
    <w:rsid w:val="000634E0"/>
    <w:rsid w:val="000640D9"/>
    <w:rsid w:val="000720BD"/>
    <w:rsid w:val="00081A24"/>
    <w:rsid w:val="00093441"/>
    <w:rsid w:val="000A0F8E"/>
    <w:rsid w:val="000D6DBA"/>
    <w:rsid w:val="00101684"/>
    <w:rsid w:val="001028E4"/>
    <w:rsid w:val="00167E07"/>
    <w:rsid w:val="00185B00"/>
    <w:rsid w:val="00185F0D"/>
    <w:rsid w:val="001B0E48"/>
    <w:rsid w:val="001F7CB7"/>
    <w:rsid w:val="00232E2D"/>
    <w:rsid w:val="002969E1"/>
    <w:rsid w:val="00316DCF"/>
    <w:rsid w:val="00371B7F"/>
    <w:rsid w:val="00381B26"/>
    <w:rsid w:val="00390FCB"/>
    <w:rsid w:val="00392456"/>
    <w:rsid w:val="004235E9"/>
    <w:rsid w:val="00455B3E"/>
    <w:rsid w:val="004C443B"/>
    <w:rsid w:val="004D05EF"/>
    <w:rsid w:val="004E429E"/>
    <w:rsid w:val="004F17D3"/>
    <w:rsid w:val="00594FC7"/>
    <w:rsid w:val="005B3754"/>
    <w:rsid w:val="005D2787"/>
    <w:rsid w:val="00606DE7"/>
    <w:rsid w:val="0064153B"/>
    <w:rsid w:val="006D1563"/>
    <w:rsid w:val="006F1166"/>
    <w:rsid w:val="006F5A56"/>
    <w:rsid w:val="00742AAF"/>
    <w:rsid w:val="00745158"/>
    <w:rsid w:val="00765A4D"/>
    <w:rsid w:val="00777AEA"/>
    <w:rsid w:val="007A41FF"/>
    <w:rsid w:val="007B7BDD"/>
    <w:rsid w:val="007C0B9B"/>
    <w:rsid w:val="00821866"/>
    <w:rsid w:val="00835CD9"/>
    <w:rsid w:val="009272BB"/>
    <w:rsid w:val="00940395"/>
    <w:rsid w:val="00976FEF"/>
    <w:rsid w:val="009A0505"/>
    <w:rsid w:val="00A11C83"/>
    <w:rsid w:val="00A36288"/>
    <w:rsid w:val="00A536E4"/>
    <w:rsid w:val="00A6700C"/>
    <w:rsid w:val="00A77B3E"/>
    <w:rsid w:val="00AA3903"/>
    <w:rsid w:val="00AB2BBF"/>
    <w:rsid w:val="00AC12BD"/>
    <w:rsid w:val="00AE5503"/>
    <w:rsid w:val="00B21784"/>
    <w:rsid w:val="00B21C85"/>
    <w:rsid w:val="00B224F6"/>
    <w:rsid w:val="00B32F18"/>
    <w:rsid w:val="00B405F6"/>
    <w:rsid w:val="00B4594F"/>
    <w:rsid w:val="00B55DDD"/>
    <w:rsid w:val="00BE574A"/>
    <w:rsid w:val="00C140B3"/>
    <w:rsid w:val="00C47206"/>
    <w:rsid w:val="00C54620"/>
    <w:rsid w:val="00CA2A55"/>
    <w:rsid w:val="00CC2B83"/>
    <w:rsid w:val="00CE662E"/>
    <w:rsid w:val="00D03BAE"/>
    <w:rsid w:val="00D47DE0"/>
    <w:rsid w:val="00D77D2D"/>
    <w:rsid w:val="00DA2463"/>
    <w:rsid w:val="00DC5C10"/>
    <w:rsid w:val="00DF1878"/>
    <w:rsid w:val="00E4363D"/>
    <w:rsid w:val="00E44AC8"/>
    <w:rsid w:val="00E530D6"/>
    <w:rsid w:val="00E60464"/>
    <w:rsid w:val="00E61616"/>
    <w:rsid w:val="00E972F6"/>
    <w:rsid w:val="00EA2685"/>
    <w:rsid w:val="00EB2250"/>
    <w:rsid w:val="00ED4E5E"/>
    <w:rsid w:val="00F45B47"/>
    <w:rsid w:val="00F554DB"/>
    <w:rsid w:val="00FD4B2C"/>
    <w:rsid w:val="00FD7FA1"/>
    <w:rsid w:val="00FE3212"/>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4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4F17D3"/>
    <w:pPr>
      <w:widowControl w:val="0"/>
      <w:ind w:firstLineChars="200" w:firstLine="420"/>
      <w:jc w:val="both"/>
    </w:pPr>
    <w:rPr>
      <w:rFonts w:asciiTheme="minorHAnsi" w:hAnsiTheme="minorHAnsi" w:cstheme="minorBidi"/>
      <w:kern w:val="2"/>
      <w:sz w:val="21"/>
      <w:lang w:eastAsia="zh-CN"/>
    </w:rPr>
  </w:style>
  <w:style w:type="table" w:styleId="a4">
    <w:name w:val="Table Grid"/>
    <w:basedOn w:val="a1"/>
    <w:qFormat/>
    <w:rsid w:val="005D2787"/>
    <w:rPr>
      <w:rFonts w:ascii="Calibri" w:eastAsia="宋体"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Revision"/>
    <w:hidden/>
    <w:uiPriority w:val="99"/>
    <w:semiHidden/>
    <w:rsid w:val="00081A24"/>
    <w:rPr>
      <w:sz w:val="24"/>
      <w:szCs w:val="24"/>
    </w:rPr>
  </w:style>
  <w:style w:type="paragraph" w:styleId="a6">
    <w:name w:val="header"/>
    <w:basedOn w:val="a"/>
    <w:link w:val="Char"/>
    <w:unhideWhenUsed/>
    <w:rsid w:val="00606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6DE7"/>
    <w:rPr>
      <w:sz w:val="18"/>
      <w:szCs w:val="18"/>
    </w:rPr>
  </w:style>
  <w:style w:type="paragraph" w:styleId="a7">
    <w:name w:val="footer"/>
    <w:basedOn w:val="a"/>
    <w:link w:val="Char0"/>
    <w:uiPriority w:val="99"/>
    <w:unhideWhenUsed/>
    <w:rsid w:val="00606DE7"/>
    <w:pPr>
      <w:tabs>
        <w:tab w:val="center" w:pos="4153"/>
        <w:tab w:val="right" w:pos="8306"/>
      </w:tabs>
      <w:snapToGrid w:val="0"/>
    </w:pPr>
    <w:rPr>
      <w:sz w:val="18"/>
      <w:szCs w:val="18"/>
    </w:rPr>
  </w:style>
  <w:style w:type="character" w:customStyle="1" w:styleId="Char0">
    <w:name w:val="页脚 Char"/>
    <w:basedOn w:val="a0"/>
    <w:link w:val="a7"/>
    <w:uiPriority w:val="99"/>
    <w:rsid w:val="00606DE7"/>
    <w:rPr>
      <w:sz w:val="18"/>
      <w:szCs w:val="18"/>
    </w:rPr>
  </w:style>
  <w:style w:type="paragraph" w:styleId="a8">
    <w:name w:val="Balloon Text"/>
    <w:basedOn w:val="a"/>
    <w:link w:val="Char1"/>
    <w:rsid w:val="00B32F18"/>
    <w:rPr>
      <w:sz w:val="18"/>
      <w:szCs w:val="18"/>
    </w:rPr>
  </w:style>
  <w:style w:type="character" w:customStyle="1" w:styleId="Char1">
    <w:name w:val="批注框文本 Char"/>
    <w:basedOn w:val="a0"/>
    <w:link w:val="a8"/>
    <w:rsid w:val="00B32F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4F17D3"/>
    <w:pPr>
      <w:widowControl w:val="0"/>
      <w:ind w:firstLineChars="200" w:firstLine="420"/>
      <w:jc w:val="both"/>
    </w:pPr>
    <w:rPr>
      <w:rFonts w:asciiTheme="minorHAnsi" w:hAnsiTheme="minorHAnsi" w:cstheme="minorBidi"/>
      <w:kern w:val="2"/>
      <w:sz w:val="21"/>
      <w:lang w:eastAsia="zh-CN"/>
    </w:rPr>
  </w:style>
  <w:style w:type="table" w:styleId="a4">
    <w:name w:val="Table Grid"/>
    <w:basedOn w:val="a1"/>
    <w:qFormat/>
    <w:rsid w:val="005D2787"/>
    <w:rPr>
      <w:rFonts w:ascii="Calibri" w:eastAsia="宋体"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Revision"/>
    <w:hidden/>
    <w:uiPriority w:val="99"/>
    <w:semiHidden/>
    <w:rsid w:val="00081A24"/>
    <w:rPr>
      <w:sz w:val="24"/>
      <w:szCs w:val="24"/>
    </w:rPr>
  </w:style>
  <w:style w:type="paragraph" w:styleId="a6">
    <w:name w:val="header"/>
    <w:basedOn w:val="a"/>
    <w:link w:val="Char"/>
    <w:unhideWhenUsed/>
    <w:rsid w:val="00606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6DE7"/>
    <w:rPr>
      <w:sz w:val="18"/>
      <w:szCs w:val="18"/>
    </w:rPr>
  </w:style>
  <w:style w:type="paragraph" w:styleId="a7">
    <w:name w:val="footer"/>
    <w:basedOn w:val="a"/>
    <w:link w:val="Char0"/>
    <w:uiPriority w:val="99"/>
    <w:unhideWhenUsed/>
    <w:rsid w:val="00606DE7"/>
    <w:pPr>
      <w:tabs>
        <w:tab w:val="center" w:pos="4153"/>
        <w:tab w:val="right" w:pos="8306"/>
      </w:tabs>
      <w:snapToGrid w:val="0"/>
    </w:pPr>
    <w:rPr>
      <w:sz w:val="18"/>
      <w:szCs w:val="18"/>
    </w:rPr>
  </w:style>
  <w:style w:type="character" w:customStyle="1" w:styleId="Char0">
    <w:name w:val="页脚 Char"/>
    <w:basedOn w:val="a0"/>
    <w:link w:val="a7"/>
    <w:uiPriority w:val="99"/>
    <w:rsid w:val="00606DE7"/>
    <w:rPr>
      <w:sz w:val="18"/>
      <w:szCs w:val="18"/>
    </w:rPr>
  </w:style>
  <w:style w:type="paragraph" w:styleId="a8">
    <w:name w:val="Balloon Text"/>
    <w:basedOn w:val="a"/>
    <w:link w:val="Char1"/>
    <w:rsid w:val="00B32F18"/>
    <w:rPr>
      <w:sz w:val="18"/>
      <w:szCs w:val="18"/>
    </w:rPr>
  </w:style>
  <w:style w:type="character" w:customStyle="1" w:styleId="Char1">
    <w:name w:val="批注框文本 Char"/>
    <w:basedOn w:val="a0"/>
    <w:link w:val="a8"/>
    <w:rsid w:val="00B32F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9743">
      <w:bodyDiv w:val="1"/>
      <w:marLeft w:val="0"/>
      <w:marRight w:val="0"/>
      <w:marTop w:val="0"/>
      <w:marBottom w:val="0"/>
      <w:divBdr>
        <w:top w:val="none" w:sz="0" w:space="0" w:color="auto"/>
        <w:left w:val="none" w:sz="0" w:space="0" w:color="auto"/>
        <w:bottom w:val="none" w:sz="0" w:space="0" w:color="auto"/>
        <w:right w:val="none" w:sz="0" w:space="0" w:color="auto"/>
      </w:divBdr>
    </w:div>
    <w:div w:id="1722632786">
      <w:bodyDiv w:val="1"/>
      <w:marLeft w:val="0"/>
      <w:marRight w:val="0"/>
      <w:marTop w:val="0"/>
      <w:marBottom w:val="0"/>
      <w:divBdr>
        <w:top w:val="none" w:sz="0" w:space="0" w:color="auto"/>
        <w:left w:val="none" w:sz="0" w:space="0" w:color="auto"/>
        <w:bottom w:val="none" w:sz="0" w:space="0" w:color="auto"/>
        <w:right w:val="none" w:sz="0" w:space="0" w:color="auto"/>
      </w:divBdr>
      <w:divsChild>
        <w:div w:id="992835424">
          <w:marLeft w:val="0"/>
          <w:marRight w:val="0"/>
          <w:marTop w:val="0"/>
          <w:marBottom w:val="0"/>
          <w:divBdr>
            <w:top w:val="none" w:sz="0" w:space="0" w:color="auto"/>
            <w:left w:val="none" w:sz="0" w:space="0" w:color="auto"/>
            <w:bottom w:val="none" w:sz="0" w:space="0" w:color="auto"/>
            <w:right w:val="none" w:sz="0" w:space="0" w:color="auto"/>
          </w:divBdr>
        </w:div>
        <w:div w:id="928394660">
          <w:marLeft w:val="0"/>
          <w:marRight w:val="0"/>
          <w:marTop w:val="0"/>
          <w:marBottom w:val="0"/>
          <w:divBdr>
            <w:top w:val="none" w:sz="0" w:space="0" w:color="auto"/>
            <w:left w:val="none" w:sz="0" w:space="0" w:color="auto"/>
            <w:bottom w:val="none" w:sz="0" w:space="0" w:color="auto"/>
            <w:right w:val="none" w:sz="0" w:space="0" w:color="auto"/>
          </w:divBdr>
        </w:div>
        <w:div w:id="400612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66F5-679D-4D39-86CE-8F3862E0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HP</cp:lastModifiedBy>
  <cp:revision>24</cp:revision>
  <dcterms:created xsi:type="dcterms:W3CDTF">2022-11-28T06:16:00Z</dcterms:created>
  <dcterms:modified xsi:type="dcterms:W3CDTF">2022-12-26T15:48:00Z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39ae6014650dedc11f426fe5e79297c07c932f3e47b06c04773f24b780eff401</vt:lpwstr>
  </property>
</Properties>
</file>