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7413" w14:textId="56EA164E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Name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Journal: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i/>
          <w:color w:val="000000"/>
        </w:rPr>
        <w:t>World</w:t>
      </w:r>
      <w:r w:rsidR="004F6EA9" w:rsidRPr="001029F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i/>
          <w:color w:val="000000"/>
        </w:rPr>
        <w:t>Journal</w:t>
      </w:r>
      <w:r w:rsidR="004F6EA9" w:rsidRPr="001029F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i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B8F0413" w14:textId="47230A4E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Manuscript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NO: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80793</w:t>
      </w:r>
    </w:p>
    <w:p w14:paraId="789C1A73" w14:textId="72D260D8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Manuscript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Type: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REVIEW</w:t>
      </w:r>
    </w:p>
    <w:p w14:paraId="17AFADE8" w14:textId="77777777" w:rsidR="00A77B3E" w:rsidRPr="001029FD" w:rsidRDefault="00A77B3E" w:rsidP="0084785E">
      <w:pPr>
        <w:spacing w:line="360" w:lineRule="auto"/>
        <w:jc w:val="both"/>
      </w:pPr>
    </w:p>
    <w:p w14:paraId="49AF67FC" w14:textId="4552F3B3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Decade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optimizing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direct-acting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antiviral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drugs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changing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profile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C</w:t>
      </w:r>
    </w:p>
    <w:p w14:paraId="69350C0E" w14:textId="77777777" w:rsidR="00A77B3E" w:rsidRPr="001029FD" w:rsidRDefault="00A77B3E" w:rsidP="0084785E">
      <w:pPr>
        <w:spacing w:line="360" w:lineRule="auto"/>
        <w:jc w:val="both"/>
      </w:pPr>
    </w:p>
    <w:p w14:paraId="331C694D" w14:textId="76E62D33" w:rsidR="00A77B3E" w:rsidRPr="001029FD" w:rsidRDefault="00711AF5" w:rsidP="0084785E">
      <w:pPr>
        <w:spacing w:line="360" w:lineRule="auto"/>
        <w:jc w:val="both"/>
      </w:pPr>
      <w:proofErr w:type="spellStart"/>
      <w:r w:rsidRPr="001029FD">
        <w:rPr>
          <w:rFonts w:ascii="Book Antiqua" w:eastAsia="Book Antiqua" w:hAnsi="Book Antiqua" w:cs="Book Antiqua"/>
          <w:color w:val="000000"/>
        </w:rPr>
        <w:t>Brzdęk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6EA9" w:rsidRPr="001029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Decade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treatment</w:t>
      </w:r>
    </w:p>
    <w:p w14:paraId="64007E3F" w14:textId="77777777" w:rsidR="00A77B3E" w:rsidRPr="001029FD" w:rsidRDefault="00A77B3E" w:rsidP="0084785E">
      <w:pPr>
        <w:spacing w:line="360" w:lineRule="auto"/>
        <w:jc w:val="both"/>
      </w:pPr>
    </w:p>
    <w:p w14:paraId="01F81779" w14:textId="4D1D53B0" w:rsidR="00A77B3E" w:rsidRPr="001029FD" w:rsidRDefault="00865C50" w:rsidP="0084785E">
      <w:pPr>
        <w:spacing w:line="360" w:lineRule="auto"/>
        <w:jc w:val="both"/>
      </w:pPr>
      <w:proofErr w:type="spellStart"/>
      <w:r w:rsidRPr="001029FD">
        <w:rPr>
          <w:rFonts w:ascii="Book Antiqua" w:eastAsia="Book Antiqua" w:hAnsi="Book Antiqua" w:cs="Book Antiqua"/>
          <w:color w:val="000000"/>
        </w:rPr>
        <w:t>Michał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Brzdęk</w:t>
      </w:r>
      <w:proofErr w:type="spellEnd"/>
      <w:r w:rsidRPr="001029FD">
        <w:rPr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Dorota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Zarębska-Michaluk</w:t>
      </w:r>
      <w:proofErr w:type="spellEnd"/>
      <w:r w:rsidRPr="001029FD">
        <w:rPr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Federica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Pr="001029FD">
        <w:rPr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Marta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Cilla,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Krystyna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Dobrowolska</w:t>
      </w:r>
      <w:proofErr w:type="spellEnd"/>
      <w:r w:rsidRPr="001029FD">
        <w:rPr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Robert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Flisiak</w:t>
      </w:r>
      <w:proofErr w:type="spellEnd"/>
    </w:p>
    <w:p w14:paraId="25A9359B" w14:textId="77777777" w:rsidR="00A77B3E" w:rsidRPr="001029FD" w:rsidRDefault="00A77B3E" w:rsidP="0084785E">
      <w:pPr>
        <w:spacing w:line="360" w:lineRule="auto"/>
        <w:jc w:val="both"/>
      </w:pPr>
    </w:p>
    <w:p w14:paraId="677A3B13" w14:textId="502D6688" w:rsidR="00A77B3E" w:rsidRPr="001029FD" w:rsidRDefault="00865C50" w:rsidP="0084785E">
      <w:pPr>
        <w:spacing w:line="360" w:lineRule="auto"/>
        <w:jc w:val="both"/>
      </w:pPr>
      <w:proofErr w:type="spellStart"/>
      <w:r w:rsidRPr="001029FD">
        <w:rPr>
          <w:rFonts w:ascii="Book Antiqua" w:eastAsia="Book Antiqua" w:hAnsi="Book Antiqua" w:cs="Book Antiqua"/>
          <w:b/>
          <w:bCs/>
          <w:color w:val="000000"/>
        </w:rPr>
        <w:t>Michał</w:t>
      </w:r>
      <w:proofErr w:type="spellEnd"/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b/>
          <w:bCs/>
          <w:color w:val="000000"/>
        </w:rPr>
        <w:t>Brzdęk</w:t>
      </w:r>
      <w:proofErr w:type="spellEnd"/>
      <w:r w:rsidRPr="001029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b/>
          <w:bCs/>
          <w:color w:val="000000"/>
        </w:rPr>
        <w:t>Krystyna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26A8B" w:rsidRPr="001029FD">
        <w:rPr>
          <w:rFonts w:ascii="Book Antiqua" w:eastAsia="Book Antiqua" w:hAnsi="Book Antiqua" w:cs="Book Antiqua"/>
          <w:b/>
          <w:bCs/>
          <w:color w:val="000000"/>
        </w:rPr>
        <w:t>Dobrowolska</w:t>
      </w:r>
      <w:proofErr w:type="spellEnd"/>
      <w:r w:rsidR="00026A8B" w:rsidRPr="001029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Collegium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Medicum</w:t>
      </w:r>
      <w:proofErr w:type="spellEnd"/>
      <w:r w:rsidRPr="001029FD">
        <w:rPr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Jan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Kochanowski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University,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Kielce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25-516,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Poland</w:t>
      </w:r>
    </w:p>
    <w:p w14:paraId="5739287C" w14:textId="77777777" w:rsidR="00A77B3E" w:rsidRPr="001029FD" w:rsidRDefault="00A77B3E" w:rsidP="0084785E">
      <w:pPr>
        <w:spacing w:line="360" w:lineRule="auto"/>
        <w:jc w:val="both"/>
      </w:pPr>
    </w:p>
    <w:p w14:paraId="46D2FC0E" w14:textId="74B21E53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Dorota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b/>
          <w:bCs/>
          <w:color w:val="000000"/>
        </w:rPr>
        <w:t>Zarębska-Michaluk</w:t>
      </w:r>
      <w:proofErr w:type="spellEnd"/>
      <w:r w:rsidRPr="001029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Department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Jan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Kochanowski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University,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Kielce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25-516,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Poland</w:t>
      </w:r>
    </w:p>
    <w:p w14:paraId="271C8B37" w14:textId="77777777" w:rsidR="00A77B3E" w:rsidRPr="001029FD" w:rsidRDefault="00A77B3E" w:rsidP="0084785E">
      <w:pPr>
        <w:spacing w:line="360" w:lineRule="auto"/>
        <w:jc w:val="both"/>
      </w:pPr>
    </w:p>
    <w:p w14:paraId="0D158690" w14:textId="424DD76E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Federica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b/>
          <w:bCs/>
          <w:color w:val="000000"/>
        </w:rPr>
        <w:t>Invernizzi</w:t>
      </w:r>
      <w:proofErr w:type="spellEnd"/>
      <w:r w:rsidRPr="001029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b/>
          <w:bCs/>
          <w:color w:val="000000"/>
        </w:rPr>
        <w:t>Marta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b/>
          <w:bCs/>
          <w:color w:val="000000"/>
        </w:rPr>
        <w:t>Cilla,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Center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Division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Internal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29FD">
        <w:rPr>
          <w:rFonts w:ascii="Book Antiqua" w:eastAsia="Book Antiqua" w:hAnsi="Book Antiqua" w:cs="Book Antiqua"/>
          <w:color w:val="000000"/>
        </w:rPr>
        <w:t>Medicine</w:t>
      </w:r>
      <w:proofErr w:type="gram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Hepatology,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IRCCS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Ospedale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Raffaele,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Milan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20-132,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Italy</w:t>
      </w:r>
    </w:p>
    <w:p w14:paraId="4B2816B8" w14:textId="77777777" w:rsidR="00A77B3E" w:rsidRPr="001029FD" w:rsidRDefault="00A77B3E" w:rsidP="0084785E">
      <w:pPr>
        <w:spacing w:line="360" w:lineRule="auto"/>
        <w:jc w:val="both"/>
      </w:pPr>
    </w:p>
    <w:p w14:paraId="5BFC813C" w14:textId="3FE844AE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Robert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b/>
          <w:bCs/>
          <w:color w:val="000000"/>
        </w:rPr>
        <w:t>Flisiak</w:t>
      </w:r>
      <w:proofErr w:type="spellEnd"/>
      <w:r w:rsidRPr="001029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Department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Hepatology,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Medical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University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Białystok</w:t>
      </w:r>
      <w:proofErr w:type="spellEnd"/>
      <w:r w:rsidRPr="001029FD">
        <w:rPr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Białystok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15-540,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Poland</w:t>
      </w:r>
    </w:p>
    <w:p w14:paraId="00F6C653" w14:textId="77777777" w:rsidR="00A77B3E" w:rsidRPr="001029FD" w:rsidRDefault="00A77B3E" w:rsidP="0084785E">
      <w:pPr>
        <w:spacing w:line="360" w:lineRule="auto"/>
        <w:jc w:val="both"/>
      </w:pPr>
    </w:p>
    <w:p w14:paraId="5BE48CAF" w14:textId="5522BC80" w:rsidR="00A77B3E" w:rsidRPr="001029FD" w:rsidRDefault="00865C50" w:rsidP="0084785E">
      <w:pPr>
        <w:spacing w:line="360" w:lineRule="auto"/>
        <w:jc w:val="both"/>
        <w:rPr>
          <w:rFonts w:ascii="Book Antiqua" w:hAnsi="Book Antiqua"/>
        </w:rPr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1E169A" w:rsidRPr="001029FD">
        <w:rPr>
          <w:rFonts w:ascii="Book Antiqua" w:eastAsia="Book Antiqua" w:hAnsi="Book Antiqua" w:cs="Book Antiqua"/>
          <w:color w:val="000000"/>
        </w:rPr>
        <w:t>Brzdęk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designed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manuscript,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carried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literature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review,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drafted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manuscript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7A2D9A" w:rsidRPr="001029FD">
        <w:rPr>
          <w:rFonts w:ascii="Book Antiqua" w:eastAsia="Book Antiqua" w:hAnsi="Book Antiqua" w:cs="Book Antiqua"/>
          <w:color w:val="000000"/>
        </w:rPr>
        <w:t xml:space="preserve">and </w:t>
      </w:r>
      <w:r w:rsidRPr="001029FD">
        <w:rPr>
          <w:rFonts w:ascii="Book Antiqua" w:eastAsia="Book Antiqua" w:hAnsi="Book Antiqua" w:cs="Book Antiqua"/>
          <w:color w:val="000000"/>
        </w:rPr>
        <w:t>prepared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tables</w:t>
      </w:r>
      <w:r w:rsidR="00026A8B" w:rsidRPr="001029FD">
        <w:rPr>
          <w:rFonts w:ascii="Book Antiqua" w:eastAsia="Book Antiqua" w:hAnsi="Book Antiqua" w:cs="Book Antiqua"/>
          <w:color w:val="000000"/>
        </w:rPr>
        <w:t>;</w:t>
      </w:r>
      <w:r w:rsidR="004F6EA9" w:rsidRPr="001029FD">
        <w:rPr>
          <w:rFonts w:ascii="Book Antiqua" w:hAnsi="Book Antiqua"/>
          <w:lang w:eastAsia="zh-CN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Zarębska-Michaluk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designed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manuscript</w:t>
      </w:r>
      <w:r w:rsidR="007A2D9A" w:rsidRPr="001029FD">
        <w:rPr>
          <w:rFonts w:ascii="Book Antiqua" w:eastAsia="Book Antiqua" w:hAnsi="Book Antiqua" w:cs="Book Antiqua"/>
          <w:color w:val="000000"/>
        </w:rPr>
        <w:t xml:space="preserve"> 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carried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literature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review</w:t>
      </w:r>
      <w:r w:rsidR="00026A8B" w:rsidRPr="001029FD">
        <w:rPr>
          <w:rFonts w:ascii="Book Antiqua" w:hAnsi="Book Antiqua"/>
          <w:lang w:eastAsia="zh-CN"/>
        </w:rPr>
        <w:t>;</w:t>
      </w:r>
      <w:r w:rsidR="004F6EA9" w:rsidRPr="001029FD">
        <w:rPr>
          <w:rFonts w:ascii="Book Antiqua" w:hAnsi="Book Antiqua"/>
          <w:lang w:eastAsia="zh-CN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Dobrowolska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K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approved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final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version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manuscript</w:t>
      </w:r>
      <w:r w:rsidR="007A2D9A" w:rsidRPr="001029FD">
        <w:rPr>
          <w:rFonts w:ascii="Book Antiqua" w:eastAsia="Book Antiqua" w:hAnsi="Book Antiqua" w:cs="Book Antiqua"/>
          <w:color w:val="000000"/>
        </w:rPr>
        <w:t xml:space="preserve"> 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prepared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manuscript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submission</w:t>
      </w:r>
      <w:r w:rsidR="00026A8B" w:rsidRPr="001029FD">
        <w:rPr>
          <w:rFonts w:ascii="Book Antiqua" w:eastAsia="Book Antiqua" w:hAnsi="Book Antiqua" w:cs="Book Antiqua"/>
          <w:color w:val="000000"/>
        </w:rPr>
        <w:t>;</w:t>
      </w:r>
      <w:r w:rsidR="004F6EA9" w:rsidRPr="001029FD">
        <w:rPr>
          <w:rFonts w:ascii="Book Antiqua" w:hAnsi="Book Antiqua"/>
          <w:lang w:eastAsia="zh-CN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Flisiak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lastRenderedPageBreak/>
        <w:t>designed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manuscript</w:t>
      </w:r>
      <w:r w:rsidR="00026A8B" w:rsidRPr="001029FD">
        <w:rPr>
          <w:rFonts w:ascii="Book Antiqua" w:eastAsia="Book Antiqua" w:hAnsi="Book Antiqua" w:cs="Book Antiqua"/>
          <w:color w:val="000000"/>
        </w:rPr>
        <w:t>;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26A8B" w:rsidRPr="001029FD">
        <w:rPr>
          <w:rFonts w:ascii="Book Antiqua" w:eastAsia="Book Antiqua" w:hAnsi="Book Antiqua" w:cs="Book Antiqua"/>
          <w:color w:val="000000"/>
        </w:rPr>
        <w:t>Zarębska-Michaluk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D,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26A8B" w:rsidRPr="001029FD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F,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Cilla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26A8B" w:rsidRPr="001029FD">
        <w:rPr>
          <w:rFonts w:ascii="Book Antiqua" w:eastAsia="Book Antiqua" w:hAnsi="Book Antiqua" w:cs="Book Antiqua"/>
          <w:color w:val="000000"/>
        </w:rPr>
        <w:t>Flisiak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edited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approved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final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version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26A8B" w:rsidRPr="001029FD">
        <w:rPr>
          <w:rFonts w:ascii="Book Antiqua" w:eastAsia="Book Antiqua" w:hAnsi="Book Antiqua" w:cs="Book Antiqua"/>
          <w:color w:val="000000"/>
        </w:rPr>
        <w:t>manuscript.</w:t>
      </w:r>
    </w:p>
    <w:p w14:paraId="69F600F2" w14:textId="77777777" w:rsidR="00A77B3E" w:rsidRPr="001029FD" w:rsidRDefault="00A77B3E" w:rsidP="0084785E">
      <w:pPr>
        <w:spacing w:line="360" w:lineRule="auto"/>
        <w:jc w:val="both"/>
      </w:pPr>
    </w:p>
    <w:p w14:paraId="1D8F28EB" w14:textId="16E8D4B0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Dorota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b/>
          <w:bCs/>
          <w:color w:val="000000"/>
        </w:rPr>
        <w:t>Zarębska-Michaluk</w:t>
      </w:r>
      <w:proofErr w:type="spellEnd"/>
      <w:r w:rsidRPr="001029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Department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Jan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Kochanowski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University,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Radiowa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7,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Kielce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25-516,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Poland.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dorota1010@tlen.pl</w:t>
      </w:r>
    </w:p>
    <w:p w14:paraId="18219385" w14:textId="77777777" w:rsidR="00A77B3E" w:rsidRPr="001029FD" w:rsidRDefault="00A77B3E" w:rsidP="0084785E">
      <w:pPr>
        <w:spacing w:line="360" w:lineRule="auto"/>
        <w:jc w:val="both"/>
      </w:pPr>
    </w:p>
    <w:p w14:paraId="5B25081E" w14:textId="72D7D083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October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12,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2022</w:t>
      </w:r>
    </w:p>
    <w:p w14:paraId="36B54695" w14:textId="5B272846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November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22,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2022</w:t>
      </w:r>
    </w:p>
    <w:p w14:paraId="63619A3E" w14:textId="6A8A8A70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5F48" w:rsidRPr="001029FD">
        <w:rPr>
          <w:rFonts w:ascii="Book Antiqua" w:eastAsia="Book Antiqua" w:hAnsi="Book Antiqua" w:cs="Book Antiqua"/>
          <w:color w:val="000000"/>
        </w:rPr>
        <w:t>January 9, 2023</w:t>
      </w:r>
    </w:p>
    <w:p w14:paraId="32672DBE" w14:textId="4E627919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52C3" w:rsidRPr="001029FD">
        <w:rPr>
          <w:rFonts w:ascii="Book Antiqua" w:eastAsia="Book Antiqua" w:hAnsi="Book Antiqua" w:cs="Book Antiqua"/>
          <w:color w:val="000000"/>
          <w:lang w:val="en-GB"/>
        </w:rPr>
        <w:t>February 14, 2023</w:t>
      </w:r>
    </w:p>
    <w:p w14:paraId="37D70EDC" w14:textId="77777777" w:rsidR="00A77B3E" w:rsidRPr="001029FD" w:rsidRDefault="00A77B3E" w:rsidP="0084785E">
      <w:pPr>
        <w:spacing w:line="360" w:lineRule="auto"/>
        <w:jc w:val="both"/>
      </w:pPr>
    </w:p>
    <w:p w14:paraId="6A7BD2C7" w14:textId="77777777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Abstract</w:t>
      </w:r>
    </w:p>
    <w:p w14:paraId="2B5212AE" w14:textId="7A430A12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t>Chronic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hepatitis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(HCV)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remains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major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health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problem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affecting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approximately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58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million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people</w:t>
      </w:r>
      <w:r w:rsidR="00090043" w:rsidRPr="001029FD">
        <w:rPr>
          <w:rFonts w:ascii="Book Antiqua" w:eastAsia="Book Antiqua" w:hAnsi="Book Antiqua" w:cs="Book Antiqua"/>
          <w:color w:val="000000"/>
        </w:rPr>
        <w:t xml:space="preserve"> worldwide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interferon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(IFN)-based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particularly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90043" w:rsidRPr="001029FD">
        <w:rPr>
          <w:rFonts w:ascii="Book Antiqua" w:eastAsia="Book Antiqua" w:hAnsi="Book Antiqua" w:cs="Book Antiqua"/>
          <w:color w:val="000000"/>
        </w:rPr>
        <w:t xml:space="preserve">infected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genotypes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4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achieved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low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implementation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direct-acting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antivirals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changed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landscape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increase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effectiveness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provided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hope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eliminating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significant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public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threat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2030.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following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years,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7A2D9A"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observed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improvement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7A2D9A" w:rsidRPr="001029FD">
        <w:rPr>
          <w:rFonts w:ascii="Book Antiqua" w:eastAsia="Book Antiqua" w:hAnsi="Book Antiqua" w:cs="Book Antiqua"/>
          <w:color w:val="000000"/>
        </w:rPr>
        <w:t>genotype</w:t>
      </w:r>
      <w:r w:rsidRPr="001029FD">
        <w:rPr>
          <w:rFonts w:ascii="Book Antiqua" w:eastAsia="Book Antiqua" w:hAnsi="Book Antiqua" w:cs="Book Antiqua"/>
          <w:color w:val="000000"/>
        </w:rPr>
        <w:t>-specific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7A2D9A"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recent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stage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revolution.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optimization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accompanied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changes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profile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beginning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time.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younger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successive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periods,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burdened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comorbidities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comedications,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frequently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treatment-naïve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advanced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Before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specific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subpopulations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such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HCV/</w:t>
      </w:r>
      <w:r w:rsidR="007A2D9A" w:rsidRPr="001029FD">
        <w:rPr>
          <w:rFonts w:ascii="Book Antiqua" w:hAnsi="Book Antiqua"/>
        </w:rPr>
        <w:t>HIV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coinfection,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history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previous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impairment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chances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virologic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response.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Currently,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should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longer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considered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difficult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Despite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effectiveness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90043" w:rsidRPr="001029FD">
        <w:rPr>
          <w:rFonts w:ascii="Book Antiqua" w:eastAsia="Book Antiqua" w:hAnsi="Book Antiqua" w:cs="Book Antiqua"/>
          <w:color w:val="000000"/>
        </w:rPr>
        <w:t xml:space="preserve">HCV </w:t>
      </w:r>
      <w:r w:rsidRPr="001029FD">
        <w:rPr>
          <w:rFonts w:ascii="Book Antiqua" w:eastAsia="Book Antiqua" w:hAnsi="Book Antiqua" w:cs="Book Antiqua"/>
          <w:color w:val="000000"/>
        </w:rPr>
        <w:t>therapy,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lastRenderedPageBreak/>
        <w:t>small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percentage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failure.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However,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retreated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rescue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regimens.</w:t>
      </w:r>
    </w:p>
    <w:p w14:paraId="06A376C1" w14:textId="77777777" w:rsidR="00A77B3E" w:rsidRPr="001029FD" w:rsidRDefault="00A77B3E" w:rsidP="0084785E">
      <w:pPr>
        <w:spacing w:line="360" w:lineRule="auto"/>
        <w:jc w:val="both"/>
      </w:pPr>
    </w:p>
    <w:p w14:paraId="480F7FE9" w14:textId="352DDE7F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Hepatitis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virus;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Interferon;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Direct-acting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antiviral;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Epidemiology</w:t>
      </w:r>
      <w:r w:rsidR="000A2CCD" w:rsidRPr="001029FD">
        <w:rPr>
          <w:rFonts w:ascii="Book Antiqua" w:eastAsia="Book Antiqua" w:hAnsi="Book Antiqua" w:cs="Book Antiqua"/>
          <w:color w:val="000000"/>
        </w:rPr>
        <w:t>;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931645" w:rsidRPr="001029FD">
        <w:rPr>
          <w:rFonts w:ascii="Book Antiqua" w:eastAsia="Book Antiqua" w:hAnsi="Book Antiqua" w:cs="Book Antiqua"/>
          <w:color w:val="000000"/>
        </w:rPr>
        <w:t>Chronic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931645" w:rsidRPr="001029FD">
        <w:rPr>
          <w:rFonts w:ascii="Book Antiqua" w:eastAsia="Book Antiqua" w:hAnsi="Book Antiqua" w:cs="Book Antiqua"/>
          <w:color w:val="000000"/>
        </w:rPr>
        <w:t>hepatitis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931645" w:rsidRPr="001029FD">
        <w:rPr>
          <w:rFonts w:ascii="Book Antiqua" w:eastAsia="Book Antiqua" w:hAnsi="Book Antiqua" w:cs="Book Antiqua"/>
          <w:color w:val="000000"/>
        </w:rPr>
        <w:t>C</w:t>
      </w:r>
    </w:p>
    <w:p w14:paraId="15AAF785" w14:textId="77777777" w:rsidR="00A77B3E" w:rsidRPr="001029FD" w:rsidRDefault="00A77B3E" w:rsidP="0084785E">
      <w:pPr>
        <w:spacing w:line="360" w:lineRule="auto"/>
        <w:jc w:val="both"/>
      </w:pPr>
    </w:p>
    <w:p w14:paraId="11BF2880" w14:textId="77777777" w:rsidR="003F026C" w:rsidRPr="001029FD" w:rsidRDefault="003F026C" w:rsidP="003F026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1029FD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1029FD">
        <w:rPr>
          <w:rFonts w:ascii="Book Antiqua" w:eastAsia="Book Antiqua" w:hAnsi="Book Antiqua" w:cs="Book Antiqua"/>
          <w:b/>
          <w:color w:val="000000"/>
        </w:rPr>
        <w:t>The</w:t>
      </w:r>
      <w:r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1029FD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1029FD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1029FD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6D817F1A" w14:textId="77777777" w:rsidR="003F026C" w:rsidRPr="001029FD" w:rsidRDefault="003F026C" w:rsidP="003F026C">
      <w:pPr>
        <w:spacing w:line="360" w:lineRule="auto"/>
        <w:jc w:val="both"/>
        <w:rPr>
          <w:lang w:eastAsia="zh-CN"/>
        </w:rPr>
      </w:pPr>
    </w:p>
    <w:p w14:paraId="204D451B" w14:textId="77777777" w:rsidR="001029FD" w:rsidRPr="001029FD" w:rsidRDefault="003F026C" w:rsidP="003F026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1029FD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1029F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proofErr w:type="spellStart"/>
      <w:r w:rsidR="00865C50" w:rsidRPr="001029FD">
        <w:rPr>
          <w:rFonts w:ascii="Book Antiqua" w:eastAsia="Book Antiqua" w:hAnsi="Book Antiqua" w:cs="Book Antiqua"/>
          <w:color w:val="000000"/>
        </w:rPr>
        <w:t>Brzdęk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M,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5C50" w:rsidRPr="001029FD">
        <w:rPr>
          <w:rFonts w:ascii="Book Antiqua" w:eastAsia="Book Antiqua" w:hAnsi="Book Antiqua" w:cs="Book Antiqua"/>
          <w:color w:val="000000"/>
        </w:rPr>
        <w:t>Zarębska-Michaluk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D,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5C50" w:rsidRPr="001029FD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F,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Cilla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M,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5C50" w:rsidRPr="001029FD">
        <w:rPr>
          <w:rFonts w:ascii="Book Antiqua" w:eastAsia="Book Antiqua" w:hAnsi="Book Antiqua" w:cs="Book Antiqua"/>
          <w:color w:val="000000"/>
        </w:rPr>
        <w:t>Dobrowolska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K,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5C50" w:rsidRPr="001029FD">
        <w:rPr>
          <w:rFonts w:ascii="Book Antiqua" w:eastAsia="Book Antiqua" w:hAnsi="Book Antiqua" w:cs="Book Antiqua"/>
          <w:color w:val="000000"/>
        </w:rPr>
        <w:t>Flisiak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R.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Decade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optimizing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direct-acting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drugs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changing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profile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chronic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hepatitis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C.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F6EA9" w:rsidRPr="001029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4F6EA9" w:rsidRPr="001029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</w:rPr>
        <w:t>2023;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3952C3" w:rsidRPr="001029FD">
        <w:rPr>
          <w:rFonts w:ascii="Book Antiqua" w:eastAsia="Book Antiqua" w:hAnsi="Book Antiqua" w:cs="Book Antiqua"/>
          <w:color w:val="000000"/>
        </w:rPr>
        <w:t>29(6):</w:t>
      </w:r>
      <w:r w:rsidR="001029FD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1029FD" w:rsidRPr="001029FD">
        <w:rPr>
          <w:rFonts w:ascii="Book Antiqua" w:eastAsia="Book Antiqua" w:hAnsi="Book Antiqua" w:cs="Book Antiqua"/>
          <w:color w:val="000000"/>
        </w:rPr>
        <w:t>949</w:t>
      </w:r>
      <w:r w:rsidR="003952C3" w:rsidRPr="001029FD">
        <w:rPr>
          <w:rFonts w:ascii="Book Antiqua" w:eastAsia="Book Antiqua" w:hAnsi="Book Antiqua" w:cs="Book Antiqua"/>
          <w:color w:val="000000"/>
        </w:rPr>
        <w:t>-</w:t>
      </w:r>
      <w:r w:rsidR="001029FD" w:rsidRPr="001029FD">
        <w:rPr>
          <w:rFonts w:ascii="Book Antiqua" w:eastAsia="Book Antiqua" w:hAnsi="Book Antiqua" w:cs="Book Antiqua"/>
          <w:color w:val="000000"/>
        </w:rPr>
        <w:t>966</w:t>
      </w:r>
    </w:p>
    <w:p w14:paraId="6BF6F556" w14:textId="5C529D58" w:rsidR="001029FD" w:rsidRPr="001029FD" w:rsidRDefault="003952C3" w:rsidP="003F026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1029FD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1029FD" w:rsidRPr="001029FD">
          <w:rPr>
            <w:rStyle w:val="af"/>
            <w:rFonts w:ascii="Book Antiqua" w:eastAsia="Book Antiqua" w:hAnsi="Book Antiqua" w:cs="Book Antiqua"/>
          </w:rPr>
          <w:t>https://www.wjgnet.com/1007-9327/full/v29/i6/</w:t>
        </w:r>
        <w:r w:rsidR="001029FD" w:rsidRPr="001029FD">
          <w:rPr>
            <w:rStyle w:val="af"/>
            <w:rFonts w:ascii="Book Antiqua" w:eastAsia="Book Antiqua" w:hAnsi="Book Antiqua" w:cs="Book Antiqua"/>
          </w:rPr>
          <w:t>949</w:t>
        </w:r>
        <w:r w:rsidR="001029FD" w:rsidRPr="001029FD">
          <w:rPr>
            <w:rStyle w:val="af"/>
            <w:rFonts w:ascii="Book Antiqua" w:eastAsia="Book Antiqua" w:hAnsi="Book Antiqua" w:cs="Book Antiqua"/>
          </w:rPr>
          <w:t>.htm</w:t>
        </w:r>
      </w:hyperlink>
    </w:p>
    <w:p w14:paraId="5AE6760B" w14:textId="51C41F70" w:rsidR="00A77B3E" w:rsidRPr="001029FD" w:rsidRDefault="003952C3" w:rsidP="003F026C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1029FD">
        <w:rPr>
          <w:rFonts w:ascii="Book Antiqua" w:eastAsia="Book Antiqua" w:hAnsi="Book Antiqua" w:cs="Book Antiqua"/>
          <w:color w:val="000000"/>
        </w:rPr>
        <w:t>https://dx.doi.org/10.3748/wjg.v29.i6.</w:t>
      </w:r>
      <w:r w:rsidR="001029FD" w:rsidRPr="001029FD">
        <w:rPr>
          <w:rFonts w:ascii="Book Antiqua" w:eastAsia="Book Antiqua" w:hAnsi="Book Antiqua" w:cs="Book Antiqua"/>
          <w:color w:val="000000"/>
        </w:rPr>
        <w:t>949</w:t>
      </w:r>
    </w:p>
    <w:p w14:paraId="564B5DD6" w14:textId="77777777" w:rsidR="00A77B3E" w:rsidRPr="001029FD" w:rsidRDefault="00A77B3E" w:rsidP="0084785E">
      <w:pPr>
        <w:spacing w:line="360" w:lineRule="auto"/>
        <w:jc w:val="both"/>
      </w:pPr>
    </w:p>
    <w:p w14:paraId="245BAC6B" w14:textId="0CF75091" w:rsidR="00A77B3E" w:rsidRPr="001029FD" w:rsidRDefault="00865C50" w:rsidP="008478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2D9A" w:rsidRPr="001029FD">
        <w:rPr>
          <w:rFonts w:ascii="Book Antiqua" w:eastAsia="Book Antiqua" w:hAnsi="Book Antiqua" w:cs="Book Antiqua"/>
          <w:color w:val="000000"/>
        </w:rPr>
        <w:t xml:space="preserve">A </w:t>
      </w:r>
      <w:r w:rsidRPr="001029FD">
        <w:rPr>
          <w:rFonts w:ascii="Book Antiqua" w:eastAsia="Book Antiqua" w:hAnsi="Book Antiqua" w:cs="Book Antiqua"/>
          <w:color w:val="000000"/>
        </w:rPr>
        <w:t>decade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ago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direct-acting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drugs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introduced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7A2D9A"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greatly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improved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effectiveness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hepatitis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new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drugs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increased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chances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eliminating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7A2D9A" w:rsidRPr="001029FD">
        <w:rPr>
          <w:rFonts w:ascii="Book Antiqua" w:eastAsia="Book Antiqua" w:hAnsi="Book Antiqua" w:cs="Book Antiqua"/>
          <w:color w:val="000000"/>
        </w:rPr>
        <w:t>hepatitis C virus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significant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public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threat.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paper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describe</w:t>
      </w:r>
      <w:r w:rsidR="007A2D9A" w:rsidRPr="001029FD">
        <w:rPr>
          <w:rFonts w:ascii="Book Antiqua" w:eastAsia="Book Antiqua" w:hAnsi="Book Antiqua" w:cs="Book Antiqua"/>
          <w:color w:val="000000"/>
        </w:rPr>
        <w:t>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changes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therapeutic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administered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decade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document</w:t>
      </w:r>
      <w:r w:rsidR="00EC7696" w:rsidRPr="001029FD">
        <w:rPr>
          <w:rFonts w:ascii="Book Antiqua" w:eastAsia="Book Antiqua" w:hAnsi="Book Antiqua" w:cs="Book Antiqua"/>
          <w:color w:val="000000"/>
        </w:rPr>
        <w:t>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changing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profile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years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interferon-free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Special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difficult-to-treat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EC7696" w:rsidRPr="001029FD">
        <w:rPr>
          <w:rFonts w:ascii="Book Antiqua" w:eastAsia="Book Antiqua" w:hAnsi="Book Antiqua" w:cs="Book Antiqua"/>
          <w:color w:val="000000"/>
        </w:rPr>
        <w:t xml:space="preserve">interferon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currently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meeting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definition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highlighted.</w:t>
      </w:r>
    </w:p>
    <w:p w14:paraId="247B791D" w14:textId="06DA9529" w:rsidR="00EC7696" w:rsidRPr="001029FD" w:rsidRDefault="00EC7696" w:rsidP="0084785E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465740C8" w14:textId="45FA0AC1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5C089B2" w14:textId="14B943D3" w:rsidR="00EC7696" w:rsidRPr="001029FD" w:rsidRDefault="00865C50" w:rsidP="008478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029FD">
        <w:rPr>
          <w:rFonts w:ascii="Book Antiqua" w:eastAsia="Book Antiqua" w:hAnsi="Book Antiqua" w:cs="Book Antiqua"/>
          <w:color w:val="000000"/>
        </w:rPr>
        <w:t>Chronic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hepatitis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(HCV)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leading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causes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world.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According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recent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estimates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World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Health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Organization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(WHO),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58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million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people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chronic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hepatitis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(CHC)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worldwide,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annual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number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new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reaching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1.5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million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About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risk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developing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eventually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EC7696" w:rsidRPr="001029FD">
        <w:rPr>
          <w:rFonts w:ascii="Book Antiqua" w:eastAsia="Book Antiqua" w:hAnsi="Book Antiqua" w:cs="Book Antiqua"/>
          <w:color w:val="000000"/>
        </w:rPr>
        <w:t xml:space="preserve">leading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organ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failure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hepatocellular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carcinoma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severe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complications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death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lastRenderedPageBreak/>
        <w:t>approximately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290000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people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year.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vaccine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against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currently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available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direct-acting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antivirals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(DAA)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cure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95%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people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hepatitis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regardless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genotype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(GT).</w:t>
      </w:r>
    </w:p>
    <w:p w14:paraId="1C5D0469" w14:textId="379FC608" w:rsidR="00A77B3E" w:rsidRPr="001029FD" w:rsidRDefault="00865C50" w:rsidP="006F73C0">
      <w:pPr>
        <w:spacing w:line="360" w:lineRule="auto"/>
        <w:ind w:firstLine="450"/>
        <w:jc w:val="both"/>
      </w:pP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date,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six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major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identified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differ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35%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genome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sequence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common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worldwide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GT1,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considered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difficult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interferon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(IFN)-based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therapies.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However,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first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which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very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achieved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EC7696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</w:rPr>
        <w:t>-specific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beginning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Further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evolution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availability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EC7696" w:rsidRPr="001029FD">
        <w:rPr>
          <w:rFonts w:ascii="Book Antiqua" w:eastAsia="Book Antiqua" w:hAnsi="Book Antiqua" w:cs="Book Antiqua"/>
          <w:color w:val="000000"/>
        </w:rPr>
        <w:t>GT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stage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including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decompensated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addition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increased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safety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parameters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improved,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become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shorter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now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lasts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8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12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vast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majority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also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simplification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dropping</w:t>
      </w:r>
      <w:r w:rsidR="00EC7696" w:rsidRPr="001029FD">
        <w:rPr>
          <w:rFonts w:ascii="Book Antiqua" w:eastAsia="Book Antiqua" w:hAnsi="Book Antiqua" w:cs="Book Antiqua"/>
          <w:color w:val="000000"/>
        </w:rPr>
        <w:t xml:space="preserve"> the addition 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ribavirin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(RBV),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which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also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translated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improved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tolerability.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Optimization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groundwork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achieving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WHO</w:t>
      </w:r>
      <w:r w:rsidR="00EC7696" w:rsidRPr="001029FD">
        <w:rPr>
          <w:rFonts w:ascii="Book Antiqua" w:eastAsia="Book Antiqua" w:hAnsi="Book Antiqua" w:cs="Book Antiqua"/>
          <w:color w:val="000000"/>
        </w:rPr>
        <w:t>’</w:t>
      </w:r>
      <w:r w:rsidRPr="001029FD">
        <w:rPr>
          <w:rFonts w:ascii="Book Antiqua" w:eastAsia="Book Antiqua" w:hAnsi="Book Antiqua" w:cs="Book Antiqua"/>
          <w:color w:val="000000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goal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eliminating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public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health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threat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2030.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goal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realize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target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remains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diagnosis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unaware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it.</w:t>
      </w:r>
    </w:p>
    <w:p w14:paraId="377EFC1F" w14:textId="77777777" w:rsidR="00A77B3E" w:rsidRPr="001029FD" w:rsidRDefault="00A77B3E" w:rsidP="0084785E">
      <w:pPr>
        <w:spacing w:line="360" w:lineRule="auto"/>
        <w:jc w:val="both"/>
      </w:pPr>
    </w:p>
    <w:p w14:paraId="1D9B1225" w14:textId="557161FB" w:rsidR="00A77B3E" w:rsidRPr="001029FD" w:rsidRDefault="00865C50" w:rsidP="0084785E">
      <w:pPr>
        <w:spacing w:line="360" w:lineRule="auto"/>
        <w:jc w:val="both"/>
      </w:pPr>
      <w:r w:rsidRPr="001029FD">
        <w:rPr>
          <w:rStyle w:val="gwp4f531fe1colour"/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CHANGES</w:t>
      </w:r>
      <w:r w:rsidR="004F6EA9" w:rsidRPr="001029FD">
        <w:rPr>
          <w:rStyle w:val="gwp4f531fe1colour"/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29FD">
        <w:rPr>
          <w:rStyle w:val="gwp4f531fe1colour"/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</w:t>
      </w:r>
      <w:r w:rsidR="004F6EA9" w:rsidRPr="001029FD">
        <w:rPr>
          <w:rStyle w:val="gwp4f531fe1colour"/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29FD">
        <w:rPr>
          <w:rStyle w:val="gwp4f531fe1colour"/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THERAPEUTIC</w:t>
      </w:r>
      <w:r w:rsidR="004F6EA9" w:rsidRPr="001029FD">
        <w:rPr>
          <w:rStyle w:val="gwp4f531fe1colour"/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29FD">
        <w:rPr>
          <w:rStyle w:val="gwp4f531fe1colour"/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REGIMENS</w:t>
      </w:r>
    </w:p>
    <w:p w14:paraId="6113E9F5" w14:textId="25052C77" w:rsidR="00A77B3E" w:rsidRPr="001029FD" w:rsidRDefault="002807F3" w:rsidP="0084785E">
      <w:pPr>
        <w:spacing w:line="360" w:lineRule="auto"/>
        <w:jc w:val="both"/>
        <w:rPr>
          <w:i/>
          <w:iCs/>
        </w:rPr>
      </w:pP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IFN</w:t>
      </w:r>
      <w:r w:rsidR="00865C50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-based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5670D840" w14:textId="77777777" w:rsidR="00205736" w:rsidRPr="001029FD" w:rsidRDefault="00865C50" w:rsidP="008478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Regimens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without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4340" w:rsidRPr="001029FD">
        <w:rPr>
          <w:rFonts w:ascii="Book Antiqua" w:eastAsia="Book Antiqua" w:hAnsi="Book Antiqua" w:cs="Book Antiqua"/>
          <w:b/>
          <w:bCs/>
          <w:color w:val="000000"/>
        </w:rPr>
        <w:t>DAA</w:t>
      </w:r>
      <w:r w:rsidR="002807F3" w:rsidRPr="001029FD">
        <w:rPr>
          <w:rFonts w:ascii="Book Antiqua" w:eastAsia="Book Antiqua" w:hAnsi="Book Antiqua" w:cs="Book Antiqua"/>
          <w:b/>
          <w:bCs/>
          <w:color w:val="000000"/>
        </w:rPr>
        <w:t>:</w:t>
      </w:r>
      <w:r w:rsidR="004F6EA9" w:rsidRPr="001029FD">
        <w:rPr>
          <w:lang w:eastAsia="zh-CN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began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1986,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before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identification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virus,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which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known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non-A,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non-B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hepatitis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virus.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Hoofnagle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6EA9" w:rsidRPr="001029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807F3" w:rsidRPr="001029FD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documented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reduction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transaminase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activity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result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IFNα2b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Despite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beneficial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reducing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activity,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initial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responses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transient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subsequent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years,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other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investigators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reported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decline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related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clearance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decrease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serum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RNA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Sustained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2807F3" w:rsidRPr="001029FD">
        <w:rPr>
          <w:rFonts w:ascii="Book Antiqua" w:eastAsia="Book Antiqua" w:hAnsi="Book Antiqua" w:cs="Book Antiqua"/>
          <w:color w:val="000000"/>
        </w:rPr>
        <w:t>virological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2807F3" w:rsidRPr="001029FD">
        <w:rPr>
          <w:rFonts w:ascii="Book Antiqua" w:eastAsia="Book Antiqua" w:hAnsi="Book Antiqua" w:cs="Book Antiqua"/>
          <w:color w:val="000000"/>
        </w:rPr>
        <w:t>respo</w:t>
      </w:r>
      <w:r w:rsidRPr="001029FD">
        <w:rPr>
          <w:rFonts w:ascii="Book Antiqua" w:eastAsia="Book Antiqua" w:hAnsi="Book Antiqua" w:cs="Book Antiqua"/>
          <w:color w:val="000000"/>
        </w:rPr>
        <w:t>nse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(SVR)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after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24</w:t>
      </w:r>
      <w:r w:rsidR="002807F3" w:rsidRPr="001029FD">
        <w:rPr>
          <w:rFonts w:ascii="Book Antiqua" w:eastAsia="Book Antiqua" w:hAnsi="Book Antiqua" w:cs="Book Antiqua"/>
          <w:color w:val="000000"/>
        </w:rPr>
        <w:t>-</w:t>
      </w:r>
      <w:r w:rsidRPr="001029FD">
        <w:rPr>
          <w:rFonts w:ascii="Book Antiqua" w:eastAsia="Book Antiqua" w:hAnsi="Book Antiqua" w:cs="Book Antiqua"/>
          <w:color w:val="000000"/>
        </w:rPr>
        <w:t>wk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monotherapy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recombinant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ranged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3</w:t>
      </w:r>
      <w:r w:rsidR="002807F3" w:rsidRPr="001029FD">
        <w:rPr>
          <w:rFonts w:ascii="Book Antiqua" w:eastAsia="Book Antiqua" w:hAnsi="Book Antiqua" w:cs="Book Antiqua"/>
          <w:color w:val="000000"/>
        </w:rPr>
        <w:t>%</w:t>
      </w:r>
      <w:r w:rsidRPr="001029FD">
        <w:rPr>
          <w:rFonts w:ascii="Book Antiqua" w:eastAsia="Book Antiqua" w:hAnsi="Book Antiqua" w:cs="Book Antiqua"/>
          <w:color w:val="000000"/>
        </w:rPr>
        <w:t>-6%,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administered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48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resulted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13%-19%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improved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about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40%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[10–13]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35D37A16" w14:textId="5FA6AED3" w:rsidR="00D545F7" w:rsidRPr="001029FD" w:rsidRDefault="00865C50" w:rsidP="00205736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next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milestone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introduction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forms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long-acting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07F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pegylated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07F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IFN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07F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pegIFN</w:t>
      </w:r>
      <w:proofErr w:type="spellEnd"/>
      <w:r w:rsidR="002807F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alfa-2a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alfa-2b,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once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week.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change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elements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="002807F3"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multicenter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trials,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pegIFN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monotherapy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ranged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2807F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39%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50%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[15,18]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predictor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pegIFN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</w:p>
    <w:p w14:paraId="1F54362C" w14:textId="28597CAD" w:rsidR="00A77B3E" w:rsidRPr="001029FD" w:rsidRDefault="00865C50" w:rsidP="006F73C0">
      <w:pPr>
        <w:spacing w:line="360" w:lineRule="auto"/>
        <w:ind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PROPHESYS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7163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pegIFN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48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71.4%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60.6%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GT2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respectively,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(41.8%)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(41%)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infections.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predictor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undetectable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virological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1383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allowed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D545F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reduc</w:t>
      </w:r>
      <w:r w:rsidR="00D545F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tion 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GT2-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GT3-infected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D545F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rapid virological response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detectable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Pr="001029FD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addition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virologic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week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4,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length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determined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week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12;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GT1-infected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detectable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serum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RNA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after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12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benefited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extending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72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029FD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7CAEE99B" w14:textId="0C10CC9F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IFN-containing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limited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safety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issues;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adverse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frequent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discontinuation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5%-16%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cases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[15,24]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Fatigue,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headache,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fever,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malaise,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myalgia,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29FD">
        <w:rPr>
          <w:rFonts w:ascii="Book Antiqua" w:eastAsia="Book Antiqua" w:hAnsi="Book Antiqua" w:cs="Book Antiqua"/>
          <w:color w:val="000000"/>
        </w:rPr>
        <w:t>neutropenia</w:t>
      </w:r>
      <w:proofErr w:type="gram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thrombocytopenia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reported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common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adverse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events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associated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resulting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dose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reduction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hemolytic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anemia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5D44E547" w14:textId="77777777" w:rsidR="00A77B3E" w:rsidRPr="001029FD" w:rsidRDefault="00A77B3E" w:rsidP="0084785E">
      <w:pPr>
        <w:spacing w:line="360" w:lineRule="auto"/>
        <w:jc w:val="both"/>
      </w:pPr>
    </w:p>
    <w:p w14:paraId="521110C5" w14:textId="53AC5F46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Regimens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4340" w:rsidRPr="001029FD">
        <w:rPr>
          <w:rFonts w:ascii="Book Antiqua" w:eastAsia="Book Antiqua" w:hAnsi="Book Antiqua" w:cs="Book Antiqua"/>
          <w:b/>
          <w:bCs/>
          <w:color w:val="000000"/>
        </w:rPr>
        <w:t>DAA</w:t>
      </w:r>
      <w:r w:rsidR="002807F3" w:rsidRPr="001029FD">
        <w:rPr>
          <w:rFonts w:ascii="Book Antiqua" w:eastAsia="Book Antiqua" w:hAnsi="Book Antiqua" w:cs="Book Antiqua"/>
          <w:b/>
          <w:bCs/>
          <w:color w:val="000000"/>
        </w:rPr>
        <w:t>:</w:t>
      </w:r>
      <w:r w:rsidR="004F6EA9" w:rsidRPr="001029FD">
        <w:rPr>
          <w:lang w:eastAsia="zh-CN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introduction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protease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inhibitors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telaprevir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(TVR)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boceprevir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2011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545155" w:rsidRPr="001029FD">
        <w:rPr>
          <w:rFonts w:ascii="Book Antiqua" w:eastAsia="Book Antiqua" w:hAnsi="Book Antiqua" w:cs="Book Antiqua"/>
          <w:color w:val="000000"/>
        </w:rPr>
        <w:t>l</w:t>
      </w:r>
      <w:r w:rsidRPr="001029FD">
        <w:rPr>
          <w:rFonts w:ascii="Book Antiqua" w:eastAsia="Book Antiqua" w:hAnsi="Book Antiqua" w:cs="Book Antiqua"/>
          <w:color w:val="000000"/>
        </w:rPr>
        <w:t>aunched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first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Initially,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new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drugs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registered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pegIFN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GT1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Cure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following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triple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increased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about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70%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compared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previously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containing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pegIFN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Results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randomized,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double-blind,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placebo-controlled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ADVANCE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evaluating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triple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treatment-</w:t>
      </w:r>
      <w:r w:rsidR="00D545F7" w:rsidRPr="001029FD">
        <w:rPr>
          <w:rFonts w:ascii="Book Antiqua" w:eastAsia="Book Antiqua" w:hAnsi="Book Antiqua" w:cs="Book Antiqua"/>
          <w:color w:val="000000"/>
        </w:rPr>
        <w:t>naïve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GT1-infected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showed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could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shortened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24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reducing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</w:p>
    <w:p w14:paraId="73BD450F" w14:textId="16CFE6DC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Among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after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previous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failure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assessed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randomized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phase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REALIZE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prior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relapse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achieved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83</w:t>
      </w:r>
      <w:r w:rsidR="002807F3" w:rsidRPr="001029FD">
        <w:rPr>
          <w:rFonts w:ascii="Book Antiqua" w:eastAsia="Book Antiqua" w:hAnsi="Book Antiqua" w:cs="Book Antiqua"/>
          <w:color w:val="000000"/>
        </w:rPr>
        <w:t>%</w:t>
      </w:r>
      <w:r w:rsidRPr="001029FD">
        <w:rPr>
          <w:rFonts w:ascii="Book Antiqua" w:eastAsia="Book Antiqua" w:hAnsi="Book Antiqua" w:cs="Book Antiqua"/>
          <w:color w:val="000000"/>
        </w:rPr>
        <w:t>-88%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following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pegIFN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TVR,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while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30%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null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responders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3F0F3514" w14:textId="40D84503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difficult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triple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containing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first-generation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protease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inhibitors,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boceprevir</w:t>
      </w:r>
      <w:r w:rsidRPr="001029FD">
        <w:rPr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treatment-experienced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due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very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low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safety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profile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[31–33]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</w:p>
    <w:p w14:paraId="45741802" w14:textId="45057457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Registration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new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broadened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spectrum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triple-drug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protease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inhibitor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simeprevir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non-structural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protein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5A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CF0C61" w:rsidRPr="001029FD">
        <w:rPr>
          <w:rFonts w:ascii="Book Antiqua" w:eastAsia="Book Antiqua" w:hAnsi="Book Antiqua" w:cs="Book Antiqua"/>
          <w:color w:val="000000"/>
        </w:rPr>
        <w:t>(NS5A)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inhibitor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daclatasvir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(DCV)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combined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pegIFN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could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GT1-infected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 xml:space="preserve">and </w:t>
      </w:r>
      <w:r w:rsidRPr="001029FD">
        <w:rPr>
          <w:rFonts w:ascii="Book Antiqua" w:eastAsia="Book Antiqua" w:hAnsi="Book Antiqua" w:cs="Book Antiqua"/>
          <w:color w:val="000000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GT4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 xml:space="preserve">an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exceeding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82%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treatment-</w:t>
      </w:r>
      <w:r w:rsidR="00D545F7" w:rsidRPr="001029FD">
        <w:rPr>
          <w:rFonts w:ascii="Book Antiqua" w:eastAsia="Book Antiqua" w:hAnsi="Book Antiqua" w:cs="Book Antiqua"/>
          <w:color w:val="000000"/>
        </w:rPr>
        <w:t>naïve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[34–36]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addition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polymerase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inhibitor,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sofosbuvir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(SOF)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pegIFN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enabled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triple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11C9D31B" w14:textId="77777777" w:rsidR="00A77B3E" w:rsidRPr="001029FD" w:rsidRDefault="00A77B3E" w:rsidP="0084785E">
      <w:pPr>
        <w:spacing w:line="360" w:lineRule="auto"/>
        <w:jc w:val="both"/>
      </w:pPr>
    </w:p>
    <w:p w14:paraId="06B46623" w14:textId="3D29A900" w:rsidR="00A77B3E" w:rsidRPr="001029FD" w:rsidRDefault="002807F3" w:rsidP="0084785E">
      <w:pPr>
        <w:spacing w:line="360" w:lineRule="auto"/>
        <w:jc w:val="both"/>
        <w:rPr>
          <w:i/>
          <w:iCs/>
        </w:rPr>
      </w:pP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IFN</w:t>
      </w:r>
      <w:r w:rsidR="00865C50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-free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865C50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regimens</w:t>
      </w:r>
    </w:p>
    <w:p w14:paraId="6721808E" w14:textId="4FC4E300" w:rsidR="00A77B3E" w:rsidRPr="001029FD" w:rsidRDefault="00865C50" w:rsidP="006F73C0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G</w:t>
      </w:r>
      <w:r w:rsidR="00D545F7" w:rsidRPr="001029F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-specific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options</w:t>
      </w:r>
      <w:r w:rsidR="00706753" w:rsidRPr="001029FD">
        <w:rPr>
          <w:rFonts w:ascii="Book Antiqua" w:eastAsia="Book Antiqua" w:hAnsi="Book Antiqua" w:cs="Book Antiqua"/>
          <w:b/>
          <w:bCs/>
          <w:color w:val="000000"/>
        </w:rPr>
        <w:t>:</w:t>
      </w:r>
      <w:r w:rsidR="004F6EA9" w:rsidRPr="001029FD">
        <w:rPr>
          <w:lang w:eastAsia="zh-CN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Although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triple-drug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resulted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compared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pegIFN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6F4FE0" w:rsidRPr="001029FD">
        <w:rPr>
          <w:rFonts w:ascii="Book Antiqua" w:eastAsia="Book Antiqua" w:hAnsi="Book Antiqua" w:cs="Book Antiqua"/>
          <w:color w:val="000000"/>
        </w:rPr>
        <w:t>, there 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still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major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limitation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related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well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contraindications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</w:t>
      </w:r>
      <w:r w:rsidR="006F4FE0" w:rsidRPr="001029FD">
        <w:rPr>
          <w:rFonts w:ascii="Book Antiqua" w:eastAsia="Book Antiqua" w:hAnsi="Book Antiqua" w:cs="Book Antiqua"/>
          <w:color w:val="000000"/>
        </w:rPr>
        <w:t>hen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</w:t>
      </w:r>
      <w:r w:rsidR="006F4FE0" w:rsidRPr="001029FD">
        <w:rPr>
          <w:rFonts w:ascii="Book Antiqua" w:eastAsia="Book Antiqua" w:hAnsi="Book Antiqua" w:cs="Book Antiqua"/>
          <w:color w:val="000000"/>
        </w:rPr>
        <w:t>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hematologic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disorders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well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decompensated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severe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other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organs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systems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left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safety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issues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overcome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introduction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therapies.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well-tolerated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revolutionized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CHC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first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registered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6F4FE0"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could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inhibitor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NS5A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protein,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ledipasvir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(LDV)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resulted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-specific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infections.</w:t>
      </w:r>
    </w:p>
    <w:p w14:paraId="0B4DBCC7" w14:textId="27E46885" w:rsidR="00A77B3E" w:rsidRPr="001029FD" w:rsidRDefault="006F4FE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andomized,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open-label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trials,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ION-</w:t>
      </w:r>
      <w:proofErr w:type="gramStart"/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proofErr w:type="gram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ION-2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95</w:t>
      </w:r>
      <w:r w:rsidR="0070675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-100%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depending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(12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treatment-experienced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865C50" w:rsidRPr="001029FD">
        <w:rPr>
          <w:rFonts w:ascii="Book Antiqua" w:eastAsia="Book Antiqua" w:hAnsi="Book Antiqua" w:cs="Book Antiqua"/>
          <w:color w:val="000000"/>
          <w:vertAlign w:val="superscript"/>
        </w:rPr>
        <w:t>[40,41]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ION-3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treatment-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naïve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shortening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SOF/LDV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865C50" w:rsidRPr="001029FD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865C5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04FD511" w14:textId="008A776F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675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real-world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675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(RWE)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70675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nited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70675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tates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 93% 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responding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93%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029F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9912),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cure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GT4-infected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87%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029F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97)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1ADBE8C" w14:textId="3E20C45D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-specific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registered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ombitasvir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(OBV),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NS5A,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ritonavir-boosted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paritaprevir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(PTV/r),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inhibitor.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GT4,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DAA,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dasabuvir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(DSV)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acting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polymerase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inhibitor,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obligatory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depended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subtype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cirrhosis.</w:t>
      </w:r>
    </w:p>
    <w:p w14:paraId="1173E4BE" w14:textId="56F3D42E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SAPPHIRE-I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SAPPHIRE-II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12-wk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OBV/PTV/r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DSV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96%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[45,46]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PEARL-III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PEARL-IV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inclusion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GT1a-infected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GT1b-infected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exceeds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99%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FC75445" w14:textId="203C0075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3b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GARNET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allowing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shortening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OBV/PTV/r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DSV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GT1b-infected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formed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basis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updating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label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OBV/PTV/r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multinational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AGATE-I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AGATE-</w:t>
      </w:r>
      <w:proofErr w:type="gram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675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art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proofErr w:type="gram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Egyptian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AGATE-II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96%-100%.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demonstration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prolonging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success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became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basis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updating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label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GT4-infected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12-wk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[49–51]</w:t>
      </w:r>
      <w:r w:rsidR="0070675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OBV/PTV/r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DSV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+/-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95%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100%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GT4-infected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3E7592" w:rsidRPr="001029F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[52-54]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real-world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3E7592" w:rsidRPr="001029FD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–57]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CF89B47" w14:textId="38EA3C81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-specific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combinations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inhibitor,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grazoprevir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(GZR),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NS5A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inhibitor,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elbasvir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(EBR)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wk.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add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extend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applies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GT4-infected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load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800000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IU/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treatment-naïve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97%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94%,</w:t>
      </w:r>
      <w:r w:rsidR="006F4FE0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respectively,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treatment-experienced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responded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96.6%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93.8%,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[58,59]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emphasized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calculated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intent-to-treat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analysis.</w:t>
      </w:r>
    </w:p>
    <w:p w14:paraId="1869E62F" w14:textId="77777777" w:rsidR="00A77B3E" w:rsidRPr="001029FD" w:rsidRDefault="00A77B3E" w:rsidP="0084785E">
      <w:pPr>
        <w:spacing w:line="360" w:lineRule="auto"/>
        <w:jc w:val="both"/>
      </w:pPr>
    </w:p>
    <w:p w14:paraId="57A2DEC9" w14:textId="04653658" w:rsidR="00A77B3E" w:rsidRPr="001029FD" w:rsidRDefault="00865C50" w:rsidP="0084785E">
      <w:pPr>
        <w:spacing w:line="360" w:lineRule="auto"/>
        <w:jc w:val="both"/>
      </w:pPr>
      <w:proofErr w:type="spellStart"/>
      <w:r w:rsidRPr="001029F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options</w:t>
      </w:r>
      <w:r w:rsidR="00706753" w:rsidRPr="001029FD">
        <w:rPr>
          <w:rFonts w:ascii="Book Antiqua" w:eastAsia="宋体" w:hAnsi="Book Antiqua" w:cs="宋体"/>
          <w:b/>
          <w:bCs/>
          <w:color w:val="000000"/>
          <w:shd w:val="clear" w:color="auto" w:fill="FFFFFF"/>
          <w:lang w:eastAsia="zh-CN"/>
        </w:rPr>
        <w:t>:</w:t>
      </w:r>
      <w:r w:rsidR="004F6EA9" w:rsidRPr="001029FD">
        <w:rPr>
          <w:rFonts w:ascii="Book Antiqua" w:hAnsi="Book Antiqua"/>
          <w:lang w:eastAsia="zh-CN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first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available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activity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against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combination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12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treatment-</w:t>
      </w:r>
      <w:r w:rsidR="006F4FE0" w:rsidRPr="001029FD">
        <w:rPr>
          <w:rFonts w:ascii="Book Antiqua" w:eastAsia="Book Antiqua" w:hAnsi="Book Antiqua" w:cs="Book Antiqua"/>
          <w:color w:val="000000"/>
        </w:rPr>
        <w:t>naïve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GT1-3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evaluated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6F4FE0" w:rsidRPr="001029FD">
        <w:rPr>
          <w:rFonts w:ascii="Book Antiqua" w:eastAsia="Book Antiqua" w:hAnsi="Book Antiqua" w:cs="Book Antiqua"/>
          <w:color w:val="000000"/>
        </w:rPr>
        <w:t xml:space="preserve">a </w:t>
      </w:r>
      <w:r w:rsidRPr="001029FD">
        <w:rPr>
          <w:rFonts w:ascii="Book Antiqua" w:eastAsia="Book Antiqua" w:hAnsi="Book Antiqua" w:cs="Book Antiqua"/>
          <w:color w:val="000000"/>
        </w:rPr>
        <w:t>phase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72%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47%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6F4FE0" w:rsidRPr="001029FD">
        <w:rPr>
          <w:rFonts w:ascii="Book Antiqua" w:eastAsia="Book Antiqua" w:hAnsi="Book Antiqua" w:cs="Book Antiqua"/>
          <w:color w:val="000000"/>
        </w:rPr>
        <w:t xml:space="preserve">patients with </w:t>
      </w:r>
      <w:r w:rsidRPr="001029FD">
        <w:rPr>
          <w:rFonts w:ascii="Book Antiqua" w:eastAsia="Book Antiqua" w:hAnsi="Book Antiqua" w:cs="Book Antiqua"/>
          <w:color w:val="000000"/>
        </w:rPr>
        <w:t>cirrho</w:t>
      </w:r>
      <w:r w:rsidR="006F4FE0" w:rsidRPr="001029FD">
        <w:rPr>
          <w:rFonts w:ascii="Book Antiqua" w:eastAsia="Book Antiqua" w:hAnsi="Book Antiqua" w:cs="Book Antiqua"/>
          <w:color w:val="000000"/>
        </w:rPr>
        <w:t>si</w:t>
      </w:r>
      <w:r w:rsidRPr="001029FD">
        <w:rPr>
          <w:rFonts w:ascii="Book Antiqua" w:eastAsia="Book Antiqua" w:hAnsi="Book Antiqua" w:cs="Book Antiqua"/>
          <w:color w:val="000000"/>
        </w:rPr>
        <w:t>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respectively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(Table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2).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higher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response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rate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97.1%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documented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GT2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infection.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regimen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treatment-experienced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GT2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GT3-infected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participating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phase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3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FUSSION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study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96%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i/>
          <w:iCs/>
          <w:color w:val="000000"/>
        </w:rPr>
        <w:t>vs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37%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5675C7" w:rsidRPr="001029FD">
        <w:rPr>
          <w:rStyle w:val="y2iqfc"/>
          <w:rFonts w:ascii="Book Antiqua" w:eastAsia="Book Antiqua" w:hAnsi="Book Antiqua" w:cs="Book Antiqua"/>
          <w:color w:val="000000"/>
        </w:rPr>
        <w:t xml:space="preserve">patients without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cirrho</w:t>
      </w:r>
      <w:r w:rsidR="005675C7" w:rsidRPr="001029FD">
        <w:rPr>
          <w:rStyle w:val="y2iqfc"/>
          <w:rFonts w:ascii="Book Antiqua" w:eastAsia="Book Antiqua" w:hAnsi="Book Antiqua" w:cs="Book Antiqua"/>
          <w:color w:val="000000"/>
        </w:rPr>
        <w:t>s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60%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i/>
          <w:iCs/>
          <w:color w:val="000000"/>
        </w:rPr>
        <w:t>vs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19%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patients</w:t>
      </w:r>
      <w:r w:rsidR="005675C7" w:rsidRPr="001029FD">
        <w:rPr>
          <w:rStyle w:val="y2iqfc"/>
          <w:rFonts w:ascii="Book Antiqua" w:eastAsia="Book Antiqua" w:hAnsi="Book Antiqua" w:cs="Book Antiqua"/>
          <w:color w:val="000000"/>
        </w:rPr>
        <w:t xml:space="preserve"> with cirrhosis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respectively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Extending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duration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16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Style w:val="y2iqfc"/>
          <w:rFonts w:ascii="Book Antiqua" w:eastAsia="Book Antiqua" w:hAnsi="Book Antiqua" w:cs="Book Antiqua"/>
          <w:color w:val="000000"/>
        </w:rPr>
        <w:t>wk</w:t>
      </w:r>
      <w:proofErr w:type="spellEnd"/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increased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cure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rates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100%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62.5%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5675C7" w:rsidRPr="001029FD">
        <w:rPr>
          <w:rStyle w:val="y2iqfc"/>
          <w:rFonts w:ascii="Book Antiqua" w:eastAsia="Book Antiqua" w:hAnsi="Book Antiqua" w:cs="Book Antiqua"/>
          <w:color w:val="000000"/>
        </w:rPr>
        <w:t xml:space="preserve">patients without cirrhosis infected with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GT2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i/>
          <w:iCs/>
          <w:color w:val="000000"/>
        </w:rPr>
        <w:t>vs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GT3,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while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responded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62.5%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61</w:t>
      </w:r>
      <w:r w:rsidR="005675C7" w:rsidRPr="001029FD">
        <w:rPr>
          <w:rStyle w:val="y2iqfc"/>
          <w:rFonts w:ascii="Book Antiqua" w:eastAsia="Book Antiqua" w:hAnsi="Book Antiqua" w:cs="Book Antiqua"/>
          <w:color w:val="000000"/>
        </w:rPr>
        <w:t>.0%,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respectively.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comparison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duration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(16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Style w:val="y2iqfc"/>
          <w:rFonts w:ascii="Book Antiqua" w:eastAsia="Book Antiqua" w:hAnsi="Book Antiqua" w:cs="Book Antiqua"/>
          <w:color w:val="000000"/>
        </w:rPr>
        <w:t>wk</w:t>
      </w:r>
      <w:proofErr w:type="spellEnd"/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i/>
          <w:iCs/>
          <w:color w:val="000000"/>
        </w:rPr>
        <w:t>vs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24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Style w:val="y2iqfc"/>
          <w:rFonts w:ascii="Book Antiqua" w:eastAsia="Book Antiqua" w:hAnsi="Book Antiqua" w:cs="Book Antiqua"/>
          <w:color w:val="000000"/>
        </w:rPr>
        <w:t>wk</w:t>
      </w:r>
      <w:proofErr w:type="spellEnd"/>
      <w:r w:rsidRPr="001029FD">
        <w:rPr>
          <w:rStyle w:val="y2iqfc"/>
          <w:rFonts w:ascii="Book Antiqua" w:eastAsia="Book Antiqua" w:hAnsi="Book Antiqua" w:cs="Book Antiqua"/>
          <w:color w:val="000000"/>
        </w:rPr>
        <w:t>)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lastRenderedPageBreak/>
        <w:t>GT3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documented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higher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followed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longer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86.5%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78.6%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without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those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cirrhosis,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respectively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.</w:t>
      </w:r>
    </w:p>
    <w:p w14:paraId="1E499FE9" w14:textId="50861A72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Style w:val="y2iqfc"/>
          <w:rFonts w:ascii="Book Antiqua" w:eastAsia="Book Antiqua" w:hAnsi="Book Antiqua" w:cs="Book Antiqua"/>
          <w:color w:val="000000"/>
        </w:rPr>
        <w:t>Extending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24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Style w:val="y2iqfc"/>
          <w:rFonts w:ascii="Book Antiqua" w:eastAsia="Book Antiqua" w:hAnsi="Book Antiqua" w:cs="Book Antiqua"/>
          <w:color w:val="000000"/>
        </w:rPr>
        <w:t>wk</w:t>
      </w:r>
      <w:proofErr w:type="spellEnd"/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improved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response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rate,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especially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GT3-infected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treatment-experienced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5675C7" w:rsidRPr="001029FD">
        <w:rPr>
          <w:rStyle w:val="y2iqfc"/>
          <w:rFonts w:ascii="Book Antiqua" w:eastAsia="Book Antiqua" w:hAnsi="Book Antiqua" w:cs="Book Antiqua"/>
          <w:color w:val="000000"/>
        </w:rPr>
        <w:t xml:space="preserve">patients with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cirrho</w:t>
      </w:r>
      <w:r w:rsidR="005675C7" w:rsidRPr="001029FD">
        <w:rPr>
          <w:rStyle w:val="y2iqfc"/>
          <w:rFonts w:ascii="Book Antiqua" w:eastAsia="Book Antiqua" w:hAnsi="Book Antiqua" w:cs="Book Antiqua"/>
          <w:color w:val="000000"/>
        </w:rPr>
        <w:t>s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responding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76%</w:t>
      </w:r>
      <w:r w:rsidR="005675C7" w:rsidRPr="001029FD">
        <w:rPr>
          <w:rStyle w:val="y2iqfc"/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="005675C7" w:rsidRPr="001029FD">
        <w:rPr>
          <w:rStyle w:val="y2iqfc"/>
          <w:rFonts w:ascii="Book Antiqua" w:eastAsia="Book Antiqua" w:hAnsi="Book Antiqua" w:cs="Book Antiqua"/>
          <w:color w:val="000000"/>
        </w:rPr>
        <w:t>T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hese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values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still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unsatisfactory</w:t>
      </w:r>
      <w:r w:rsidR="005675C7" w:rsidRPr="001029FD">
        <w:rPr>
          <w:rStyle w:val="y2iqfc"/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regimen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considered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suboptimal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patient</w:t>
      </w:r>
      <w:r w:rsidR="004F6EA9" w:rsidRPr="001029FD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y2iqfc"/>
          <w:rFonts w:ascii="Book Antiqua" w:eastAsia="Book Antiqua" w:hAnsi="Book Antiqua" w:cs="Book Antiqua"/>
          <w:color w:val="000000"/>
        </w:rPr>
        <w:t>population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[62,63,64]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09886DC9" w14:textId="2F42D126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12-wk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activity,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consisting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DCV,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GT3-infected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97%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treatment-naïve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94%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failed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lower,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63%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1E87E14" w14:textId="652E4574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breakthrough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CHC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came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introduction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ASTRAL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registration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2016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consisting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NS5</w:t>
      </w:r>
      <w:r w:rsidR="00706753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velpatasvir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(VEL)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decompensated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12-wk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resulted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95%-100%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decompensated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responded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84%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[67</w:t>
      </w:r>
      <w:r w:rsidR="005675C7" w:rsidRPr="001029F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extension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88%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94%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19BA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modified intent-to-treat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lowest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GT3-infected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ranging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50%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85%,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noted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small,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12-14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arm.</w:t>
      </w:r>
    </w:p>
    <w:p w14:paraId="3FA54B79" w14:textId="3D4E5B8F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SOF/VEL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confirmed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meta-analysis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12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routine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practice.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5196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data,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99%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achieved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analysis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revealed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unfavorable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factors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associated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reduction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odds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virologic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about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98%,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such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Importantly,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current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</w:t>
      </w:r>
      <w:r w:rsidR="005675C7" w:rsidRPr="001029FD">
        <w:rPr>
          <w:rFonts w:ascii="Book Antiqua" w:eastAsia="Book Antiqua" w:hAnsi="Book Antiqua" w:cs="Book Antiqua"/>
          <w:color w:val="000000"/>
        </w:rPr>
        <w:t>ior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decompensated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excluded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analysis.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Another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new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containing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protease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inhibitor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(GLE)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NS5A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inhibitor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(PIB)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became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available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after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approval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5675C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Food and Drug Administration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2017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434D3F5E" w14:textId="021B51EC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12-wk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GLE/PIB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4-6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well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participating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phase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reached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100%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99%,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respectively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[72–74]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equally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99%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reported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GT3-infected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5675C7" w:rsidRPr="001029FD">
        <w:rPr>
          <w:rFonts w:ascii="Book Antiqua" w:eastAsia="Book Antiqua" w:hAnsi="Book Antiqua" w:cs="Book Antiqua"/>
          <w:color w:val="000000"/>
        </w:rPr>
        <w:t xml:space="preserve"> 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phase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ENDURANCE-3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0584CDE5" w14:textId="5F33F095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Shortening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8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GT1-6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evaluated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SURVEYOR-I</w:t>
      </w:r>
      <w:r w:rsidR="005675C7" w:rsidRPr="001029FD">
        <w:rPr>
          <w:rFonts w:ascii="Book Antiqua" w:eastAsia="Book Antiqua" w:hAnsi="Book Antiqua" w:cs="Book Antiqua"/>
          <w:color w:val="000000"/>
        </w:rPr>
        <w:t xml:space="preserve"> 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5675C7" w:rsidRPr="001029FD">
        <w:rPr>
          <w:rFonts w:ascii="Book Antiqua" w:eastAsia="Book Antiqua" w:hAnsi="Book Antiqua" w:cs="Book Antiqua"/>
          <w:color w:val="000000"/>
        </w:rPr>
        <w:t>-</w:t>
      </w:r>
      <w:r w:rsidRPr="001029FD">
        <w:rPr>
          <w:rFonts w:ascii="Book Antiqua" w:eastAsia="Book Antiqua" w:hAnsi="Book Antiqua" w:cs="Book Antiqua"/>
          <w:color w:val="000000"/>
        </w:rPr>
        <w:t>II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phase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participating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EXPEDITION-8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phase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affect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became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basis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updating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label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[75,76]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However,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EudraCT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showed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further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reduction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4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reduce</w:t>
      </w:r>
      <w:r w:rsidR="005675C7" w:rsidRPr="001029FD">
        <w:rPr>
          <w:rFonts w:ascii="Book Antiqua" w:eastAsia="Book Antiqua" w:hAnsi="Book Antiqua" w:cs="Book Antiqua"/>
          <w:color w:val="000000"/>
        </w:rPr>
        <w:t>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59%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(10/17)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GLE/PIB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73%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(11/15)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GLE/PIB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drug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target-specific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substitutions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associated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NS5A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resistance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identified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predictor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virologic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failure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4BF1DDF4" w14:textId="5B7018CB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registration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GLE/PIB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GT1-6-infected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dialysis,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EXPEDITION-4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98%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GLE/PIB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everyday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practice.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RWE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12531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95%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8DCB4C2" w14:textId="76740F6A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2017,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triple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SOF/VEL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protease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voxilaprevir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(VOX)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registered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primarily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rescue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675C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discussed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detail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manuscript,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section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rescue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therapy.</w:t>
      </w:r>
    </w:p>
    <w:p w14:paraId="660F2528" w14:textId="77777777" w:rsidR="00A77B3E" w:rsidRPr="001029FD" w:rsidRDefault="00A77B3E" w:rsidP="0084785E">
      <w:pPr>
        <w:spacing w:line="360" w:lineRule="auto"/>
        <w:jc w:val="both"/>
      </w:pPr>
    </w:p>
    <w:p w14:paraId="6E114F96" w14:textId="1F7ED7A1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CHANGES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PROFILE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HCV-INFECTED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OVER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TIME</w:t>
      </w:r>
    </w:p>
    <w:p w14:paraId="29272874" w14:textId="6022EFC9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availability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safe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goal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eliminating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significant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public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threat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2030.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goal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defined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65%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reduction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mortality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90%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reduction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new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chronic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compared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2015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June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2021,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7B38AD" w:rsidRPr="001029FD">
        <w:rPr>
          <w:rFonts w:ascii="Book Antiqua" w:eastAsia="Book Antiqua" w:hAnsi="Book Antiqua" w:cs="Book Antiqua"/>
          <w:color w:val="000000"/>
        </w:rPr>
        <w:t xml:space="preserve">the </w:t>
      </w:r>
      <w:r w:rsidRPr="001029FD">
        <w:rPr>
          <w:rFonts w:ascii="Book Antiqua" w:eastAsia="Book Antiqua" w:hAnsi="Book Antiqua" w:cs="Book Antiqua"/>
          <w:color w:val="000000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presented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targets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reduce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annual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incidence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≤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5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100000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annual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mortality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≤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100000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large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model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representing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93%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global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7B38AD" w:rsidRPr="001029FD">
        <w:rPr>
          <w:rFonts w:ascii="Book Antiqua" w:eastAsia="Book Antiqua" w:hAnsi="Book Antiqua" w:cs="Book Antiqua"/>
          <w:color w:val="000000"/>
        </w:rPr>
        <w:t>t</w:t>
      </w:r>
      <w:r w:rsidRPr="001029FD">
        <w:rPr>
          <w:rFonts w:ascii="Book Antiqua" w:eastAsia="Book Antiqua" w:hAnsi="Book Antiqua" w:cs="Book Antiqua"/>
          <w:color w:val="000000"/>
        </w:rPr>
        <w:t>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Polaris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Observatory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Collaborators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estimated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reduction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global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prevalence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0.9%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(63.6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million)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2015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0.7%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(56.8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million)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2020.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During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analysis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period,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8.7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million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worldwide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treated</w:t>
      </w:r>
      <w:r w:rsidR="007B38AD" w:rsidRPr="001029FD">
        <w:rPr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significant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changes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observed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demographic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characteristics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HCV-infected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</w:p>
    <w:p w14:paraId="7CE3C327" w14:textId="2F6950A8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indicate</w:t>
      </w:r>
      <w:r w:rsidR="007B38AD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burdened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comedications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intervals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[88</w:t>
      </w:r>
      <w:r w:rsidR="00702542" w:rsidRPr="001029F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observed.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Elsharkawy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4F6EA9" w:rsidRPr="001029F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702542" w:rsidRPr="001029F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[88]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337042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Egyptian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CHC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program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started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October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2014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introduction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Egypt)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March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2016.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2542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three-time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intervals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each.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B38AD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(mean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B38AD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standard deviation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53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49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[88,92]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Polish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10152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2015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2018,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pronounced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58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beginning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49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[89]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B38AD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Furthermore,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prevalence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comorbidities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concomitant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medications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decreased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significantly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subsequent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time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intervals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68.6%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59.5%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64.6%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57.7%,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respectively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[89]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48C2ABC6" w14:textId="7648087B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carried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702542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nited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2542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9.3%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proportion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RNA-positive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2017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German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observations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covering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2014-2018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14.7%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[90,91]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7D96695" w14:textId="3E1F2F13" w:rsidR="00A77B3E" w:rsidRPr="001029FD" w:rsidRDefault="00865C50" w:rsidP="00280E58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2015,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Messina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6EA9" w:rsidRPr="001029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02542" w:rsidRPr="001029FD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published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comprehensive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prevalence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distribution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worldwide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before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analysis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included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1217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lastRenderedPageBreak/>
        <w:t>published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between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1993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2013,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documented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GT1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common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globally</w:t>
      </w:r>
      <w:r w:rsidR="00280E58" w:rsidRPr="001029FD">
        <w:rPr>
          <w:rFonts w:ascii="Book Antiqua" w:eastAsia="Book Antiqua" w:hAnsi="Book Antiqua" w:cs="Book Antiqua"/>
          <w:color w:val="000000"/>
        </w:rPr>
        <w:t xml:space="preserve"> (46%)</w:t>
      </w:r>
      <w:r w:rsidRPr="001029FD">
        <w:rPr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followed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GT4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280E58" w:rsidRPr="001029FD">
        <w:rPr>
          <w:rFonts w:ascii="Book Antiqua" w:eastAsia="Book Antiqua" w:hAnsi="Book Antiqua" w:cs="Book Antiqua"/>
          <w:color w:val="000000"/>
        </w:rPr>
        <w:t>(</w:t>
      </w:r>
      <w:r w:rsidRPr="001029FD">
        <w:rPr>
          <w:rFonts w:ascii="Book Antiqua" w:eastAsia="Book Antiqua" w:hAnsi="Book Antiqua" w:cs="Book Antiqua"/>
          <w:color w:val="000000"/>
        </w:rPr>
        <w:t>30%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9%,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respectively</w:t>
      </w:r>
      <w:r w:rsidR="00280E58" w:rsidRPr="001029FD">
        <w:rPr>
          <w:rFonts w:ascii="Book Antiqua" w:eastAsia="Book Antiqua" w:hAnsi="Book Antiqua" w:cs="Book Antiqua"/>
          <w:color w:val="000000"/>
        </w:rPr>
        <w:t>)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prevalence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showed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geographic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variation</w:t>
      </w:r>
      <w:r w:rsidR="00280E58" w:rsidRPr="001029FD">
        <w:rPr>
          <w:rFonts w:ascii="Book Antiqua" w:eastAsia="Book Antiqua" w:hAnsi="Book Antiqua" w:cs="Book Antiqua"/>
          <w:color w:val="000000"/>
        </w:rPr>
        <w:t>;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proportion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GT4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central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sub-Saharan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Africa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accounted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97%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infections.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2015,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estimated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order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remained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same,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GT1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dominant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worldwide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280E58" w:rsidRPr="001029FD">
        <w:rPr>
          <w:rFonts w:ascii="Book Antiqua" w:eastAsia="Book Antiqua" w:hAnsi="Book Antiqua" w:cs="Book Antiqua"/>
          <w:color w:val="000000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44%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25%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prevalence,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respectively,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GT4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continuing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rank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third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15%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280E58" w:rsidRPr="001029FD">
        <w:rPr>
          <w:rFonts w:ascii="Book Antiqua" w:eastAsia="Book Antiqua" w:hAnsi="Book Antiqua" w:cs="Book Antiqua"/>
          <w:color w:val="000000"/>
        </w:rPr>
        <w:t>prevalence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[93]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280E58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Given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need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genotyping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seems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losing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ground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1029FD">
        <w:rPr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our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knowledge,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published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last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few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years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prevalence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distribution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global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level.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</w:p>
    <w:p w14:paraId="2A41409D" w14:textId="224C9221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However,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several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papers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analyzed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issue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national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level.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Polish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German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cohorts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shown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proportion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GT1-infected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among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antiviral-treated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beginning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[89,95]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time,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proportion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declined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favor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GT3-infected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explanation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phenomenon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discussed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above.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beginning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35AB4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DAA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era,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GT1-infected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-specific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24-wk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combination.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suboptimal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virologic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GT3-infected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non-advanced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preferred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shorter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12-w</w:t>
      </w:r>
      <w:r w:rsidR="00702542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k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triple-drug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pegIFN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waiting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DCV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combination,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contained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manufacturers,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registration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reimbursement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difficult.</w:t>
      </w:r>
    </w:p>
    <w:p w14:paraId="77685FD0" w14:textId="7327B750" w:rsidR="00A77B3E" w:rsidRPr="001029FD" w:rsidRDefault="00865C50" w:rsidP="00280E58">
      <w:pPr>
        <w:spacing w:line="360" w:lineRule="auto"/>
        <w:ind w:firstLineChars="200" w:firstLine="480"/>
        <w:jc w:val="both"/>
      </w:pPr>
      <w:proofErr w:type="gramStart"/>
      <w:r w:rsidRPr="001029FD">
        <w:rPr>
          <w:rFonts w:ascii="Book Antiqua" w:eastAsia="Book Antiqua" w:hAnsi="Book Antiqua" w:cs="Book Antiqua"/>
          <w:color w:val="000000"/>
        </w:rPr>
        <w:t>Thus</w:t>
      </w:r>
      <w:proofErr w:type="gram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prevalence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GT1-infected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DAA-treated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decreased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Poland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between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2015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2018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12%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Germany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between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2014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2019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76110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introduction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China,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GT3-infected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6%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2016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2020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[96]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4AB350C" w14:textId="55B07245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beginning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era,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proportion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priority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access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reimbursable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single-center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RWE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Polish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51%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2015-2016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11.8%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2018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="00702542" w:rsidRPr="001029FD">
        <w:rPr>
          <w:rFonts w:ascii="Book Antiqua" w:eastAsia="Book Antiqua" w:hAnsi="Book Antiqua" w:cs="Book Antiqua"/>
          <w:color w:val="000000"/>
        </w:rPr>
        <w:t>.</w:t>
      </w:r>
    </w:p>
    <w:p w14:paraId="271ECDE0" w14:textId="77777777" w:rsidR="00A77B3E" w:rsidRPr="001029FD" w:rsidRDefault="00A77B3E" w:rsidP="0084785E">
      <w:pPr>
        <w:spacing w:line="360" w:lineRule="auto"/>
        <w:jc w:val="both"/>
      </w:pPr>
    </w:p>
    <w:p w14:paraId="63CCCCE9" w14:textId="73187B57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SPECIFIC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SUBPOPULATIONS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HCV-INFECTED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</w:p>
    <w:p w14:paraId="42DDEBDF" w14:textId="7EEAF6E1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IFN-based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antiviral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therapies,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specific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subpopulations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identified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recognized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difficult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because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prevalent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contraindications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poorer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adherence,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frequent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adverse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associated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discontinuation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[4,25]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essentially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longer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difficult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although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some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researchers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factors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negatively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affect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success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especially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occur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together.</w:t>
      </w:r>
    </w:p>
    <w:p w14:paraId="331E45E2" w14:textId="77777777" w:rsidR="00702542" w:rsidRPr="001029FD" w:rsidRDefault="00702542" w:rsidP="0084785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6AEB30F" w14:textId="7343BC3A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HCV/</w:t>
      </w:r>
      <w:r w:rsidR="00280E58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HIV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coinfection</w:t>
      </w:r>
    </w:p>
    <w:p w14:paraId="0718399E" w14:textId="4309028C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prevalence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HCV/</w:t>
      </w:r>
      <w:r w:rsidR="000A2CCD" w:rsidRPr="001029FD">
        <w:rPr>
          <w:rFonts w:ascii="Book Antiqua" w:eastAsia="Book Antiqua" w:hAnsi="Book Antiqua" w:cs="Book Antiqua"/>
          <w:color w:val="000000"/>
        </w:rPr>
        <w:t>HIV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varies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significantly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across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subpopulations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geographic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regions.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Recent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estimates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shown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about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2.5%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HIV-infected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[99]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IFN-based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HIV/HCV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considered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challenging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compared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monoinfection</w:t>
      </w:r>
      <w:proofErr w:type="spellEnd"/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Inferior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adherence,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drug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interactions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unfavorable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safety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profiles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significant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therapeutic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concerns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revolutionized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HIV/HCV-coinfected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individuals,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improving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adherence,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29FD">
        <w:rPr>
          <w:rFonts w:ascii="Book Antiqua" w:eastAsia="Book Antiqua" w:hAnsi="Book Antiqua" w:cs="Book Antiqua"/>
          <w:color w:val="000000"/>
        </w:rPr>
        <w:t>efficacy</w:t>
      </w:r>
      <w:proofErr w:type="gram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safety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profile.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range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shown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exceeding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95%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comparable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monoinfection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regardless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type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used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[101</w:t>
      </w:r>
      <w:r w:rsidR="00702542" w:rsidRPr="001029F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Similar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effectiveness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observed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carried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routine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medical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practice,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although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some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280E58" w:rsidRPr="001029FD">
        <w:rPr>
          <w:rFonts w:ascii="Book Antiqua" w:eastAsia="Book Antiqua" w:hAnsi="Book Antiqua" w:cs="Book Antiqua"/>
          <w:color w:val="000000"/>
        </w:rPr>
        <w:t>a</w:t>
      </w:r>
      <w:r w:rsidRPr="001029FD">
        <w:rPr>
          <w:rFonts w:ascii="Book Antiqua" w:eastAsia="Book Antiqua" w:hAnsi="Book Antiqua" w:cs="Book Antiqua"/>
          <w:color w:val="000000"/>
        </w:rPr>
        <w:t>uthors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monoinfection</w:t>
      </w:r>
      <w:proofErr w:type="spellEnd"/>
      <w:r w:rsidRPr="001029FD">
        <w:rPr>
          <w:rFonts w:ascii="Book Antiqua" w:eastAsia="Book Antiqua" w:hAnsi="Book Antiqua" w:cs="Book Antiqua"/>
          <w:color w:val="000000"/>
          <w:vertAlign w:val="superscript"/>
        </w:rPr>
        <w:t>[10</w:t>
      </w:r>
      <w:r w:rsidR="00A246AF" w:rsidRPr="001029FD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702542" w:rsidRPr="001029F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66260D80" w14:textId="77777777" w:rsidR="00702542" w:rsidRPr="001029FD" w:rsidRDefault="00702542" w:rsidP="0084785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7671CD8" w14:textId="45BE856B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Treatment-experienced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9CA5805" w14:textId="4BB397EA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t>Similar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observations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apply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history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prior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Numerous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different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document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compared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treatment-naïve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while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some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RWE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parameter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identified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unfavorable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factor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chances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virologic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ranging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0.7%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2.4%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depending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used,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type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severity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[39,55,70,73,110]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7EA0CBD4" w14:textId="3164868C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distinct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category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treatment-experienced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responded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subjected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subsequent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Data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German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F65B0B" w:rsidRPr="001029FD">
        <w:rPr>
          <w:rFonts w:ascii="Book Antiqua" w:eastAsia="Book Antiqua" w:hAnsi="Book Antiqua" w:cs="Book Antiqua"/>
          <w:color w:val="000000"/>
        </w:rPr>
        <w:t>hepatitis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F65B0B" w:rsidRPr="001029FD">
        <w:rPr>
          <w:rFonts w:ascii="Book Antiqua" w:eastAsia="Book Antiqua" w:hAnsi="Book Antiqua" w:cs="Book Antiqua"/>
          <w:color w:val="000000"/>
        </w:rPr>
        <w:t>C</w:t>
      </w:r>
      <w:r w:rsidR="00280E58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F65B0B" w:rsidRPr="001029FD">
        <w:rPr>
          <w:rFonts w:ascii="Book Antiqua" w:eastAsia="Book Antiqua" w:hAnsi="Book Antiqua" w:cs="Book Antiqua"/>
          <w:color w:val="000000"/>
        </w:rPr>
        <w:t>reg</w:t>
      </w:r>
      <w:r w:rsidRPr="001029FD">
        <w:rPr>
          <w:rFonts w:ascii="Book Antiqua" w:eastAsia="Book Antiqua" w:hAnsi="Book Antiqua" w:cs="Book Antiqua"/>
          <w:color w:val="000000"/>
        </w:rPr>
        <w:t>istry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described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unsatisfactory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79.5%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retreated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after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failure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initial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[111]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results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supported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findings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Polish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RWE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reporting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effectiveness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86%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</w:rPr>
        <w:t>-specific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previous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nonresponders</w:t>
      </w:r>
      <w:proofErr w:type="spellEnd"/>
      <w:r w:rsidRPr="001029FD"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280E58"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newly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published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analysis</w:t>
      </w:r>
      <w:r w:rsidR="00280E58" w:rsidRPr="001029FD">
        <w:rPr>
          <w:rFonts w:ascii="Book Antiqua" w:eastAsia="Book Antiqua" w:hAnsi="Book Antiqua" w:cs="Book Antiqua"/>
          <w:color w:val="000000"/>
        </w:rPr>
        <w:t xml:space="preserve"> also from Poland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evaluat</w:t>
      </w:r>
      <w:r w:rsidR="00280E58" w:rsidRPr="001029FD">
        <w:rPr>
          <w:rFonts w:ascii="Book Antiqua" w:eastAsia="Book Antiqua" w:hAnsi="Book Antiqua" w:cs="Book Antiqua"/>
          <w:color w:val="000000"/>
        </w:rPr>
        <w:t>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underwent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retreatment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[113]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</w:p>
    <w:p w14:paraId="1C1124F4" w14:textId="77777777" w:rsidR="00F65B0B" w:rsidRPr="001029FD" w:rsidRDefault="00F65B0B" w:rsidP="0084785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9B887E3" w14:textId="73360353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renal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impairment</w:t>
      </w:r>
    </w:p>
    <w:p w14:paraId="374203AE" w14:textId="7146E6EB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t>Chronic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independent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risk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factor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development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progression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chronic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kidney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(CKD)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[114]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other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hand,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due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suboptimal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hygiene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measures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some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dialysis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units,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prevalence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hemodialysis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significantly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(3.8</w:t>
      </w:r>
      <w:r w:rsidR="004F6EA9" w:rsidRPr="001029FD">
        <w:rPr>
          <w:rFonts w:ascii="Book Antiqua" w:eastAsia="Book Antiqua" w:hAnsi="Book Antiqua" w:cs="Book Antiqua"/>
          <w:color w:val="000000"/>
        </w:rPr>
        <w:t>%</w:t>
      </w:r>
      <w:r w:rsidRPr="001029FD">
        <w:rPr>
          <w:rFonts w:ascii="Book Antiqua" w:eastAsia="Book Antiqua" w:hAnsi="Book Antiqua" w:cs="Book Antiqua"/>
          <w:color w:val="000000"/>
        </w:rPr>
        <w:t>-31.1%)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[115]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Historically,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failure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limited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due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contraindications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both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medications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[116]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Also,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IFN-based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safety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profile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inferior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compared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normal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function.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Hemodialyzed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CHC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0E58" w:rsidRPr="001029FD">
        <w:rPr>
          <w:rFonts w:ascii="Book Antiqua" w:eastAsia="Book Antiqua" w:hAnsi="Book Antiqua" w:cs="Book Antiqua"/>
          <w:color w:val="000000"/>
        </w:rPr>
        <w:t>p</w:t>
      </w:r>
      <w:r w:rsidRPr="001029FD">
        <w:rPr>
          <w:rFonts w:ascii="Book Antiqua" w:eastAsia="Book Antiqua" w:hAnsi="Book Antiqua" w:cs="Book Antiqua"/>
          <w:color w:val="000000"/>
        </w:rPr>
        <w:t>egIFN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analyzed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meta-analysis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24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achieved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40%</w:t>
      </w:r>
      <w:r w:rsidR="00280E58" w:rsidRPr="001029FD">
        <w:rPr>
          <w:rFonts w:ascii="Book Antiqua" w:eastAsia="Book Antiqua" w:hAnsi="Book Antiqua" w:cs="Book Antiqua"/>
          <w:color w:val="000000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while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14%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discontinued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due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adverse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events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[117]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Due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distinct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metabolic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pathways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their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introduction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offered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well-tolerated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impairment,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including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hemodialysis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7A93F98F" w14:textId="0A420A45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SOF-containing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approved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estimated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glomerular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filtration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</w:t>
      </w:r>
      <w:r w:rsidR="004F6EA9" w:rsidRPr="001029FD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="00C36090" w:rsidRPr="001029FD">
        <w:rPr>
          <w:rStyle w:val="markedcontent"/>
          <w:rFonts w:ascii="Book Antiqua" w:eastAsia="Book Antiqua" w:hAnsi="Book Antiqua" w:cs="Book Antiqua"/>
          <w:color w:val="000000"/>
        </w:rPr>
        <w:t xml:space="preserve">&gt; </w:t>
      </w:r>
      <w:r w:rsidRPr="001029FD">
        <w:rPr>
          <w:rStyle w:val="markedcontent"/>
          <w:rFonts w:ascii="Book Antiqua" w:eastAsia="Book Antiqua" w:hAnsi="Book Antiqua" w:cs="Book Antiqua"/>
          <w:color w:val="000000"/>
        </w:rPr>
        <w:t>30</w:t>
      </w:r>
      <w:r w:rsidR="004F6EA9" w:rsidRPr="001029FD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markedcontent"/>
          <w:rFonts w:ascii="Book Antiqua" w:eastAsia="Book Antiqua" w:hAnsi="Book Antiqua" w:cs="Book Antiqua"/>
          <w:color w:val="000000"/>
        </w:rPr>
        <w:t>mL/min/1.73</w:t>
      </w:r>
      <w:r w:rsidR="004F6EA9" w:rsidRPr="001029FD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Style w:val="markedcontent"/>
          <w:rFonts w:ascii="Book Antiqua" w:eastAsia="Book Antiqua" w:hAnsi="Book Antiqua" w:cs="Book Antiqua"/>
          <w:color w:val="000000"/>
        </w:rPr>
        <w:t>m</w:t>
      </w:r>
      <w:r w:rsidRPr="001029FD">
        <w:rPr>
          <w:rStyle w:val="markedcontent"/>
          <w:rFonts w:ascii="Book Antiqua" w:eastAsia="Book Antiqua" w:hAnsi="Book Antiqua" w:cs="Book Antiqua"/>
          <w:color w:val="000000"/>
          <w:vertAlign w:val="superscript"/>
        </w:rPr>
        <w:t>2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due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limited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safety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data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severe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impairment.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However,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2019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according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label,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combinations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also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administered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dose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adjustment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280E58" w:rsidRPr="001029FD">
        <w:rPr>
          <w:rFonts w:ascii="Book Antiqua" w:eastAsia="Book Antiqua" w:hAnsi="Book Antiqua" w:cs="Book Antiqua"/>
          <w:color w:val="000000"/>
        </w:rPr>
        <w:t>estimated glomerular filtration rate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values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requiring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hemodialysis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other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relevant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available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[94,119,120]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meta-analysis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included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280E58" w:rsidRPr="001029FD">
        <w:rPr>
          <w:rFonts w:ascii="Book Antiqua" w:eastAsia="Book Antiqua" w:hAnsi="Book Antiqua" w:cs="Book Antiqua"/>
          <w:color w:val="000000"/>
        </w:rPr>
        <w:t>21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717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CKD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stages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4-5,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demonstrating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97%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good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safety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profile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SOF-containing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should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caution,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parameters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should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carefully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monitored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during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course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due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possibility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worsening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function,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demonstrated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Saxena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F6EA9" w:rsidRPr="001029F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[122]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19D9CA81" w14:textId="2290A2A7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Among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</w:rPr>
        <w:t>-specific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options,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OBV/PTV/r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+/-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DSV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GZR/EBR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registered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failure,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including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dialysis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[44,123]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RUBY-1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RUBY-2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demonstrated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95%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HCV-infected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CKD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stage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4-5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OBV/PTV/r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+/-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DSV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+/-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while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GZR/EBR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evaluated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C-SURFER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resulted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99%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[124,125]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options,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GLE/PIB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registered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severe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failure,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including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dialysis;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good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safety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profile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combination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documented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[78,126]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30CB04F6" w14:textId="77777777" w:rsidR="004F6EA9" w:rsidRPr="001029FD" w:rsidRDefault="004F6EA9" w:rsidP="0084785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33A6B63" w14:textId="787A530C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compensated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cirrhosis</w:t>
      </w:r>
    </w:p>
    <w:p w14:paraId="03369B79" w14:textId="06EA8C6E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achieved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compensated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C9777F" w:rsidRPr="001029FD">
        <w:rPr>
          <w:rFonts w:ascii="Book Antiqua" w:eastAsia="Book Antiqua" w:hAnsi="Book Antiqua" w:cs="Book Antiqua"/>
          <w:color w:val="000000"/>
        </w:rPr>
        <w:t xml:space="preserve">liver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C9777F" w:rsidRPr="001029FD">
        <w:rPr>
          <w:rFonts w:ascii="Book Antiqua" w:eastAsia="Book Antiqua" w:hAnsi="Book Antiqua" w:cs="Book Antiqua"/>
          <w:color w:val="000000"/>
        </w:rPr>
        <w:t xml:space="preserve">with cirrhosis </w:t>
      </w:r>
      <w:r w:rsidRPr="001029FD">
        <w:rPr>
          <w:rFonts w:ascii="Book Antiqua" w:eastAsia="Book Antiqua" w:hAnsi="Book Antiqua" w:cs="Book Antiqua"/>
          <w:color w:val="000000"/>
        </w:rPr>
        <w:t>treated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</w:rPr>
        <w:t>-specific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ranged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92%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96%,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while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evaluating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showed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96%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above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[67,76,127,128]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Although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results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corresponded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compared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[67,76,129]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Data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RWE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confirmed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C9777F" w:rsidRPr="001029FD">
        <w:rPr>
          <w:rFonts w:ascii="Book Antiqua" w:eastAsia="Book Antiqua" w:hAnsi="Book Antiqua" w:cs="Book Antiqua"/>
          <w:color w:val="000000"/>
        </w:rPr>
        <w:t xml:space="preserve"> population 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</w:t>
      </w:r>
      <w:r w:rsidR="00C9777F" w:rsidRPr="001029FD">
        <w:rPr>
          <w:rFonts w:ascii="Book Antiqua" w:eastAsia="Book Antiqua" w:hAnsi="Book Antiqua" w:cs="Book Antiqua"/>
          <w:color w:val="000000"/>
        </w:rPr>
        <w:t>s</w:t>
      </w:r>
      <w:r w:rsidRPr="001029FD">
        <w:rPr>
          <w:rFonts w:ascii="Book Antiqua" w:eastAsia="Book Antiqua" w:hAnsi="Book Antiqua" w:cs="Book Antiqua"/>
          <w:color w:val="000000"/>
        </w:rPr>
        <w:t>i</w:t>
      </w:r>
      <w:r w:rsidR="00C9777F" w:rsidRPr="001029FD">
        <w:rPr>
          <w:rFonts w:ascii="Book Antiqua" w:eastAsia="Book Antiqua" w:hAnsi="Book Antiqua" w:cs="Book Antiqua"/>
          <w:color w:val="000000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lastRenderedPageBreak/>
        <w:t>without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C9777F"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C9777F" w:rsidRPr="001029FD">
        <w:rPr>
          <w:rFonts w:ascii="Book Antiqua" w:eastAsia="Book Antiqua" w:hAnsi="Book Antiqua" w:cs="Book Antiqua"/>
          <w:color w:val="000000"/>
        </w:rPr>
        <w:t>M</w:t>
      </w:r>
      <w:r w:rsidRPr="001029FD">
        <w:rPr>
          <w:rFonts w:ascii="Book Antiqua" w:eastAsia="Book Antiqua" w:hAnsi="Book Antiqua" w:cs="Book Antiqua"/>
          <w:color w:val="000000"/>
        </w:rPr>
        <w:t>oreover,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decompensation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function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identified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independent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negative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predictor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[69,110,130]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should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IFN-based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absolutely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contraindicated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decompensated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due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cytokine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[131]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Also,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registered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Combinations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containing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protease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inhibitors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recommended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because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risk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worsening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function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Among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</w:rPr>
        <w:t>GT</w:t>
      </w:r>
      <w:r w:rsidRPr="001029FD">
        <w:rPr>
          <w:rFonts w:ascii="Book Antiqua" w:eastAsia="Book Antiqua" w:hAnsi="Book Antiqua" w:cs="Book Antiqua"/>
          <w:color w:val="000000"/>
        </w:rPr>
        <w:t>-specific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SOF/LDV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approved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decompensated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cirrhosis</w:t>
      </w:r>
      <w:r w:rsidR="00C9777F"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C9777F" w:rsidRPr="001029FD">
        <w:rPr>
          <w:rFonts w:ascii="Book Antiqua" w:eastAsia="Book Antiqua" w:hAnsi="Book Antiqua" w:cs="Book Antiqua"/>
          <w:color w:val="000000"/>
        </w:rPr>
        <w:t>A</w:t>
      </w:r>
      <w:r w:rsidRPr="001029FD">
        <w:rPr>
          <w:rFonts w:ascii="Book Antiqua" w:eastAsia="Book Antiqua" w:hAnsi="Book Antiqua" w:cs="Book Antiqua"/>
          <w:color w:val="000000"/>
        </w:rPr>
        <w:t>mong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regimens</w:t>
      </w:r>
      <w:r w:rsidR="00C9777F" w:rsidRPr="001029FD">
        <w:rPr>
          <w:rFonts w:ascii="Book Antiqua" w:eastAsia="Book Antiqua" w:hAnsi="Book Antiqua" w:cs="Book Antiqua"/>
          <w:color w:val="000000"/>
        </w:rPr>
        <w:t>, it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applies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±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±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SOF/VEL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combinations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[132</w:t>
      </w:r>
      <w:r w:rsidR="004F6EA9" w:rsidRPr="001029F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134]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45D92978" w14:textId="77777777" w:rsidR="004F6EA9" w:rsidRPr="001029FD" w:rsidRDefault="004F6EA9" w:rsidP="0084785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0F710A6" w14:textId="7E3181E3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affecting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gramStart"/>
      <w:r w:rsidRPr="001029FD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proofErr w:type="gramEnd"/>
    </w:p>
    <w:p w14:paraId="0146AA25" w14:textId="3787001B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t>Male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83491" w:rsidRPr="001029FD">
        <w:rPr>
          <w:rFonts w:ascii="Book Antiqua" w:eastAsia="Book Antiqua" w:hAnsi="Book Antiqua" w:cs="Book Antiqua"/>
          <w:color w:val="000000"/>
        </w:rPr>
        <w:t xml:space="preserve">sex </w:t>
      </w:r>
      <w:r w:rsidRPr="001029FD">
        <w:rPr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recognized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factor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reduce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effectiveness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Multivariate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logistic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regression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models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performed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large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retrospective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analysis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17487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nited </w:t>
      </w:r>
      <w:r w:rsidRPr="001029FD">
        <w:rPr>
          <w:rFonts w:ascii="Book Antiqua" w:eastAsia="Book Antiqua" w:hAnsi="Book Antiqua" w:cs="Book Antiqua"/>
          <w:color w:val="000000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tates </w:t>
      </w:r>
      <w:r w:rsidRPr="001029FD">
        <w:rPr>
          <w:rFonts w:ascii="Book Antiqua" w:eastAsia="Book Antiqua" w:hAnsi="Book Antiqua" w:cs="Book Antiqua"/>
          <w:color w:val="000000"/>
        </w:rPr>
        <w:t>veterans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found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083491" w:rsidRPr="001029FD">
        <w:rPr>
          <w:rFonts w:ascii="Book Antiqua" w:eastAsia="Book Antiqua" w:hAnsi="Book Antiqua" w:cs="Book Antiqua"/>
          <w:color w:val="000000"/>
        </w:rPr>
        <w:t xml:space="preserve">sex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independent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negative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predictor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achieving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SVR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data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confirm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results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other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RWE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analyses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conducted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numerically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smaller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[110,135]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0EF9FEE6" w14:textId="511BE57F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GT3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infection,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considered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easy-to-treat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population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IFN-based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therapy,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likely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respond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era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[43,136,137]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27B46C8A" w14:textId="77777777" w:rsidR="00A77B3E" w:rsidRPr="001029FD" w:rsidRDefault="00A77B3E" w:rsidP="0084785E">
      <w:pPr>
        <w:spacing w:line="360" w:lineRule="auto"/>
        <w:jc w:val="both"/>
      </w:pPr>
    </w:p>
    <w:p w14:paraId="4FB4A4D7" w14:textId="47D7CAB9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RESCUE</w:t>
      </w:r>
      <w:r w:rsidR="004F6EA9"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REGIMENS</w:t>
      </w:r>
    </w:p>
    <w:p w14:paraId="60249EDD" w14:textId="405BC770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exceeding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95%,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proportion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respond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achieving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[113,138]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selection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mutant-resistant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strains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carrying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resistance-associated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substitutions</w:t>
      </w:r>
      <w:r w:rsidR="00C9777F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contributing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NS5A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persistent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[139]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registered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three-drug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SOF/VEL/VOX.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introduction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SVR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96%-98%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failure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POLARIS-1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POLARIS-4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[84,80]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registration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supported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[113,140,141]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cohorts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1187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96%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undetectable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[140,141]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7EF62D7" w14:textId="122B3D9A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According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most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recent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European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Association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American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Association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Diseases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guidelines,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SOF/VEL/VOX,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extended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retherapy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plus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29FD">
        <w:rPr>
          <w:rFonts w:ascii="Book Antiqua" w:eastAsia="Book Antiqua" w:hAnsi="Book Antiqua" w:cs="Book Antiqua"/>
          <w:color w:val="000000"/>
        </w:rPr>
        <w:t>weight-based</w:t>
      </w:r>
      <w:proofErr w:type="gram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combination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GLE/PIB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recommended,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although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data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SOF/VEL/VOX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nonresponders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available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[94,142]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C9777F" w:rsidRPr="001029FD">
        <w:rPr>
          <w:rFonts w:ascii="Book Antiqua" w:eastAsia="Book Antiqua" w:hAnsi="Book Antiqua" w:cs="Book Antiqua"/>
          <w:color w:val="000000"/>
        </w:rPr>
        <w:t>wa</w:t>
      </w:r>
      <w:r w:rsidRPr="001029FD">
        <w:rPr>
          <w:rFonts w:ascii="Book Antiqua" w:eastAsia="Book Antiqua" w:hAnsi="Book Antiqua" w:cs="Book Antiqua"/>
          <w:color w:val="000000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pointed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retreatment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optimized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based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C9777F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resistance-associated substitution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testing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96%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efficacy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rescue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regimen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GLE/PIB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combination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evaluated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MAGELLAN-3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clinical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trial,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but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all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23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included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participants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were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GLE/PIB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failures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[143]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35AFDB26" w14:textId="405D7089" w:rsidR="00A77B3E" w:rsidRPr="001029FD" w:rsidRDefault="00865C50" w:rsidP="0084785E">
      <w:pPr>
        <w:spacing w:line="360" w:lineRule="auto"/>
        <w:ind w:firstLineChars="200" w:firstLine="480"/>
        <w:jc w:val="both"/>
      </w:pPr>
      <w:r w:rsidRPr="001029FD">
        <w:rPr>
          <w:rFonts w:ascii="Book Antiqua" w:eastAsia="Book Antiqua" w:hAnsi="Book Antiqua" w:cs="Book Antiqua"/>
          <w:color w:val="000000"/>
        </w:rPr>
        <w:t>Very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limited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data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receiving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GLE/PIB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+/-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RBV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retherapy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available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C9777F" w:rsidRPr="001029FD">
        <w:rPr>
          <w:rFonts w:ascii="Book Antiqua" w:eastAsia="Book Antiqua" w:hAnsi="Book Antiqua" w:cs="Book Antiqua"/>
          <w:color w:val="000000"/>
        </w:rPr>
        <w:t>RWE studies</w:t>
      </w:r>
      <w:r w:rsidRPr="001029FD">
        <w:rPr>
          <w:rFonts w:ascii="Book Antiqua" w:eastAsia="Book Antiqua" w:hAnsi="Book Antiqua" w:cs="Book Antiqua"/>
          <w:color w:val="000000"/>
        </w:rPr>
        <w:t>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open-label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study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conducted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New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Zealand,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treated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GLE/PIB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+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after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prior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failure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achieved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virologic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rate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98%</w:t>
      </w:r>
      <w:r w:rsidRPr="001029FD">
        <w:rPr>
          <w:rFonts w:ascii="Book Antiqua" w:eastAsia="Book Antiqua" w:hAnsi="Book Antiqua" w:cs="Book Antiqua"/>
          <w:color w:val="000000"/>
          <w:vertAlign w:val="superscript"/>
        </w:rPr>
        <w:t>[144]</w:t>
      </w:r>
      <w:r w:rsidRPr="001029FD">
        <w:rPr>
          <w:rFonts w:ascii="Book Antiqua" w:eastAsia="Book Antiqua" w:hAnsi="Book Antiqua" w:cs="Book Antiqua"/>
          <w:color w:val="000000"/>
        </w:rPr>
        <w:t>.</w:t>
      </w:r>
    </w:p>
    <w:p w14:paraId="77743683" w14:textId="77777777" w:rsidR="00A77B3E" w:rsidRPr="001029FD" w:rsidRDefault="00A77B3E" w:rsidP="0084785E">
      <w:pPr>
        <w:spacing w:line="360" w:lineRule="auto"/>
        <w:jc w:val="both"/>
      </w:pPr>
    </w:p>
    <w:p w14:paraId="405C3B12" w14:textId="77777777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D530891" w14:textId="08039DD4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beginning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availability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IFN-free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occurring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45F7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-specific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potent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pangenotypic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rescue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combinations.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HCV-infected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population,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starting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younger,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burdened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comorbidities.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options,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83491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sex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GT3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DAA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chances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  <w:shd w:val="clear" w:color="auto" w:fill="FFFFFF"/>
        </w:rPr>
        <w:t>cure.</w:t>
      </w:r>
    </w:p>
    <w:p w14:paraId="657C7326" w14:textId="77777777" w:rsidR="00A77B3E" w:rsidRPr="001029FD" w:rsidRDefault="00A77B3E" w:rsidP="0084785E">
      <w:pPr>
        <w:spacing w:line="360" w:lineRule="auto"/>
        <w:jc w:val="both"/>
      </w:pPr>
    </w:p>
    <w:p w14:paraId="725A55CA" w14:textId="77777777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1B87820E" w14:textId="53BFF7E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 </w:t>
      </w:r>
      <w:r w:rsidR="00E90DE7" w:rsidRPr="001029FD">
        <w:rPr>
          <w:rFonts w:ascii="Book Antiqua" w:eastAsia="宋体" w:hAnsi="Book Antiqua" w:cs="宋体"/>
          <w:b/>
          <w:bCs/>
          <w:lang w:eastAsia="zh-CN"/>
        </w:rPr>
        <w:t>World Health Organization.</w:t>
      </w:r>
      <w:r w:rsidRPr="001029FD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1029FD">
        <w:rPr>
          <w:rFonts w:ascii="Book Antiqua" w:eastAsia="宋体" w:hAnsi="Book Antiqua" w:cs="宋体"/>
          <w:lang w:eastAsia="zh-CN"/>
        </w:rPr>
        <w:t>Fact-sheets</w:t>
      </w:r>
      <w:proofErr w:type="gramEnd"/>
      <w:r w:rsidRPr="001029FD">
        <w:rPr>
          <w:rFonts w:ascii="Book Antiqua" w:eastAsia="宋体" w:hAnsi="Book Antiqua" w:cs="宋体"/>
          <w:lang w:eastAsia="zh-CN"/>
        </w:rPr>
        <w:t xml:space="preserve"> on Hepatitis C</w:t>
      </w:r>
      <w:r w:rsidR="00E90DE7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2022 Jun 24 [cited 4 October 2022]. Available from: https://www.who.int/news-room/fact-sheets/detail/hepatitis-c</w:t>
      </w:r>
    </w:p>
    <w:p w14:paraId="38950F7B" w14:textId="461F4E11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2 </w:t>
      </w:r>
      <w:r w:rsidRPr="001029FD">
        <w:rPr>
          <w:rFonts w:ascii="Book Antiqua" w:eastAsia="宋体" w:hAnsi="Book Antiqua" w:cs="宋体"/>
          <w:b/>
          <w:bCs/>
          <w:lang w:eastAsia="zh-CN"/>
        </w:rPr>
        <w:t>Lingala S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Ghany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MG. Natural History of Hepatitis C. </w:t>
      </w:r>
      <w:r w:rsidRPr="001029FD">
        <w:rPr>
          <w:rFonts w:ascii="Book Antiqua" w:eastAsia="宋体" w:hAnsi="Book Antiqua" w:cs="宋体"/>
          <w:i/>
          <w:iCs/>
          <w:lang w:eastAsia="zh-CN"/>
        </w:rPr>
        <w:t>Gastroenterol Clin North Am</w:t>
      </w:r>
      <w:r w:rsidRPr="001029FD">
        <w:rPr>
          <w:rFonts w:ascii="Book Antiqua" w:eastAsia="宋体" w:hAnsi="Book Antiqua" w:cs="宋体"/>
          <w:lang w:eastAsia="zh-CN"/>
        </w:rPr>
        <w:t xml:space="preserve"> 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44</w:t>
      </w:r>
      <w:r w:rsidRPr="001029FD">
        <w:rPr>
          <w:rFonts w:ascii="Book Antiqua" w:eastAsia="宋体" w:hAnsi="Book Antiqua" w:cs="宋体"/>
          <w:lang w:eastAsia="zh-CN"/>
        </w:rPr>
        <w:t>: 717-734 [PMID: 26600216 DOI: 10.1016/j.gtc.2015.07.003]</w:t>
      </w:r>
    </w:p>
    <w:p w14:paraId="497FA498" w14:textId="4A1314F1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3 </w:t>
      </w:r>
      <w:r w:rsidR="00E90DE7" w:rsidRPr="001029FD">
        <w:rPr>
          <w:rFonts w:ascii="Book Antiqua" w:eastAsia="宋体" w:hAnsi="Book Antiqua" w:cs="宋体"/>
          <w:b/>
          <w:bCs/>
          <w:lang w:eastAsia="zh-CN"/>
        </w:rPr>
        <w:t>Messina JP</w:t>
      </w:r>
      <w:r w:rsidR="00E90DE7" w:rsidRPr="001029FD">
        <w:rPr>
          <w:rFonts w:ascii="Book Antiqua" w:eastAsia="宋体" w:hAnsi="Book Antiqua" w:cs="宋体"/>
          <w:lang w:eastAsia="zh-CN"/>
        </w:rPr>
        <w:t xml:space="preserve">, Humphreys I, Flaxman A, Brown A, Cooke GS, </w:t>
      </w:r>
      <w:proofErr w:type="spellStart"/>
      <w:r w:rsidR="00E90DE7" w:rsidRPr="001029FD">
        <w:rPr>
          <w:rFonts w:ascii="Book Antiqua" w:eastAsia="宋体" w:hAnsi="Book Antiqua" w:cs="宋体"/>
          <w:lang w:eastAsia="zh-CN"/>
        </w:rPr>
        <w:t>Pybus</w:t>
      </w:r>
      <w:proofErr w:type="spellEnd"/>
      <w:r w:rsidR="00E90DE7" w:rsidRPr="001029FD">
        <w:rPr>
          <w:rFonts w:ascii="Book Antiqua" w:eastAsia="宋体" w:hAnsi="Book Antiqua" w:cs="宋体"/>
          <w:lang w:eastAsia="zh-CN"/>
        </w:rPr>
        <w:t xml:space="preserve"> OG, Barnes E. Global distribution and prevalence of hepatitis C virus genotypes. </w:t>
      </w:r>
      <w:r w:rsidR="00E90DE7" w:rsidRPr="001029FD">
        <w:rPr>
          <w:rFonts w:ascii="Book Antiqua" w:eastAsia="宋体" w:hAnsi="Book Antiqua" w:cs="宋体"/>
          <w:i/>
          <w:iCs/>
          <w:lang w:eastAsia="zh-CN"/>
        </w:rPr>
        <w:t>Hepatology</w:t>
      </w:r>
      <w:r w:rsidR="00E90DE7" w:rsidRPr="001029FD">
        <w:rPr>
          <w:rFonts w:ascii="Book Antiqua" w:eastAsia="宋体" w:hAnsi="Book Antiqua" w:cs="宋体"/>
          <w:lang w:eastAsia="zh-CN"/>
        </w:rPr>
        <w:t xml:space="preserve">; </w:t>
      </w:r>
      <w:r w:rsidR="00E90DE7" w:rsidRPr="001029FD">
        <w:rPr>
          <w:rFonts w:ascii="Book Antiqua" w:eastAsia="宋体" w:hAnsi="Book Antiqua" w:cs="宋体"/>
          <w:b/>
          <w:bCs/>
          <w:lang w:eastAsia="zh-CN"/>
        </w:rPr>
        <w:t>61</w:t>
      </w:r>
      <w:r w:rsidR="00E90DE7" w:rsidRPr="001029FD">
        <w:rPr>
          <w:rFonts w:ascii="Book Antiqua" w:eastAsia="宋体" w:hAnsi="Book Antiqua" w:cs="宋体"/>
          <w:lang w:eastAsia="zh-CN"/>
        </w:rPr>
        <w:t>: 77-87 [PMID: 25069599 DOI: 10.1002/hep.27259]</w:t>
      </w:r>
    </w:p>
    <w:p w14:paraId="40DA3CED" w14:textId="68CE253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4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R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Pogorzelska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Berak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Horban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Orłowska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Simon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Tuchendler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Madej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Piekarska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Jabłkowski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Deroń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Z, Mazur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Kaczmarczyk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Janczewska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Pisula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Smykał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Nowak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Matukiewicz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Halota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Wernik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Sikorska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Mozer-Lisewska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Rozpłochowski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Garlicki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Tomasiewicz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Krzowska-Firych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Baka-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Ćwierz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Kryczka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Zarębska-Michaluk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Olszok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Boroń-Kaczmarska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Sobala-Szczygieł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Szlauer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Korcz-Ondrzejek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Sieklucki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Pleśniak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Ruszała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Postawa-Kłosińska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Citko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Lachowicz-Wawrzyniak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Musialik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Jezierska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Dobracki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Dobracka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Hałubiec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Krygier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Strokowska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Chomczyk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Witczak-Malinowska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K. Efficacy of HCV treatment in Poland at the turn of the interferon era - the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EpiTer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study. </w:t>
      </w:r>
      <w:r w:rsidRPr="001029FD">
        <w:rPr>
          <w:rFonts w:ascii="Book Antiqua" w:eastAsia="宋体" w:hAnsi="Book Antiqua" w:cs="宋体"/>
          <w:i/>
          <w:iCs/>
          <w:lang w:eastAsia="zh-CN"/>
        </w:rPr>
        <w:t>Clin Exp Hepatol</w:t>
      </w:r>
      <w:r w:rsidRPr="001029FD">
        <w:rPr>
          <w:rFonts w:ascii="Book Antiqua" w:eastAsia="宋体" w:hAnsi="Book Antiqua" w:cs="宋体"/>
          <w:lang w:eastAsia="zh-CN"/>
        </w:rPr>
        <w:t xml:space="preserve"> 2016; </w:t>
      </w:r>
      <w:r w:rsidRPr="001029FD">
        <w:rPr>
          <w:rFonts w:ascii="Book Antiqua" w:eastAsia="宋体" w:hAnsi="Book Antiqua" w:cs="宋体"/>
          <w:b/>
          <w:bCs/>
          <w:lang w:eastAsia="zh-CN"/>
        </w:rPr>
        <w:t>2</w:t>
      </w:r>
      <w:r w:rsidRPr="001029FD">
        <w:rPr>
          <w:rFonts w:ascii="Book Antiqua" w:eastAsia="宋体" w:hAnsi="Book Antiqua" w:cs="宋体"/>
          <w:lang w:eastAsia="zh-CN"/>
        </w:rPr>
        <w:t>: 138-143 [PMID: 28856278 DOI: 10.5114/ceh.2016.63870]</w:t>
      </w:r>
    </w:p>
    <w:p w14:paraId="0F60248C" w14:textId="581D5621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5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Alqahtani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SA</w:t>
      </w:r>
      <w:r w:rsidRPr="001029FD">
        <w:rPr>
          <w:rFonts w:ascii="Book Antiqua" w:eastAsia="宋体" w:hAnsi="Book Antiqua" w:cs="宋体"/>
          <w:lang w:eastAsia="zh-CN"/>
        </w:rPr>
        <w:t xml:space="preserve">, Colombo M. Treatment for Viral Hepatitis as Secondary Prevention for Hepatocellular Carcinoma. </w:t>
      </w:r>
      <w:r w:rsidRPr="001029FD">
        <w:rPr>
          <w:rFonts w:ascii="Book Antiqua" w:eastAsia="宋体" w:hAnsi="Book Antiqua" w:cs="宋体"/>
          <w:i/>
          <w:iCs/>
          <w:lang w:eastAsia="zh-CN"/>
        </w:rPr>
        <w:t>Cells</w:t>
      </w:r>
      <w:r w:rsidRPr="001029FD">
        <w:rPr>
          <w:rFonts w:ascii="Book Antiqua" w:eastAsia="宋体" w:hAnsi="Book Antiqua" w:cs="宋体"/>
          <w:lang w:eastAsia="zh-CN"/>
        </w:rPr>
        <w:t xml:space="preserve"> 2021; </w:t>
      </w:r>
      <w:r w:rsidRPr="001029FD">
        <w:rPr>
          <w:rFonts w:ascii="Book Antiqua" w:eastAsia="宋体" w:hAnsi="Book Antiqua" w:cs="宋体"/>
          <w:b/>
          <w:bCs/>
          <w:lang w:eastAsia="zh-CN"/>
        </w:rPr>
        <w:t>10</w:t>
      </w:r>
      <w:r w:rsidRPr="001029FD">
        <w:rPr>
          <w:rFonts w:ascii="Book Antiqua" w:eastAsia="宋体" w:hAnsi="Book Antiqua" w:cs="宋体"/>
          <w:lang w:eastAsia="zh-CN"/>
        </w:rPr>
        <w:t xml:space="preserve"> [PMID: 34831314 DOI: 10.3390/cells10113091]</w:t>
      </w:r>
    </w:p>
    <w:p w14:paraId="7666B72B" w14:textId="6E1BB1D5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6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Zarębska-Michaluk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1029FD">
        <w:rPr>
          <w:rFonts w:ascii="Book Antiqua" w:eastAsia="宋体" w:hAnsi="Book Antiqua" w:cs="宋体"/>
          <w:lang w:eastAsia="zh-CN"/>
        </w:rPr>
        <w:t xml:space="preserve">. Viral hepatitis C treatment shortening - what is the limit? </w:t>
      </w:r>
      <w:r w:rsidRPr="001029FD">
        <w:rPr>
          <w:rFonts w:ascii="Book Antiqua" w:eastAsia="宋体" w:hAnsi="Book Antiqua" w:cs="宋体"/>
          <w:i/>
          <w:iCs/>
          <w:lang w:eastAsia="zh-CN"/>
        </w:rPr>
        <w:t>Clin Exp Hepatol</w:t>
      </w:r>
      <w:r w:rsidRPr="001029FD">
        <w:rPr>
          <w:rFonts w:ascii="Book Antiqua" w:eastAsia="宋体" w:hAnsi="Book Antiqua" w:cs="宋体"/>
          <w:lang w:eastAsia="zh-CN"/>
        </w:rPr>
        <w:t xml:space="preserve"> 2019; </w:t>
      </w:r>
      <w:r w:rsidRPr="001029FD">
        <w:rPr>
          <w:rFonts w:ascii="Book Antiqua" w:eastAsia="宋体" w:hAnsi="Book Antiqua" w:cs="宋体"/>
          <w:b/>
          <w:bCs/>
          <w:lang w:eastAsia="zh-CN"/>
        </w:rPr>
        <w:t>5</w:t>
      </w:r>
      <w:r w:rsidRPr="001029FD">
        <w:rPr>
          <w:rFonts w:ascii="Book Antiqua" w:eastAsia="宋体" w:hAnsi="Book Antiqua" w:cs="宋体"/>
          <w:lang w:eastAsia="zh-CN"/>
        </w:rPr>
        <w:t>: 265-270 [PMID: 31893236 DOI: 10.5114/ceh.2019.88085]</w:t>
      </w:r>
    </w:p>
    <w:p w14:paraId="5D8DE22F" w14:textId="59960259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7 </w:t>
      </w:r>
      <w:r w:rsidRPr="001029FD">
        <w:rPr>
          <w:rFonts w:ascii="Book Antiqua" w:eastAsia="宋体" w:hAnsi="Book Antiqua" w:cs="宋体"/>
          <w:b/>
          <w:bCs/>
          <w:lang w:eastAsia="zh-CN"/>
        </w:rPr>
        <w:t>Hoofnagle JH</w:t>
      </w:r>
      <w:r w:rsidRPr="001029FD">
        <w:rPr>
          <w:rFonts w:ascii="Book Antiqua" w:eastAsia="宋体" w:hAnsi="Book Antiqua" w:cs="宋体"/>
          <w:lang w:eastAsia="zh-CN"/>
        </w:rPr>
        <w:t xml:space="preserve">, Mullen KD, Jones DB,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Rustgi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Di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Bisceglie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Peters M, Waggoner JG, Park Y, Jones EA. Treatment of chronic non-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A,non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-B hepatitis with recombinant human alpha interferon. A preliminary report.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1986; </w:t>
      </w:r>
      <w:r w:rsidRPr="001029FD">
        <w:rPr>
          <w:rFonts w:ascii="Book Antiqua" w:eastAsia="宋体" w:hAnsi="Book Antiqua" w:cs="宋体"/>
          <w:b/>
          <w:bCs/>
          <w:lang w:eastAsia="zh-CN"/>
        </w:rPr>
        <w:t>315</w:t>
      </w:r>
      <w:r w:rsidRPr="001029FD">
        <w:rPr>
          <w:rFonts w:ascii="Book Antiqua" w:eastAsia="宋体" w:hAnsi="Book Antiqua" w:cs="宋体"/>
          <w:lang w:eastAsia="zh-CN"/>
        </w:rPr>
        <w:t>: 1575-1578 [PMID: 3097544 DOI: 10.1056/NEJM198612183152503]</w:t>
      </w:r>
    </w:p>
    <w:p w14:paraId="272AFEC4" w14:textId="150D6D2A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8 </w:t>
      </w:r>
      <w:r w:rsidRPr="001029FD">
        <w:rPr>
          <w:rFonts w:ascii="Book Antiqua" w:eastAsia="宋体" w:hAnsi="Book Antiqua" w:cs="宋体"/>
          <w:b/>
          <w:bCs/>
          <w:lang w:eastAsia="zh-CN"/>
        </w:rPr>
        <w:t xml:space="preserve">Di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Bisceglie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AM</w:t>
      </w:r>
      <w:r w:rsidRPr="001029FD">
        <w:rPr>
          <w:rFonts w:ascii="Book Antiqua" w:eastAsia="宋体" w:hAnsi="Book Antiqua" w:cs="宋体"/>
          <w:lang w:eastAsia="zh-CN"/>
        </w:rPr>
        <w:t xml:space="preserve">, Martin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Kassianides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Lisker-Melman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Murray L, Waggoner J, Goodman Z, Banks SM, Hoofnagle JH. Recombinant interferon alfa therapy for chronic </w:t>
      </w:r>
      <w:r w:rsidRPr="001029FD">
        <w:rPr>
          <w:rFonts w:ascii="Book Antiqua" w:eastAsia="宋体" w:hAnsi="Book Antiqua" w:cs="宋体"/>
          <w:lang w:eastAsia="zh-CN"/>
        </w:rPr>
        <w:lastRenderedPageBreak/>
        <w:t xml:space="preserve">hepatitis C. A randomized, double-blind, placebo-controlled trial.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1989; </w:t>
      </w:r>
      <w:r w:rsidRPr="001029FD">
        <w:rPr>
          <w:rFonts w:ascii="Book Antiqua" w:eastAsia="宋体" w:hAnsi="Book Antiqua" w:cs="宋体"/>
          <w:b/>
          <w:bCs/>
          <w:lang w:eastAsia="zh-CN"/>
        </w:rPr>
        <w:t>321</w:t>
      </w:r>
      <w:r w:rsidRPr="001029FD">
        <w:rPr>
          <w:rFonts w:ascii="Book Antiqua" w:eastAsia="宋体" w:hAnsi="Book Antiqua" w:cs="宋体"/>
          <w:lang w:eastAsia="zh-CN"/>
        </w:rPr>
        <w:t>: 1506-1510 [PMID: 2509917 DOI: 10.1056/NEJM198911303212204]</w:t>
      </w:r>
    </w:p>
    <w:p w14:paraId="377C68F0" w14:textId="00B2E1AA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9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Brillanti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1029FD">
        <w:rPr>
          <w:rFonts w:ascii="Book Antiqua" w:eastAsia="宋体" w:hAnsi="Book Antiqua" w:cs="宋体"/>
          <w:lang w:eastAsia="zh-CN"/>
        </w:rPr>
        <w:t xml:space="preserve">, Garson JA,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Tuke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PW, Ring C, Briggs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Masci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Miglioli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Barbara L, Tedder RS. Effect of alpha-interferon therapy on hepatitis C viraemia in community-acquired chronic non-A, non-B hepatitis: a quantitative polymerase chain reaction study.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J Med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Virol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1991; </w:t>
      </w:r>
      <w:r w:rsidRPr="001029FD">
        <w:rPr>
          <w:rFonts w:ascii="Book Antiqua" w:eastAsia="宋体" w:hAnsi="Book Antiqua" w:cs="宋体"/>
          <w:b/>
          <w:bCs/>
          <w:lang w:eastAsia="zh-CN"/>
        </w:rPr>
        <w:t>34</w:t>
      </w:r>
      <w:r w:rsidRPr="001029FD">
        <w:rPr>
          <w:rFonts w:ascii="Book Antiqua" w:eastAsia="宋体" w:hAnsi="Book Antiqua" w:cs="宋体"/>
          <w:lang w:eastAsia="zh-CN"/>
        </w:rPr>
        <w:t>: 136-141 [PMID: 1716296 DOI: 10.1002/jmv.1890340213]</w:t>
      </w:r>
    </w:p>
    <w:p w14:paraId="3AD2A0D2" w14:textId="394544F0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10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JG</w:t>
      </w:r>
      <w:r w:rsidRPr="001029FD">
        <w:rPr>
          <w:rFonts w:ascii="Book Antiqua" w:eastAsia="宋体" w:hAnsi="Book Antiqua" w:cs="宋体"/>
          <w:lang w:eastAsia="zh-CN"/>
        </w:rPr>
        <w:t xml:space="preserve">, Gordon SC, Schiff ER,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Shiffman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ML, Lee WM,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Rustgi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VK, Goodman ZD, Ling MH,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Cort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Albrecht JK. Interferon alfa-2b alone or in combination with ribavirin as initial treatment for chronic hepatitis C. Hepatitis Interventional Therapy Group.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1998; </w:t>
      </w:r>
      <w:r w:rsidRPr="001029FD">
        <w:rPr>
          <w:rFonts w:ascii="Book Antiqua" w:eastAsia="宋体" w:hAnsi="Book Antiqua" w:cs="宋体"/>
          <w:b/>
          <w:bCs/>
          <w:lang w:eastAsia="zh-CN"/>
        </w:rPr>
        <w:t>339</w:t>
      </w:r>
      <w:r w:rsidRPr="001029FD">
        <w:rPr>
          <w:rFonts w:ascii="Book Antiqua" w:eastAsia="宋体" w:hAnsi="Book Antiqua" w:cs="宋体"/>
          <w:lang w:eastAsia="zh-CN"/>
        </w:rPr>
        <w:t>: 1485-1492 [PMID: 9819446 DOI: 10.1056/NEJM199811193392101]</w:t>
      </w:r>
    </w:p>
    <w:p w14:paraId="3D7065C4" w14:textId="35D7F4DF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11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Poynard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1029FD">
        <w:rPr>
          <w:rFonts w:ascii="Book Antiqua" w:eastAsia="宋体" w:hAnsi="Book Antiqua" w:cs="宋体"/>
          <w:lang w:eastAsia="zh-CN"/>
        </w:rPr>
        <w:t xml:space="preserve">, Marcellin P, Lee SS,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Niederau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Minuk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Ideo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Bain V, Heathcote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Trepo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Albrecht J.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Randomised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trial of interferon alpha2b plus ribavirin for 48 weeks or for 24 weeks versus interferon alpha2b plus placebo for 48 weeks for treatment of chronic infection with hepatitis C virus. International Hepatitis Interventional Therapy Group (IHIT). </w:t>
      </w:r>
      <w:r w:rsidRPr="001029FD">
        <w:rPr>
          <w:rFonts w:ascii="Book Antiqua" w:eastAsia="宋体" w:hAnsi="Book Antiqua" w:cs="宋体"/>
          <w:i/>
          <w:iCs/>
          <w:lang w:eastAsia="zh-CN"/>
        </w:rPr>
        <w:t>Lancet</w:t>
      </w:r>
      <w:r w:rsidRPr="001029FD">
        <w:rPr>
          <w:rFonts w:ascii="Book Antiqua" w:eastAsia="宋体" w:hAnsi="Book Antiqua" w:cs="宋体"/>
          <w:lang w:eastAsia="zh-CN"/>
        </w:rPr>
        <w:t xml:space="preserve"> 1998; </w:t>
      </w:r>
      <w:r w:rsidRPr="001029FD">
        <w:rPr>
          <w:rFonts w:ascii="Book Antiqua" w:eastAsia="宋体" w:hAnsi="Book Antiqua" w:cs="宋体"/>
          <w:b/>
          <w:bCs/>
          <w:lang w:eastAsia="zh-CN"/>
        </w:rPr>
        <w:t>352</w:t>
      </w:r>
      <w:r w:rsidRPr="001029FD">
        <w:rPr>
          <w:rFonts w:ascii="Book Antiqua" w:eastAsia="宋体" w:hAnsi="Book Antiqua" w:cs="宋体"/>
          <w:lang w:eastAsia="zh-CN"/>
        </w:rPr>
        <w:t>: 1426-1432 [PMID: 9807989 DOI: 10.1016/s0140-6736(98)07124-4]</w:t>
      </w:r>
    </w:p>
    <w:p w14:paraId="1BFCE300" w14:textId="55034A87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12 </w:t>
      </w:r>
      <w:r w:rsidRPr="001029FD">
        <w:rPr>
          <w:rFonts w:ascii="Book Antiqua" w:eastAsia="宋体" w:hAnsi="Book Antiqua" w:cs="宋体"/>
          <w:b/>
          <w:bCs/>
          <w:lang w:eastAsia="zh-CN"/>
        </w:rPr>
        <w:t>Reichard O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Norkrans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Frydén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Braconier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Sönnerborg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Weiland O.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Randomised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, double-blind, placebo-controlled trial of interferon alpha-2b with and without ribavirin for chronic hepatitis C. The Swedish Study Group. </w:t>
      </w:r>
      <w:r w:rsidRPr="001029FD">
        <w:rPr>
          <w:rFonts w:ascii="Book Antiqua" w:eastAsia="宋体" w:hAnsi="Book Antiqua" w:cs="宋体"/>
          <w:i/>
          <w:iCs/>
          <w:lang w:eastAsia="zh-CN"/>
        </w:rPr>
        <w:t>Lancet</w:t>
      </w:r>
      <w:r w:rsidRPr="001029FD">
        <w:rPr>
          <w:rFonts w:ascii="Book Antiqua" w:eastAsia="宋体" w:hAnsi="Book Antiqua" w:cs="宋体"/>
          <w:lang w:eastAsia="zh-CN"/>
        </w:rPr>
        <w:t xml:space="preserve"> 1998; </w:t>
      </w:r>
      <w:r w:rsidRPr="001029FD">
        <w:rPr>
          <w:rFonts w:ascii="Book Antiqua" w:eastAsia="宋体" w:hAnsi="Book Antiqua" w:cs="宋体"/>
          <w:b/>
          <w:bCs/>
          <w:lang w:eastAsia="zh-CN"/>
        </w:rPr>
        <w:t>351</w:t>
      </w:r>
      <w:r w:rsidRPr="001029FD">
        <w:rPr>
          <w:rFonts w:ascii="Book Antiqua" w:eastAsia="宋体" w:hAnsi="Book Antiqua" w:cs="宋体"/>
          <w:lang w:eastAsia="zh-CN"/>
        </w:rPr>
        <w:t>: 83-87 [PMID: 9439491 DOI: 10.1016/s0140-6736(97)06088-1]</w:t>
      </w:r>
    </w:p>
    <w:p w14:paraId="4F9D45D3" w14:textId="07255308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13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Dusheiko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G</w:t>
      </w:r>
      <w:r w:rsidRPr="001029FD">
        <w:rPr>
          <w:rFonts w:ascii="Book Antiqua" w:eastAsia="宋体" w:hAnsi="Book Antiqua" w:cs="宋体"/>
          <w:lang w:eastAsia="zh-CN"/>
        </w:rPr>
        <w:t xml:space="preserve">, Main J, Thomas H, Reichard O, Lee C, Dhillon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Rassam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Fryden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Reesink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Bassendine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Norkrans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Cuypers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Lelie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Telfer P, Watson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Weegink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Sillikens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Weiland O. Ribavirin treatment for patients with chronic hepatitis C: results of a placebo-controlled study.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Pr="001029FD">
        <w:rPr>
          <w:rFonts w:ascii="Book Antiqua" w:eastAsia="宋体" w:hAnsi="Book Antiqua" w:cs="宋体"/>
          <w:lang w:eastAsia="zh-CN"/>
        </w:rPr>
        <w:t xml:space="preserve"> 1996; </w:t>
      </w:r>
      <w:r w:rsidRPr="001029FD">
        <w:rPr>
          <w:rFonts w:ascii="Book Antiqua" w:eastAsia="宋体" w:hAnsi="Book Antiqua" w:cs="宋体"/>
          <w:b/>
          <w:bCs/>
          <w:lang w:eastAsia="zh-CN"/>
        </w:rPr>
        <w:t>25</w:t>
      </w:r>
      <w:r w:rsidRPr="001029FD">
        <w:rPr>
          <w:rFonts w:ascii="Book Antiqua" w:eastAsia="宋体" w:hAnsi="Book Antiqua" w:cs="宋体"/>
          <w:lang w:eastAsia="zh-CN"/>
        </w:rPr>
        <w:t>: 591-598 [PMID: 8938532 DOI: 10.1016/s0168-8278(96)80225-x]</w:t>
      </w:r>
    </w:p>
    <w:p w14:paraId="5F8C8CC9" w14:textId="4AB5796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14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JG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Patel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Poynard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Lindsay KL,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Trepo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Dienstag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Lee WM,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Garaud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JJ, Albrecht JK; International Hepatitis Interventional Therapy Group. Adherence to combination therapy enhances sustained response in genotype-1-</w:t>
      </w:r>
      <w:r w:rsidRPr="001029FD">
        <w:rPr>
          <w:rFonts w:ascii="Book Antiqua" w:eastAsia="宋体" w:hAnsi="Book Antiqua" w:cs="宋体"/>
          <w:lang w:eastAsia="zh-CN"/>
        </w:rPr>
        <w:lastRenderedPageBreak/>
        <w:t xml:space="preserve">infected patients with chronic hepatitis C. </w:t>
      </w:r>
      <w:r w:rsidRPr="001029FD">
        <w:rPr>
          <w:rFonts w:ascii="Book Antiqua" w:eastAsia="宋体" w:hAnsi="Book Antiqua" w:cs="宋体"/>
          <w:i/>
          <w:iCs/>
          <w:lang w:eastAsia="zh-CN"/>
        </w:rPr>
        <w:t>Gastroenterology</w:t>
      </w:r>
      <w:r w:rsidRPr="001029FD">
        <w:rPr>
          <w:rFonts w:ascii="Book Antiqua" w:eastAsia="宋体" w:hAnsi="Book Antiqua" w:cs="宋体"/>
          <w:lang w:eastAsia="zh-CN"/>
        </w:rPr>
        <w:t xml:space="preserve"> 2002; </w:t>
      </w:r>
      <w:r w:rsidRPr="001029FD">
        <w:rPr>
          <w:rFonts w:ascii="Book Antiqua" w:eastAsia="宋体" w:hAnsi="Book Antiqua" w:cs="宋体"/>
          <w:b/>
          <w:bCs/>
          <w:lang w:eastAsia="zh-CN"/>
        </w:rPr>
        <w:t>123</w:t>
      </w:r>
      <w:r w:rsidRPr="001029FD">
        <w:rPr>
          <w:rFonts w:ascii="Book Antiqua" w:eastAsia="宋体" w:hAnsi="Book Antiqua" w:cs="宋体"/>
          <w:lang w:eastAsia="zh-CN"/>
        </w:rPr>
        <w:t>: 1061-1069 [PMID: 12360468 DOI: 10.1053/gast.2002.35950]</w:t>
      </w:r>
    </w:p>
    <w:p w14:paraId="2E01F2C2" w14:textId="7DC6569A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15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Manns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MP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Gordon SC,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Rustgi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Shiffman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Reindollar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Goodman ZD,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Koury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Ling M, Albrecht JK. Peginterferon alfa-2b plus ribavirin compared with interferon alfa-2b plus ribavirin for initial treatment of chronic hepatitis C: a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randomised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trial. </w:t>
      </w:r>
      <w:r w:rsidRPr="001029FD">
        <w:rPr>
          <w:rFonts w:ascii="Book Antiqua" w:eastAsia="宋体" w:hAnsi="Book Antiqua" w:cs="宋体"/>
          <w:i/>
          <w:iCs/>
          <w:lang w:eastAsia="zh-CN"/>
        </w:rPr>
        <w:t>Lancet</w:t>
      </w:r>
      <w:r w:rsidRPr="001029FD">
        <w:rPr>
          <w:rFonts w:ascii="Book Antiqua" w:eastAsia="宋体" w:hAnsi="Book Antiqua" w:cs="宋体"/>
          <w:lang w:eastAsia="zh-CN"/>
        </w:rPr>
        <w:t xml:space="preserve"> 2001; </w:t>
      </w:r>
      <w:r w:rsidRPr="001029FD">
        <w:rPr>
          <w:rFonts w:ascii="Book Antiqua" w:eastAsia="宋体" w:hAnsi="Book Antiqua" w:cs="宋体"/>
          <w:b/>
          <w:bCs/>
          <w:lang w:eastAsia="zh-CN"/>
        </w:rPr>
        <w:t>358</w:t>
      </w:r>
      <w:r w:rsidRPr="001029FD">
        <w:rPr>
          <w:rFonts w:ascii="Book Antiqua" w:eastAsia="宋体" w:hAnsi="Book Antiqua" w:cs="宋体"/>
          <w:lang w:eastAsia="zh-CN"/>
        </w:rPr>
        <w:t>: 958-965 [PMID: 11583749 DOI: 10.1016/s0140-6736(01)06102-5]</w:t>
      </w:r>
    </w:p>
    <w:p w14:paraId="1BCAB9FF" w14:textId="1B32A30A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16 </w:t>
      </w:r>
      <w:r w:rsidRPr="001029FD">
        <w:rPr>
          <w:rFonts w:ascii="Book Antiqua" w:eastAsia="宋体" w:hAnsi="Book Antiqua" w:cs="宋体"/>
          <w:b/>
          <w:bCs/>
          <w:lang w:eastAsia="zh-CN"/>
        </w:rPr>
        <w:t>Heathcote EJ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Shiffman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Cooksley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Dusheiko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GM, Lee SS, Balart 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Reindollar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Reddy RK, Wright TL, Lin A, Hoffman J, De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Pamphilis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J. Peginterferon alfa-2a in patients with chronic hepatitis C and cirrhosis.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2000; </w:t>
      </w:r>
      <w:r w:rsidRPr="001029FD">
        <w:rPr>
          <w:rFonts w:ascii="Book Antiqua" w:eastAsia="宋体" w:hAnsi="Book Antiqua" w:cs="宋体"/>
          <w:b/>
          <w:bCs/>
          <w:lang w:eastAsia="zh-CN"/>
        </w:rPr>
        <w:t>343</w:t>
      </w:r>
      <w:r w:rsidRPr="001029FD">
        <w:rPr>
          <w:rFonts w:ascii="Book Antiqua" w:eastAsia="宋体" w:hAnsi="Book Antiqua" w:cs="宋体"/>
          <w:lang w:eastAsia="zh-CN"/>
        </w:rPr>
        <w:t>: 1673-1680 [PMID: 11106716 DOI: 10.1056/NEJM200012073432302]</w:t>
      </w:r>
    </w:p>
    <w:p w14:paraId="4B4E23FC" w14:textId="5BEDF2F8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17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Feinman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Rasenack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Heathcote EJ, Lai MY,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O'Grady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Reichen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Diago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Lin A, Hoffman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Brunda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MJ. Peginterferon alfa-2a in patients with chronic hepatitis C.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2000; </w:t>
      </w:r>
      <w:r w:rsidRPr="001029FD">
        <w:rPr>
          <w:rFonts w:ascii="Book Antiqua" w:eastAsia="宋体" w:hAnsi="Book Antiqua" w:cs="宋体"/>
          <w:b/>
          <w:bCs/>
          <w:lang w:eastAsia="zh-CN"/>
        </w:rPr>
        <w:t>343</w:t>
      </w:r>
      <w:r w:rsidRPr="001029FD">
        <w:rPr>
          <w:rFonts w:ascii="Book Antiqua" w:eastAsia="宋体" w:hAnsi="Book Antiqua" w:cs="宋体"/>
          <w:lang w:eastAsia="zh-CN"/>
        </w:rPr>
        <w:t>: 1666-1672 [PMID: 11106715 DOI: 10.1056/NEJM200012073432301]</w:t>
      </w:r>
    </w:p>
    <w:p w14:paraId="0FC744CE" w14:textId="3A5F564F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18 </w:t>
      </w:r>
      <w:r w:rsidRPr="001029FD">
        <w:rPr>
          <w:rFonts w:ascii="Book Antiqua" w:eastAsia="宋体" w:hAnsi="Book Antiqua" w:cs="宋体"/>
          <w:b/>
          <w:bCs/>
          <w:lang w:eastAsia="zh-CN"/>
        </w:rPr>
        <w:t>Fried MW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Shiffman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ML, Reddy KR, Smith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Marinos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Gonçales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FL Jr,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Häussinger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Diago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Carosi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Dhumeaux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Craxi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Lin A, Hoffman J, Yu J. Peginterferon alfa-2a plus ribavirin for chronic hepatitis C virus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2002; </w:t>
      </w:r>
      <w:r w:rsidRPr="001029FD">
        <w:rPr>
          <w:rFonts w:ascii="Book Antiqua" w:eastAsia="宋体" w:hAnsi="Book Antiqua" w:cs="宋体"/>
          <w:b/>
          <w:bCs/>
          <w:lang w:eastAsia="zh-CN"/>
        </w:rPr>
        <w:t>347</w:t>
      </w:r>
      <w:r w:rsidRPr="001029FD">
        <w:rPr>
          <w:rFonts w:ascii="Book Antiqua" w:eastAsia="宋体" w:hAnsi="Book Antiqua" w:cs="宋体"/>
          <w:lang w:eastAsia="zh-CN"/>
        </w:rPr>
        <w:t>: 975-982 [PMID: 12324553 DOI: 10.1056/NEJMoa020047]</w:t>
      </w:r>
    </w:p>
    <w:p w14:paraId="6AA74689" w14:textId="48D0FBA9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19 </w:t>
      </w:r>
      <w:r w:rsidRPr="001029FD">
        <w:rPr>
          <w:rFonts w:ascii="Book Antiqua" w:eastAsia="宋体" w:hAnsi="Book Antiqua" w:cs="宋体"/>
          <w:b/>
          <w:bCs/>
          <w:lang w:eastAsia="zh-CN"/>
        </w:rPr>
        <w:t>Marcellin P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Cheinquer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Curescu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Dusheiko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Ferenci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Horban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Jensen D, Lengyel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Mangia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Ouzan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Puoti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Rodriguez-Torres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Shiffman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ML, Schmitz M, Tatsch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Rizzetto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M. High sustained virologic response rates in rapid virologic response patients in the large real-world PROPHESYS cohort confirm results from randomized clinical trials. </w:t>
      </w:r>
      <w:r w:rsidRPr="001029FD">
        <w:rPr>
          <w:rFonts w:ascii="Book Antiqua" w:eastAsia="宋体" w:hAnsi="Book Antiqua" w:cs="宋体"/>
          <w:i/>
          <w:iCs/>
          <w:lang w:eastAsia="zh-CN"/>
        </w:rPr>
        <w:t>Hepatology</w:t>
      </w:r>
      <w:r w:rsidRPr="001029FD">
        <w:rPr>
          <w:rFonts w:ascii="Book Antiqua" w:eastAsia="宋体" w:hAnsi="Book Antiqua" w:cs="宋体"/>
          <w:lang w:eastAsia="zh-CN"/>
        </w:rPr>
        <w:t xml:space="preserve"> 2012; </w:t>
      </w:r>
      <w:r w:rsidRPr="001029FD">
        <w:rPr>
          <w:rFonts w:ascii="Book Antiqua" w:eastAsia="宋体" w:hAnsi="Book Antiqua" w:cs="宋体"/>
          <w:b/>
          <w:bCs/>
          <w:lang w:eastAsia="zh-CN"/>
        </w:rPr>
        <w:t>56</w:t>
      </w:r>
      <w:r w:rsidRPr="001029FD">
        <w:rPr>
          <w:rFonts w:ascii="Book Antiqua" w:eastAsia="宋体" w:hAnsi="Book Antiqua" w:cs="宋体"/>
          <w:lang w:eastAsia="zh-CN"/>
        </w:rPr>
        <w:t>: 2039-2050 [PMID: 22706730 DOI: 10.1002/hep.25892]</w:t>
      </w:r>
    </w:p>
    <w:p w14:paraId="2E49DC59" w14:textId="2DF19321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20 </w:t>
      </w:r>
      <w:r w:rsidRPr="001029FD">
        <w:rPr>
          <w:rFonts w:ascii="Book Antiqua" w:eastAsia="宋体" w:hAnsi="Book Antiqua" w:cs="宋体"/>
          <w:b/>
          <w:bCs/>
          <w:lang w:eastAsia="zh-CN"/>
        </w:rPr>
        <w:t>Fried MW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Hadziyannis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Shiffman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Messinger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S. Rapid virological response is the most important predictor of sustained virological response across genotypes in patients with chronic hepatitis C virus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Pr="001029FD">
        <w:rPr>
          <w:rFonts w:ascii="Book Antiqua" w:eastAsia="宋体" w:hAnsi="Book Antiqua" w:cs="宋体"/>
          <w:lang w:eastAsia="zh-CN"/>
        </w:rPr>
        <w:t xml:space="preserve"> 2011; </w:t>
      </w:r>
      <w:r w:rsidRPr="001029FD">
        <w:rPr>
          <w:rFonts w:ascii="Book Antiqua" w:eastAsia="宋体" w:hAnsi="Book Antiqua" w:cs="宋体"/>
          <w:b/>
          <w:bCs/>
          <w:lang w:eastAsia="zh-CN"/>
        </w:rPr>
        <w:t>55</w:t>
      </w:r>
      <w:r w:rsidRPr="001029FD">
        <w:rPr>
          <w:rFonts w:ascii="Book Antiqua" w:eastAsia="宋体" w:hAnsi="Book Antiqua" w:cs="宋体"/>
          <w:lang w:eastAsia="zh-CN"/>
        </w:rPr>
        <w:t>: 69-75 [PMID: 21145856 DOI: 10.1016/j.jhep.2010.10.032]</w:t>
      </w:r>
    </w:p>
    <w:p w14:paraId="62970F5B" w14:textId="018A6FE1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lastRenderedPageBreak/>
        <w:t xml:space="preserve">21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Mangia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1029FD">
        <w:rPr>
          <w:rFonts w:ascii="Book Antiqua" w:eastAsia="宋体" w:hAnsi="Book Antiqua" w:cs="宋体"/>
          <w:lang w:eastAsia="zh-CN"/>
        </w:rPr>
        <w:t xml:space="preserve">, Santoro R, Minerva N, Ricci GL,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Carretta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Persico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Vinelli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Scotto G, Bacca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Annese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Romano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Zechini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Sogari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Spirito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Andriulli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A. Peginterferon alfa-2b and ribavirin for 12 vs. 24 weeks in HCV genotype 2 or 3.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2005; </w:t>
      </w:r>
      <w:r w:rsidRPr="001029FD">
        <w:rPr>
          <w:rFonts w:ascii="Book Antiqua" w:eastAsia="宋体" w:hAnsi="Book Antiqua" w:cs="宋体"/>
          <w:b/>
          <w:bCs/>
          <w:lang w:eastAsia="zh-CN"/>
        </w:rPr>
        <w:t>352</w:t>
      </w:r>
      <w:r w:rsidRPr="001029FD">
        <w:rPr>
          <w:rFonts w:ascii="Book Antiqua" w:eastAsia="宋体" w:hAnsi="Book Antiqua" w:cs="宋体"/>
          <w:lang w:eastAsia="zh-CN"/>
        </w:rPr>
        <w:t>: 2609-2617 [PMID: 15972867 DOI: 10.1056/NEJMoa042608]</w:t>
      </w:r>
    </w:p>
    <w:p w14:paraId="58350BC5" w14:textId="0CD303B8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22 </w:t>
      </w:r>
      <w:r w:rsidRPr="001029FD">
        <w:rPr>
          <w:rFonts w:ascii="Book Antiqua" w:eastAsia="宋体" w:hAnsi="Book Antiqua" w:cs="宋体"/>
          <w:b/>
          <w:bCs/>
          <w:lang w:eastAsia="zh-CN"/>
        </w:rPr>
        <w:t>Berg T</w:t>
      </w:r>
      <w:r w:rsidRPr="001029FD">
        <w:rPr>
          <w:rFonts w:ascii="Book Antiqua" w:eastAsia="宋体" w:hAnsi="Book Antiqua" w:cs="宋体"/>
          <w:lang w:eastAsia="zh-CN"/>
        </w:rPr>
        <w:t xml:space="preserve">, von Wagner M, Nasser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Sarrazin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Heintges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Gerlach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Buggisch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Goeser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Rasenack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Pape GR, Schmidt WE,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Kallinowski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Klinker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Spengler U,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Martus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Alshuth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U,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S. Extended treatment duration for hepatitis C virus type 1: comparing 48 versus 72 weeks of peginterferon-alfa-2a plus ribavirin. </w:t>
      </w:r>
      <w:r w:rsidRPr="001029FD">
        <w:rPr>
          <w:rFonts w:ascii="Book Antiqua" w:eastAsia="宋体" w:hAnsi="Book Antiqua" w:cs="宋体"/>
          <w:i/>
          <w:iCs/>
          <w:lang w:eastAsia="zh-CN"/>
        </w:rPr>
        <w:t>Gastroenterology</w:t>
      </w:r>
      <w:r w:rsidRPr="001029FD">
        <w:rPr>
          <w:rFonts w:ascii="Book Antiqua" w:eastAsia="宋体" w:hAnsi="Book Antiqua" w:cs="宋体"/>
          <w:lang w:eastAsia="zh-CN"/>
        </w:rPr>
        <w:t xml:space="preserve"> 2006; </w:t>
      </w:r>
      <w:r w:rsidRPr="001029FD">
        <w:rPr>
          <w:rFonts w:ascii="Book Antiqua" w:eastAsia="宋体" w:hAnsi="Book Antiqua" w:cs="宋体"/>
          <w:b/>
          <w:bCs/>
          <w:lang w:eastAsia="zh-CN"/>
        </w:rPr>
        <w:t>130</w:t>
      </w:r>
      <w:r w:rsidRPr="001029FD">
        <w:rPr>
          <w:rFonts w:ascii="Book Antiqua" w:eastAsia="宋体" w:hAnsi="Book Antiqua" w:cs="宋体"/>
          <w:lang w:eastAsia="zh-CN"/>
        </w:rPr>
        <w:t>: 1086-1097 [PMID: 16618403 DOI: 10.1053/j.gastro.2006.02.015]</w:t>
      </w:r>
    </w:p>
    <w:p w14:paraId="06116C1F" w14:textId="69A4300A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23 </w:t>
      </w:r>
      <w:r w:rsidRPr="001029FD">
        <w:rPr>
          <w:rFonts w:ascii="Book Antiqua" w:eastAsia="宋体" w:hAnsi="Book Antiqua" w:cs="宋体"/>
          <w:b/>
          <w:bCs/>
          <w:lang w:eastAsia="zh-CN"/>
        </w:rPr>
        <w:t>Katz LH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Goldvaser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Gafter-Gvili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Tur-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Kaspa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R. Extended peginterferon plus ribavirin treatment for 72 weeks versus standard peginterferon plus ribavirin treatment for 48 weeks in chronic hepatitis C genotype 1 infected slow-responder adult patients. </w:t>
      </w:r>
      <w:r w:rsidRPr="001029FD">
        <w:rPr>
          <w:rFonts w:ascii="Book Antiqua" w:eastAsia="宋体" w:hAnsi="Book Antiqua" w:cs="宋体"/>
          <w:i/>
          <w:iCs/>
          <w:lang w:eastAsia="zh-CN"/>
        </w:rPr>
        <w:t>Cochrane Database Syst Rev</w:t>
      </w:r>
      <w:r w:rsidRPr="001029FD">
        <w:rPr>
          <w:rFonts w:ascii="Book Antiqua" w:eastAsia="宋体" w:hAnsi="Book Antiqua" w:cs="宋体"/>
          <w:lang w:eastAsia="zh-CN"/>
        </w:rPr>
        <w:t xml:space="preserve"> 2012: CD008516 [PMID: 22972122 DOI: 10.1002/14651858.CD008516.pub2]</w:t>
      </w:r>
    </w:p>
    <w:p w14:paraId="656D95C9" w14:textId="1EFBC8AA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24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Hadziyannis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SJ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Sette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 Jr, Morgan TR, Balan 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Diago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Marcellin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Ramadori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Bodenheimer H Jr, Bernstein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Rizzetto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Pockros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PJ, Lin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Ackrill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AM; PEGASYS International Study Group. Peginterferon-alpha2a and ribavirin combination therapy in chronic hepatitis C: a randomized study of treatment duration and ribavirin dose. </w:t>
      </w:r>
      <w:r w:rsidRPr="001029FD">
        <w:rPr>
          <w:rFonts w:ascii="Book Antiqua" w:eastAsia="宋体" w:hAnsi="Book Antiqua" w:cs="宋体"/>
          <w:i/>
          <w:iCs/>
          <w:lang w:eastAsia="zh-CN"/>
        </w:rPr>
        <w:t>Ann Intern Med</w:t>
      </w:r>
      <w:r w:rsidRPr="001029FD">
        <w:rPr>
          <w:rFonts w:ascii="Book Antiqua" w:eastAsia="宋体" w:hAnsi="Book Antiqua" w:cs="宋体"/>
          <w:lang w:eastAsia="zh-CN"/>
        </w:rPr>
        <w:t xml:space="preserve"> 2004; </w:t>
      </w:r>
      <w:r w:rsidRPr="001029FD">
        <w:rPr>
          <w:rFonts w:ascii="Book Antiqua" w:eastAsia="宋体" w:hAnsi="Book Antiqua" w:cs="宋体"/>
          <w:b/>
          <w:bCs/>
          <w:lang w:eastAsia="zh-CN"/>
        </w:rPr>
        <w:t>140</w:t>
      </w:r>
      <w:r w:rsidRPr="001029FD">
        <w:rPr>
          <w:rFonts w:ascii="Book Antiqua" w:eastAsia="宋体" w:hAnsi="Book Antiqua" w:cs="宋体"/>
          <w:lang w:eastAsia="zh-CN"/>
        </w:rPr>
        <w:t>: 346-355 [PMID: 14996676 DOI: 10.7326/0003-4819-140-5-200403020-00010]</w:t>
      </w:r>
    </w:p>
    <w:p w14:paraId="38182686" w14:textId="7E428114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25 </w:t>
      </w:r>
      <w:r w:rsidRPr="001029FD">
        <w:rPr>
          <w:rFonts w:ascii="Book Antiqua" w:eastAsia="宋体" w:hAnsi="Book Antiqua" w:cs="宋体"/>
          <w:b/>
          <w:bCs/>
          <w:lang w:eastAsia="zh-CN"/>
        </w:rPr>
        <w:t>Fried MW</w:t>
      </w:r>
      <w:r w:rsidRPr="001029FD">
        <w:rPr>
          <w:rFonts w:ascii="Book Antiqua" w:eastAsia="宋体" w:hAnsi="Book Antiqua" w:cs="宋体"/>
          <w:lang w:eastAsia="zh-CN"/>
        </w:rPr>
        <w:t xml:space="preserve">. Side effects of therapy of hepatitis C and their management. </w:t>
      </w:r>
      <w:r w:rsidRPr="001029FD">
        <w:rPr>
          <w:rFonts w:ascii="Book Antiqua" w:eastAsia="宋体" w:hAnsi="Book Antiqua" w:cs="宋体"/>
          <w:i/>
          <w:iCs/>
          <w:lang w:eastAsia="zh-CN"/>
        </w:rPr>
        <w:t>Hepatology</w:t>
      </w:r>
      <w:r w:rsidRPr="001029FD">
        <w:rPr>
          <w:rFonts w:ascii="Book Antiqua" w:eastAsia="宋体" w:hAnsi="Book Antiqua" w:cs="宋体"/>
          <w:lang w:eastAsia="zh-CN"/>
        </w:rPr>
        <w:t xml:space="preserve"> 2002; </w:t>
      </w:r>
      <w:r w:rsidRPr="001029FD">
        <w:rPr>
          <w:rFonts w:ascii="Book Antiqua" w:eastAsia="宋体" w:hAnsi="Book Antiqua" w:cs="宋体"/>
          <w:b/>
          <w:bCs/>
          <w:lang w:eastAsia="zh-CN"/>
        </w:rPr>
        <w:t>36</w:t>
      </w:r>
      <w:r w:rsidRPr="001029FD">
        <w:rPr>
          <w:rFonts w:ascii="Book Antiqua" w:eastAsia="宋体" w:hAnsi="Book Antiqua" w:cs="宋体"/>
          <w:lang w:eastAsia="zh-CN"/>
        </w:rPr>
        <w:t>: S237-S244 [PMID: 12407599 DOI: 10.1053/jhep.2002.36810]</w:t>
      </w:r>
    </w:p>
    <w:p w14:paraId="118AA8BE" w14:textId="6517D328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26 </w:t>
      </w:r>
      <w:r w:rsidRPr="001029FD">
        <w:rPr>
          <w:rFonts w:ascii="Book Antiqua" w:eastAsia="宋体" w:hAnsi="Book Antiqua" w:cs="宋体"/>
          <w:b/>
          <w:bCs/>
          <w:lang w:eastAsia="zh-CN"/>
        </w:rPr>
        <w:t>Bacon BR</w:t>
      </w:r>
      <w:r w:rsidRPr="001029FD">
        <w:rPr>
          <w:rFonts w:ascii="Book Antiqua" w:eastAsia="宋体" w:hAnsi="Book Antiqua" w:cs="宋体"/>
          <w:lang w:eastAsia="zh-CN"/>
        </w:rPr>
        <w:t xml:space="preserve">, Gordon SC,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Lawitz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Marcellin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Vierling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Poordad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Goodman ZD, Sings HL, Boparai N, Burroughs M, Brass CA, Albrecht JK, Esteban R; HCV RESPOND-2 Investigators. Boceprevir for previously treated chronic HCV genotype 1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2011; </w:t>
      </w:r>
      <w:r w:rsidRPr="001029FD">
        <w:rPr>
          <w:rFonts w:ascii="Book Antiqua" w:eastAsia="宋体" w:hAnsi="Book Antiqua" w:cs="宋体"/>
          <w:b/>
          <w:bCs/>
          <w:lang w:eastAsia="zh-CN"/>
        </w:rPr>
        <w:t>364</w:t>
      </w:r>
      <w:r w:rsidRPr="001029FD">
        <w:rPr>
          <w:rFonts w:ascii="Book Antiqua" w:eastAsia="宋体" w:hAnsi="Book Antiqua" w:cs="宋体"/>
          <w:lang w:eastAsia="zh-CN"/>
        </w:rPr>
        <w:t>: 1207-1217 [PMID: 21449784 DOI: 10.1056/NEJMoa1009482]</w:t>
      </w:r>
    </w:p>
    <w:p w14:paraId="0F782E22" w14:textId="257935EF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27 </w:t>
      </w:r>
      <w:r w:rsidRPr="001029FD">
        <w:rPr>
          <w:rFonts w:ascii="Book Antiqua" w:eastAsia="宋体" w:hAnsi="Book Antiqua" w:cs="宋体"/>
          <w:b/>
          <w:bCs/>
          <w:lang w:eastAsia="zh-CN"/>
        </w:rPr>
        <w:t>Sherman KE</w:t>
      </w:r>
      <w:r w:rsidRPr="001029FD">
        <w:rPr>
          <w:rFonts w:ascii="Book Antiqua" w:eastAsia="宋体" w:hAnsi="Book Antiqua" w:cs="宋体"/>
          <w:lang w:eastAsia="zh-CN"/>
        </w:rPr>
        <w:t xml:space="preserve">, Flamm SL,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Afdhal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NH, Nelson DR,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Sulkowski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MS, Everson GT, Fried MW, Adler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Reesink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HW, Martin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Sankoh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AJ, Adda N, Kauffman RS, George S, </w:t>
      </w:r>
      <w:r w:rsidRPr="001029FD">
        <w:rPr>
          <w:rFonts w:ascii="Book Antiqua" w:eastAsia="宋体" w:hAnsi="Book Antiqua" w:cs="宋体"/>
          <w:lang w:eastAsia="zh-CN"/>
        </w:rPr>
        <w:lastRenderedPageBreak/>
        <w:t xml:space="preserve">Wright CI,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Poordad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F; ILLUMINATE Study Team. Response-guided telaprevir combination treatment for hepatitis C virus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2011; </w:t>
      </w:r>
      <w:r w:rsidRPr="001029FD">
        <w:rPr>
          <w:rFonts w:ascii="Book Antiqua" w:eastAsia="宋体" w:hAnsi="Book Antiqua" w:cs="宋体"/>
          <w:b/>
          <w:bCs/>
          <w:lang w:eastAsia="zh-CN"/>
        </w:rPr>
        <w:t>365</w:t>
      </w:r>
      <w:r w:rsidRPr="001029FD">
        <w:rPr>
          <w:rFonts w:ascii="Book Antiqua" w:eastAsia="宋体" w:hAnsi="Book Antiqua" w:cs="宋体"/>
          <w:lang w:eastAsia="zh-CN"/>
        </w:rPr>
        <w:t>: 1014-1024 [PMID: 21916639 DOI: 10.1056/NEJMoa1014463]</w:t>
      </w:r>
    </w:p>
    <w:p w14:paraId="108E8F2B" w14:textId="59FEC721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28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D'Ambrosio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R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Degasperi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Colombo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Aghemo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A. Direct-acting antivirals: the endgame for hepatitis C?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Opin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Virol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24</w:t>
      </w:r>
      <w:r w:rsidRPr="001029FD">
        <w:rPr>
          <w:rFonts w:ascii="Book Antiqua" w:eastAsia="宋体" w:hAnsi="Book Antiqua" w:cs="宋体"/>
          <w:lang w:eastAsia="zh-CN"/>
        </w:rPr>
        <w:t>: 31-37 [PMID: 28419938 DOI: 10.1016/j.coviro.2017.03.017]</w:t>
      </w:r>
    </w:p>
    <w:p w14:paraId="48171CAB" w14:textId="06B4C1E8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29 </w:t>
      </w:r>
      <w:r w:rsidRPr="001029FD">
        <w:rPr>
          <w:rFonts w:ascii="Book Antiqua" w:eastAsia="宋体" w:hAnsi="Book Antiqua" w:cs="宋体"/>
          <w:b/>
          <w:bCs/>
          <w:lang w:eastAsia="zh-CN"/>
        </w:rPr>
        <w:t>Jacobson IM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Dusheiko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Di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Bisceglie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AM, Reddy KR,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Bzowej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NH, Marcellin P, Muir AJ,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Ferenci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George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Rizzetto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Shouval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Sola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Terg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RA, Yoshida EM, Adda N, Bengtsson 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Sankoh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AJ, Kieffer TL, George S, Kauffman RS,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S; ADVANCE Study Team. Telaprevir for previously untreated chronic hepatitis C virus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2011; </w:t>
      </w:r>
      <w:r w:rsidRPr="001029FD">
        <w:rPr>
          <w:rFonts w:ascii="Book Antiqua" w:eastAsia="宋体" w:hAnsi="Book Antiqua" w:cs="宋体"/>
          <w:b/>
          <w:bCs/>
          <w:lang w:eastAsia="zh-CN"/>
        </w:rPr>
        <w:t>364</w:t>
      </w:r>
      <w:r w:rsidRPr="001029FD">
        <w:rPr>
          <w:rFonts w:ascii="Book Antiqua" w:eastAsia="宋体" w:hAnsi="Book Antiqua" w:cs="宋体"/>
          <w:lang w:eastAsia="zh-CN"/>
        </w:rPr>
        <w:t>: 2405-2416 [PMID: 21696307 DOI: 10.1056/NEJMoa1012912]</w:t>
      </w:r>
    </w:p>
    <w:p w14:paraId="39B3A0DE" w14:textId="30E7843E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30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Andreone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Pol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Lawitz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Diago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Roberts S, Focaccia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Younossi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Z, Foster GR,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Horban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Ferenci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Nevens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Müllhaupt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Pockros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Terg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Shouval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van Hoek B, Weiland O, Van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Heeswijk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De Meyer S, Luo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Boogaerts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Polo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Picchio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Beumont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M; REALIZE Study Team. Telaprevir for retreatment of HCV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2011; </w:t>
      </w:r>
      <w:r w:rsidRPr="001029FD">
        <w:rPr>
          <w:rFonts w:ascii="Book Antiqua" w:eastAsia="宋体" w:hAnsi="Book Antiqua" w:cs="宋体"/>
          <w:b/>
          <w:bCs/>
          <w:lang w:eastAsia="zh-CN"/>
        </w:rPr>
        <w:t>364</w:t>
      </w:r>
      <w:r w:rsidRPr="001029FD">
        <w:rPr>
          <w:rFonts w:ascii="Book Antiqua" w:eastAsia="宋体" w:hAnsi="Book Antiqua" w:cs="宋体"/>
          <w:lang w:eastAsia="zh-CN"/>
        </w:rPr>
        <w:t>: 2417-2428 [PMID: 21696308 DOI: 10.1056/NEJMoa1013086]</w:t>
      </w:r>
    </w:p>
    <w:p w14:paraId="3B2F28D5" w14:textId="1D602705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31 </w:t>
      </w:r>
      <w:r w:rsidRPr="001029FD">
        <w:rPr>
          <w:rFonts w:ascii="Book Antiqua" w:eastAsia="宋体" w:hAnsi="Book Antiqua" w:cs="宋体"/>
          <w:b/>
          <w:bCs/>
          <w:lang w:eastAsia="zh-CN"/>
        </w:rPr>
        <w:t>Colombo M</w:t>
      </w:r>
      <w:r w:rsidRPr="001029FD">
        <w:rPr>
          <w:rFonts w:ascii="Book Antiqua" w:eastAsia="宋体" w:hAnsi="Book Antiqua" w:cs="宋体"/>
          <w:lang w:eastAsia="zh-CN"/>
        </w:rPr>
        <w:t xml:space="preserve">, Strasser S, Moreno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Abrao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Ferreira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Urbanek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Fernández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Abdurakmonov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Streinu-Cercel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Verheyen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Iraqi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DeMasi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Hill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Lonjon-Domanec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Wedemeyer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H. Sustained virological response with telaprevir in 1,078 patients with advanced hepatitis C: the international telaprevir access program.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Pr="001029FD">
        <w:rPr>
          <w:rFonts w:ascii="Book Antiqua" w:eastAsia="宋体" w:hAnsi="Book Antiqua" w:cs="宋体"/>
          <w:lang w:eastAsia="zh-CN"/>
        </w:rPr>
        <w:t xml:space="preserve"> 2014; </w:t>
      </w:r>
      <w:r w:rsidRPr="001029FD">
        <w:rPr>
          <w:rFonts w:ascii="Book Antiqua" w:eastAsia="宋体" w:hAnsi="Book Antiqua" w:cs="宋体"/>
          <w:b/>
          <w:bCs/>
          <w:lang w:eastAsia="zh-CN"/>
        </w:rPr>
        <w:t>61</w:t>
      </w:r>
      <w:r w:rsidRPr="001029FD">
        <w:rPr>
          <w:rFonts w:ascii="Book Antiqua" w:eastAsia="宋体" w:hAnsi="Book Antiqua" w:cs="宋体"/>
          <w:lang w:eastAsia="zh-CN"/>
        </w:rPr>
        <w:t>: 976-983 [PMID: 24946280 DOI: 10.1016/j.jhep.2014.06.005]</w:t>
      </w:r>
    </w:p>
    <w:p w14:paraId="1B3E5876" w14:textId="0A0011E6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32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Zarębska</w:t>
      </w:r>
      <w:r w:rsidR="00D07D92" w:rsidRPr="001029FD">
        <w:rPr>
          <w:rFonts w:ascii="Book Antiqua" w:eastAsia="宋体" w:hAnsi="Book Antiqua" w:cs="宋体"/>
          <w:b/>
          <w:bCs/>
          <w:lang w:eastAsia="zh-CN"/>
        </w:rPr>
        <w:t>-Michaluk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D,</w:t>
      </w:r>
      <w:r w:rsidRPr="001029FD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Janczewska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Berak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Dobracka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Suska-Librant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Kozielewicz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Lojewski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Jurczyk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Lapinski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Klosinska-Postawa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Wróblewski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Augustyniak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Dudziak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Olszok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Ruszala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Kryczka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Pisula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Horban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Dobracki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W. Effect of pegylated interferon or ribavirin dose reduction during telaprevir based therapy on SVR12 in null-responders and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relapsers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with advanced liver fibrosis</w:t>
      </w:r>
      <w:r w:rsidR="00E90DE7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 (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AdvEx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study)</w:t>
      </w:r>
      <w:r w:rsidRPr="001029FD">
        <w:rPr>
          <w:rFonts w:ascii="Book Antiqua" w:eastAsia="宋体" w:hAnsi="Book Antiqua" w:cs="宋体"/>
          <w:lang w:eastAsia="zh-CN"/>
        </w:rPr>
        <w:t xml:space="preserve"> 2014;</w:t>
      </w:r>
      <w:r w:rsidR="00E90DE7" w:rsidRPr="001029FD">
        <w:rPr>
          <w:rFonts w:ascii="Book Antiqua" w:eastAsia="宋体" w:hAnsi="Book Antiqua" w:cs="宋体"/>
          <w:lang w:eastAsia="zh-CN"/>
        </w:rPr>
        <w:t xml:space="preserve"> </w:t>
      </w:r>
      <w:r w:rsidRPr="001029FD">
        <w:rPr>
          <w:rFonts w:ascii="Book Antiqua" w:eastAsia="宋体" w:hAnsi="Book Antiqua" w:cs="宋体"/>
          <w:b/>
          <w:bCs/>
          <w:lang w:eastAsia="zh-CN"/>
        </w:rPr>
        <w:t>60</w:t>
      </w:r>
      <w:r w:rsidRPr="001029FD">
        <w:rPr>
          <w:rFonts w:ascii="Book Antiqua" w:eastAsia="宋体" w:hAnsi="Book Antiqua" w:cs="宋体"/>
          <w:lang w:eastAsia="zh-CN"/>
        </w:rPr>
        <w:t>:</w:t>
      </w:r>
      <w:r w:rsidR="00E90DE7" w:rsidRPr="001029FD">
        <w:rPr>
          <w:rFonts w:ascii="Book Antiqua" w:eastAsia="宋体" w:hAnsi="Book Antiqua" w:cs="宋体"/>
          <w:lang w:eastAsia="zh-CN"/>
        </w:rPr>
        <w:t xml:space="preserve"> </w:t>
      </w:r>
      <w:r w:rsidRPr="001029FD">
        <w:rPr>
          <w:rFonts w:ascii="Book Antiqua" w:eastAsia="宋体" w:hAnsi="Book Antiqua" w:cs="宋体"/>
          <w:lang w:eastAsia="zh-CN"/>
        </w:rPr>
        <w:t>474 [DOI: 10.1016/S0168-8278(14)61329-5]</w:t>
      </w:r>
    </w:p>
    <w:p w14:paraId="41D45B9E" w14:textId="36E54477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lastRenderedPageBreak/>
        <w:t xml:space="preserve">33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Hézode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C</w:t>
      </w:r>
      <w:r w:rsidRPr="001029FD">
        <w:rPr>
          <w:rFonts w:ascii="Book Antiqua" w:eastAsia="宋体" w:hAnsi="Book Antiqua" w:cs="宋体"/>
          <w:lang w:eastAsia="zh-CN"/>
        </w:rPr>
        <w:t xml:space="preserve">, Fontaine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Dorival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Larrey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Zoulim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Canva V, de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Ledinghen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Poynard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Samuel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Bourlière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Zarski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JP, Raabe JJ,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Alric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L, Marcellin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Riachi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Bernard PH,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Loustaud-Ratti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Métivier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Tran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Serfaty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Abergel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Causse X, Di Martino 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Guyader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Lucidarme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Grando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-Lemaire 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Hillon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Feray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Dao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Cacoub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Rosa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Attali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Petrov-Sanchez 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Barthe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Pawlotsky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JM, Pol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Carrat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Bronowicki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JP; CUPIC Study Group. Triple therapy in treatment-experienced patients with HCV-cirrhosis in a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multicentre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cohort of the French Early Access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Programme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(ANRS CO20-CUPIC) - NCT01514890.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Pr="001029FD">
        <w:rPr>
          <w:rFonts w:ascii="Book Antiqua" w:eastAsia="宋体" w:hAnsi="Book Antiqua" w:cs="宋体"/>
          <w:lang w:eastAsia="zh-CN"/>
        </w:rPr>
        <w:t xml:space="preserve"> 2013; </w:t>
      </w:r>
      <w:r w:rsidRPr="001029FD">
        <w:rPr>
          <w:rFonts w:ascii="Book Antiqua" w:eastAsia="宋体" w:hAnsi="Book Antiqua" w:cs="宋体"/>
          <w:b/>
          <w:bCs/>
          <w:lang w:eastAsia="zh-CN"/>
        </w:rPr>
        <w:t>59</w:t>
      </w:r>
      <w:r w:rsidRPr="001029FD">
        <w:rPr>
          <w:rFonts w:ascii="Book Antiqua" w:eastAsia="宋体" w:hAnsi="Book Antiqua" w:cs="宋体"/>
          <w:lang w:eastAsia="zh-CN"/>
        </w:rPr>
        <w:t>: 434-441 [PMID: 23669289 DOI: 10.1016/j.jhep.2013.04.035]</w:t>
      </w:r>
    </w:p>
    <w:p w14:paraId="0ACB9172" w14:textId="6A871C1D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34 </w:t>
      </w:r>
      <w:r w:rsidRPr="001029FD">
        <w:rPr>
          <w:rFonts w:ascii="Book Antiqua" w:eastAsia="宋体" w:hAnsi="Book Antiqua" w:cs="宋体"/>
          <w:b/>
          <w:bCs/>
          <w:lang w:eastAsia="zh-CN"/>
        </w:rPr>
        <w:t>Moreno C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Hezode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Marcellin P, Bourgeois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Francque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Samuel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Zoulim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Grange JD, Shukla U, Lenz O,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Ouwerkerk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-Mahadevan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Fevery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Peeters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Beumont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Jessner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W. </w:t>
      </w:r>
      <w:proofErr w:type="gramStart"/>
      <w:r w:rsidRPr="001029FD">
        <w:rPr>
          <w:rFonts w:ascii="Book Antiqua" w:eastAsia="宋体" w:hAnsi="Book Antiqua" w:cs="宋体"/>
          <w:lang w:eastAsia="zh-CN"/>
        </w:rPr>
        <w:t>Efficacy</w:t>
      </w:r>
      <w:proofErr w:type="gramEnd"/>
      <w:r w:rsidRPr="001029FD">
        <w:rPr>
          <w:rFonts w:ascii="Book Antiqua" w:eastAsia="宋体" w:hAnsi="Book Antiqua" w:cs="宋体"/>
          <w:lang w:eastAsia="zh-CN"/>
        </w:rPr>
        <w:t xml:space="preserve"> and safety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simeprevir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with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PegIFN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/ribavirin in naïve or experienced patients infected with chronic HCV genotype 4.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Pr="001029FD">
        <w:rPr>
          <w:rFonts w:ascii="Book Antiqua" w:eastAsia="宋体" w:hAnsi="Book Antiqua" w:cs="宋体"/>
          <w:lang w:eastAsia="zh-CN"/>
        </w:rPr>
        <w:t xml:space="preserve">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62</w:t>
      </w:r>
      <w:r w:rsidRPr="001029FD">
        <w:rPr>
          <w:rFonts w:ascii="Book Antiqua" w:eastAsia="宋体" w:hAnsi="Book Antiqua" w:cs="宋体"/>
          <w:lang w:eastAsia="zh-CN"/>
        </w:rPr>
        <w:t>: 1047-1055 [PMID: 25596313 DOI: 10.1016/j.jhep.2014.12.031]</w:t>
      </w:r>
    </w:p>
    <w:p w14:paraId="3E977C1C" w14:textId="227DC47E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35 </w:t>
      </w:r>
      <w:r w:rsidRPr="001029FD">
        <w:rPr>
          <w:rFonts w:ascii="Book Antiqua" w:eastAsia="宋体" w:hAnsi="Book Antiqua" w:cs="宋体"/>
          <w:b/>
          <w:bCs/>
          <w:lang w:eastAsia="zh-CN"/>
        </w:rPr>
        <w:t>Jacobson I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Knysz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Lueth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Zarebska-Michaluk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Janczewska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Ferenci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Diago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Zignego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AL, Safadi R, Baruch 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Abdurakhmanov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Shafran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Thabut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Bruck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Gadano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Thompson AJ,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Kopit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McPhee F, Michener T, Hughes EA, Yin PD,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Noviello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S. Daclatasvir vs telaprevir plus peginterferon alfa/ribavirin for hepatitis C virus genotype 1. </w:t>
      </w:r>
      <w:r w:rsidRPr="001029FD">
        <w:rPr>
          <w:rFonts w:ascii="Book Antiqua" w:eastAsia="宋体" w:hAnsi="Book Antiqua" w:cs="宋体"/>
          <w:i/>
          <w:iCs/>
          <w:lang w:eastAsia="zh-CN"/>
        </w:rPr>
        <w:t>World J Gastroenterol</w:t>
      </w:r>
      <w:r w:rsidRPr="001029FD">
        <w:rPr>
          <w:rFonts w:ascii="Book Antiqua" w:eastAsia="宋体" w:hAnsi="Book Antiqua" w:cs="宋体"/>
          <w:lang w:eastAsia="zh-CN"/>
        </w:rPr>
        <w:t xml:space="preserve"> 2016; </w:t>
      </w:r>
      <w:r w:rsidRPr="001029FD">
        <w:rPr>
          <w:rFonts w:ascii="Book Antiqua" w:eastAsia="宋体" w:hAnsi="Book Antiqua" w:cs="宋体"/>
          <w:b/>
          <w:bCs/>
          <w:lang w:eastAsia="zh-CN"/>
        </w:rPr>
        <w:t>22</w:t>
      </w:r>
      <w:r w:rsidRPr="001029FD">
        <w:rPr>
          <w:rFonts w:ascii="Book Antiqua" w:eastAsia="宋体" w:hAnsi="Book Antiqua" w:cs="宋体"/>
          <w:lang w:eastAsia="zh-CN"/>
        </w:rPr>
        <w:t>: 3418-3431 [PMID: 27022224 DOI: 10.3748/wjg.v22.i12.3418]</w:t>
      </w:r>
    </w:p>
    <w:p w14:paraId="548112C4" w14:textId="0783BE83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36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Hézode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C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Alric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L, Brown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Hassanein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Rizzetto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Buti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Bourlière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Thabut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Molina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Rustgi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Samuel D, McPhee F, Liu Z, Yin PD, Hughes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Treitel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M; COMMAND-4 study team. Randomized controlled trial of the NS5A inhibitor daclatasvir plus pegylated interferon and ribavirin for HCV genotype-4 (COMMAND-4).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Antivir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21</w:t>
      </w:r>
      <w:r w:rsidRPr="001029FD">
        <w:rPr>
          <w:rFonts w:ascii="Book Antiqua" w:eastAsia="宋体" w:hAnsi="Book Antiqua" w:cs="宋体"/>
          <w:lang w:eastAsia="zh-CN"/>
        </w:rPr>
        <w:t>: 195-205 [PMID: 26313445 DOI: 10.3851/IMP2985]</w:t>
      </w:r>
    </w:p>
    <w:p w14:paraId="76B9C5D0" w14:textId="5F82248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37 </w:t>
      </w:r>
      <w:r w:rsidRPr="001029FD">
        <w:rPr>
          <w:rFonts w:ascii="Book Antiqua" w:eastAsia="宋体" w:hAnsi="Book Antiqua" w:cs="宋体"/>
          <w:b/>
          <w:bCs/>
          <w:lang w:eastAsia="zh-CN"/>
        </w:rPr>
        <w:t>Keating GM</w:t>
      </w:r>
      <w:r w:rsidRPr="001029FD">
        <w:rPr>
          <w:rFonts w:ascii="Book Antiqua" w:eastAsia="宋体" w:hAnsi="Book Antiqua" w:cs="宋体"/>
          <w:lang w:eastAsia="zh-CN"/>
        </w:rPr>
        <w:t xml:space="preserve">. Sofosbuvir: a review of its use in patients with chronic hepatitis C. </w:t>
      </w:r>
      <w:r w:rsidRPr="001029FD">
        <w:rPr>
          <w:rFonts w:ascii="Book Antiqua" w:eastAsia="宋体" w:hAnsi="Book Antiqua" w:cs="宋体"/>
          <w:i/>
          <w:iCs/>
          <w:lang w:eastAsia="zh-CN"/>
        </w:rPr>
        <w:t>Drugs</w:t>
      </w:r>
      <w:r w:rsidRPr="001029FD">
        <w:rPr>
          <w:rFonts w:ascii="Book Antiqua" w:eastAsia="宋体" w:hAnsi="Book Antiqua" w:cs="宋体"/>
          <w:lang w:eastAsia="zh-CN"/>
        </w:rPr>
        <w:t xml:space="preserve"> 2014; </w:t>
      </w:r>
      <w:r w:rsidRPr="001029FD">
        <w:rPr>
          <w:rFonts w:ascii="Book Antiqua" w:eastAsia="宋体" w:hAnsi="Book Antiqua" w:cs="宋体"/>
          <w:b/>
          <w:bCs/>
          <w:lang w:eastAsia="zh-CN"/>
        </w:rPr>
        <w:t>74</w:t>
      </w:r>
      <w:r w:rsidRPr="001029FD">
        <w:rPr>
          <w:rFonts w:ascii="Book Antiqua" w:eastAsia="宋体" w:hAnsi="Book Antiqua" w:cs="宋体"/>
          <w:lang w:eastAsia="zh-CN"/>
        </w:rPr>
        <w:t>: 1127-1146 [PMID: 24958336 DOI: 10.1007/s40265-014-0247-z]</w:t>
      </w:r>
    </w:p>
    <w:p w14:paraId="4FE6A9E2" w14:textId="57A93026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38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Elsharkawy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1029FD">
        <w:rPr>
          <w:rFonts w:ascii="Book Antiqua" w:eastAsia="宋体" w:hAnsi="Book Antiqua" w:cs="宋体"/>
          <w:lang w:eastAsia="zh-CN"/>
        </w:rPr>
        <w:t xml:space="preserve">, Fouad R, El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Akel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El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Raziky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Shiha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Said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Motawea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El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Demerdash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Seif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Gaballah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El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Shazly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Makhlouf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MA, Waked I, </w:t>
      </w:r>
      <w:r w:rsidRPr="001029FD">
        <w:rPr>
          <w:rFonts w:ascii="Book Antiqua" w:eastAsia="宋体" w:hAnsi="Book Antiqua" w:cs="宋体"/>
          <w:lang w:eastAsia="zh-CN"/>
        </w:rPr>
        <w:lastRenderedPageBreak/>
        <w:t xml:space="preserve">Abdelaziz AO,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Yosry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El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Serafy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Thursz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Doss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Esmat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G. Sofosbuvir-based treatment regimens: real life results of 14 409 chronic HCV genotype 4 patients in Egypt.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Aliment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45</w:t>
      </w:r>
      <w:r w:rsidRPr="001029FD">
        <w:rPr>
          <w:rFonts w:ascii="Book Antiqua" w:eastAsia="宋体" w:hAnsi="Book Antiqua" w:cs="宋体"/>
          <w:lang w:eastAsia="zh-CN"/>
        </w:rPr>
        <w:t>: 681-687 [PMID: 28070899 DOI: 10.1111/apt.13923]</w:t>
      </w:r>
    </w:p>
    <w:p w14:paraId="5F101D8A" w14:textId="009FA43C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39 </w:t>
      </w:r>
      <w:r w:rsidRPr="001029FD">
        <w:rPr>
          <w:rFonts w:ascii="Book Antiqua" w:eastAsia="宋体" w:hAnsi="Book Antiqua" w:cs="宋体"/>
          <w:b/>
          <w:bCs/>
          <w:lang w:eastAsia="zh-CN"/>
        </w:rPr>
        <w:t>Spengler U</w:t>
      </w:r>
      <w:r w:rsidRPr="001029FD">
        <w:rPr>
          <w:rFonts w:ascii="Book Antiqua" w:eastAsia="宋体" w:hAnsi="Book Antiqua" w:cs="宋体"/>
          <w:lang w:eastAsia="zh-CN"/>
        </w:rPr>
        <w:t xml:space="preserve">. Direct antiviral agents (DAAs) - A new age in the treatment of hepatitis C virus infection.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2018; </w:t>
      </w:r>
      <w:r w:rsidRPr="001029FD">
        <w:rPr>
          <w:rFonts w:ascii="Book Antiqua" w:eastAsia="宋体" w:hAnsi="Book Antiqua" w:cs="宋体"/>
          <w:b/>
          <w:bCs/>
          <w:lang w:eastAsia="zh-CN"/>
        </w:rPr>
        <w:t>183</w:t>
      </w:r>
      <w:r w:rsidRPr="001029FD">
        <w:rPr>
          <w:rFonts w:ascii="Book Antiqua" w:eastAsia="宋体" w:hAnsi="Book Antiqua" w:cs="宋体"/>
          <w:lang w:eastAsia="zh-CN"/>
        </w:rPr>
        <w:t>: 118-126 [PMID: 29024739 DOI: 10.1016/j.pharmthera.2017.10.009]</w:t>
      </w:r>
    </w:p>
    <w:p w14:paraId="084A1A31" w14:textId="0075D636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40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Afdhal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Kwo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Chojkier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Gitlin N,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Puoti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Romero-Gomez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Zarski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JP, Agarwal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Buggisch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Foster GR,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Bräu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Buti M, Jacobson IM, Subramanian GM, Ding X, Mo H, Yang JC, Pang PS, Symonds WT,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Muir AJ,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Mangia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Marcellin P; ION-1 Investigators. Ledipasvir and sofosbuvir for untreated HCV genotype 1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2014;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370</w:t>
      </w:r>
      <w:r w:rsidRPr="001029FD">
        <w:rPr>
          <w:rFonts w:ascii="Book Antiqua" w:eastAsia="宋体" w:hAnsi="Book Antiqua" w:cs="宋体"/>
          <w:lang w:eastAsia="zh-CN"/>
        </w:rPr>
        <w:t>: 1889-1898 [PMID: 24725239 DOI: 10.1056/NEJMoa1402454]</w:t>
      </w:r>
    </w:p>
    <w:p w14:paraId="1DDB8239" w14:textId="7484E3E5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41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Afdhal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1029FD">
        <w:rPr>
          <w:rFonts w:ascii="Book Antiqua" w:eastAsia="宋体" w:hAnsi="Book Antiqua" w:cs="宋体"/>
          <w:lang w:eastAsia="zh-CN"/>
        </w:rPr>
        <w:t xml:space="preserve">, Reddy KR, Nelson DR,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Lawitz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Gordon SC, Schiff E, Nahass R, Ghalib R, Gitlin N, Herring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Lalezari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Younes ZH,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Pockros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PJ, Di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Bisceglie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AM, Arora S, Subramanian GM, Zhu 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Dvory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-Sobol H, Yang JC, Pang PS, Symonds WT,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Muir AJ,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Sulkowski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Kwo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P; ION-2 Investigators. Ledipasvir and sofosbuvir for previously treated HCV genotype 1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2014;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370</w:t>
      </w:r>
      <w:r w:rsidRPr="001029FD">
        <w:rPr>
          <w:rFonts w:ascii="Book Antiqua" w:eastAsia="宋体" w:hAnsi="Book Antiqua" w:cs="宋体"/>
          <w:lang w:eastAsia="zh-CN"/>
        </w:rPr>
        <w:t>: 1483-1493 [PMID: 24725238 DOI: 10.1056/NEJMoa1316366]</w:t>
      </w:r>
    </w:p>
    <w:p w14:paraId="091F95EF" w14:textId="29C5DA89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42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Kowdley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KV</w:t>
      </w:r>
      <w:r w:rsidRPr="001029FD">
        <w:rPr>
          <w:rFonts w:ascii="Book Antiqua" w:eastAsia="宋体" w:hAnsi="Book Antiqua" w:cs="宋体"/>
          <w:lang w:eastAsia="zh-CN"/>
        </w:rPr>
        <w:t xml:space="preserve">, Gordon SC, Reddy KR,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Rossaro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L, Bernstein DE,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Lawitz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Shiffman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ML, Schiff E, Ghalib R, Ryan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Rustgi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Chojkier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Herring R, Di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Bisceglie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Pockros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PJ, Subramanian GM, </w:t>
      </w:r>
      <w:proofErr w:type="gramStart"/>
      <w:r w:rsidRPr="001029FD">
        <w:rPr>
          <w:rFonts w:ascii="Book Antiqua" w:eastAsia="宋体" w:hAnsi="Book Antiqua" w:cs="宋体"/>
          <w:lang w:eastAsia="zh-CN"/>
        </w:rPr>
        <w:t>An</w:t>
      </w:r>
      <w:proofErr w:type="gram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Svarovskaia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Hyland RH, Pang PS, Symonds WT,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Muir AJ, Pound D, Fried MW; ION-3 Investigators. Ledipasvir and sofosbuvir for 8 or 12 weeks for chronic HCV without cirrhosis.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2014;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370</w:t>
      </w:r>
      <w:r w:rsidRPr="001029FD">
        <w:rPr>
          <w:rFonts w:ascii="Book Antiqua" w:eastAsia="宋体" w:hAnsi="Book Antiqua" w:cs="宋体"/>
          <w:lang w:eastAsia="zh-CN"/>
        </w:rPr>
        <w:t>: 1879-1888 [PMID: 24720702 DOI: 10.1056/NEJMoa1402355]</w:t>
      </w:r>
    </w:p>
    <w:p w14:paraId="1BC7A168" w14:textId="00F01ADF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43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Ioannou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GN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Beste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LA, Chang MF, Green PK, Lowy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Tsui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Berry K. Effectiveness of Sofosbuvir, Ledipasvir/Sofosbuvir, or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/Ritonavir/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and Dasabuvir Regimens for Treatment of Patients </w:t>
      </w:r>
      <w:proofErr w:type="gramStart"/>
      <w:r w:rsidRPr="001029FD">
        <w:rPr>
          <w:rFonts w:ascii="Book Antiqua" w:eastAsia="宋体" w:hAnsi="Book Antiqua" w:cs="宋体"/>
          <w:lang w:eastAsia="zh-CN"/>
        </w:rPr>
        <w:t>With</w:t>
      </w:r>
      <w:proofErr w:type="gramEnd"/>
      <w:r w:rsidRPr="001029FD">
        <w:rPr>
          <w:rFonts w:ascii="Book Antiqua" w:eastAsia="宋体" w:hAnsi="Book Antiqua" w:cs="宋体"/>
          <w:lang w:eastAsia="zh-CN"/>
        </w:rPr>
        <w:t xml:space="preserve"> Hepatitis C in the Veterans Affairs National Health Care System. </w:t>
      </w:r>
      <w:r w:rsidRPr="001029FD">
        <w:rPr>
          <w:rFonts w:ascii="Book Antiqua" w:eastAsia="宋体" w:hAnsi="Book Antiqua" w:cs="宋体"/>
          <w:i/>
          <w:iCs/>
          <w:lang w:eastAsia="zh-CN"/>
        </w:rPr>
        <w:t>Gastroenterology</w:t>
      </w:r>
      <w:r w:rsidRPr="001029FD">
        <w:rPr>
          <w:rFonts w:ascii="Book Antiqua" w:eastAsia="宋体" w:hAnsi="Book Antiqua" w:cs="宋体"/>
          <w:lang w:eastAsia="zh-CN"/>
        </w:rPr>
        <w:t xml:space="preserve"> 2016; </w:t>
      </w:r>
      <w:r w:rsidRPr="001029FD">
        <w:rPr>
          <w:rFonts w:ascii="Book Antiqua" w:eastAsia="宋体" w:hAnsi="Book Antiqua" w:cs="宋体"/>
          <w:b/>
          <w:bCs/>
          <w:lang w:eastAsia="zh-CN"/>
        </w:rPr>
        <w:t>151</w:t>
      </w:r>
      <w:r w:rsidRPr="001029FD">
        <w:rPr>
          <w:rFonts w:ascii="Book Antiqua" w:eastAsia="宋体" w:hAnsi="Book Antiqua" w:cs="宋体"/>
          <w:lang w:eastAsia="zh-CN"/>
        </w:rPr>
        <w:t>: 457-471.e5 [PMID: 27267053 DOI: 10.1053/j.gastro.2016.05.049]</w:t>
      </w:r>
    </w:p>
    <w:p w14:paraId="5487D35E" w14:textId="04820781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lastRenderedPageBreak/>
        <w:t xml:space="preserve">44 Product information on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Viekirax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[cited 4 October 2022]. Available from: https://www.ema.europa.eu/en/documents/product-information/viekirax-epar-product-information_en.pdf</w:t>
      </w:r>
    </w:p>
    <w:p w14:paraId="79C4AD03" w14:textId="63AB9568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45 </w:t>
      </w:r>
      <w:r w:rsidRPr="001029FD">
        <w:rPr>
          <w:rFonts w:ascii="Book Antiqua" w:eastAsia="宋体" w:hAnsi="Book Antiqua" w:cs="宋体"/>
          <w:b/>
          <w:bCs/>
          <w:lang w:eastAsia="zh-CN"/>
        </w:rPr>
        <w:t>Feld JJ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Kowdley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KV, Coakley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Sigal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Nelson DR, Crawford D, Weiland O, Aguilar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Xiong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Pilot-Matias T, DaSilva-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Tillmann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Larsen 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Podsadecki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Bernstein B. Treatment of HCV with ABT-450/r-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and dasabuvir with ribavirin.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2014;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370</w:t>
      </w:r>
      <w:r w:rsidRPr="001029FD">
        <w:rPr>
          <w:rFonts w:ascii="Book Antiqua" w:eastAsia="宋体" w:hAnsi="Book Antiqua" w:cs="宋体"/>
          <w:lang w:eastAsia="zh-CN"/>
        </w:rPr>
        <w:t>: 1594-1603 [PMID: 24720703 DOI: 10.1056/NEJMoa1315722]</w:t>
      </w:r>
    </w:p>
    <w:p w14:paraId="092E5390" w14:textId="14B3E09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46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1029FD">
        <w:rPr>
          <w:rFonts w:ascii="Book Antiqua" w:eastAsia="宋体" w:hAnsi="Book Antiqua" w:cs="宋体"/>
          <w:lang w:eastAsia="zh-CN"/>
        </w:rPr>
        <w:t xml:space="preserve">, Jacobson IM, Baykal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Marinho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Poordad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Bourlière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Sulkowski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Wedemeyer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Tam E, Desmond P, Jensen DM, Di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Bisceglie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Varunok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Hassanein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Xiong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Pilot-Matias T, DaSilva-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Tillmann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Larsen 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Podsadecki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Bernstein B. Retreatment of HCV with ABT-450/r-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and dasabuvir with ribavirin.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2014;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370</w:t>
      </w:r>
      <w:r w:rsidRPr="001029FD">
        <w:rPr>
          <w:rFonts w:ascii="Book Antiqua" w:eastAsia="宋体" w:hAnsi="Book Antiqua" w:cs="宋体"/>
          <w:lang w:eastAsia="zh-CN"/>
        </w:rPr>
        <w:t>: 1604-1614 [PMID: 24720679 DOI: 10.1056/NEJMoa1401561]</w:t>
      </w:r>
    </w:p>
    <w:p w14:paraId="51487E5F" w14:textId="2B30EC4E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47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Ferenci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Pr="001029FD">
        <w:rPr>
          <w:rFonts w:ascii="Book Antiqua" w:eastAsia="宋体" w:hAnsi="Book Antiqua" w:cs="宋体"/>
          <w:lang w:eastAsia="zh-CN"/>
        </w:rPr>
        <w:t xml:space="preserve">, Bernstein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Lalezari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Cohen D, Luo Y, Cooper C, Tam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Marinho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RT, Tsai N, Nyberg A, Box TD, Younes Z,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Enayati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Green S, Baruch Y, Bhandari BR,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Caruntu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Sepe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Chulanov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Janczewska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Rizzardini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Gervain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Planas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Moreno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Hassanein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Xie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King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Podsadecki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Reddy KR; PEARL-III Study; PEARL-IV Study. ABT-450/r-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and dasabuvir with or without ribavirin for HCV.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2014;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370</w:t>
      </w:r>
      <w:r w:rsidRPr="001029FD">
        <w:rPr>
          <w:rFonts w:ascii="Book Antiqua" w:eastAsia="宋体" w:hAnsi="Book Antiqua" w:cs="宋体"/>
          <w:lang w:eastAsia="zh-CN"/>
        </w:rPr>
        <w:t>: 1983-1992 [PMID: 24795200 DOI: 10.1056/NEJMoa1402338]</w:t>
      </w:r>
    </w:p>
    <w:p w14:paraId="6524F227" w14:textId="6255AFE8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48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Welzel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TM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Asselah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Dumas EO,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Shaw D, Hazzan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Forns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X, Pilot-Matias T, Lu W, Cohen DE, Feld JJ.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, and ritonavir plus dasabuvir for 8 weeks in previously untreated patients with hepatitis C virus genotype 1b infection without cirrhosis (GARNET): a single-arm, open-label, phase 3b trial. </w:t>
      </w:r>
      <w:r w:rsidRPr="001029FD">
        <w:rPr>
          <w:rFonts w:ascii="Book Antiqua" w:eastAsia="宋体" w:hAnsi="Book Antiqua" w:cs="宋体"/>
          <w:i/>
          <w:iCs/>
          <w:lang w:eastAsia="zh-CN"/>
        </w:rPr>
        <w:t>Lancet Gastroenterol Hepatol</w:t>
      </w:r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2</w:t>
      </w:r>
      <w:r w:rsidRPr="001029FD">
        <w:rPr>
          <w:rFonts w:ascii="Book Antiqua" w:eastAsia="宋体" w:hAnsi="Book Antiqua" w:cs="宋体"/>
          <w:lang w:eastAsia="zh-CN"/>
        </w:rPr>
        <w:t>: 494-500 [PMID: 28416221 DOI: 10.1016/S2468-1253(17)30071-7]</w:t>
      </w:r>
    </w:p>
    <w:p w14:paraId="556AB4BB" w14:textId="36207434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49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Asselah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Hézode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Qaqish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ElKhashab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Hassanein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Papatheodoridis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Feld JJ, Moreno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Ferenci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Yu Y, Redman R, Pilot-Matias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Mobashery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, and ritonavir plus ribavirin in adults with hepatitis C virus genotype 4 infection and cirrhosis (AGATE-I): a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multicentre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, phase 3,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randomised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open-</w:t>
      </w:r>
      <w:r w:rsidRPr="001029FD">
        <w:rPr>
          <w:rFonts w:ascii="Book Antiqua" w:eastAsia="宋体" w:hAnsi="Book Antiqua" w:cs="宋体"/>
          <w:lang w:eastAsia="zh-CN"/>
        </w:rPr>
        <w:lastRenderedPageBreak/>
        <w:t xml:space="preserve">label trial. </w:t>
      </w:r>
      <w:r w:rsidRPr="001029FD">
        <w:rPr>
          <w:rFonts w:ascii="Book Antiqua" w:eastAsia="宋体" w:hAnsi="Book Antiqua" w:cs="宋体"/>
          <w:i/>
          <w:iCs/>
          <w:lang w:eastAsia="zh-CN"/>
        </w:rPr>
        <w:t>Lancet Gastroenterol Hepatol</w:t>
      </w:r>
      <w:r w:rsidRPr="001029FD">
        <w:rPr>
          <w:rFonts w:ascii="Book Antiqua" w:eastAsia="宋体" w:hAnsi="Book Antiqua" w:cs="宋体"/>
          <w:lang w:eastAsia="zh-CN"/>
        </w:rPr>
        <w:t xml:space="preserve"> 2016; </w:t>
      </w:r>
      <w:r w:rsidRPr="001029FD">
        <w:rPr>
          <w:rFonts w:ascii="Book Antiqua" w:eastAsia="宋体" w:hAnsi="Book Antiqua" w:cs="宋体"/>
          <w:b/>
          <w:bCs/>
          <w:lang w:eastAsia="zh-CN"/>
        </w:rPr>
        <w:t>1</w:t>
      </w:r>
      <w:r w:rsidRPr="001029FD">
        <w:rPr>
          <w:rFonts w:ascii="Book Antiqua" w:eastAsia="宋体" w:hAnsi="Book Antiqua" w:cs="宋体"/>
          <w:lang w:eastAsia="zh-CN"/>
        </w:rPr>
        <w:t>: 25-35 [PMID: 28404108 DOI: 10.1016/S2468-1253(16)30001-2]</w:t>
      </w:r>
    </w:p>
    <w:p w14:paraId="79A45FB8" w14:textId="01588B15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50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Asselah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Alami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NN, Moreno C, Pol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Karatapanis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Gschwantler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Horsmans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Elefsiniotis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Larrey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Ferrari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Rizzetto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Orlandini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Calleja JL, Bruno S, Schnell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Qaqish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Redman R, Pilot-Matias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Kopecky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-Bromberg S, Yu 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Mobashery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/ritonavir plus ribavirin for 24 weeks in patients with HCV GT4 and compensated cirrhosis (AGATE-I Part II). </w:t>
      </w:r>
      <w:r w:rsidRPr="001029FD">
        <w:rPr>
          <w:rFonts w:ascii="Book Antiqua" w:eastAsia="宋体" w:hAnsi="Book Antiqua" w:cs="宋体"/>
          <w:i/>
          <w:iCs/>
          <w:lang w:eastAsia="zh-CN"/>
        </w:rPr>
        <w:t>Health Sci Rep</w:t>
      </w:r>
      <w:r w:rsidRPr="001029FD">
        <w:rPr>
          <w:rFonts w:ascii="Book Antiqua" w:eastAsia="宋体" w:hAnsi="Book Antiqua" w:cs="宋体"/>
          <w:lang w:eastAsia="zh-CN"/>
        </w:rPr>
        <w:t xml:space="preserve"> 2019; </w:t>
      </w:r>
      <w:r w:rsidRPr="001029FD">
        <w:rPr>
          <w:rFonts w:ascii="Book Antiqua" w:eastAsia="宋体" w:hAnsi="Book Antiqua" w:cs="宋体"/>
          <w:b/>
          <w:bCs/>
          <w:lang w:eastAsia="zh-CN"/>
        </w:rPr>
        <w:t>2</w:t>
      </w:r>
      <w:r w:rsidRPr="001029FD">
        <w:rPr>
          <w:rFonts w:ascii="Book Antiqua" w:eastAsia="宋体" w:hAnsi="Book Antiqua" w:cs="宋体"/>
          <w:lang w:eastAsia="zh-CN"/>
        </w:rPr>
        <w:t>: e92 [PMID: 30937389 DOI: 10.1002/hsr2.92]</w:t>
      </w:r>
    </w:p>
    <w:p w14:paraId="31F9045D" w14:textId="2C2435DB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51 </w:t>
      </w:r>
      <w:r w:rsidRPr="001029FD">
        <w:rPr>
          <w:rFonts w:ascii="Book Antiqua" w:eastAsia="宋体" w:hAnsi="Book Antiqua" w:cs="宋体"/>
          <w:b/>
          <w:bCs/>
          <w:lang w:eastAsia="zh-CN"/>
        </w:rPr>
        <w:t>Waked I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Shiha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Qaqish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Esmat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Yosry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Soliman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Mohey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MA, Allam N, Zayed N,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Asselah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Hall C, Redman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Mobashery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Doss W.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, and ritonavir plus ribavirin for chronic hepatitis C virus genotype 4 infection in Egyptian patients with or without compensated cirrhosis (AGATE-II): a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multicentre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, phase 3, partly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randomised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open-label trial. </w:t>
      </w:r>
      <w:r w:rsidRPr="001029FD">
        <w:rPr>
          <w:rFonts w:ascii="Book Antiqua" w:eastAsia="宋体" w:hAnsi="Book Antiqua" w:cs="宋体"/>
          <w:i/>
          <w:iCs/>
          <w:lang w:eastAsia="zh-CN"/>
        </w:rPr>
        <w:t>Lancet Gastroenterol Hepatol</w:t>
      </w:r>
      <w:r w:rsidRPr="001029FD">
        <w:rPr>
          <w:rFonts w:ascii="Book Antiqua" w:eastAsia="宋体" w:hAnsi="Book Antiqua" w:cs="宋体"/>
          <w:lang w:eastAsia="zh-CN"/>
        </w:rPr>
        <w:t xml:space="preserve"> 2016; </w:t>
      </w:r>
      <w:r w:rsidRPr="001029FD">
        <w:rPr>
          <w:rFonts w:ascii="Book Antiqua" w:eastAsia="宋体" w:hAnsi="Book Antiqua" w:cs="宋体"/>
          <w:b/>
          <w:bCs/>
          <w:lang w:eastAsia="zh-CN"/>
        </w:rPr>
        <w:t>1</w:t>
      </w:r>
      <w:r w:rsidRPr="001029FD">
        <w:rPr>
          <w:rFonts w:ascii="Book Antiqua" w:eastAsia="宋体" w:hAnsi="Book Antiqua" w:cs="宋体"/>
          <w:lang w:eastAsia="zh-CN"/>
        </w:rPr>
        <w:t>: 36-44 [PMID: 28404110 DOI: 10.1016/S2468-1253(16)30002-4]</w:t>
      </w:r>
    </w:p>
    <w:p w14:paraId="39293AA1" w14:textId="4D4EBAED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52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R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Janczewska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Wawrzynowicz-Syczewska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Jaroszewicz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Zarębska-Michaluk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Nazzal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Bolewska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Bialkowska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Berak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Fleischer-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Stępniewska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Tomasiewicz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Karwowska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Rostkowska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Piekarska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Tronina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O,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Madej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Garlicki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Lucejko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Pisula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Karpińska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Kryczka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Wiercińska-Drapało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Mozer-Lisewska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Jabłkowski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Horban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Knysz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Tudrujek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Halota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Simon K. Real-world effectiveness and safety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/ritonavir ± dasabuvir ± ribavirin in hepatitis C: AMBER study.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Aliment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2016; </w:t>
      </w:r>
      <w:r w:rsidRPr="001029FD">
        <w:rPr>
          <w:rFonts w:ascii="Book Antiqua" w:eastAsia="宋体" w:hAnsi="Book Antiqua" w:cs="宋体"/>
          <w:b/>
          <w:bCs/>
          <w:lang w:eastAsia="zh-CN"/>
        </w:rPr>
        <w:t>44</w:t>
      </w:r>
      <w:r w:rsidRPr="001029FD">
        <w:rPr>
          <w:rFonts w:ascii="Book Antiqua" w:eastAsia="宋体" w:hAnsi="Book Antiqua" w:cs="宋体"/>
          <w:lang w:eastAsia="zh-CN"/>
        </w:rPr>
        <w:t>: 946-956 [PMID: 27611776 DOI: 10.1111/apt.13790]</w:t>
      </w:r>
    </w:p>
    <w:p w14:paraId="7DBAF9F7" w14:textId="4F2C830D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53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Welzel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TM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Hinrichsen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Sarrazin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Buggisch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Baumgarten A, Christensen S, Berg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Mauss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Teuber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Stein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Deterding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van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Bömmel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Heyne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John C, Zimmermann T, Lutz T, Schott E, Hettinger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Kleine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König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Hüppe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Wedemeyer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H. Real-world experience with the all-oral, interferon-free regimen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/ritonavir and dasabuvir for the treatment of chronic hepatitis C virus infection in the German Hepatitis C Registry.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J Viral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Hepat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24</w:t>
      </w:r>
      <w:r w:rsidRPr="001029FD">
        <w:rPr>
          <w:rFonts w:ascii="Book Antiqua" w:eastAsia="宋体" w:hAnsi="Book Antiqua" w:cs="宋体"/>
          <w:lang w:eastAsia="zh-CN"/>
        </w:rPr>
        <w:t>: 840-849 [PMID: 28342229 DOI: 10.1111/jvh.12708]</w:t>
      </w:r>
    </w:p>
    <w:p w14:paraId="091483E0" w14:textId="57DAAB8F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lastRenderedPageBreak/>
        <w:t xml:space="preserve">54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Ferenci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Pr="001029FD">
        <w:rPr>
          <w:rFonts w:ascii="Book Antiqua" w:eastAsia="宋体" w:hAnsi="Book Antiqua" w:cs="宋体"/>
          <w:lang w:eastAsia="zh-CN"/>
        </w:rPr>
        <w:t xml:space="preserve">, Bourgeois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Buggisch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Norris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Curescu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Larrey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Marra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Kleine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Dorr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Charafeddine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Crown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Bondin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Back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R. Real-world safety and effectiveness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/ritonavir ± dasabuvir ± ribavirin in hepatitis C virus genotype 1- and 4-infected patients with diverse comorbidities and comedications: A pooled analysis of post-marketing observational studies from 13 countries.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J Viral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Hepat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2019; </w:t>
      </w:r>
      <w:r w:rsidRPr="001029FD">
        <w:rPr>
          <w:rFonts w:ascii="Book Antiqua" w:eastAsia="宋体" w:hAnsi="Book Antiqua" w:cs="宋体"/>
          <w:b/>
          <w:bCs/>
          <w:lang w:eastAsia="zh-CN"/>
        </w:rPr>
        <w:t>26</w:t>
      </w:r>
      <w:r w:rsidRPr="001029FD">
        <w:rPr>
          <w:rFonts w:ascii="Book Antiqua" w:eastAsia="宋体" w:hAnsi="Book Antiqua" w:cs="宋体"/>
          <w:lang w:eastAsia="zh-CN"/>
        </w:rPr>
        <w:t>: 685-696 [PMID: 30739368 DOI: 10.1111/jvh.13080]</w:t>
      </w:r>
    </w:p>
    <w:p w14:paraId="7313E7B0" w14:textId="5F4F9523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55 </w:t>
      </w:r>
      <w:r w:rsidRPr="001029FD">
        <w:rPr>
          <w:rFonts w:ascii="Book Antiqua" w:eastAsia="宋体" w:hAnsi="Book Antiqua" w:cs="宋体"/>
          <w:b/>
          <w:bCs/>
          <w:lang w:eastAsia="zh-CN"/>
        </w:rPr>
        <w:t>Backus LI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Belperio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Shahoumian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TA, Loomis TP, Mole LA. Comparative effectiveness of ledipasvir/sofosbuvir ± ribavirin vs.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/ritonavir + dasabuvir ± ribavirin in 6961 genotype 1 patients treated in routine medical practice.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Aliment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2016; </w:t>
      </w:r>
      <w:r w:rsidRPr="001029FD">
        <w:rPr>
          <w:rFonts w:ascii="Book Antiqua" w:eastAsia="宋体" w:hAnsi="Book Antiqua" w:cs="宋体"/>
          <w:b/>
          <w:bCs/>
          <w:lang w:eastAsia="zh-CN"/>
        </w:rPr>
        <w:t>44</w:t>
      </w:r>
      <w:r w:rsidRPr="001029FD">
        <w:rPr>
          <w:rFonts w:ascii="Book Antiqua" w:eastAsia="宋体" w:hAnsi="Book Antiqua" w:cs="宋体"/>
          <w:lang w:eastAsia="zh-CN"/>
        </w:rPr>
        <w:t>: 400-410 [PMID: 27291852 DOI: 10.1111/apt.13696]</w:t>
      </w:r>
    </w:p>
    <w:p w14:paraId="5DAC376F" w14:textId="43A7AA0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56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Zarębska-Michaluk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Piekarska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Jaroszewicz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Klapaczyński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Mazur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Krygier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Belica-Wdowik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Baka-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Ćwierz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Janczewska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Pabjan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Dobracka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Lorenc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Tudrujek-Zdunek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Tomasiewicz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Sitko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Garlicki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Czauż-Andrzejuk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Citko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Dybowska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Halota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Pawłowska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Laurans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Ł,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Deroń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Z,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Buczyńska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Simon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Białkowska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Tronina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O,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R. Comparative effectiveness of 8 versus 12 weeks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/ritonavir and Dasabuvir in treatment-naïve patients infected with HCV genotype 1b with non-advanced hepatic fibrosis. </w:t>
      </w:r>
      <w:r w:rsidRPr="001029FD">
        <w:rPr>
          <w:rFonts w:ascii="Book Antiqua" w:eastAsia="宋体" w:hAnsi="Book Antiqua" w:cs="宋体"/>
          <w:i/>
          <w:iCs/>
          <w:lang w:eastAsia="zh-CN"/>
        </w:rPr>
        <w:t>Adv Med Sci</w:t>
      </w:r>
      <w:r w:rsidRPr="001029FD">
        <w:rPr>
          <w:rFonts w:ascii="Book Antiqua" w:eastAsia="宋体" w:hAnsi="Book Antiqua" w:cs="宋体"/>
          <w:lang w:eastAsia="zh-CN"/>
        </w:rPr>
        <w:t xml:space="preserve"> 2020; </w:t>
      </w:r>
      <w:r w:rsidRPr="001029FD">
        <w:rPr>
          <w:rFonts w:ascii="Book Antiqua" w:eastAsia="宋体" w:hAnsi="Book Antiqua" w:cs="宋体"/>
          <w:b/>
          <w:bCs/>
          <w:lang w:eastAsia="zh-CN"/>
        </w:rPr>
        <w:t>65</w:t>
      </w:r>
      <w:r w:rsidRPr="001029FD">
        <w:rPr>
          <w:rFonts w:ascii="Book Antiqua" w:eastAsia="宋体" w:hAnsi="Book Antiqua" w:cs="宋体"/>
          <w:lang w:eastAsia="zh-CN"/>
        </w:rPr>
        <w:t>: 12-17 [PMID: 31841821 DOI: 10.1016/j.advms.2019.09.002]</w:t>
      </w:r>
    </w:p>
    <w:p w14:paraId="32D777C4" w14:textId="10508B33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57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Manuc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M,</w:t>
      </w:r>
      <w:r w:rsidRPr="001029FD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Preda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CM, Iliescu 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Istratescu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Chifulescu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AE, Pop CS,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Trifan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Stanciu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Popescu CP,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Diculescu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M-M,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Manuc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Tugui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Cianga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Tieranu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Stroie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Gheorghe LS. Efficacy of treatment with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/ r + Dasabuvir over 8 vs 12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in chronic HCV hepatitis genotype 1b.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Rom </w:t>
      </w:r>
      <w:r w:rsidR="00274EC2" w:rsidRPr="001029FD">
        <w:rPr>
          <w:rFonts w:ascii="Book Antiqua" w:eastAsia="宋体" w:hAnsi="Book Antiqua" w:cs="宋体"/>
          <w:i/>
          <w:iCs/>
          <w:lang w:eastAsia="zh-CN"/>
        </w:rPr>
        <w:t>J Infect Dis</w:t>
      </w:r>
      <w:r w:rsidR="00274EC2" w:rsidRPr="001029FD">
        <w:rPr>
          <w:rFonts w:ascii="Book Antiqua" w:eastAsia="宋体" w:hAnsi="Book Antiqua" w:cs="宋体"/>
          <w:lang w:eastAsia="zh-CN"/>
        </w:rPr>
        <w:t xml:space="preserve"> </w:t>
      </w:r>
      <w:r w:rsidRPr="001029FD">
        <w:rPr>
          <w:rFonts w:ascii="Book Antiqua" w:eastAsia="宋体" w:hAnsi="Book Antiqua" w:cs="宋体"/>
          <w:lang w:eastAsia="zh-CN"/>
        </w:rPr>
        <w:t xml:space="preserve">2021; </w:t>
      </w:r>
      <w:r w:rsidRPr="001029FD">
        <w:rPr>
          <w:rFonts w:ascii="Book Antiqua" w:eastAsia="宋体" w:hAnsi="Book Antiqua" w:cs="宋体"/>
          <w:b/>
          <w:bCs/>
          <w:lang w:eastAsia="zh-CN"/>
        </w:rPr>
        <w:t>24</w:t>
      </w:r>
      <w:r w:rsidRPr="001029FD">
        <w:rPr>
          <w:rFonts w:ascii="Book Antiqua" w:eastAsia="宋体" w:hAnsi="Book Antiqua" w:cs="宋体"/>
          <w:lang w:eastAsia="zh-CN"/>
        </w:rPr>
        <w:t>: 44</w:t>
      </w:r>
      <w:r w:rsidR="00274EC2" w:rsidRPr="001029FD">
        <w:rPr>
          <w:rFonts w:ascii="Book Antiqua" w:eastAsia="宋体" w:hAnsi="Book Antiqua" w:cs="宋体"/>
          <w:lang w:eastAsia="zh-CN"/>
        </w:rPr>
        <w:t>-</w:t>
      </w:r>
      <w:r w:rsidRPr="001029FD">
        <w:rPr>
          <w:rFonts w:ascii="Book Antiqua" w:eastAsia="宋体" w:hAnsi="Book Antiqua" w:cs="宋体"/>
          <w:lang w:eastAsia="zh-CN"/>
        </w:rPr>
        <w:t>50 [DOI: 10.37897/RJID.2021.1.6]</w:t>
      </w:r>
    </w:p>
    <w:p w14:paraId="0F1A56E6" w14:textId="2F0860E1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58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1029FD">
        <w:rPr>
          <w:rFonts w:ascii="Book Antiqua" w:eastAsia="宋体" w:hAnsi="Book Antiqua" w:cs="宋体"/>
          <w:lang w:eastAsia="zh-CN"/>
        </w:rPr>
        <w:t xml:space="preserve">, Ghalib R, Reddy KR,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Pockros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PJ, Ben Ari Z, Zhao Y, Brown DD, Wan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DiNubile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MJ, Nguyen BY, Robertson MN, Wahl J, Barr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Butterton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JR. Grazoprevir-Elbasvir Combination Therapy for Treatment-Naive Cirrhotic and Noncirrhotic Patients With Chronic Hepatitis C Virus Genotype 1, 4, or 6 Infection: A Randomized Trial. </w:t>
      </w:r>
      <w:r w:rsidRPr="001029FD">
        <w:rPr>
          <w:rFonts w:ascii="Book Antiqua" w:eastAsia="宋体" w:hAnsi="Book Antiqua" w:cs="宋体"/>
          <w:i/>
          <w:iCs/>
          <w:lang w:eastAsia="zh-CN"/>
        </w:rPr>
        <w:t>Ann Intern Med</w:t>
      </w:r>
      <w:r w:rsidRPr="001029FD">
        <w:rPr>
          <w:rFonts w:ascii="Book Antiqua" w:eastAsia="宋体" w:hAnsi="Book Antiqua" w:cs="宋体"/>
          <w:lang w:eastAsia="zh-CN"/>
        </w:rPr>
        <w:t xml:space="preserve"> 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163</w:t>
      </w:r>
      <w:r w:rsidRPr="001029FD">
        <w:rPr>
          <w:rFonts w:ascii="Book Antiqua" w:eastAsia="宋体" w:hAnsi="Book Antiqua" w:cs="宋体"/>
          <w:lang w:eastAsia="zh-CN"/>
        </w:rPr>
        <w:t>: 1-13 [PMID: 25909356 DOI: 10.7326/M15-0785]</w:t>
      </w:r>
    </w:p>
    <w:p w14:paraId="00846DFB" w14:textId="5A98145B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lastRenderedPageBreak/>
        <w:t xml:space="preserve">59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Kwo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EJ, Peng CY, Pearlman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Vierling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Serfaty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L, Buti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Shafran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Stryszak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Lin 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Gress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Black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Dutko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FJ, Robertson M, Wahl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Lupinacci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L, Barr E, Haber B. Effectiveness of Elbasvir and Grazoprevir Combination, With or Without Ribavirin, for Treatment-Experienced Patients With Chronic Hepatitis C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>Gastroenterology</w:t>
      </w:r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152</w:t>
      </w:r>
      <w:r w:rsidRPr="001029FD">
        <w:rPr>
          <w:rFonts w:ascii="Book Antiqua" w:eastAsia="宋体" w:hAnsi="Book Antiqua" w:cs="宋体"/>
          <w:lang w:eastAsia="zh-CN"/>
        </w:rPr>
        <w:t>: 164-175.e4 [PMID: 27720838 DOI: 10.1053/j.gastro.2016.09.045]</w:t>
      </w:r>
    </w:p>
    <w:p w14:paraId="737BE10A" w14:textId="2EB61021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60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Lawitz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E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Mangia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Wyles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Rodriguez-Torres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Hassanein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Gordon SC, Schultz M, Davis MN,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Kayali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Z, Reddy KR, Jacobson IM,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Kowdley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KV, Nyberg L, Subramanian GM, Hyland RH,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Arterburn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Jiang D, McNally J, Brainard D, Symonds WT,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Sheikh AM,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Younossi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Z,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EJ. Sofosbuvir for previously untreated chronic hepatitis C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2013; </w:t>
      </w:r>
      <w:r w:rsidRPr="001029FD">
        <w:rPr>
          <w:rFonts w:ascii="Book Antiqua" w:eastAsia="宋体" w:hAnsi="Book Antiqua" w:cs="宋体"/>
          <w:b/>
          <w:bCs/>
          <w:lang w:eastAsia="zh-CN"/>
        </w:rPr>
        <w:t>368</w:t>
      </w:r>
      <w:r w:rsidRPr="001029FD">
        <w:rPr>
          <w:rFonts w:ascii="Book Antiqua" w:eastAsia="宋体" w:hAnsi="Book Antiqua" w:cs="宋体"/>
          <w:lang w:eastAsia="zh-CN"/>
        </w:rPr>
        <w:t>: 1878-1887 [PMID: 23607594 DOI: 10.1056/NEJMoa1214853]</w:t>
      </w:r>
    </w:p>
    <w:p w14:paraId="727538F0" w14:textId="6795F01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61 </w:t>
      </w:r>
      <w:r w:rsidRPr="001029FD">
        <w:rPr>
          <w:rFonts w:ascii="Book Antiqua" w:eastAsia="宋体" w:hAnsi="Book Antiqua" w:cs="宋体"/>
          <w:b/>
          <w:bCs/>
          <w:lang w:eastAsia="zh-CN"/>
        </w:rPr>
        <w:t>Jacobson IM</w:t>
      </w:r>
      <w:r w:rsidRPr="001029FD">
        <w:rPr>
          <w:rFonts w:ascii="Book Antiqua" w:eastAsia="宋体" w:hAnsi="Book Antiqua" w:cs="宋体"/>
          <w:lang w:eastAsia="zh-CN"/>
        </w:rPr>
        <w:t xml:space="preserve">, Gordon SC,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Kowdley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KV, Yoshida EM, Rodriguez-Torres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Sulkowski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Shiffman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Lawitz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Everson G, Bennett M, Schiff E, Al-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Assi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MT, Subramanian GM, An D, Lin M, McNally J, Brainard D, Symonds WT,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Patel K, Feld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Pianko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Nelson DR; POSITRON Study; FUSION Study. Sofosbuvir for hepatitis C genotype 2 or 3 in patients without treatment options.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2013; </w:t>
      </w:r>
      <w:r w:rsidRPr="001029FD">
        <w:rPr>
          <w:rFonts w:ascii="Book Antiqua" w:eastAsia="宋体" w:hAnsi="Book Antiqua" w:cs="宋体"/>
          <w:b/>
          <w:bCs/>
          <w:lang w:eastAsia="zh-CN"/>
        </w:rPr>
        <w:t>368</w:t>
      </w:r>
      <w:r w:rsidRPr="001029FD">
        <w:rPr>
          <w:rFonts w:ascii="Book Antiqua" w:eastAsia="宋体" w:hAnsi="Book Antiqua" w:cs="宋体"/>
          <w:lang w:eastAsia="zh-CN"/>
        </w:rPr>
        <w:t>: 1867-1877 [PMID: 23607593 DOI: 10.1056/NEJMoa1214854]</w:t>
      </w:r>
    </w:p>
    <w:p w14:paraId="1616419B" w14:textId="2720175B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62 </w:t>
      </w:r>
      <w:r w:rsidRPr="001029FD">
        <w:rPr>
          <w:rFonts w:ascii="Book Antiqua" w:eastAsia="宋体" w:hAnsi="Book Antiqua" w:cs="宋体"/>
          <w:b/>
          <w:bCs/>
          <w:lang w:eastAsia="zh-CN"/>
        </w:rPr>
        <w:t>Foster GR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Pianko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Brown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Forton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Nahass RG, George J, Barnes E, Brainard DM,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Massetto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Lin M, Han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Subramanian GM, Cooper C, Agarwal K; BOSON Study Group. Efficacy of sofosbuvir plus ribavirin with or without peginterferon-alfa in patients with hepatitis C virus genotype 3 infection and treatment-experienced patients with cirrhosis and hepatitis C virus genotype 2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>Gastroenterology</w:t>
      </w:r>
      <w:r w:rsidRPr="001029FD">
        <w:rPr>
          <w:rFonts w:ascii="Book Antiqua" w:eastAsia="宋体" w:hAnsi="Book Antiqua" w:cs="宋体"/>
          <w:lang w:eastAsia="zh-CN"/>
        </w:rPr>
        <w:t xml:space="preserve"> 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149</w:t>
      </w:r>
      <w:r w:rsidRPr="001029FD">
        <w:rPr>
          <w:rFonts w:ascii="Book Antiqua" w:eastAsia="宋体" w:hAnsi="Book Antiqua" w:cs="宋体"/>
          <w:lang w:eastAsia="zh-CN"/>
        </w:rPr>
        <w:t>: 1462-1470 [PMID: 26248087 DOI: 10.1053/j.gastro.2015.07.043]</w:t>
      </w:r>
    </w:p>
    <w:p w14:paraId="6EDF98DE" w14:textId="07C85E45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63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Zarębska-Michaluk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Jaroszewicz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Janczewska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Czauż-Andrzejuk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Berak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Horban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Staniaszek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Gietka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Tudrujek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Tomasiewicz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Dybowska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Halota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Piekarska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Sitko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Garlicki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Orłowska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Simon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Belica-Wdowik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Baka-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Ćwierz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Mazur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Białkowska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Socha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Ł,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Wawrzynowicz-Syczewska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Laurans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Ł,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Deroń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Z,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Lorenc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Dobracka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Tronina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O,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Pawłowska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M. Is Interferon-Based Treatment of Viral Hepatitis C Genotype 3 Infection Still of Value in the Era of Direct-</w:t>
      </w:r>
      <w:r w:rsidRPr="001029FD">
        <w:rPr>
          <w:rFonts w:ascii="Book Antiqua" w:eastAsia="宋体" w:hAnsi="Book Antiqua" w:cs="宋体"/>
          <w:lang w:eastAsia="zh-CN"/>
        </w:rPr>
        <w:lastRenderedPageBreak/>
        <w:t xml:space="preserve">Acting Antivirals? </w:t>
      </w:r>
      <w:r w:rsidRPr="001029FD">
        <w:rPr>
          <w:rFonts w:ascii="Book Antiqua" w:eastAsia="宋体" w:hAnsi="Book Antiqua" w:cs="宋体"/>
          <w:i/>
          <w:iCs/>
          <w:lang w:eastAsia="zh-CN"/>
        </w:rPr>
        <w:t>J Interferon Cytokine Res</w:t>
      </w:r>
      <w:r w:rsidRPr="001029FD">
        <w:rPr>
          <w:rFonts w:ascii="Book Antiqua" w:eastAsia="宋体" w:hAnsi="Book Antiqua" w:cs="宋体"/>
          <w:lang w:eastAsia="zh-CN"/>
        </w:rPr>
        <w:t xml:space="preserve"> 2018; </w:t>
      </w:r>
      <w:r w:rsidRPr="001029FD">
        <w:rPr>
          <w:rFonts w:ascii="Book Antiqua" w:eastAsia="宋体" w:hAnsi="Book Antiqua" w:cs="宋体"/>
          <w:b/>
          <w:bCs/>
          <w:lang w:eastAsia="zh-CN"/>
        </w:rPr>
        <w:t>38</w:t>
      </w:r>
      <w:r w:rsidRPr="001029FD">
        <w:rPr>
          <w:rFonts w:ascii="Book Antiqua" w:eastAsia="宋体" w:hAnsi="Book Antiqua" w:cs="宋体"/>
          <w:lang w:eastAsia="zh-CN"/>
        </w:rPr>
        <w:t>: 93-100 [PMID: 29443655 DOI: 10.1089/jir.2017.0113]</w:t>
      </w:r>
    </w:p>
    <w:p w14:paraId="12F87A62" w14:textId="07064D9D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64 </w:t>
      </w:r>
      <w:r w:rsidRPr="001029FD">
        <w:rPr>
          <w:rFonts w:ascii="Book Antiqua" w:eastAsia="宋体" w:hAnsi="Book Antiqua" w:cs="宋体"/>
          <w:b/>
          <w:bCs/>
          <w:lang w:eastAsia="zh-CN"/>
        </w:rPr>
        <w:t>Backus LI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Belperio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Shahoumian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TA, Loomis TP, Mole LA. Effectiveness of sofosbuvir-based regimens in genotype 1 and 2 hepatitis C virus infection in 4026 U.S. Veterans.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Aliment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42</w:t>
      </w:r>
      <w:r w:rsidRPr="001029FD">
        <w:rPr>
          <w:rFonts w:ascii="Book Antiqua" w:eastAsia="宋体" w:hAnsi="Book Antiqua" w:cs="宋体"/>
          <w:lang w:eastAsia="zh-CN"/>
        </w:rPr>
        <w:t>: 559-573 [PMID: 26113432 DOI: 10.1111/apt.13300]</w:t>
      </w:r>
    </w:p>
    <w:p w14:paraId="617BAD22" w14:textId="3F0C92BF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65 </w:t>
      </w:r>
      <w:r w:rsidRPr="001029FD">
        <w:rPr>
          <w:rFonts w:ascii="Book Antiqua" w:eastAsia="宋体" w:hAnsi="Book Antiqua" w:cs="宋体"/>
          <w:b/>
          <w:bCs/>
          <w:lang w:eastAsia="zh-CN"/>
        </w:rPr>
        <w:t>Nelson DR</w:t>
      </w:r>
      <w:r w:rsidRPr="001029FD">
        <w:rPr>
          <w:rFonts w:ascii="Book Antiqua" w:eastAsia="宋体" w:hAnsi="Book Antiqua" w:cs="宋体"/>
          <w:lang w:eastAsia="zh-CN"/>
        </w:rPr>
        <w:t xml:space="preserve">, Cooper JN,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Lalezari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Lawitz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Pockros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PJ, Gitlin N,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Freilich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BF, Younes ZH, Harlan W, Ghalib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Oguchi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Thuluvath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PJ, Ortiz-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Lasanta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Rabinovitz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Bernstein D, Bennett M, Hawkins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Ravendhran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Sheikh AM,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Varunok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Kowdley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Hennicken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McPhee F, Rana K, Hughes EA; ALLY-3 Study Team. All-oral 12-week treatment with daclatasvir plus sofosbuvir in patients with hepatitis C virus genotype 3 infection: ALLY-3 phase III study. </w:t>
      </w:r>
      <w:r w:rsidRPr="001029FD">
        <w:rPr>
          <w:rFonts w:ascii="Book Antiqua" w:eastAsia="宋体" w:hAnsi="Book Antiqua" w:cs="宋体"/>
          <w:i/>
          <w:iCs/>
          <w:lang w:eastAsia="zh-CN"/>
        </w:rPr>
        <w:t>Hepatology</w:t>
      </w:r>
      <w:r w:rsidRPr="001029FD">
        <w:rPr>
          <w:rFonts w:ascii="Book Antiqua" w:eastAsia="宋体" w:hAnsi="Book Antiqua" w:cs="宋体"/>
          <w:lang w:eastAsia="zh-CN"/>
        </w:rPr>
        <w:t xml:space="preserve"> 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61</w:t>
      </w:r>
      <w:r w:rsidRPr="001029FD">
        <w:rPr>
          <w:rFonts w:ascii="Book Antiqua" w:eastAsia="宋体" w:hAnsi="Book Antiqua" w:cs="宋体"/>
          <w:lang w:eastAsia="zh-CN"/>
        </w:rPr>
        <w:t>: 1127-1135 [PMID: 25614962 DOI: 10.1002/hep.27726]</w:t>
      </w:r>
    </w:p>
    <w:p w14:paraId="60ADDFA5" w14:textId="3DC5EEA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>66 FDA approves Epclusa for treatment of chronic Hepatitis C</w:t>
      </w:r>
      <w:r w:rsidR="00274EC2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2016 Jun 28 [cited 4 October 2022]. Available from: https://www.fda.gov/news-events/press-announcements/fda-approves-epclusa-treatment-chronic-hepatitis-c-virus-infection</w:t>
      </w:r>
    </w:p>
    <w:p w14:paraId="0969A52C" w14:textId="2B56C421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67 </w:t>
      </w:r>
      <w:r w:rsidRPr="001029FD">
        <w:rPr>
          <w:rFonts w:ascii="Book Antiqua" w:eastAsia="宋体" w:hAnsi="Book Antiqua" w:cs="宋体"/>
          <w:b/>
          <w:bCs/>
          <w:lang w:eastAsia="zh-CN"/>
        </w:rPr>
        <w:t>Feld JJ</w:t>
      </w:r>
      <w:r w:rsidRPr="001029FD">
        <w:rPr>
          <w:rFonts w:ascii="Book Antiqua" w:eastAsia="宋体" w:hAnsi="Book Antiqua" w:cs="宋体"/>
          <w:lang w:eastAsia="zh-CN"/>
        </w:rPr>
        <w:t xml:space="preserve">, Jacobson IM,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Hézode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Asselah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Ruane PJ,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Gruener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Abergel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Mangia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Lai CL, Chan HL,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Mazzotta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Moreno C, Yoshida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Shafran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SD, Towner WJ, Tran TT, McNally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Osinusi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Svarovskaia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Zhu Y, Brainard DM,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Agarwal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S; ASTRAL-1 Investigators. Sofosbuvir and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Velpatasvir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for HCV Genotype 1, 2, 4, 5, and 6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373</w:t>
      </w:r>
      <w:r w:rsidRPr="001029FD">
        <w:rPr>
          <w:rFonts w:ascii="Book Antiqua" w:eastAsia="宋体" w:hAnsi="Book Antiqua" w:cs="宋体"/>
          <w:lang w:eastAsia="zh-CN"/>
        </w:rPr>
        <w:t>: 2599-2607 [PMID: 26571066 DOI: 10.1056/NEJMoa1512610]</w:t>
      </w:r>
    </w:p>
    <w:p w14:paraId="34F22F80" w14:textId="51521B19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68 </w:t>
      </w:r>
      <w:r w:rsidRPr="001029FD">
        <w:rPr>
          <w:rFonts w:ascii="Book Antiqua" w:eastAsia="宋体" w:hAnsi="Book Antiqua" w:cs="宋体"/>
          <w:b/>
          <w:bCs/>
          <w:lang w:eastAsia="zh-CN"/>
        </w:rPr>
        <w:t>Foster GR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Afdhal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Roberts SK,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Bräu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Pianko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Lawitz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Thompson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Shiffman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ML, Cooper C, Towner WJ, Conway B, Ruane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Bourlière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Asselah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Berg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Rosenberg W, Agarwal K, Stedman CA, Mo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Dvory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-Sobol H, Han L, Wang J, McNally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Osinusi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Brainard DM,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Mazzotta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Tran TT, Gordon SC, Patel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Reau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Mangia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Sulkowski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M; ASTRAL-2 Investigators; ASTRAL-3 Investigators. Sofosbuvir and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Velpatasvir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for HCV Genotype 2 and 3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373</w:t>
      </w:r>
      <w:r w:rsidRPr="001029FD">
        <w:rPr>
          <w:rFonts w:ascii="Book Antiqua" w:eastAsia="宋体" w:hAnsi="Book Antiqua" w:cs="宋体"/>
          <w:lang w:eastAsia="zh-CN"/>
        </w:rPr>
        <w:t>: 2608-2617 [PMID: 26575258 DOI: 10.1056/NEJMoa1512612]</w:t>
      </w:r>
    </w:p>
    <w:p w14:paraId="4A1502EA" w14:textId="486ADCE6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lastRenderedPageBreak/>
        <w:t xml:space="preserve">69 </w:t>
      </w:r>
      <w:r w:rsidRPr="001029FD">
        <w:rPr>
          <w:rFonts w:ascii="Book Antiqua" w:eastAsia="宋体" w:hAnsi="Book Antiqua" w:cs="宋体"/>
          <w:b/>
          <w:bCs/>
          <w:lang w:eastAsia="zh-CN"/>
        </w:rPr>
        <w:t>Curry MP</w:t>
      </w:r>
      <w:r w:rsidRPr="001029FD">
        <w:rPr>
          <w:rFonts w:ascii="Book Antiqua" w:eastAsia="宋体" w:hAnsi="Book Antiqua" w:cs="宋体"/>
          <w:lang w:eastAsia="zh-CN"/>
        </w:rPr>
        <w:t xml:space="preserve">, O'Leary JG,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Bzowej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Muir AJ,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Korenblat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Fenkel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JM, Reddy KR,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Lawitz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Flamm SL, Schiano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Teperman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L, Fontana R, Schiff E, Fried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Doehle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An D, McNally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Osinusi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Brainard DM,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Brown RS Jr, Charlton M; ASTRAL-4 Investigators. Sofosbuvir and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Velpatasvir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for HCV in Patients with Decompensated Cirrhosis.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373</w:t>
      </w:r>
      <w:r w:rsidRPr="001029FD">
        <w:rPr>
          <w:rFonts w:ascii="Book Antiqua" w:eastAsia="宋体" w:hAnsi="Book Antiqua" w:cs="宋体"/>
          <w:lang w:eastAsia="zh-CN"/>
        </w:rPr>
        <w:t>: 2618-2628 [PMID: 26569658 DOI: 10.1056/NEJMoa1512614]</w:t>
      </w:r>
    </w:p>
    <w:p w14:paraId="231D9471" w14:textId="7BD01617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70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Mangia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1029FD">
        <w:rPr>
          <w:rFonts w:ascii="Book Antiqua" w:eastAsia="宋体" w:hAnsi="Book Antiqua" w:cs="宋体"/>
          <w:lang w:eastAsia="zh-CN"/>
        </w:rPr>
        <w:t xml:space="preserve">, Milligan S, Khalili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Fagiuoli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Shafran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Carrat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Ouzan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Papatheodoridis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Ramji A, Borgia SM,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Wedemeyer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Losappio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Pérez-Hernandez F, Wick N, Brown RS Jr,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Lampertico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Doucette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Ntalla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Ramroth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Mertens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Vanstraelen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Turnes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J. Global real-world evidence of sofosbuvir/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velpatasvir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as simple, effective HCV treatment: Analysis of 5552 patients from 12 cohorts. </w:t>
      </w:r>
      <w:r w:rsidRPr="001029FD">
        <w:rPr>
          <w:rFonts w:ascii="Book Antiqua" w:eastAsia="宋体" w:hAnsi="Book Antiqua" w:cs="宋体"/>
          <w:i/>
          <w:iCs/>
          <w:lang w:eastAsia="zh-CN"/>
        </w:rPr>
        <w:t>Liver Int</w:t>
      </w:r>
      <w:r w:rsidRPr="001029FD">
        <w:rPr>
          <w:rFonts w:ascii="Book Antiqua" w:eastAsia="宋体" w:hAnsi="Book Antiqua" w:cs="宋体"/>
          <w:lang w:eastAsia="zh-CN"/>
        </w:rPr>
        <w:t xml:space="preserve"> 2020; </w:t>
      </w:r>
      <w:r w:rsidRPr="001029FD">
        <w:rPr>
          <w:rFonts w:ascii="Book Antiqua" w:eastAsia="宋体" w:hAnsi="Book Antiqua" w:cs="宋体"/>
          <w:b/>
          <w:bCs/>
          <w:lang w:eastAsia="zh-CN"/>
        </w:rPr>
        <w:t>40</w:t>
      </w:r>
      <w:r w:rsidRPr="001029FD">
        <w:rPr>
          <w:rFonts w:ascii="Book Antiqua" w:eastAsia="宋体" w:hAnsi="Book Antiqua" w:cs="宋体"/>
          <w:lang w:eastAsia="zh-CN"/>
        </w:rPr>
        <w:t>: 1841-1852 [PMID: 32449966 DOI: 10.1111/</w:t>
      </w:r>
      <w:r w:rsidR="00274EC2" w:rsidRPr="001029FD">
        <w:rPr>
          <w:rFonts w:ascii="Book Antiqua" w:eastAsia="宋体" w:hAnsi="Book Antiqua" w:cs="宋体"/>
          <w:lang w:eastAsia="zh-CN"/>
        </w:rPr>
        <w:t>liv</w:t>
      </w:r>
      <w:r w:rsidRPr="001029FD">
        <w:rPr>
          <w:rFonts w:ascii="Book Antiqua" w:eastAsia="宋体" w:hAnsi="Book Antiqua" w:cs="宋体"/>
          <w:lang w:eastAsia="zh-CN"/>
        </w:rPr>
        <w:t>.14537]</w:t>
      </w:r>
    </w:p>
    <w:p w14:paraId="40D466D4" w14:textId="1DEF09F3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71 FDA approves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Mavyret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for treatment of Hepatitis C</w:t>
      </w:r>
      <w:r w:rsidR="00274EC2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2017 Aug 03 [cited 4 October 2022]. Available from: https://www.fda.gov/news-events/press-announcements/fda-approves-mavyret-hepatitis-c</w:t>
      </w:r>
    </w:p>
    <w:p w14:paraId="2F799A33" w14:textId="61F0FF2F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72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1029FD">
        <w:rPr>
          <w:rFonts w:ascii="Book Antiqua" w:eastAsia="宋体" w:hAnsi="Book Antiqua" w:cs="宋体"/>
          <w:lang w:eastAsia="zh-CN"/>
        </w:rPr>
        <w:t xml:space="preserve">, Foster GR, Wang S, Asatryan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Feld JJ,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Asselah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Bourlière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Ruane PJ,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Wedemeyer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Pol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Poordad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Chuang WL, Stedman CA, Flamm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Kwo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Dore GJ, Sepulveda-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Arzola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Roberts SK, Soto-Malave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Kaita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Puoti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Vierling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Tam E, Vargas HE, Bruck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Fuster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Paik SW,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Felizarta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Kort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Fu B, Liu R, Ng TI, Pilot-Matias T, Lin CW, Trinh R, Mensa FJ.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Glecaprevir-Pibrentasvir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for 8 or 12 Weeks in HCV Genotype 1 or 3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2018;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378</w:t>
      </w:r>
      <w:r w:rsidRPr="001029FD">
        <w:rPr>
          <w:rFonts w:ascii="Book Antiqua" w:eastAsia="宋体" w:hAnsi="Book Antiqua" w:cs="宋体"/>
          <w:lang w:eastAsia="zh-CN"/>
        </w:rPr>
        <w:t>: 354-369 [PMID: 29365309 DOI: 10.1056/NEJMoa1702417]</w:t>
      </w:r>
    </w:p>
    <w:p w14:paraId="671D5F6E" w14:textId="260CE647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73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Forns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X</w:t>
      </w:r>
      <w:r w:rsidRPr="001029FD">
        <w:rPr>
          <w:rFonts w:ascii="Book Antiqua" w:eastAsia="宋体" w:hAnsi="Book Antiqua" w:cs="宋体"/>
          <w:lang w:eastAsia="zh-CN"/>
        </w:rPr>
        <w:t xml:space="preserve">, Lee SS, Valdes J, Lens S, Ghalib R, Aguilar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Felizarta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Hassanein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Hinrichsen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Rincon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Morillas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Horsmans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Y, Nelson DR, Yu Y, Krishnan P, Lin CW,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Kort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JJ, Mensa FJ.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Glecaprevir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plus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pibrentasvir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for chronic hepatitis C virus genotype 1, 2, 4, 5, or 6 infection in adults with compensated cirrhosis (EXPEDITION-1): a single-arm, open-label,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multicentre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phase 3 trial. </w:t>
      </w:r>
      <w:r w:rsidRPr="001029FD">
        <w:rPr>
          <w:rFonts w:ascii="Book Antiqua" w:eastAsia="宋体" w:hAnsi="Book Antiqua" w:cs="宋体"/>
          <w:i/>
          <w:iCs/>
          <w:lang w:eastAsia="zh-CN"/>
        </w:rPr>
        <w:t>Lancet Infect Dis</w:t>
      </w:r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17</w:t>
      </w:r>
      <w:r w:rsidRPr="001029FD">
        <w:rPr>
          <w:rFonts w:ascii="Book Antiqua" w:eastAsia="宋体" w:hAnsi="Book Antiqua" w:cs="宋体"/>
          <w:lang w:eastAsia="zh-CN"/>
        </w:rPr>
        <w:t>: 1062-1068 [PMID: 28818546 DOI: 10.1016/S1473-3099(17)30496-6]</w:t>
      </w:r>
    </w:p>
    <w:p w14:paraId="6CE2F50C" w14:textId="2F1D29CD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lastRenderedPageBreak/>
        <w:t xml:space="preserve">74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Asselah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T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Kowdley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Zadeikis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Wang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Hassanein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Horsmans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Y, Colombo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Calinas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Aguilar H, de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Ledinghen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Mantry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Hezode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Marinho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RT, Agarwal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Nevens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Elkhashab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Kort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Liu R, Ng TI, Krishnan P, Lin CW, Mensa FJ. Efficacy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Glecaprevir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Pibrentasvir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for 8 or 12 Weeks in Patients With Hepatitis C Virus Genotype 2, 4, 5, or 6 Infection Without Cirrhosis. </w:t>
      </w:r>
      <w:r w:rsidRPr="001029FD">
        <w:rPr>
          <w:rFonts w:ascii="Book Antiqua" w:eastAsia="宋体" w:hAnsi="Book Antiqua" w:cs="宋体"/>
          <w:i/>
          <w:iCs/>
          <w:lang w:eastAsia="zh-CN"/>
        </w:rPr>
        <w:t>Clin Gastroenterol Hepatol</w:t>
      </w:r>
      <w:r w:rsidRPr="001029FD">
        <w:rPr>
          <w:rFonts w:ascii="Book Antiqua" w:eastAsia="宋体" w:hAnsi="Book Antiqua" w:cs="宋体"/>
          <w:lang w:eastAsia="zh-CN"/>
        </w:rPr>
        <w:t xml:space="preserve"> 2018; </w:t>
      </w:r>
      <w:r w:rsidRPr="001029FD">
        <w:rPr>
          <w:rFonts w:ascii="Book Antiqua" w:eastAsia="宋体" w:hAnsi="Book Antiqua" w:cs="宋体"/>
          <w:b/>
          <w:bCs/>
          <w:lang w:eastAsia="zh-CN"/>
        </w:rPr>
        <w:t>16</w:t>
      </w:r>
      <w:r w:rsidRPr="001029FD">
        <w:rPr>
          <w:rFonts w:ascii="Book Antiqua" w:eastAsia="宋体" w:hAnsi="Book Antiqua" w:cs="宋体"/>
          <w:lang w:eastAsia="zh-CN"/>
        </w:rPr>
        <w:t>: 417-426 [PMID: 28951228 DOI: 10.1016/j.cgh.2017.09.027]</w:t>
      </w:r>
    </w:p>
    <w:p w14:paraId="59DFB163" w14:textId="08B1D8C4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75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Kwo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PY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Poordad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Asatryan A, Wang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Wyles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Hassanein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Felizarta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Sulkowski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Maliakkal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Overcash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JS, Gordon SC, Muir AJ, Aguilar H, Agarwal K, Dore GJ, Lin CW, Liu R, Lovell SS, Ng TI,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Kort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Mensa FJ.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Glecaprevir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and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pibrentasvir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yield high response rates in patients with HCV genotype 1-6 without cirrhosis.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67</w:t>
      </w:r>
      <w:r w:rsidRPr="001029FD">
        <w:rPr>
          <w:rFonts w:ascii="Book Antiqua" w:eastAsia="宋体" w:hAnsi="Book Antiqua" w:cs="宋体"/>
          <w:lang w:eastAsia="zh-CN"/>
        </w:rPr>
        <w:t>: 263-271 [PMID: 28412293 DOI: 10.1016/j.jhep.2017.03.039]</w:t>
      </w:r>
    </w:p>
    <w:p w14:paraId="75A50FAF" w14:textId="455A761E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76 </w:t>
      </w:r>
      <w:r w:rsidRPr="001029FD">
        <w:rPr>
          <w:rFonts w:ascii="Book Antiqua" w:eastAsia="宋体" w:hAnsi="Book Antiqua" w:cs="宋体"/>
          <w:b/>
          <w:bCs/>
          <w:lang w:eastAsia="zh-CN"/>
        </w:rPr>
        <w:t>Brown RS Jr</w:t>
      </w:r>
      <w:r w:rsidRPr="001029FD">
        <w:rPr>
          <w:rFonts w:ascii="Book Antiqua" w:eastAsia="宋体" w:hAnsi="Book Antiqua" w:cs="宋体"/>
          <w:lang w:eastAsia="zh-CN"/>
        </w:rPr>
        <w:t xml:space="preserve">, Buti M, Rodrigues 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Chulanov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Chuang WL, Aguilar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Horváth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Zuckerman E, Carrion BR, Rodriguez-Perez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Urbánek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Abergel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Cohen E, Lovell SS, Schnell G, Lin CW,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Zha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Wang S, Trinh R, Mensa FJ, Burroughs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Felizarta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Glecaprevir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pibrentasvir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for 8</w:t>
      </w:r>
      <w:r w:rsidRPr="001029FD">
        <w:rPr>
          <w:rFonts w:eastAsia="宋体"/>
          <w:lang w:eastAsia="zh-CN"/>
        </w:rPr>
        <w:t> </w:t>
      </w:r>
      <w:r w:rsidRPr="001029FD">
        <w:rPr>
          <w:rFonts w:ascii="Book Antiqua" w:eastAsia="宋体" w:hAnsi="Book Antiqua" w:cs="宋体"/>
          <w:lang w:eastAsia="zh-CN"/>
        </w:rPr>
        <w:t>weeks in treatment-na</w:t>
      </w:r>
      <w:r w:rsidRPr="001029FD">
        <w:rPr>
          <w:rFonts w:ascii="Book Antiqua" w:eastAsia="宋体" w:hAnsi="Book Antiqua" w:cs="Book Antiqua"/>
          <w:lang w:eastAsia="zh-CN"/>
        </w:rPr>
        <w:t>ï</w:t>
      </w:r>
      <w:r w:rsidRPr="001029FD">
        <w:rPr>
          <w:rFonts w:ascii="Book Antiqua" w:eastAsia="宋体" w:hAnsi="Book Antiqua" w:cs="宋体"/>
          <w:lang w:eastAsia="zh-CN"/>
        </w:rPr>
        <w:t xml:space="preserve">ve patients with chronic HCV genotypes 1-6 and compensated cirrhosis: The EXPEDITION-8 trial.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Pr="001029FD">
        <w:rPr>
          <w:rFonts w:ascii="Book Antiqua" w:eastAsia="宋体" w:hAnsi="Book Antiqua" w:cs="宋体"/>
          <w:lang w:eastAsia="zh-CN"/>
        </w:rPr>
        <w:t xml:space="preserve"> 2020; </w:t>
      </w:r>
      <w:r w:rsidRPr="001029FD">
        <w:rPr>
          <w:rFonts w:ascii="Book Antiqua" w:eastAsia="宋体" w:hAnsi="Book Antiqua" w:cs="宋体"/>
          <w:b/>
          <w:bCs/>
          <w:lang w:eastAsia="zh-CN"/>
        </w:rPr>
        <w:t>72</w:t>
      </w:r>
      <w:r w:rsidRPr="001029FD">
        <w:rPr>
          <w:rFonts w:ascii="Book Antiqua" w:eastAsia="宋体" w:hAnsi="Book Antiqua" w:cs="宋体"/>
          <w:lang w:eastAsia="zh-CN"/>
        </w:rPr>
        <w:t>: 441-449 [PMID: 31682879 DOI: 10.1016/j.jhep.2019.10.020]</w:t>
      </w:r>
    </w:p>
    <w:p w14:paraId="58579BEB" w14:textId="79E41DCA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77 </w:t>
      </w:r>
      <w:r w:rsidRPr="001029FD">
        <w:rPr>
          <w:rFonts w:ascii="Book Antiqua" w:eastAsia="宋体" w:hAnsi="Book Antiqua" w:cs="宋体"/>
          <w:b/>
          <w:bCs/>
          <w:lang w:eastAsia="zh-CN"/>
        </w:rPr>
        <w:t>Madsen LW</w:t>
      </w:r>
      <w:r w:rsidRPr="001029FD">
        <w:rPr>
          <w:rFonts w:ascii="Book Antiqua" w:eastAsia="宋体" w:hAnsi="Book Antiqua" w:cs="宋体"/>
          <w:lang w:eastAsia="zh-CN"/>
        </w:rPr>
        <w:t xml:space="preserve">, Christensen PB,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Fahnøe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U, Pedersen MS,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Bukh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Øvrehus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A. Inferior cure rate in pilot study of 4-week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glecaprevir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pibrentasvir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treatment with or without ribavirin of chronic hepatitis C. </w:t>
      </w:r>
      <w:r w:rsidRPr="001029FD">
        <w:rPr>
          <w:rFonts w:ascii="Book Antiqua" w:eastAsia="宋体" w:hAnsi="Book Antiqua" w:cs="宋体"/>
          <w:i/>
          <w:iCs/>
          <w:lang w:eastAsia="zh-CN"/>
        </w:rPr>
        <w:t>Liver Int</w:t>
      </w:r>
      <w:r w:rsidRPr="001029FD">
        <w:rPr>
          <w:rFonts w:ascii="Book Antiqua" w:eastAsia="宋体" w:hAnsi="Book Antiqua" w:cs="宋体"/>
          <w:lang w:eastAsia="zh-CN"/>
        </w:rPr>
        <w:t xml:space="preserve"> 2021; </w:t>
      </w:r>
      <w:r w:rsidRPr="001029FD">
        <w:rPr>
          <w:rFonts w:ascii="Book Antiqua" w:eastAsia="宋体" w:hAnsi="Book Antiqua" w:cs="宋体"/>
          <w:b/>
          <w:bCs/>
          <w:lang w:eastAsia="zh-CN"/>
        </w:rPr>
        <w:t>41</w:t>
      </w:r>
      <w:r w:rsidRPr="001029FD">
        <w:rPr>
          <w:rFonts w:ascii="Book Antiqua" w:eastAsia="宋体" w:hAnsi="Book Antiqua" w:cs="宋体"/>
          <w:lang w:eastAsia="zh-CN"/>
        </w:rPr>
        <w:t>: 2601-2610 [PMID: 34154034 DOI: 10.1111/</w:t>
      </w:r>
      <w:r w:rsidR="00274EC2" w:rsidRPr="001029FD">
        <w:rPr>
          <w:rFonts w:ascii="Book Antiqua" w:eastAsia="宋体" w:hAnsi="Book Antiqua" w:cs="宋体"/>
          <w:lang w:eastAsia="zh-CN"/>
        </w:rPr>
        <w:t>liv.1</w:t>
      </w:r>
      <w:r w:rsidRPr="001029FD">
        <w:rPr>
          <w:rFonts w:ascii="Book Antiqua" w:eastAsia="宋体" w:hAnsi="Book Antiqua" w:cs="宋体"/>
          <w:lang w:eastAsia="zh-CN"/>
        </w:rPr>
        <w:t>4991]</w:t>
      </w:r>
    </w:p>
    <w:p w14:paraId="34055D10" w14:textId="11CD4B48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78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Gane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E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Lawitz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Pugatch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Papatheodoridis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Bräu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Brown A, Pol S, Leroy V, Persico M, Moreno C, Colombo M, Yoshida EM, Nelson DR, Collins C, Lei 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Kosloski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Mensa FJ.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Glecaprevir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and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Pibrentasvir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in Patients with HCV and Severe Renal Impairment.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377</w:t>
      </w:r>
      <w:r w:rsidRPr="001029FD">
        <w:rPr>
          <w:rFonts w:ascii="Book Antiqua" w:eastAsia="宋体" w:hAnsi="Book Antiqua" w:cs="宋体"/>
          <w:lang w:eastAsia="zh-CN"/>
        </w:rPr>
        <w:t>: 1448-1455 [PMID: 29020583 DOI: 10.1056/NEJMoa1704053]</w:t>
      </w:r>
    </w:p>
    <w:p w14:paraId="4CD00EB8" w14:textId="5C2F6F7E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79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Lampertico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Carrión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JA, Curry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Turnes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Cornberg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Negro F, Brown A, Persico M, Wick N,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Porcalla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Pangerl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Crown E, Larsen L, Yu 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Wedemeyer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H. Real-world effectiveness and safety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glecaprevir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pibrentasvir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for the treatment of patients with </w:t>
      </w:r>
      <w:r w:rsidRPr="001029FD">
        <w:rPr>
          <w:rFonts w:ascii="Book Antiqua" w:eastAsia="宋体" w:hAnsi="Book Antiqua" w:cs="宋体"/>
          <w:lang w:eastAsia="zh-CN"/>
        </w:rPr>
        <w:lastRenderedPageBreak/>
        <w:t xml:space="preserve">chronic HCV infection: A meta-analysis.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Pr="001029FD">
        <w:rPr>
          <w:rFonts w:ascii="Book Antiqua" w:eastAsia="宋体" w:hAnsi="Book Antiqua" w:cs="宋体"/>
          <w:lang w:eastAsia="zh-CN"/>
        </w:rPr>
        <w:t xml:space="preserve"> 2020; </w:t>
      </w:r>
      <w:r w:rsidRPr="001029FD">
        <w:rPr>
          <w:rFonts w:ascii="Book Antiqua" w:eastAsia="宋体" w:hAnsi="Book Antiqua" w:cs="宋体"/>
          <w:b/>
          <w:bCs/>
          <w:lang w:eastAsia="zh-CN"/>
        </w:rPr>
        <w:t>72</w:t>
      </w:r>
      <w:r w:rsidRPr="001029FD">
        <w:rPr>
          <w:rFonts w:ascii="Book Antiqua" w:eastAsia="宋体" w:hAnsi="Book Antiqua" w:cs="宋体"/>
          <w:lang w:eastAsia="zh-CN"/>
        </w:rPr>
        <w:t>: 1112-1121 [PMID: 32061651 DOI: 10.1016/j.jhep.2020.01.025]</w:t>
      </w:r>
    </w:p>
    <w:p w14:paraId="64D195DD" w14:textId="776D4445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80 FDA approves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Vosevi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for re-treatment of chronic Hepatitis C</w:t>
      </w:r>
      <w:r w:rsidR="00274EC2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2017 Jul 18 [cited 4 October 2022]. Available from: https://www.drugs.com/newdrugs/fda-approves-vosevi-sofosbuvir-velpatasvir-voxilaprevir-re-adults-chronic-hepatitis-c-virus-4562.html</w:t>
      </w:r>
    </w:p>
    <w:p w14:paraId="576F2423" w14:textId="27B3F0A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81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Dusheiko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Salupere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Mangia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Hyland RH,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Illeperuma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Svarovskaia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Brainard DM, Symonds WT, Subramanian GM,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Weiland O,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Reesink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Ferenci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Hézode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Esteban R; VALENCE Investigators. Sofosbuvir and ribavirin in HCV genotypes 2 and 3.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2014;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370</w:t>
      </w:r>
      <w:r w:rsidRPr="001029FD">
        <w:rPr>
          <w:rFonts w:ascii="Book Antiqua" w:eastAsia="宋体" w:hAnsi="Book Antiqua" w:cs="宋体"/>
          <w:lang w:eastAsia="zh-CN"/>
        </w:rPr>
        <w:t>: 1993-2001 [PMID: 24795201 DOI: 10.1056/NEJMoa1316145]</w:t>
      </w:r>
    </w:p>
    <w:p w14:paraId="5DCA3F49" w14:textId="0243E683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82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Omata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Nishiguchi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Ueno Y, Mochizuki H, Izumi N, Ikeda F, Toyoda H, Yokosuka O,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Nirei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Genda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Umemura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Takehara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Sakamoto N,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Nishigaki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Nakane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Toda N, Ide T, Yanase M, Hino K, Gao B, Garrison KL,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Dvory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-Sobol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Ishizaki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Omote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Brainard D, Knox S, Symonds WT,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Yatsuhashi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Mizokami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M. Sofosbuvir plus ribavirin in Japanese patients with chronic genotype 2 HCV infection: an open-label, phase 3 trial.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J Viral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Hepat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2014; </w:t>
      </w:r>
      <w:r w:rsidRPr="001029FD">
        <w:rPr>
          <w:rFonts w:ascii="Book Antiqua" w:eastAsia="宋体" w:hAnsi="Book Antiqua" w:cs="宋体"/>
          <w:b/>
          <w:bCs/>
          <w:lang w:eastAsia="zh-CN"/>
        </w:rPr>
        <w:t>21</w:t>
      </w:r>
      <w:r w:rsidRPr="001029FD">
        <w:rPr>
          <w:rFonts w:ascii="Book Antiqua" w:eastAsia="宋体" w:hAnsi="Book Antiqua" w:cs="宋体"/>
          <w:lang w:eastAsia="zh-CN"/>
        </w:rPr>
        <w:t>: 762-768 [PMID: 25196837 DOI: 10.1111/jvh.12312]</w:t>
      </w:r>
    </w:p>
    <w:p w14:paraId="32EAB4ED" w14:textId="12CC4789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83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Satsangi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1029FD">
        <w:rPr>
          <w:rFonts w:ascii="Book Antiqua" w:eastAsia="宋体" w:hAnsi="Book Antiqua" w:cs="宋体"/>
          <w:lang w:eastAsia="zh-CN"/>
        </w:rPr>
        <w:t xml:space="preserve">, Mehta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Duseja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Taneja S, Dhiman RK, Chawla Y. Dual treatment with sofosbuvir plus ribavirin is as effective as triple therapy with pegylated interferon plus sofosbuvir plus ribavirin in predominant genotype 3 patients with chronic hepatitis C.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Gastroenterol Hepatol</w:t>
      </w:r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32</w:t>
      </w:r>
      <w:r w:rsidRPr="001029FD">
        <w:rPr>
          <w:rFonts w:ascii="Book Antiqua" w:eastAsia="宋体" w:hAnsi="Book Antiqua" w:cs="宋体"/>
          <w:lang w:eastAsia="zh-CN"/>
        </w:rPr>
        <w:t>: 859-863 [PMID: 27624314 DOI: 10.1111/jgh.13595]</w:t>
      </w:r>
    </w:p>
    <w:p w14:paraId="712BC707" w14:textId="101FC196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84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Bourlière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1029FD">
        <w:rPr>
          <w:rFonts w:ascii="Book Antiqua" w:eastAsia="宋体" w:hAnsi="Book Antiqua" w:cs="宋体"/>
          <w:lang w:eastAsia="zh-CN"/>
        </w:rPr>
        <w:t xml:space="preserve">, Gordon SC, Flamm SL, Cooper CL, Ramji A, Tong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Ravendhran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Vierling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JM, Tran TT,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Pianko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Bansal MB, de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Lédinghen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Hyland RH,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Stamm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Dvory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-Sobol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Svarovskaia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Zhang J, Huang KC, Subramanian GM, Brainard DM,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Verna EC,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Buggisch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Landis CS, Younes ZH, Curry MP, Strasser SI, Schiff ER, Reddy KR,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Kowdley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S; POLARIS-1 and POLARIS-4 Investigators. Sofosbuvir,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Velpatasvir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, and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Voxilaprevir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for Previously Treated HCV </w:t>
      </w:r>
      <w:r w:rsidRPr="001029FD">
        <w:rPr>
          <w:rFonts w:ascii="Book Antiqua" w:eastAsia="宋体" w:hAnsi="Book Antiqua" w:cs="宋体"/>
          <w:lang w:eastAsia="zh-CN"/>
        </w:rPr>
        <w:lastRenderedPageBreak/>
        <w:t xml:space="preserve">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376</w:t>
      </w:r>
      <w:r w:rsidRPr="001029FD">
        <w:rPr>
          <w:rFonts w:ascii="Book Antiqua" w:eastAsia="宋体" w:hAnsi="Book Antiqua" w:cs="宋体"/>
          <w:lang w:eastAsia="zh-CN"/>
        </w:rPr>
        <w:t>: 2134-2146 [PMID: 28564569 DOI: 10.1056/NEJMoa1613512]</w:t>
      </w:r>
    </w:p>
    <w:p w14:paraId="377F5D11" w14:textId="37D3981F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85 </w:t>
      </w:r>
      <w:r w:rsidR="00274EC2" w:rsidRPr="001029FD">
        <w:rPr>
          <w:rFonts w:ascii="Book Antiqua" w:eastAsia="宋体" w:hAnsi="Book Antiqua" w:cs="宋体"/>
          <w:lang w:eastAsia="zh-CN"/>
        </w:rPr>
        <w:t>World Health Organization</w:t>
      </w:r>
      <w:r w:rsidRPr="001029FD">
        <w:rPr>
          <w:rFonts w:ascii="Book Antiqua" w:eastAsia="宋体" w:hAnsi="Book Antiqua" w:cs="宋体"/>
          <w:lang w:eastAsia="zh-CN"/>
        </w:rPr>
        <w:t>. Global health sector strategy on viral hepatitis 2016–2021</w:t>
      </w:r>
      <w:r w:rsidR="00274EC2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[cited 4 October 2022]. Available from: https://apps.who.int/iris/handle/10665/246177</w:t>
      </w:r>
    </w:p>
    <w:p w14:paraId="2C2222E1" w14:textId="35E101D4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86 </w:t>
      </w:r>
      <w:r w:rsidR="00274EC2" w:rsidRPr="001029FD">
        <w:rPr>
          <w:rFonts w:ascii="Book Antiqua" w:eastAsia="宋体" w:hAnsi="Book Antiqua" w:cs="宋体"/>
          <w:lang w:eastAsia="zh-CN"/>
        </w:rPr>
        <w:t>World Health Organization</w:t>
      </w:r>
      <w:r w:rsidRPr="001029FD">
        <w:rPr>
          <w:rFonts w:ascii="Book Antiqua" w:eastAsia="宋体" w:hAnsi="Book Antiqua" w:cs="宋体"/>
          <w:lang w:eastAsia="zh-CN"/>
        </w:rPr>
        <w:t>. Interim guidance for country validation of viral hepatitis elimination</w:t>
      </w:r>
      <w:r w:rsidR="00274EC2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[cited 4 October 2022]. Available from: https://www.who.int/publications/i/item/9789240028395</w:t>
      </w:r>
    </w:p>
    <w:p w14:paraId="34A0D314" w14:textId="4FCBDA36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87 </w:t>
      </w:r>
      <w:r w:rsidRPr="001029FD">
        <w:rPr>
          <w:rFonts w:ascii="Book Antiqua" w:eastAsia="宋体" w:hAnsi="Book Antiqua" w:cs="宋体"/>
          <w:b/>
          <w:bCs/>
          <w:lang w:eastAsia="zh-CN"/>
        </w:rPr>
        <w:t>Polaris Observatory HCV Collaborators</w:t>
      </w:r>
      <w:r w:rsidRPr="001029FD">
        <w:rPr>
          <w:rFonts w:ascii="Book Antiqua" w:eastAsia="宋体" w:hAnsi="Book Antiqua" w:cs="宋体"/>
          <w:lang w:eastAsia="zh-CN"/>
        </w:rPr>
        <w:t xml:space="preserve">. Global change in hepatitis C virus prevalence and cascade of care between 2015 and 2020: a modelling study. </w:t>
      </w:r>
      <w:r w:rsidRPr="001029FD">
        <w:rPr>
          <w:rFonts w:ascii="Book Antiqua" w:eastAsia="宋体" w:hAnsi="Book Antiqua" w:cs="宋体"/>
          <w:i/>
          <w:iCs/>
          <w:lang w:eastAsia="zh-CN"/>
        </w:rPr>
        <w:t>Lancet Gastroenterol Hepatol</w:t>
      </w:r>
      <w:r w:rsidRPr="001029FD">
        <w:rPr>
          <w:rFonts w:ascii="Book Antiqua" w:eastAsia="宋体" w:hAnsi="Book Antiqua" w:cs="宋体"/>
          <w:lang w:eastAsia="zh-CN"/>
        </w:rPr>
        <w:t xml:space="preserve"> 2022; </w:t>
      </w:r>
      <w:r w:rsidRPr="001029FD">
        <w:rPr>
          <w:rFonts w:ascii="Book Antiqua" w:eastAsia="宋体" w:hAnsi="Book Antiqua" w:cs="宋体"/>
          <w:b/>
          <w:bCs/>
          <w:lang w:eastAsia="zh-CN"/>
        </w:rPr>
        <w:t>7</w:t>
      </w:r>
      <w:r w:rsidRPr="001029FD">
        <w:rPr>
          <w:rFonts w:ascii="Book Antiqua" w:eastAsia="宋体" w:hAnsi="Book Antiqua" w:cs="宋体"/>
          <w:lang w:eastAsia="zh-CN"/>
        </w:rPr>
        <w:t>: 396-415 [PMID: 35180382 DOI: 10.1016/S2468-1253(21)00472-6]</w:t>
      </w:r>
    </w:p>
    <w:p w14:paraId="18CE68BB" w14:textId="3EB92634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88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Elsharkawy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1029FD">
        <w:rPr>
          <w:rFonts w:ascii="Book Antiqua" w:eastAsia="宋体" w:hAnsi="Book Antiqua" w:cs="宋体"/>
          <w:lang w:eastAsia="zh-CN"/>
        </w:rPr>
        <w:t>, El-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Raziky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El-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Akel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El-Saeed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Eletreby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El-Sayed MH,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Kabil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Ismail SA, El-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Serafy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Abdelaziz AO, Shaker MK,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Yosry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Doss W, El-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Shazly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Esmat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Waked I. Planning and prioritizing direct-acting antivirals treatment for HCV patients in countries with limited resources: Lessons from the Egyptian experience.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Pr="001029FD">
        <w:rPr>
          <w:rFonts w:ascii="Book Antiqua" w:eastAsia="宋体" w:hAnsi="Book Antiqua" w:cs="宋体"/>
          <w:lang w:eastAsia="zh-CN"/>
        </w:rPr>
        <w:t xml:space="preserve"> 2018; </w:t>
      </w:r>
      <w:r w:rsidRPr="001029FD">
        <w:rPr>
          <w:rFonts w:ascii="Book Antiqua" w:eastAsia="宋体" w:hAnsi="Book Antiqua" w:cs="宋体"/>
          <w:b/>
          <w:bCs/>
          <w:lang w:eastAsia="zh-CN"/>
        </w:rPr>
        <w:t>68</w:t>
      </w:r>
      <w:r w:rsidRPr="001029FD">
        <w:rPr>
          <w:rFonts w:ascii="Book Antiqua" w:eastAsia="宋体" w:hAnsi="Book Antiqua" w:cs="宋体"/>
          <w:lang w:eastAsia="zh-CN"/>
        </w:rPr>
        <w:t>: 691-698 [PMID: 29223371 DOI: 10.1016/j.jhep.2017.11.034]</w:t>
      </w:r>
    </w:p>
    <w:p w14:paraId="419485D5" w14:textId="3890A733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89 </w:t>
      </w:r>
      <w:proofErr w:type="spellStart"/>
      <w:r w:rsidR="00274EC2" w:rsidRPr="001029FD">
        <w:rPr>
          <w:rFonts w:ascii="Book Antiqua" w:eastAsia="宋体" w:hAnsi="Book Antiqua" w:cs="宋体"/>
          <w:b/>
          <w:bCs/>
          <w:lang w:eastAsia="zh-CN"/>
        </w:rPr>
        <w:t>Flisiak</w:t>
      </w:r>
      <w:proofErr w:type="spellEnd"/>
      <w:r w:rsidR="00274EC2" w:rsidRPr="001029FD">
        <w:rPr>
          <w:rFonts w:ascii="Book Antiqua" w:eastAsia="宋体" w:hAnsi="Book Antiqua" w:cs="宋体"/>
          <w:b/>
          <w:bCs/>
          <w:lang w:eastAsia="zh-CN"/>
        </w:rPr>
        <w:t xml:space="preserve"> R</w:t>
      </w:r>
      <w:r w:rsidR="00274EC2"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Zarębska-Michaluk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Jaroszewicz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Lorenc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Klapaczyński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Tudrujek-Zdunek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Sitko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M, Mazur W,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Janczewska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Pabjan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Dybowska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Buczyńska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Czauż-Andrzejuk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Belica-Wdowik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Berak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Krygier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Piasecki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Dobracka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Citko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Piekarska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Socha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Ł,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Deroń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Z,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Tronina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O,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Laurans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Ł,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Białkowska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Tomasiewicz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Halota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W, Simon K,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Pawłowska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M. Changes in patient profile, treatment effectiveness, and safety during 4 years of access to interferon-free therapy for hepatitis C virus infection. </w:t>
      </w:r>
      <w:r w:rsidR="00274EC2" w:rsidRPr="001029FD">
        <w:rPr>
          <w:rFonts w:ascii="Book Antiqua" w:eastAsia="宋体" w:hAnsi="Book Antiqua" w:cs="宋体"/>
          <w:i/>
          <w:iCs/>
          <w:lang w:eastAsia="zh-CN"/>
        </w:rPr>
        <w:t xml:space="preserve">Pol Arch Intern Med </w:t>
      </w:r>
      <w:r w:rsidR="00274EC2" w:rsidRPr="001029FD">
        <w:rPr>
          <w:rFonts w:ascii="Book Antiqua" w:eastAsia="宋体" w:hAnsi="Book Antiqua" w:cs="宋体"/>
          <w:lang w:eastAsia="zh-CN"/>
        </w:rPr>
        <w:t xml:space="preserve">2020; </w:t>
      </w:r>
      <w:r w:rsidR="00274EC2" w:rsidRPr="001029FD">
        <w:rPr>
          <w:rFonts w:ascii="Book Antiqua" w:eastAsia="宋体" w:hAnsi="Book Antiqua" w:cs="宋体"/>
          <w:b/>
          <w:bCs/>
          <w:lang w:eastAsia="zh-CN"/>
        </w:rPr>
        <w:t>130</w:t>
      </w:r>
      <w:r w:rsidR="00274EC2" w:rsidRPr="001029FD">
        <w:rPr>
          <w:rFonts w:ascii="Book Antiqua" w:eastAsia="宋体" w:hAnsi="Book Antiqua" w:cs="宋体"/>
          <w:lang w:eastAsia="zh-CN"/>
        </w:rPr>
        <w:t>: 163-172 [PMID: 32031541 DOI: 10.20452/pamw.15181]</w:t>
      </w:r>
    </w:p>
    <w:p w14:paraId="79DF032F" w14:textId="2C1A480C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90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Reau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N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Sulkowski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MS, Thomas E, Sundaram V, Xu Q, Cheng WH, Marx SE, Hayes OA,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Manthena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Chirikov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Dylla DE, Brooks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Carabino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JM, Saab S. Epidemiology and Clinical Characteristics of Individuals with Hepatitis C Virus Infection in the United States, 2017-2019.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Adv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2021; </w:t>
      </w:r>
      <w:r w:rsidRPr="001029FD">
        <w:rPr>
          <w:rFonts w:ascii="Book Antiqua" w:eastAsia="宋体" w:hAnsi="Book Antiqua" w:cs="宋体"/>
          <w:b/>
          <w:bCs/>
          <w:lang w:eastAsia="zh-CN"/>
        </w:rPr>
        <w:t>38</w:t>
      </w:r>
      <w:r w:rsidRPr="001029FD">
        <w:rPr>
          <w:rFonts w:ascii="Book Antiqua" w:eastAsia="宋体" w:hAnsi="Book Antiqua" w:cs="宋体"/>
          <w:lang w:eastAsia="zh-CN"/>
        </w:rPr>
        <w:t>: 5777-5790 [PMID: 34704194 DOI: 10.1007/s12325-021-01928-y]</w:t>
      </w:r>
    </w:p>
    <w:p w14:paraId="7B8A14DC" w14:textId="76D839C1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lastRenderedPageBreak/>
        <w:t xml:space="preserve">91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Hüppe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Serfert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Buggisch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Mauss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Böker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KHW, Müller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Klinker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Günther R, Berg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Cornberg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Niederau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Sarrazin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Simon KG,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Wedemeyer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H. [4 years of direct-acting antivirals (DAAs) in the German Hepatitis C-Registry (DHC-R)]. </w:t>
      </w:r>
      <w:r w:rsidRPr="001029FD">
        <w:rPr>
          <w:rFonts w:ascii="Book Antiqua" w:eastAsia="宋体" w:hAnsi="Book Antiqua" w:cs="宋体"/>
          <w:i/>
          <w:iCs/>
          <w:lang w:eastAsia="zh-CN"/>
        </w:rPr>
        <w:t>Z Gastroenterol</w:t>
      </w:r>
      <w:r w:rsidRPr="001029FD">
        <w:rPr>
          <w:rFonts w:ascii="Book Antiqua" w:eastAsia="宋体" w:hAnsi="Book Antiqua" w:cs="宋体"/>
          <w:lang w:eastAsia="zh-CN"/>
        </w:rPr>
        <w:t xml:space="preserve"> 2019; </w:t>
      </w:r>
      <w:r w:rsidRPr="001029FD">
        <w:rPr>
          <w:rFonts w:ascii="Book Antiqua" w:eastAsia="宋体" w:hAnsi="Book Antiqua" w:cs="宋体"/>
          <w:b/>
          <w:bCs/>
          <w:lang w:eastAsia="zh-CN"/>
        </w:rPr>
        <w:t>57</w:t>
      </w:r>
      <w:r w:rsidRPr="001029FD">
        <w:rPr>
          <w:rFonts w:ascii="Book Antiqua" w:eastAsia="宋体" w:hAnsi="Book Antiqua" w:cs="宋体"/>
          <w:lang w:eastAsia="zh-CN"/>
        </w:rPr>
        <w:t>: 27-36 [PMID: 30641600 DOI: 10.1055/a-0821-7188]</w:t>
      </w:r>
    </w:p>
    <w:p w14:paraId="7B4F469C" w14:textId="08F64C4B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92 </w:t>
      </w:r>
      <w:r w:rsidRPr="001029FD">
        <w:rPr>
          <w:rFonts w:ascii="Book Antiqua" w:eastAsia="宋体" w:hAnsi="Book Antiqua" w:cs="宋体"/>
          <w:b/>
          <w:bCs/>
          <w:lang w:eastAsia="zh-CN"/>
        </w:rPr>
        <w:t>Ministry of Health and Population</w:t>
      </w:r>
      <w:r w:rsidRPr="001029FD">
        <w:rPr>
          <w:rFonts w:ascii="Book Antiqua" w:eastAsia="宋体" w:hAnsi="Book Antiqua" w:cs="宋体"/>
          <w:lang w:eastAsia="zh-CN"/>
        </w:rPr>
        <w:t>. Plan of Action for the Prevention, Care &amp; Treatment of Viral Hepatitis, Egypt 2014–2018</w:t>
      </w:r>
      <w:r w:rsidR="00274EC2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2014 Aug 03 [cited </w:t>
      </w:r>
      <w:r w:rsidR="00F2278B" w:rsidRPr="001029FD">
        <w:rPr>
          <w:rFonts w:ascii="Book Antiqua" w:eastAsia="宋体" w:hAnsi="Book Antiqua" w:cs="宋体"/>
          <w:lang w:eastAsia="zh-CN"/>
        </w:rPr>
        <w:t>4 October</w:t>
      </w:r>
      <w:r w:rsidRPr="001029FD">
        <w:rPr>
          <w:rFonts w:ascii="Book Antiqua" w:eastAsia="宋体" w:hAnsi="Book Antiqua" w:cs="宋体"/>
          <w:lang w:eastAsia="zh-CN"/>
        </w:rPr>
        <w:t xml:space="preserve"> 2022]. Available from: http://www.emro.who.int/images/stories/egypt/VH_Plan_of_Action_FINAL_PRINT1.pdf</w:t>
      </w:r>
    </w:p>
    <w:p w14:paraId="2B54D745" w14:textId="0C1BD3A9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93 </w:t>
      </w:r>
      <w:r w:rsidRPr="001029FD">
        <w:rPr>
          <w:rFonts w:ascii="Book Antiqua" w:eastAsia="宋体" w:hAnsi="Book Antiqua" w:cs="宋体"/>
          <w:b/>
          <w:bCs/>
          <w:lang w:eastAsia="zh-CN"/>
        </w:rPr>
        <w:t>Polaris Observatory HCV Collaborators</w:t>
      </w:r>
      <w:r w:rsidRPr="001029FD">
        <w:rPr>
          <w:rFonts w:ascii="Book Antiqua" w:eastAsia="宋体" w:hAnsi="Book Antiqua" w:cs="宋体"/>
          <w:lang w:eastAsia="zh-CN"/>
        </w:rPr>
        <w:t xml:space="preserve">. Global prevalence and genotype distribution of hepatitis C virus infection in 2015: a modelling study. </w:t>
      </w:r>
      <w:r w:rsidRPr="001029FD">
        <w:rPr>
          <w:rFonts w:ascii="Book Antiqua" w:eastAsia="宋体" w:hAnsi="Book Antiqua" w:cs="宋体"/>
          <w:i/>
          <w:iCs/>
          <w:lang w:eastAsia="zh-CN"/>
        </w:rPr>
        <w:t>Lancet Gastroenterol Hepatol</w:t>
      </w:r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2</w:t>
      </w:r>
      <w:r w:rsidRPr="001029FD">
        <w:rPr>
          <w:rFonts w:ascii="Book Antiqua" w:eastAsia="宋体" w:hAnsi="Book Antiqua" w:cs="宋体"/>
          <w:lang w:eastAsia="zh-CN"/>
        </w:rPr>
        <w:t>: 161-176 [PMID: 28404132 DOI: 10.1016/S2468-1253(16)30181-9]</w:t>
      </w:r>
    </w:p>
    <w:p w14:paraId="70D32AA2" w14:textId="08FD8355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94 </w:t>
      </w:r>
      <w:r w:rsidRPr="001029FD">
        <w:rPr>
          <w:rFonts w:ascii="Book Antiqua" w:eastAsia="宋体" w:hAnsi="Book Antiqua" w:cs="宋体"/>
          <w:b/>
          <w:bCs/>
          <w:lang w:eastAsia="zh-CN"/>
        </w:rPr>
        <w:t>European Association for the Study of the Liver</w:t>
      </w:r>
      <w:r w:rsidRPr="001029FD">
        <w:rPr>
          <w:rFonts w:ascii="Book Antiqua" w:eastAsia="宋体" w:hAnsi="Book Antiqua" w:cs="宋体"/>
          <w:lang w:eastAsia="zh-CN"/>
        </w:rPr>
        <w:t xml:space="preserve">. Electronic address: easloffice@easloffice.eu; Clinical Practice Guidelines Panel: </w:t>
      </w:r>
      <w:proofErr w:type="gramStart"/>
      <w:r w:rsidRPr="001029FD">
        <w:rPr>
          <w:rFonts w:ascii="Book Antiqua" w:eastAsia="宋体" w:hAnsi="Book Antiqua" w:cs="宋体"/>
          <w:lang w:eastAsia="zh-CN"/>
        </w:rPr>
        <w:t>Chair:;</w:t>
      </w:r>
      <w:proofErr w:type="gramEnd"/>
      <w:r w:rsidRPr="001029FD">
        <w:rPr>
          <w:rFonts w:ascii="Book Antiqua" w:eastAsia="宋体" w:hAnsi="Book Antiqua" w:cs="宋体"/>
          <w:lang w:eastAsia="zh-CN"/>
        </w:rPr>
        <w:t xml:space="preserve"> EASL Governing Board representative:; Panel members:. EASL recommendations on treatment of hepatitis C: Final update of the series(</w:t>
      </w:r>
      <w:r w:rsidRPr="001029FD">
        <w:rPr>
          <w:rFonts w:ascii="Segoe UI Symbol" w:eastAsia="宋体" w:hAnsi="Segoe UI Symbol" w:cs="Segoe UI Symbol"/>
          <w:lang w:eastAsia="zh-CN"/>
        </w:rPr>
        <w:t>☆</w:t>
      </w:r>
      <w:r w:rsidRPr="001029FD">
        <w:rPr>
          <w:rFonts w:ascii="Book Antiqua" w:eastAsia="宋体" w:hAnsi="Book Antiqua" w:cs="宋体"/>
          <w:lang w:eastAsia="zh-CN"/>
        </w:rPr>
        <w:t xml:space="preserve">).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Pr="001029FD">
        <w:rPr>
          <w:rFonts w:ascii="Book Antiqua" w:eastAsia="宋体" w:hAnsi="Book Antiqua" w:cs="宋体"/>
          <w:lang w:eastAsia="zh-CN"/>
        </w:rPr>
        <w:t xml:space="preserve"> 2020; </w:t>
      </w:r>
      <w:r w:rsidRPr="001029FD">
        <w:rPr>
          <w:rFonts w:ascii="Book Antiqua" w:eastAsia="宋体" w:hAnsi="Book Antiqua" w:cs="宋体"/>
          <w:b/>
          <w:bCs/>
          <w:lang w:eastAsia="zh-CN"/>
        </w:rPr>
        <w:t>73</w:t>
      </w:r>
      <w:r w:rsidRPr="001029FD">
        <w:rPr>
          <w:rFonts w:ascii="Book Antiqua" w:eastAsia="宋体" w:hAnsi="Book Antiqua" w:cs="宋体"/>
          <w:lang w:eastAsia="zh-CN"/>
        </w:rPr>
        <w:t>: 1170-1218 [PMID: 32956768 DOI: 10.1016/j.jhep.2020.08.018]</w:t>
      </w:r>
    </w:p>
    <w:p w14:paraId="70178E5F" w14:textId="62DA58DF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95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Hüppe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Stoehr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Buggisch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Mauss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Klinker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Teuber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Hidde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Lohmann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Bondin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Wedemeyer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H. The changing characteristics of patients infected with chronic hepatitis C virus from 2014 to 2019: Real-world data from the German Hepatitis C-Registry (DHC-R).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J Viral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Hepat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2021; </w:t>
      </w:r>
      <w:r w:rsidRPr="001029FD">
        <w:rPr>
          <w:rFonts w:ascii="Book Antiqua" w:eastAsia="宋体" w:hAnsi="Book Antiqua" w:cs="宋体"/>
          <w:b/>
          <w:bCs/>
          <w:lang w:eastAsia="zh-CN"/>
        </w:rPr>
        <w:t>28</w:t>
      </w:r>
      <w:r w:rsidRPr="001029FD">
        <w:rPr>
          <w:rFonts w:ascii="Book Antiqua" w:eastAsia="宋体" w:hAnsi="Book Antiqua" w:cs="宋体"/>
          <w:lang w:eastAsia="zh-CN"/>
        </w:rPr>
        <w:t>: 1474-1483 [PMID: 34339561 DOI: 10.1111/jvh.13586]</w:t>
      </w:r>
    </w:p>
    <w:p w14:paraId="52BDC693" w14:textId="152BCD50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96 </w:t>
      </w:r>
      <w:r w:rsidRPr="001029FD">
        <w:rPr>
          <w:rFonts w:ascii="Book Antiqua" w:eastAsia="宋体" w:hAnsi="Book Antiqua" w:cs="宋体"/>
          <w:b/>
          <w:bCs/>
          <w:lang w:eastAsia="zh-CN"/>
        </w:rPr>
        <w:t>Yang J</w:t>
      </w:r>
      <w:r w:rsidRPr="001029FD">
        <w:rPr>
          <w:rFonts w:ascii="Book Antiqua" w:eastAsia="宋体" w:hAnsi="Book Antiqua" w:cs="宋体"/>
          <w:lang w:eastAsia="zh-CN"/>
        </w:rPr>
        <w:t xml:space="preserve">, Liu HX,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YY, Liang ZS, Rao HY. Distribution and changes in hepatitis C virus genotype in China from 2010 to 2020. </w:t>
      </w:r>
      <w:r w:rsidRPr="001029FD">
        <w:rPr>
          <w:rFonts w:ascii="Book Antiqua" w:eastAsia="宋体" w:hAnsi="Book Antiqua" w:cs="宋体"/>
          <w:i/>
          <w:iCs/>
          <w:lang w:eastAsia="zh-CN"/>
        </w:rPr>
        <w:t>World J Clin Cases</w:t>
      </w:r>
      <w:r w:rsidRPr="001029FD">
        <w:rPr>
          <w:rFonts w:ascii="Book Antiqua" w:eastAsia="宋体" w:hAnsi="Book Antiqua" w:cs="宋体"/>
          <w:lang w:eastAsia="zh-CN"/>
        </w:rPr>
        <w:t xml:space="preserve"> 2022; </w:t>
      </w:r>
      <w:r w:rsidRPr="001029FD">
        <w:rPr>
          <w:rFonts w:ascii="Book Antiqua" w:eastAsia="宋体" w:hAnsi="Book Antiqua" w:cs="宋体"/>
          <w:b/>
          <w:bCs/>
          <w:lang w:eastAsia="zh-CN"/>
        </w:rPr>
        <w:t>10</w:t>
      </w:r>
      <w:r w:rsidRPr="001029FD">
        <w:rPr>
          <w:rFonts w:ascii="Book Antiqua" w:eastAsia="宋体" w:hAnsi="Book Antiqua" w:cs="宋体"/>
          <w:lang w:eastAsia="zh-CN"/>
        </w:rPr>
        <w:t>: 4480-4493 [PMID: 35663077 DOI: 10.12998/wjcc.v10.i14.4480]</w:t>
      </w:r>
    </w:p>
    <w:p w14:paraId="5577DD2D" w14:textId="2410DB1D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97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R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Zarębska-Michaluk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Ciupkeviciene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Drazilova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Frankova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Grgurevic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Hunyady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Jarcuska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Kupčinskas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L, Makara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Saulite-Vanaga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Simonova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Sperl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</w:t>
      </w:r>
      <w:r w:rsidRPr="001029FD">
        <w:rPr>
          <w:rFonts w:ascii="Book Antiqua" w:eastAsia="宋体" w:hAnsi="Book Antiqua" w:cs="宋体"/>
          <w:lang w:eastAsia="zh-CN"/>
        </w:rPr>
        <w:lastRenderedPageBreak/>
        <w:t xml:space="preserve">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Tolmane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Vince A. HCV Elimination in Central Europe with Particular Emphasis on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Microelimination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in Prisons. </w:t>
      </w:r>
      <w:r w:rsidRPr="001029FD">
        <w:rPr>
          <w:rFonts w:ascii="Book Antiqua" w:eastAsia="宋体" w:hAnsi="Book Antiqua" w:cs="宋体"/>
          <w:i/>
          <w:iCs/>
          <w:lang w:eastAsia="zh-CN"/>
        </w:rPr>
        <w:t>Viruses</w:t>
      </w:r>
      <w:r w:rsidRPr="001029FD">
        <w:rPr>
          <w:rFonts w:ascii="Book Antiqua" w:eastAsia="宋体" w:hAnsi="Book Antiqua" w:cs="宋体"/>
          <w:lang w:eastAsia="zh-CN"/>
        </w:rPr>
        <w:t xml:space="preserve"> 2022; </w:t>
      </w:r>
      <w:r w:rsidRPr="001029FD">
        <w:rPr>
          <w:rFonts w:ascii="Book Antiqua" w:eastAsia="宋体" w:hAnsi="Book Antiqua" w:cs="宋体"/>
          <w:b/>
          <w:bCs/>
          <w:lang w:eastAsia="zh-CN"/>
        </w:rPr>
        <w:t>14</w:t>
      </w:r>
      <w:r w:rsidRPr="001029FD">
        <w:rPr>
          <w:rFonts w:ascii="Book Antiqua" w:eastAsia="宋体" w:hAnsi="Book Antiqua" w:cs="宋体"/>
          <w:lang w:eastAsia="zh-CN"/>
        </w:rPr>
        <w:t xml:space="preserve"> [PMID: 35336889 DOI: 10.3390/v14030482]</w:t>
      </w:r>
    </w:p>
    <w:p w14:paraId="726CF723" w14:textId="3FFCD284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98 </w:t>
      </w:r>
      <w:proofErr w:type="spellStart"/>
      <w:r w:rsidR="00274EC2" w:rsidRPr="001029FD">
        <w:rPr>
          <w:rFonts w:ascii="Book Antiqua" w:eastAsia="宋体" w:hAnsi="Book Antiqua" w:cs="宋体"/>
          <w:b/>
          <w:bCs/>
          <w:lang w:eastAsia="zh-CN"/>
        </w:rPr>
        <w:t>Brzdęk</w:t>
      </w:r>
      <w:proofErr w:type="spellEnd"/>
      <w:r w:rsidR="00274EC2" w:rsidRPr="001029FD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="00274EC2"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Dobrowolska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Pabjan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Zarębska-Michaluk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D. Clinical </w:t>
      </w:r>
      <w:proofErr w:type="gramStart"/>
      <w:r w:rsidR="00274EC2" w:rsidRPr="001029FD">
        <w:rPr>
          <w:rFonts w:ascii="Book Antiqua" w:eastAsia="宋体" w:hAnsi="Book Antiqua" w:cs="宋体"/>
          <w:lang w:eastAsia="zh-CN"/>
        </w:rPr>
        <w:t>characteristics</w:t>
      </w:r>
      <w:proofErr w:type="gramEnd"/>
      <w:r w:rsidR="00274EC2" w:rsidRPr="001029FD">
        <w:rPr>
          <w:rFonts w:ascii="Book Antiqua" w:eastAsia="宋体" w:hAnsi="Book Antiqua" w:cs="宋体"/>
          <w:lang w:eastAsia="zh-CN"/>
        </w:rPr>
        <w:t xml:space="preserve"> and antiviral therapy in patients infected with hepatitis C virus in the interferon</w:t>
      </w:r>
      <w:r w:rsidR="00274EC2" w:rsidRPr="001029FD">
        <w:rPr>
          <w:rFonts w:ascii="MS Gothic" w:eastAsia="MS Gothic" w:hAnsi="MS Gothic" w:cs="MS Gothic"/>
          <w:lang w:eastAsia="zh-CN"/>
        </w:rPr>
        <w:t>‑</w:t>
      </w:r>
      <w:r w:rsidR="00274EC2" w:rsidRPr="001029FD">
        <w:rPr>
          <w:rFonts w:ascii="Book Antiqua" w:eastAsia="宋体" w:hAnsi="Book Antiqua" w:cs="宋体"/>
          <w:lang w:eastAsia="zh-CN"/>
        </w:rPr>
        <w:t xml:space="preserve">free era. </w:t>
      </w:r>
      <w:r w:rsidR="00274EC2" w:rsidRPr="001029FD">
        <w:rPr>
          <w:rFonts w:ascii="Book Antiqua" w:eastAsia="宋体" w:hAnsi="Book Antiqua" w:cs="宋体"/>
          <w:i/>
          <w:iCs/>
          <w:lang w:eastAsia="zh-CN"/>
        </w:rPr>
        <w:t>Pol Arch Intern Med</w:t>
      </w:r>
      <w:r w:rsidR="00274EC2" w:rsidRPr="001029FD">
        <w:rPr>
          <w:rFonts w:ascii="Book Antiqua" w:eastAsia="宋体" w:hAnsi="Book Antiqua" w:cs="宋体"/>
          <w:lang w:eastAsia="zh-CN"/>
        </w:rPr>
        <w:t xml:space="preserve"> 2022; </w:t>
      </w:r>
      <w:r w:rsidR="00274EC2" w:rsidRPr="001029FD">
        <w:rPr>
          <w:rFonts w:ascii="Book Antiqua" w:eastAsia="宋体" w:hAnsi="Book Antiqua" w:cs="宋体"/>
          <w:b/>
          <w:bCs/>
          <w:lang w:eastAsia="zh-CN"/>
        </w:rPr>
        <w:t>132</w:t>
      </w:r>
      <w:r w:rsidR="00274EC2" w:rsidRPr="001029FD">
        <w:rPr>
          <w:rFonts w:ascii="Book Antiqua" w:eastAsia="宋体" w:hAnsi="Book Antiqua" w:cs="宋体"/>
          <w:lang w:eastAsia="zh-CN"/>
        </w:rPr>
        <w:t>: 16282 [PMID: 35938950 DOI: 10.20452/pamw.16282]</w:t>
      </w:r>
    </w:p>
    <w:p w14:paraId="5951FA37" w14:textId="222BE52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99 </w:t>
      </w:r>
      <w:r w:rsidRPr="001029FD">
        <w:rPr>
          <w:rFonts w:ascii="Book Antiqua" w:eastAsia="宋体" w:hAnsi="Book Antiqua" w:cs="宋体"/>
          <w:b/>
          <w:bCs/>
          <w:lang w:eastAsia="zh-CN"/>
        </w:rPr>
        <w:t>Platt L</w:t>
      </w:r>
      <w:r w:rsidRPr="001029FD">
        <w:rPr>
          <w:rFonts w:ascii="Book Antiqua" w:eastAsia="宋体" w:hAnsi="Book Antiqua" w:cs="宋体"/>
          <w:lang w:eastAsia="zh-CN"/>
        </w:rPr>
        <w:t xml:space="preserve">, Easterbrook P, Gower E, McDonald B, Sabin K, McGowan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Yanny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Razavi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Vickerman P. </w:t>
      </w:r>
      <w:proofErr w:type="gramStart"/>
      <w:r w:rsidRPr="001029FD">
        <w:rPr>
          <w:rFonts w:ascii="Book Antiqua" w:eastAsia="宋体" w:hAnsi="Book Antiqua" w:cs="宋体"/>
          <w:lang w:eastAsia="zh-CN"/>
        </w:rPr>
        <w:t>Prevalence</w:t>
      </w:r>
      <w:proofErr w:type="gramEnd"/>
      <w:r w:rsidRPr="001029FD">
        <w:rPr>
          <w:rFonts w:ascii="Book Antiqua" w:eastAsia="宋体" w:hAnsi="Book Antiqua" w:cs="宋体"/>
          <w:lang w:eastAsia="zh-CN"/>
        </w:rPr>
        <w:t xml:space="preserve"> and burden of HCV co-infection in people living with HIV: a global systematic review and meta-analysis. </w:t>
      </w:r>
      <w:r w:rsidRPr="001029FD">
        <w:rPr>
          <w:rFonts w:ascii="Book Antiqua" w:eastAsia="宋体" w:hAnsi="Book Antiqua" w:cs="宋体"/>
          <w:i/>
          <w:iCs/>
          <w:lang w:eastAsia="zh-CN"/>
        </w:rPr>
        <w:t>Lancet Infect Dis</w:t>
      </w:r>
      <w:r w:rsidRPr="001029FD">
        <w:rPr>
          <w:rFonts w:ascii="Book Antiqua" w:eastAsia="宋体" w:hAnsi="Book Antiqua" w:cs="宋体"/>
          <w:lang w:eastAsia="zh-CN"/>
        </w:rPr>
        <w:t xml:space="preserve"> 2016; </w:t>
      </w:r>
      <w:r w:rsidRPr="001029FD">
        <w:rPr>
          <w:rFonts w:ascii="Book Antiqua" w:eastAsia="宋体" w:hAnsi="Book Antiqua" w:cs="宋体"/>
          <w:b/>
          <w:bCs/>
          <w:lang w:eastAsia="zh-CN"/>
        </w:rPr>
        <w:t>16</w:t>
      </w:r>
      <w:r w:rsidRPr="001029FD">
        <w:rPr>
          <w:rFonts w:ascii="Book Antiqua" w:eastAsia="宋体" w:hAnsi="Book Antiqua" w:cs="宋体"/>
          <w:lang w:eastAsia="zh-CN"/>
        </w:rPr>
        <w:t>: 797-808 [PMID: 26922272 DOI: 10.1016/S1473-3099(15)00485-5]</w:t>
      </w:r>
    </w:p>
    <w:p w14:paraId="38F8FD9A" w14:textId="4F24AF7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100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Sulkowski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MS</w:t>
      </w:r>
      <w:r w:rsidRPr="001029FD">
        <w:rPr>
          <w:rFonts w:ascii="Book Antiqua" w:eastAsia="宋体" w:hAnsi="Book Antiqua" w:cs="宋体"/>
          <w:lang w:eastAsia="zh-CN"/>
        </w:rPr>
        <w:t xml:space="preserve">, Benhamou Y. Therapeutic issues in HIV/HCV-coinfected patients.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J Viral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Hepat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2007; </w:t>
      </w:r>
      <w:r w:rsidRPr="001029FD">
        <w:rPr>
          <w:rFonts w:ascii="Book Antiqua" w:eastAsia="宋体" w:hAnsi="Book Antiqua" w:cs="宋体"/>
          <w:b/>
          <w:bCs/>
          <w:lang w:eastAsia="zh-CN"/>
        </w:rPr>
        <w:t>14</w:t>
      </w:r>
      <w:r w:rsidRPr="001029FD">
        <w:rPr>
          <w:rFonts w:ascii="Book Antiqua" w:eastAsia="宋体" w:hAnsi="Book Antiqua" w:cs="宋体"/>
          <w:lang w:eastAsia="zh-CN"/>
        </w:rPr>
        <w:t>: 371-386 [PMID: 17501757 DOI: 10.1111/j.1365-2893.2006.00816.x]</w:t>
      </w:r>
    </w:p>
    <w:p w14:paraId="4325CCD2" w14:textId="4ED4B88C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101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Rockstroh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JK</w:t>
      </w:r>
      <w:r w:rsidRPr="001029FD">
        <w:rPr>
          <w:rFonts w:ascii="Book Antiqua" w:eastAsia="宋体" w:hAnsi="Book Antiqua" w:cs="宋体"/>
          <w:lang w:eastAsia="zh-CN"/>
        </w:rPr>
        <w:t xml:space="preserve">, Lacombe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Viani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RM, Orkin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Wyles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Luetkemeyer AF, Soto-Malave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Bhagani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Sherman KE,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Shimonova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Ruane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Sasadeusz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Slim J, Zhang Z,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Samanta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Ng TI, Gulati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Kosloski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MP, Shulman NS, Trinh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Sulkowski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M. Efficacy and Safety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Glecaprevir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Pibrentasvir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in Patients Coinfected With Hepatitis C Virus and Human Immunodeficiency Virus Type 1: The EXPEDITION-2 Study. </w:t>
      </w:r>
      <w:r w:rsidRPr="001029FD">
        <w:rPr>
          <w:rFonts w:ascii="Book Antiqua" w:eastAsia="宋体" w:hAnsi="Book Antiqua" w:cs="宋体"/>
          <w:i/>
          <w:iCs/>
          <w:lang w:eastAsia="zh-CN"/>
        </w:rPr>
        <w:t>Clin Infect Dis</w:t>
      </w:r>
      <w:r w:rsidRPr="001029FD">
        <w:rPr>
          <w:rFonts w:ascii="Book Antiqua" w:eastAsia="宋体" w:hAnsi="Book Antiqua" w:cs="宋体"/>
          <w:lang w:eastAsia="zh-CN"/>
        </w:rPr>
        <w:t xml:space="preserve"> 2018; </w:t>
      </w:r>
      <w:r w:rsidRPr="001029FD">
        <w:rPr>
          <w:rFonts w:ascii="Book Antiqua" w:eastAsia="宋体" w:hAnsi="Book Antiqua" w:cs="宋体"/>
          <w:b/>
          <w:bCs/>
          <w:lang w:eastAsia="zh-CN"/>
        </w:rPr>
        <w:t>67</w:t>
      </w:r>
      <w:r w:rsidRPr="001029FD">
        <w:rPr>
          <w:rFonts w:ascii="Book Antiqua" w:eastAsia="宋体" w:hAnsi="Book Antiqua" w:cs="宋体"/>
          <w:lang w:eastAsia="zh-CN"/>
        </w:rPr>
        <w:t>: 1010-1017 [PMID: 29566246 DOI: 10.1093/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cid</w:t>
      </w:r>
      <w:proofErr w:type="spellEnd"/>
      <w:r w:rsidRPr="001029FD">
        <w:rPr>
          <w:rFonts w:ascii="Book Antiqua" w:eastAsia="宋体" w:hAnsi="Book Antiqua" w:cs="宋体"/>
          <w:lang w:eastAsia="zh-CN"/>
        </w:rPr>
        <w:t>/ciy220]</w:t>
      </w:r>
    </w:p>
    <w:p w14:paraId="1C2F5FE5" w14:textId="41F59509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102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Rockstroh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JK</w:t>
      </w:r>
      <w:r w:rsidRPr="001029FD">
        <w:rPr>
          <w:rFonts w:ascii="Book Antiqua" w:eastAsia="宋体" w:hAnsi="Book Antiqua" w:cs="宋体"/>
          <w:lang w:eastAsia="zh-CN"/>
        </w:rPr>
        <w:t xml:space="preserve">, Orkin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Viani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Wyles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Luetkemeyer AF,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Lazzarin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Soto-Malave R, Nelson MR,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Bhagani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Klinker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HHF,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Rizzardini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Girard PM, Tural C, Shulman NS,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Mobashery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Hu YB, Fredrick LM, Pilot-Matias T, Trinh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E. Safety and Efficacy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With Ritonavir ± Dasabuvir With or Without Ribavirin in Patients With Human Immunodeficiency Virus-1 and Hepatitis C Virus Genotype 1 or Genotype 4 Coinfection: TURQUOISE-I Part 2. </w:t>
      </w:r>
      <w:r w:rsidRPr="001029FD">
        <w:rPr>
          <w:rFonts w:ascii="Book Antiqua" w:eastAsia="宋体" w:hAnsi="Book Antiqua" w:cs="宋体"/>
          <w:i/>
          <w:iCs/>
          <w:lang w:eastAsia="zh-CN"/>
        </w:rPr>
        <w:t>Open Forum Infect Dis</w:t>
      </w:r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4</w:t>
      </w:r>
      <w:r w:rsidRPr="001029FD">
        <w:rPr>
          <w:rFonts w:ascii="Book Antiqua" w:eastAsia="宋体" w:hAnsi="Book Antiqua" w:cs="宋体"/>
          <w:lang w:eastAsia="zh-CN"/>
        </w:rPr>
        <w:t>: ofx154 [PMID: 28948180 DOI: 10.1093/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ofid</w:t>
      </w:r>
      <w:proofErr w:type="spellEnd"/>
      <w:r w:rsidRPr="001029FD">
        <w:rPr>
          <w:rFonts w:ascii="Book Antiqua" w:eastAsia="宋体" w:hAnsi="Book Antiqua" w:cs="宋体"/>
          <w:lang w:eastAsia="zh-CN"/>
        </w:rPr>
        <w:t>/ofx154]</w:t>
      </w:r>
    </w:p>
    <w:p w14:paraId="607E923B" w14:textId="7198F8DD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103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Naggie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1029FD">
        <w:rPr>
          <w:rFonts w:ascii="Book Antiqua" w:eastAsia="宋体" w:hAnsi="Book Antiqua" w:cs="宋体"/>
          <w:lang w:eastAsia="zh-CN"/>
        </w:rPr>
        <w:t xml:space="preserve">, Cooper C, Saag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Workowski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Ruane P, Towner WJ, Marks K, Luetkemeyer A, Baden RP, Sax PE,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Santana-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Bagur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Stamm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LM, Yang JC, German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Dvory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-Sobol H, Ni L, Pang PS,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Stedman CA, Morales-Ramirez JO,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Bräu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Jayaweera D, Colson AE,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Tebas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Wong DK, Dieterich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Sulkowski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</w:t>
      </w:r>
      <w:r w:rsidRPr="001029FD">
        <w:rPr>
          <w:rFonts w:ascii="Book Antiqua" w:eastAsia="宋体" w:hAnsi="Book Antiqua" w:cs="宋体"/>
          <w:lang w:eastAsia="zh-CN"/>
        </w:rPr>
        <w:lastRenderedPageBreak/>
        <w:t xml:space="preserve">M; ION-4 Investigators. Ledipasvir and Sofosbuvir for HCV in Patients Coinfected with HIV-1.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373</w:t>
      </w:r>
      <w:r w:rsidRPr="001029FD">
        <w:rPr>
          <w:rFonts w:ascii="Book Antiqua" w:eastAsia="宋体" w:hAnsi="Book Antiqua" w:cs="宋体"/>
          <w:lang w:eastAsia="zh-CN"/>
        </w:rPr>
        <w:t>: 705-713 [PMID: 26196665 DOI: 10.1056/NEJMoa1501315]</w:t>
      </w:r>
    </w:p>
    <w:p w14:paraId="72BCCA8E" w14:textId="01F81A99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104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Wyles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Bräu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Kottilil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Daar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ES, Ruane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Workowski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Luetkemeyer A, Adeyemi O, Kim AY,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Doehle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Huang KC,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Mogalian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Osinusi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McNally J, Brainard DM,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McHutchison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Naggie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Sulkowski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M; ASTRAL-5 Investigators. Sofosbuvir and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Velpatasvir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for the Treatment of Hepatitis C Virus in Patients Coinfected </w:t>
      </w:r>
      <w:proofErr w:type="gramStart"/>
      <w:r w:rsidRPr="001029FD">
        <w:rPr>
          <w:rFonts w:ascii="Book Antiqua" w:eastAsia="宋体" w:hAnsi="Book Antiqua" w:cs="宋体"/>
          <w:lang w:eastAsia="zh-CN"/>
        </w:rPr>
        <w:t>With</w:t>
      </w:r>
      <w:proofErr w:type="gramEnd"/>
      <w:r w:rsidRPr="001029FD">
        <w:rPr>
          <w:rFonts w:ascii="Book Antiqua" w:eastAsia="宋体" w:hAnsi="Book Antiqua" w:cs="宋体"/>
          <w:lang w:eastAsia="zh-CN"/>
        </w:rPr>
        <w:t xml:space="preserve"> Human Immunodeficiency Virus Type 1: An Open-Label, Phase 3 Study. </w:t>
      </w:r>
      <w:r w:rsidRPr="001029FD">
        <w:rPr>
          <w:rFonts w:ascii="Book Antiqua" w:eastAsia="宋体" w:hAnsi="Book Antiqua" w:cs="宋体"/>
          <w:i/>
          <w:iCs/>
          <w:lang w:eastAsia="zh-CN"/>
        </w:rPr>
        <w:t>Clin Infect Dis</w:t>
      </w:r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65</w:t>
      </w:r>
      <w:r w:rsidRPr="001029FD">
        <w:rPr>
          <w:rFonts w:ascii="Book Antiqua" w:eastAsia="宋体" w:hAnsi="Book Antiqua" w:cs="宋体"/>
          <w:lang w:eastAsia="zh-CN"/>
        </w:rPr>
        <w:t>: 6-12 [PMID: 28369210 DOI: 10.1093/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cid</w:t>
      </w:r>
      <w:proofErr w:type="spellEnd"/>
      <w:r w:rsidRPr="001029FD">
        <w:rPr>
          <w:rFonts w:ascii="Book Antiqua" w:eastAsia="宋体" w:hAnsi="Book Antiqua" w:cs="宋体"/>
          <w:lang w:eastAsia="zh-CN"/>
        </w:rPr>
        <w:t>/cix260]</w:t>
      </w:r>
    </w:p>
    <w:p w14:paraId="4FB3A3B8" w14:textId="6C989915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105 </w:t>
      </w:r>
      <w:r w:rsidR="00274EC2" w:rsidRPr="001029FD">
        <w:rPr>
          <w:rFonts w:ascii="Book Antiqua" w:eastAsia="宋体" w:hAnsi="Book Antiqua" w:cs="宋体"/>
          <w:b/>
          <w:bCs/>
          <w:lang w:eastAsia="zh-CN"/>
        </w:rPr>
        <w:t>Bischoff J</w:t>
      </w:r>
      <w:r w:rsidR="00274EC2"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Mauss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S, Cordes C, Lutz T, Scholten S, Moll A,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Jäger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Cornberg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Manns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MP, Baumgarten A,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Rockstroh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JK. Rates of sustained virological response 12 weeks after the scheduled end of direct-acting antiviral (DAA)-based hepatitis C virus (HCV) therapy from the National German HCV registry: does HIV coinfection impair the response to DAA combination therapy? </w:t>
      </w:r>
      <w:r w:rsidR="00274EC2" w:rsidRPr="001029FD">
        <w:rPr>
          <w:rFonts w:ascii="Book Antiqua" w:eastAsia="宋体" w:hAnsi="Book Antiqua" w:cs="宋体"/>
          <w:i/>
          <w:iCs/>
          <w:lang w:eastAsia="zh-CN"/>
        </w:rPr>
        <w:t>HIV Med</w:t>
      </w:r>
      <w:r w:rsidR="00274EC2" w:rsidRPr="001029FD">
        <w:rPr>
          <w:rFonts w:ascii="Book Antiqua" w:eastAsia="宋体" w:hAnsi="Book Antiqua" w:cs="宋体"/>
          <w:lang w:eastAsia="zh-CN"/>
        </w:rPr>
        <w:t xml:space="preserve"> 2018; </w:t>
      </w:r>
      <w:r w:rsidR="00274EC2" w:rsidRPr="001029FD">
        <w:rPr>
          <w:rFonts w:ascii="Book Antiqua" w:eastAsia="宋体" w:hAnsi="Book Antiqua" w:cs="宋体"/>
          <w:b/>
          <w:bCs/>
          <w:lang w:eastAsia="zh-CN"/>
        </w:rPr>
        <w:t>19</w:t>
      </w:r>
      <w:r w:rsidR="00274EC2" w:rsidRPr="001029FD">
        <w:rPr>
          <w:rFonts w:ascii="Book Antiqua" w:eastAsia="宋体" w:hAnsi="Book Antiqua" w:cs="宋体"/>
          <w:lang w:eastAsia="zh-CN"/>
        </w:rPr>
        <w:t>: 299-307 [PMID: 29368456 DOI: 10.1111/hiv.12579]</w:t>
      </w:r>
    </w:p>
    <w:p w14:paraId="399CA688" w14:textId="56F7A6F5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106 </w:t>
      </w:r>
      <w:proofErr w:type="spellStart"/>
      <w:r w:rsidR="00274EC2" w:rsidRPr="001029FD">
        <w:rPr>
          <w:rFonts w:ascii="Book Antiqua" w:eastAsia="宋体" w:hAnsi="Book Antiqua" w:cs="宋体"/>
          <w:b/>
          <w:bCs/>
          <w:lang w:eastAsia="zh-CN"/>
        </w:rPr>
        <w:t>Zarębska-Michaluk</w:t>
      </w:r>
      <w:proofErr w:type="spellEnd"/>
      <w:r w:rsidR="00274EC2" w:rsidRPr="001029FD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="00274EC2"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Jaroszewicz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Parfieniuk-Kowerda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Pawłowska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Janczewska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Berak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Janocha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-Litwin J,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Klapaczyński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Tomasiewicz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Piekarska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Krygier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Citko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Tronina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O,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Dobrowolska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R.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Pangenotypic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and Genotype-Specific Antivirals in the Treatment of HCV Genotype 4 Infected Patients with HCV </w:t>
      </w:r>
      <w:proofErr w:type="spellStart"/>
      <w:r w:rsidR="00274EC2" w:rsidRPr="001029FD">
        <w:rPr>
          <w:rFonts w:ascii="Book Antiqua" w:eastAsia="宋体" w:hAnsi="Book Antiqua" w:cs="宋体"/>
          <w:lang w:eastAsia="zh-CN"/>
        </w:rPr>
        <w:t>Monoinfection</w:t>
      </w:r>
      <w:proofErr w:type="spellEnd"/>
      <w:r w:rsidR="00274EC2" w:rsidRPr="001029FD">
        <w:rPr>
          <w:rFonts w:ascii="Book Antiqua" w:eastAsia="宋体" w:hAnsi="Book Antiqua" w:cs="宋体"/>
          <w:lang w:eastAsia="zh-CN"/>
        </w:rPr>
        <w:t xml:space="preserve"> and HIV/HCV Coinfection. </w:t>
      </w:r>
      <w:r w:rsidR="00274EC2" w:rsidRPr="001029FD">
        <w:rPr>
          <w:rFonts w:ascii="Book Antiqua" w:eastAsia="宋体" w:hAnsi="Book Antiqua" w:cs="宋体"/>
          <w:i/>
          <w:iCs/>
          <w:lang w:eastAsia="zh-CN"/>
        </w:rPr>
        <w:t>J Clin Med</w:t>
      </w:r>
      <w:r w:rsidR="00274EC2" w:rsidRPr="001029FD">
        <w:rPr>
          <w:rFonts w:ascii="Book Antiqua" w:eastAsia="宋体" w:hAnsi="Book Antiqua" w:cs="宋体"/>
          <w:lang w:eastAsia="zh-CN"/>
        </w:rPr>
        <w:t xml:space="preserve"> 2022; </w:t>
      </w:r>
      <w:r w:rsidR="00274EC2" w:rsidRPr="001029FD">
        <w:rPr>
          <w:rFonts w:ascii="Book Antiqua" w:eastAsia="宋体" w:hAnsi="Book Antiqua" w:cs="宋体"/>
          <w:b/>
          <w:bCs/>
          <w:lang w:eastAsia="zh-CN"/>
        </w:rPr>
        <w:t>11</w:t>
      </w:r>
      <w:r w:rsidR="00274EC2" w:rsidRPr="001029FD">
        <w:rPr>
          <w:rFonts w:ascii="Book Antiqua" w:eastAsia="宋体" w:hAnsi="Book Antiqua" w:cs="宋体"/>
          <w:lang w:eastAsia="zh-CN"/>
        </w:rPr>
        <w:t>: 389 [PMID: 35054088 DOI: 10.3390/jcm11020389]</w:t>
      </w:r>
    </w:p>
    <w:p w14:paraId="49AD7D55" w14:textId="4EE5E7E0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107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Piekarska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Jabłonowska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Garlicki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Sitko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Mazur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Jaroszewicz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Czauz-Andrzejuk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Buczyńska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Simon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Lorenc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Dybowska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Halota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Pawłowska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Dobracka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Berak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Horban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Tudrujek-Zdunek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Tomasiewicz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Janczewska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Socha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Ł,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Laurans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Ł,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Parczewski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Zarębska-Michaluk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Pabjan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Belica-Wdowik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Baka-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Ćwierz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Deroń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Z,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Krygier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Klapaczyński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Citko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Berkan-Kawińska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R. Real life results of direct acting antiviral therapy for HCV infection in HIV-HCV-coinfected patients: Epi-Ter2 study. </w:t>
      </w:r>
      <w:r w:rsidRPr="001029FD">
        <w:rPr>
          <w:rFonts w:ascii="Book Antiqua" w:eastAsia="宋体" w:hAnsi="Book Antiqua" w:cs="宋体"/>
          <w:i/>
          <w:iCs/>
          <w:lang w:eastAsia="zh-CN"/>
        </w:rPr>
        <w:t>AIDS Care</w:t>
      </w:r>
      <w:r w:rsidRPr="001029FD">
        <w:rPr>
          <w:rFonts w:ascii="Book Antiqua" w:eastAsia="宋体" w:hAnsi="Book Antiqua" w:cs="宋体"/>
          <w:lang w:eastAsia="zh-CN"/>
        </w:rPr>
        <w:t xml:space="preserve"> 2020; </w:t>
      </w:r>
      <w:r w:rsidRPr="001029FD">
        <w:rPr>
          <w:rFonts w:ascii="Book Antiqua" w:eastAsia="宋体" w:hAnsi="Book Antiqua" w:cs="宋体"/>
          <w:b/>
          <w:bCs/>
          <w:lang w:eastAsia="zh-CN"/>
        </w:rPr>
        <w:t>32</w:t>
      </w:r>
      <w:r w:rsidRPr="001029FD">
        <w:rPr>
          <w:rFonts w:ascii="Book Antiqua" w:eastAsia="宋体" w:hAnsi="Book Antiqua" w:cs="宋体"/>
          <w:lang w:eastAsia="zh-CN"/>
        </w:rPr>
        <w:t>: 762-769 [PMID: 31345052 DOI: 10.1080/09540121.2019.1645808]</w:t>
      </w:r>
    </w:p>
    <w:p w14:paraId="1FADFC20" w14:textId="7BE886AB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lastRenderedPageBreak/>
        <w:t xml:space="preserve">108 </w:t>
      </w:r>
      <w:r w:rsidRPr="001029FD">
        <w:rPr>
          <w:rFonts w:ascii="Book Antiqua" w:eastAsia="宋体" w:hAnsi="Book Antiqua" w:cs="宋体"/>
          <w:b/>
          <w:bCs/>
          <w:lang w:eastAsia="zh-CN"/>
        </w:rPr>
        <w:t>Milazzo L</w:t>
      </w:r>
      <w:r w:rsidRPr="001029FD">
        <w:rPr>
          <w:rFonts w:ascii="Book Antiqua" w:eastAsia="宋体" w:hAnsi="Book Antiqua" w:cs="宋体"/>
          <w:lang w:eastAsia="zh-CN"/>
        </w:rPr>
        <w:t xml:space="preserve">, Lai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Calvi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Ronzi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Micheli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Binda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Ridolfo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AL, Gervasoni C, Galli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Antinori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Sollima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S. Direct-acting antivirals in hepatitis C virus (HCV)-infected and HCV/HIV-coinfected patients: real-life safety and efficacy. </w:t>
      </w:r>
      <w:r w:rsidRPr="001029FD">
        <w:rPr>
          <w:rFonts w:ascii="Book Antiqua" w:eastAsia="宋体" w:hAnsi="Book Antiqua" w:cs="宋体"/>
          <w:i/>
          <w:iCs/>
          <w:lang w:eastAsia="zh-CN"/>
        </w:rPr>
        <w:t>HIV Med</w:t>
      </w:r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18</w:t>
      </w:r>
      <w:r w:rsidRPr="001029FD">
        <w:rPr>
          <w:rFonts w:ascii="Book Antiqua" w:eastAsia="宋体" w:hAnsi="Book Antiqua" w:cs="宋体"/>
          <w:lang w:eastAsia="zh-CN"/>
        </w:rPr>
        <w:t>: 284-291 [PMID: 27477612 DOI: 10.1111/hiv.12429]</w:t>
      </w:r>
    </w:p>
    <w:p w14:paraId="70AE0DB8" w14:textId="4022313E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109 </w:t>
      </w:r>
      <w:r w:rsidRPr="001029FD">
        <w:rPr>
          <w:rFonts w:ascii="Book Antiqua" w:eastAsia="宋体" w:hAnsi="Book Antiqua" w:cs="宋体"/>
          <w:b/>
          <w:bCs/>
          <w:lang w:eastAsia="zh-CN"/>
        </w:rPr>
        <w:t>Collins LF</w:t>
      </w:r>
      <w:r w:rsidRPr="001029FD">
        <w:rPr>
          <w:rFonts w:ascii="Book Antiqua" w:eastAsia="宋体" w:hAnsi="Book Antiqua" w:cs="宋体"/>
          <w:lang w:eastAsia="zh-CN"/>
        </w:rPr>
        <w:t xml:space="preserve">, Chan A, Zheng J, Chow SC, Wilder JM, Muir AJ,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Naggie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S. Direct-Acting Antivirals Improve Access to Care and Cure for Patients With HIV and Chronic HCV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>Open Forum Infect Dis</w:t>
      </w:r>
      <w:r w:rsidRPr="001029FD">
        <w:rPr>
          <w:rFonts w:ascii="Book Antiqua" w:eastAsia="宋体" w:hAnsi="Book Antiqua" w:cs="宋体"/>
          <w:lang w:eastAsia="zh-CN"/>
        </w:rPr>
        <w:t xml:space="preserve"> 2018; </w:t>
      </w:r>
      <w:r w:rsidRPr="001029FD">
        <w:rPr>
          <w:rFonts w:ascii="Book Antiqua" w:eastAsia="宋体" w:hAnsi="Book Antiqua" w:cs="宋体"/>
          <w:b/>
          <w:bCs/>
          <w:lang w:eastAsia="zh-CN"/>
        </w:rPr>
        <w:t>5</w:t>
      </w:r>
      <w:r w:rsidRPr="001029FD">
        <w:rPr>
          <w:rFonts w:ascii="Book Antiqua" w:eastAsia="宋体" w:hAnsi="Book Antiqua" w:cs="宋体"/>
          <w:lang w:eastAsia="zh-CN"/>
        </w:rPr>
        <w:t>: ofx264 [PMID: 29308413 DOI: 10.1093/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ofid</w:t>
      </w:r>
      <w:proofErr w:type="spellEnd"/>
      <w:r w:rsidRPr="001029FD">
        <w:rPr>
          <w:rFonts w:ascii="Book Antiqua" w:eastAsia="宋体" w:hAnsi="Book Antiqua" w:cs="宋体"/>
          <w:lang w:eastAsia="zh-CN"/>
        </w:rPr>
        <w:t>/ofx264]</w:t>
      </w:r>
    </w:p>
    <w:p w14:paraId="60515197" w14:textId="30DCAB87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110 </w:t>
      </w:r>
      <w:proofErr w:type="spellStart"/>
      <w:r w:rsidR="005F7F20" w:rsidRPr="001029FD">
        <w:rPr>
          <w:rFonts w:ascii="Book Antiqua" w:eastAsia="宋体" w:hAnsi="Book Antiqua" w:cs="宋体"/>
          <w:b/>
          <w:bCs/>
          <w:lang w:eastAsia="zh-CN"/>
        </w:rPr>
        <w:t>Pabjan</w:t>
      </w:r>
      <w:proofErr w:type="spellEnd"/>
      <w:r w:rsidR="005F7F20" w:rsidRPr="001029FD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="005F7F20"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Brzdęk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Chrapek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Dziedzic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Dobrowolska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Paluch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Garbat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Błoniarczyk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Reczko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Stępień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Zarębska-Michaluk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D. Are There Still Difficult-to-Treat Patients with Chronic Hepatitis C in the Era of Direct-Acting Antivirals? </w:t>
      </w:r>
      <w:r w:rsidR="005F7F20" w:rsidRPr="001029FD">
        <w:rPr>
          <w:rFonts w:ascii="Book Antiqua" w:eastAsia="宋体" w:hAnsi="Book Antiqua" w:cs="宋体"/>
          <w:i/>
          <w:iCs/>
          <w:lang w:eastAsia="zh-CN"/>
        </w:rPr>
        <w:t>Viruses</w:t>
      </w:r>
      <w:r w:rsidR="005F7F20" w:rsidRPr="001029FD">
        <w:rPr>
          <w:rFonts w:ascii="Book Antiqua" w:eastAsia="宋体" w:hAnsi="Book Antiqua" w:cs="宋体"/>
          <w:lang w:eastAsia="zh-CN"/>
        </w:rPr>
        <w:t xml:space="preserve"> 2022; </w:t>
      </w:r>
      <w:r w:rsidR="005F7F20" w:rsidRPr="001029FD">
        <w:rPr>
          <w:rFonts w:ascii="Book Antiqua" w:eastAsia="宋体" w:hAnsi="Book Antiqua" w:cs="宋体"/>
          <w:b/>
          <w:bCs/>
          <w:lang w:eastAsia="zh-CN"/>
        </w:rPr>
        <w:t>14</w:t>
      </w:r>
      <w:r w:rsidR="005F7F20" w:rsidRPr="001029FD">
        <w:rPr>
          <w:rFonts w:ascii="Book Antiqua" w:eastAsia="宋体" w:hAnsi="Book Antiqua" w:cs="宋体"/>
          <w:lang w:eastAsia="zh-CN"/>
        </w:rPr>
        <w:t>: 96 [PMID: 35062302 DOI: 10.3390/v14010096]</w:t>
      </w:r>
    </w:p>
    <w:p w14:paraId="2AB3F08A" w14:textId="2C5F91A8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111 </w:t>
      </w:r>
      <w:r w:rsidRPr="001029FD">
        <w:rPr>
          <w:rFonts w:ascii="Book Antiqua" w:eastAsia="宋体" w:hAnsi="Book Antiqua" w:cs="宋体"/>
          <w:b/>
          <w:bCs/>
          <w:lang w:eastAsia="zh-CN"/>
        </w:rPr>
        <w:t>Schmitt A</w:t>
      </w:r>
      <w:r w:rsidRPr="001029FD">
        <w:rPr>
          <w:rFonts w:ascii="Book Antiqua" w:eastAsia="宋体" w:hAnsi="Book Antiqua" w:cs="宋体"/>
          <w:lang w:eastAsia="zh-CN"/>
        </w:rPr>
        <w:t xml:space="preserve">, Günther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Mauss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Boeker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KHW,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Buggisch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Hillenbrand H, John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Klinker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Pathil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Simon KG,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Serfert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Niederau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Vermehren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Wedemeyer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Sarrazin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C. Treatment-failure to direct antiviral HCV regimens in real world: frequency, patient characteristics and rescue therapy - data from the German hepatitis C registry (DHC-R). </w:t>
      </w:r>
      <w:r w:rsidRPr="001029FD">
        <w:rPr>
          <w:rFonts w:ascii="Book Antiqua" w:eastAsia="宋体" w:hAnsi="Book Antiqua" w:cs="宋体"/>
          <w:i/>
          <w:iCs/>
          <w:lang w:eastAsia="zh-CN"/>
        </w:rPr>
        <w:t>Z Gastroenterol</w:t>
      </w:r>
      <w:r w:rsidRPr="001029FD">
        <w:rPr>
          <w:rFonts w:ascii="Book Antiqua" w:eastAsia="宋体" w:hAnsi="Book Antiqua" w:cs="宋体"/>
          <w:lang w:eastAsia="zh-CN"/>
        </w:rPr>
        <w:t xml:space="preserve"> 2020; </w:t>
      </w:r>
      <w:r w:rsidRPr="001029FD">
        <w:rPr>
          <w:rFonts w:ascii="Book Antiqua" w:eastAsia="宋体" w:hAnsi="Book Antiqua" w:cs="宋体"/>
          <w:b/>
          <w:bCs/>
          <w:lang w:eastAsia="zh-CN"/>
        </w:rPr>
        <w:t>58</w:t>
      </w:r>
      <w:r w:rsidRPr="001029FD">
        <w:rPr>
          <w:rFonts w:ascii="Book Antiqua" w:eastAsia="宋体" w:hAnsi="Book Antiqua" w:cs="宋体"/>
          <w:lang w:eastAsia="zh-CN"/>
        </w:rPr>
        <w:t>: 341-351 [PMID: 32040979 DOI: 10.1055/a-1068-3056]</w:t>
      </w:r>
    </w:p>
    <w:p w14:paraId="541F9A13" w14:textId="357982C7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112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Zarębska-Michaluk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Buczyńska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Simon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Tudrujek-Zdunek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Janczewska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Dybowska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Sitko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Dobracka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Jaroszewicz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Pabjan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Klapaczyński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Laurans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Ł, Mazur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Socha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Ł,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Tronina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O,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Parczewski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R. Real World Experience of Chronic Hepatitis C Retreatment with Genotype Specific Regimens in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Nonresponders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to Previous Interferon-Free Therapy. </w:t>
      </w:r>
      <w:r w:rsidRPr="001029FD">
        <w:rPr>
          <w:rFonts w:ascii="Book Antiqua" w:eastAsia="宋体" w:hAnsi="Book Antiqua" w:cs="宋体"/>
          <w:i/>
          <w:iCs/>
          <w:lang w:eastAsia="zh-CN"/>
        </w:rPr>
        <w:t>Can J Gastroenterol Hepatol</w:t>
      </w:r>
      <w:r w:rsidRPr="001029FD">
        <w:rPr>
          <w:rFonts w:ascii="Book Antiqua" w:eastAsia="宋体" w:hAnsi="Book Antiqua" w:cs="宋体"/>
          <w:lang w:eastAsia="zh-CN"/>
        </w:rPr>
        <w:t xml:space="preserve"> 2019; </w:t>
      </w:r>
      <w:r w:rsidRPr="001029FD">
        <w:rPr>
          <w:rFonts w:ascii="Book Antiqua" w:eastAsia="宋体" w:hAnsi="Book Antiqua" w:cs="宋体"/>
          <w:b/>
          <w:bCs/>
          <w:lang w:eastAsia="zh-CN"/>
        </w:rPr>
        <w:t>2019</w:t>
      </w:r>
      <w:r w:rsidRPr="001029FD">
        <w:rPr>
          <w:rFonts w:ascii="Book Antiqua" w:eastAsia="宋体" w:hAnsi="Book Antiqua" w:cs="宋体"/>
          <w:lang w:eastAsia="zh-CN"/>
        </w:rPr>
        <w:t>: 4029541 [PMID: 30941326 DOI: 10.1155/2019/4029541]</w:t>
      </w:r>
    </w:p>
    <w:p w14:paraId="33DDCB11" w14:textId="413CD5DE" w:rsidR="003B4B30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113 </w:t>
      </w:r>
      <w:proofErr w:type="spellStart"/>
      <w:r w:rsidR="003B4B30" w:rsidRPr="001029FD">
        <w:rPr>
          <w:rFonts w:ascii="Book Antiqua" w:eastAsia="宋体" w:hAnsi="Book Antiqua" w:cs="宋体"/>
          <w:b/>
          <w:bCs/>
          <w:lang w:eastAsia="zh-CN"/>
        </w:rPr>
        <w:t>Jaroszewicz</w:t>
      </w:r>
      <w:proofErr w:type="spellEnd"/>
      <w:r w:rsidR="003B4B30" w:rsidRPr="001029FD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="003B4B30"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="003B4B30" w:rsidRPr="001029FD">
        <w:rPr>
          <w:rFonts w:ascii="Book Antiqua" w:eastAsia="宋体" w:hAnsi="Book Antiqua" w:cs="宋体"/>
          <w:lang w:eastAsia="zh-CN"/>
        </w:rPr>
        <w:t>Zarębska-Michaluk</w:t>
      </w:r>
      <w:proofErr w:type="spellEnd"/>
      <w:r w:rsidR="003B4B30"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="003B4B30" w:rsidRPr="001029FD">
        <w:rPr>
          <w:rFonts w:ascii="Book Antiqua" w:eastAsia="宋体" w:hAnsi="Book Antiqua" w:cs="宋体"/>
          <w:lang w:eastAsia="zh-CN"/>
        </w:rPr>
        <w:t>Janocha</w:t>
      </w:r>
      <w:proofErr w:type="spellEnd"/>
      <w:r w:rsidR="003B4B30" w:rsidRPr="001029FD">
        <w:rPr>
          <w:rFonts w:ascii="Book Antiqua" w:eastAsia="宋体" w:hAnsi="Book Antiqua" w:cs="宋体"/>
          <w:lang w:eastAsia="zh-CN"/>
        </w:rPr>
        <w:t xml:space="preserve">-Litwin J, </w:t>
      </w:r>
      <w:proofErr w:type="spellStart"/>
      <w:r w:rsidR="003B4B30" w:rsidRPr="001029FD">
        <w:rPr>
          <w:rFonts w:ascii="Book Antiqua" w:eastAsia="宋体" w:hAnsi="Book Antiqua" w:cs="宋体"/>
          <w:lang w:eastAsia="zh-CN"/>
        </w:rPr>
        <w:t>Parfieniuk-Kowerda</w:t>
      </w:r>
      <w:proofErr w:type="spellEnd"/>
      <w:r w:rsidR="003B4B30"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3B4B30" w:rsidRPr="001029FD">
        <w:rPr>
          <w:rFonts w:ascii="Book Antiqua" w:eastAsia="宋体" w:hAnsi="Book Antiqua" w:cs="宋体"/>
          <w:lang w:eastAsia="zh-CN"/>
        </w:rPr>
        <w:t>Sitko</w:t>
      </w:r>
      <w:proofErr w:type="spellEnd"/>
      <w:r w:rsidR="003B4B30"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="003B4B30" w:rsidRPr="001029FD">
        <w:rPr>
          <w:rFonts w:ascii="Book Antiqua" w:eastAsia="宋体" w:hAnsi="Book Antiqua" w:cs="宋体"/>
          <w:lang w:eastAsia="zh-CN"/>
        </w:rPr>
        <w:t>Piekarska</w:t>
      </w:r>
      <w:proofErr w:type="spellEnd"/>
      <w:r w:rsidR="003B4B30"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3B4B30" w:rsidRPr="001029FD">
        <w:rPr>
          <w:rFonts w:ascii="Book Antiqua" w:eastAsia="宋体" w:hAnsi="Book Antiqua" w:cs="宋体"/>
          <w:lang w:eastAsia="zh-CN"/>
        </w:rPr>
        <w:t>Białkowska</w:t>
      </w:r>
      <w:proofErr w:type="spellEnd"/>
      <w:r w:rsidR="003B4B30"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="003B4B30" w:rsidRPr="001029FD">
        <w:rPr>
          <w:rFonts w:ascii="Book Antiqua" w:eastAsia="宋体" w:hAnsi="Book Antiqua" w:cs="宋体"/>
          <w:lang w:eastAsia="zh-CN"/>
        </w:rPr>
        <w:t>Dybowska</w:t>
      </w:r>
      <w:proofErr w:type="spellEnd"/>
      <w:r w:rsidR="003B4B30"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="003B4B30" w:rsidRPr="001029FD">
        <w:rPr>
          <w:rFonts w:ascii="Book Antiqua" w:eastAsia="宋体" w:hAnsi="Book Antiqua" w:cs="宋体"/>
          <w:lang w:eastAsia="zh-CN"/>
        </w:rPr>
        <w:t>Murawska-Ochab</w:t>
      </w:r>
      <w:proofErr w:type="spellEnd"/>
      <w:r w:rsidR="003B4B30"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3B4B30"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="003B4B30" w:rsidRPr="001029FD">
        <w:rPr>
          <w:rFonts w:ascii="Book Antiqua" w:eastAsia="宋体" w:hAnsi="Book Antiqua" w:cs="宋体"/>
          <w:lang w:eastAsia="zh-CN"/>
        </w:rPr>
        <w:t xml:space="preserve"> R. Effectiveness of </w:t>
      </w:r>
      <w:proofErr w:type="spellStart"/>
      <w:r w:rsidR="003B4B30" w:rsidRPr="001029FD">
        <w:rPr>
          <w:rFonts w:ascii="Book Antiqua" w:eastAsia="宋体" w:hAnsi="Book Antiqua" w:cs="宋体"/>
          <w:lang w:eastAsia="zh-CN"/>
        </w:rPr>
        <w:t>pangenotypic</w:t>
      </w:r>
      <w:proofErr w:type="spellEnd"/>
      <w:r w:rsidR="003B4B30" w:rsidRPr="001029FD">
        <w:rPr>
          <w:rFonts w:ascii="Book Antiqua" w:eastAsia="宋体" w:hAnsi="Book Antiqua" w:cs="宋体"/>
          <w:lang w:eastAsia="zh-CN"/>
        </w:rPr>
        <w:t xml:space="preserve"> retreatment of chronic hepatitis C after prior failure of </w:t>
      </w:r>
      <w:proofErr w:type="spellStart"/>
      <w:r w:rsidR="003B4B30" w:rsidRPr="001029FD">
        <w:rPr>
          <w:rFonts w:ascii="Book Antiqua" w:eastAsia="宋体" w:hAnsi="Book Antiqua" w:cs="宋体"/>
          <w:lang w:eastAsia="zh-CN"/>
        </w:rPr>
        <w:t>pangenotypic</w:t>
      </w:r>
      <w:proofErr w:type="spellEnd"/>
      <w:r w:rsidR="003B4B30" w:rsidRPr="001029FD">
        <w:rPr>
          <w:rFonts w:ascii="Book Antiqua" w:eastAsia="宋体" w:hAnsi="Book Antiqua" w:cs="宋体"/>
          <w:lang w:eastAsia="zh-CN"/>
        </w:rPr>
        <w:t xml:space="preserve"> therapies. </w:t>
      </w:r>
      <w:r w:rsidR="003B4B30" w:rsidRPr="001029FD">
        <w:rPr>
          <w:rFonts w:ascii="Book Antiqua" w:eastAsia="宋体" w:hAnsi="Book Antiqua" w:cs="宋体"/>
          <w:i/>
          <w:iCs/>
          <w:lang w:eastAsia="zh-CN"/>
        </w:rPr>
        <w:t>Pol Arch Intern Med</w:t>
      </w:r>
      <w:r w:rsidR="003B4B30" w:rsidRPr="001029FD">
        <w:rPr>
          <w:rFonts w:ascii="Book Antiqua" w:eastAsia="宋体" w:hAnsi="Book Antiqua" w:cs="宋体"/>
          <w:lang w:eastAsia="zh-CN"/>
        </w:rPr>
        <w:t xml:space="preserve"> 2023; </w:t>
      </w:r>
      <w:proofErr w:type="spellStart"/>
      <w:r w:rsidR="003B4B30" w:rsidRPr="001029FD">
        <w:rPr>
          <w:rFonts w:ascii="Book Antiqua" w:eastAsia="宋体" w:hAnsi="Book Antiqua" w:cs="宋体"/>
          <w:lang w:eastAsia="zh-CN"/>
        </w:rPr>
        <w:t>Epub</w:t>
      </w:r>
      <w:proofErr w:type="spellEnd"/>
      <w:r w:rsidR="003B4B30" w:rsidRPr="001029FD">
        <w:rPr>
          <w:rFonts w:ascii="Book Antiqua" w:eastAsia="宋体" w:hAnsi="Book Antiqua" w:cs="宋体"/>
          <w:lang w:eastAsia="zh-CN"/>
        </w:rPr>
        <w:t xml:space="preserve"> ahead of print [PMID: 36602060 DOI: 10.20452/pamw.16400]</w:t>
      </w:r>
    </w:p>
    <w:p w14:paraId="0D96CA02" w14:textId="4999FF23" w:rsidR="004F6EA9" w:rsidRPr="001029FD" w:rsidRDefault="004F6EA9" w:rsidP="0084785E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lastRenderedPageBreak/>
        <w:t xml:space="preserve">114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Corouge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Vallet-Pichard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Pol S. HCV and the kidney. </w:t>
      </w:r>
      <w:r w:rsidRPr="001029FD">
        <w:rPr>
          <w:rFonts w:ascii="Book Antiqua" w:eastAsia="宋体" w:hAnsi="Book Antiqua" w:cs="宋体"/>
          <w:i/>
          <w:iCs/>
          <w:lang w:eastAsia="zh-CN"/>
        </w:rPr>
        <w:t>Liver Int</w:t>
      </w:r>
      <w:r w:rsidRPr="001029FD">
        <w:rPr>
          <w:rFonts w:ascii="Book Antiqua" w:eastAsia="宋体" w:hAnsi="Book Antiqua" w:cs="宋体"/>
          <w:lang w:eastAsia="zh-CN"/>
        </w:rPr>
        <w:t xml:space="preserve"> 2016; </w:t>
      </w:r>
      <w:r w:rsidRPr="001029FD">
        <w:rPr>
          <w:rFonts w:ascii="Book Antiqua" w:eastAsia="宋体" w:hAnsi="Book Antiqua" w:cs="宋体"/>
          <w:b/>
          <w:bCs/>
          <w:lang w:eastAsia="zh-CN"/>
        </w:rPr>
        <w:t>36 Suppl 1</w:t>
      </w:r>
      <w:r w:rsidRPr="001029FD">
        <w:rPr>
          <w:rFonts w:ascii="Book Antiqua" w:eastAsia="宋体" w:hAnsi="Book Antiqua" w:cs="宋体"/>
          <w:lang w:eastAsia="zh-CN"/>
        </w:rPr>
        <w:t>: 28-33 [PMID: 26725894 DOI: 10.1111/</w:t>
      </w:r>
      <w:r w:rsidR="005F7F20" w:rsidRPr="001029FD">
        <w:rPr>
          <w:rFonts w:ascii="Book Antiqua" w:eastAsia="宋体" w:hAnsi="Book Antiqua" w:cs="宋体"/>
          <w:lang w:eastAsia="zh-CN"/>
        </w:rPr>
        <w:t>liv</w:t>
      </w:r>
      <w:r w:rsidRPr="001029FD">
        <w:rPr>
          <w:rFonts w:ascii="Book Antiqua" w:eastAsia="宋体" w:hAnsi="Book Antiqua" w:cs="宋体"/>
          <w:lang w:eastAsia="zh-CN"/>
        </w:rPr>
        <w:t>.13022]</w:t>
      </w:r>
    </w:p>
    <w:p w14:paraId="6CD05A8F" w14:textId="6BD994BD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115 KDIGO 2018 Clinical Practice Guideline for the Prevention, Diagnosis, Evaluation, and Treatment of Hepatitis C in Chronic Kidney Disease - PMC. </w:t>
      </w:r>
      <w:r w:rsidR="005F7F20" w:rsidRPr="001029FD">
        <w:rPr>
          <w:rFonts w:ascii="Book Antiqua" w:eastAsia="宋体" w:hAnsi="Book Antiqua" w:cs="宋体"/>
          <w:lang w:eastAsia="zh-CN"/>
        </w:rPr>
        <w:t xml:space="preserve">[cited 4 October 2022]. </w:t>
      </w:r>
      <w:r w:rsidRPr="001029FD">
        <w:rPr>
          <w:rFonts w:ascii="Book Antiqua" w:eastAsia="宋体" w:hAnsi="Book Antiqua" w:cs="宋体"/>
          <w:lang w:eastAsia="zh-CN"/>
        </w:rPr>
        <w:t>Available from: https://www.ncbi.nlm.nih.gov/pmc/articles/PMC6336217/</w:t>
      </w:r>
    </w:p>
    <w:p w14:paraId="102F03C2" w14:textId="11B8180E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116 </w:t>
      </w:r>
      <w:r w:rsidRPr="001029FD">
        <w:rPr>
          <w:rFonts w:ascii="Book Antiqua" w:eastAsia="宋体" w:hAnsi="Book Antiqua" w:cs="宋体"/>
          <w:b/>
          <w:bCs/>
          <w:lang w:eastAsia="zh-CN"/>
        </w:rPr>
        <w:t>Izzedine H</w:t>
      </w:r>
      <w:r w:rsidRPr="001029FD">
        <w:rPr>
          <w:rFonts w:ascii="Book Antiqua" w:eastAsia="宋体" w:hAnsi="Book Antiqua" w:cs="宋体"/>
          <w:lang w:eastAsia="zh-CN"/>
        </w:rPr>
        <w:t>, Launay-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Vacher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Bourry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Brocheriou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Karie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Deray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G. Drug-induced glomerulopathies.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Expert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Opin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Drug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Saf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2006; </w:t>
      </w:r>
      <w:r w:rsidRPr="001029FD">
        <w:rPr>
          <w:rFonts w:ascii="Book Antiqua" w:eastAsia="宋体" w:hAnsi="Book Antiqua" w:cs="宋体"/>
          <w:b/>
          <w:bCs/>
          <w:lang w:eastAsia="zh-CN"/>
        </w:rPr>
        <w:t>5</w:t>
      </w:r>
      <w:r w:rsidRPr="001029FD">
        <w:rPr>
          <w:rFonts w:ascii="Book Antiqua" w:eastAsia="宋体" w:hAnsi="Book Antiqua" w:cs="宋体"/>
          <w:lang w:eastAsia="zh-CN"/>
        </w:rPr>
        <w:t>: 95-106 [PMID: 16370959 DOI: 10.1517/14740338.5.1.95]</w:t>
      </w:r>
    </w:p>
    <w:p w14:paraId="76AFDADA" w14:textId="23AA3D23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117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Fabrizi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F</w:t>
      </w:r>
      <w:r w:rsidRPr="001029FD">
        <w:rPr>
          <w:rFonts w:ascii="Book Antiqua" w:eastAsia="宋体" w:hAnsi="Book Antiqua" w:cs="宋体"/>
          <w:lang w:eastAsia="zh-CN"/>
        </w:rPr>
        <w:t xml:space="preserve">, Dixit 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Messa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Martin P. Pegylated Interferon Mono-Therapy of Chronic Hepatitis C in the Dialysis Population: Systematic Review and Meta-Analysis.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Apher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Dial</w:t>
      </w:r>
      <w:r w:rsidRPr="001029FD">
        <w:rPr>
          <w:rFonts w:ascii="Book Antiqua" w:eastAsia="宋体" w:hAnsi="Book Antiqua" w:cs="宋体"/>
          <w:lang w:eastAsia="zh-CN"/>
        </w:rPr>
        <w:t xml:space="preserve"> 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19</w:t>
      </w:r>
      <w:r w:rsidRPr="001029FD">
        <w:rPr>
          <w:rFonts w:ascii="Book Antiqua" w:eastAsia="宋体" w:hAnsi="Book Antiqua" w:cs="宋体"/>
          <w:lang w:eastAsia="zh-CN"/>
        </w:rPr>
        <w:t>: 611-621 [PMID: 26197927 DOI: 10.1111/1744-9987.12318]</w:t>
      </w:r>
    </w:p>
    <w:p w14:paraId="536BD1EF" w14:textId="386EEB08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118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Suda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G</w:t>
      </w:r>
      <w:r w:rsidRPr="001029FD">
        <w:rPr>
          <w:rFonts w:ascii="Book Antiqua" w:eastAsia="宋体" w:hAnsi="Book Antiqua" w:cs="宋体"/>
          <w:lang w:eastAsia="zh-CN"/>
        </w:rPr>
        <w:t xml:space="preserve">, Ogawa K, Kimura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Nakai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Morikawa K, Sakamoto N. Novel Treatment of Hepatitis C Virus Infection for Patients with Renal Impairment.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J Clin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Transl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Hepatol</w:t>
      </w:r>
      <w:r w:rsidRPr="001029FD">
        <w:rPr>
          <w:rFonts w:ascii="Book Antiqua" w:eastAsia="宋体" w:hAnsi="Book Antiqua" w:cs="宋体"/>
          <w:lang w:eastAsia="zh-CN"/>
        </w:rPr>
        <w:t xml:space="preserve"> 2016; </w:t>
      </w:r>
      <w:r w:rsidRPr="001029FD">
        <w:rPr>
          <w:rFonts w:ascii="Book Antiqua" w:eastAsia="宋体" w:hAnsi="Book Antiqua" w:cs="宋体"/>
          <w:b/>
          <w:bCs/>
          <w:lang w:eastAsia="zh-CN"/>
        </w:rPr>
        <w:t>4</w:t>
      </w:r>
      <w:r w:rsidRPr="001029FD">
        <w:rPr>
          <w:rFonts w:ascii="Book Antiqua" w:eastAsia="宋体" w:hAnsi="Book Antiqua" w:cs="宋体"/>
          <w:lang w:eastAsia="zh-CN"/>
        </w:rPr>
        <w:t>: 320-327 [PMID: 28097101 DOI: 10.14218/JCTH.2016.00032]</w:t>
      </w:r>
    </w:p>
    <w:p w14:paraId="6A619783" w14:textId="73007943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>119 Product information on Sovaldi</w:t>
      </w:r>
      <w:r w:rsidR="005F7F20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[cited 4 October 2022]. Available from: https://www.ema.europa.eu/en/documents/product-information/sovaldi-epar-product-information_en.pdf</w:t>
      </w:r>
    </w:p>
    <w:p w14:paraId="3CFE66B0" w14:textId="50150237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>120 HCV Guidelines for renal impairment</w:t>
      </w:r>
      <w:r w:rsidR="005F7F20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2021 Sept 29 [cited 4 October 2022]. Available from: https://www.hcvguidelines.org/unique-populations/renal-impairment</w:t>
      </w:r>
    </w:p>
    <w:p w14:paraId="06B64F93" w14:textId="0D1C56BE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121 </w:t>
      </w:r>
      <w:r w:rsidRPr="001029FD">
        <w:rPr>
          <w:rFonts w:ascii="Book Antiqua" w:eastAsia="宋体" w:hAnsi="Book Antiqua" w:cs="宋体"/>
          <w:b/>
          <w:bCs/>
          <w:lang w:eastAsia="zh-CN"/>
        </w:rPr>
        <w:t>Li M</w:t>
      </w:r>
      <w:r w:rsidRPr="001029FD">
        <w:rPr>
          <w:rFonts w:ascii="Book Antiqua" w:eastAsia="宋体" w:hAnsi="Book Antiqua" w:cs="宋体"/>
          <w:lang w:eastAsia="zh-CN"/>
        </w:rPr>
        <w:t xml:space="preserve">, Chen J, Fang Z, Li Y, Lin Q. Sofosbuvir-based regimen is safe and effective for hepatitis C infected patients with stage 4-5 chronic kidney disease: a systematic review and meta-analysis.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Virol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</w:t>
      </w:r>
      <w:r w:rsidRPr="001029FD">
        <w:rPr>
          <w:rFonts w:ascii="Book Antiqua" w:eastAsia="宋体" w:hAnsi="Book Antiqua" w:cs="宋体"/>
          <w:lang w:eastAsia="zh-CN"/>
        </w:rPr>
        <w:t xml:space="preserve"> 2019; </w:t>
      </w:r>
      <w:r w:rsidRPr="001029FD">
        <w:rPr>
          <w:rFonts w:ascii="Book Antiqua" w:eastAsia="宋体" w:hAnsi="Book Antiqua" w:cs="宋体"/>
          <w:b/>
          <w:bCs/>
          <w:lang w:eastAsia="zh-CN"/>
        </w:rPr>
        <w:t>16</w:t>
      </w:r>
      <w:r w:rsidRPr="001029FD">
        <w:rPr>
          <w:rFonts w:ascii="Book Antiqua" w:eastAsia="宋体" w:hAnsi="Book Antiqua" w:cs="宋体"/>
          <w:lang w:eastAsia="zh-CN"/>
        </w:rPr>
        <w:t>: 34 [PMID: 30871566 DOI: 10.1186/s12985-019-1140-x]</w:t>
      </w:r>
    </w:p>
    <w:p w14:paraId="1B176184" w14:textId="3D14BF26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122 </w:t>
      </w:r>
      <w:r w:rsidRPr="001029FD">
        <w:rPr>
          <w:rFonts w:ascii="Book Antiqua" w:eastAsia="宋体" w:hAnsi="Book Antiqua" w:cs="宋体"/>
          <w:b/>
          <w:bCs/>
          <w:lang w:eastAsia="zh-CN"/>
        </w:rPr>
        <w:t>Saxena V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Koraishy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Sise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ME, Lim JK, Schmidt M, Chung RT,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Liapakis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Nelson DR, Fried MW,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Terrault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NA; HCV-TARGET. Safety and efficacy of sofosbuvir-containing regimens in hepatitis C-infected patients with impaired renal function.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>Liver Int</w:t>
      </w:r>
      <w:r w:rsidRPr="001029FD">
        <w:rPr>
          <w:rFonts w:ascii="Book Antiqua" w:eastAsia="宋体" w:hAnsi="Book Antiqua" w:cs="宋体"/>
          <w:lang w:eastAsia="zh-CN"/>
        </w:rPr>
        <w:t xml:space="preserve"> 2016; </w:t>
      </w:r>
      <w:r w:rsidRPr="001029FD">
        <w:rPr>
          <w:rFonts w:ascii="Book Antiqua" w:eastAsia="宋体" w:hAnsi="Book Antiqua" w:cs="宋体"/>
          <w:b/>
          <w:bCs/>
          <w:lang w:eastAsia="zh-CN"/>
        </w:rPr>
        <w:t>36</w:t>
      </w:r>
      <w:r w:rsidRPr="001029FD">
        <w:rPr>
          <w:rFonts w:ascii="Book Antiqua" w:eastAsia="宋体" w:hAnsi="Book Antiqua" w:cs="宋体"/>
          <w:lang w:eastAsia="zh-CN"/>
        </w:rPr>
        <w:t>: 807-816 [PMID: 26923436 DOI: 10.1111/</w:t>
      </w:r>
      <w:r w:rsidR="005F7F20" w:rsidRPr="001029FD">
        <w:rPr>
          <w:rFonts w:ascii="Book Antiqua" w:eastAsia="宋体" w:hAnsi="Book Antiqua" w:cs="宋体"/>
          <w:lang w:eastAsia="zh-CN"/>
        </w:rPr>
        <w:t>liv.</w:t>
      </w:r>
      <w:r w:rsidRPr="001029FD">
        <w:rPr>
          <w:rFonts w:ascii="Book Antiqua" w:eastAsia="宋体" w:hAnsi="Book Antiqua" w:cs="宋体"/>
          <w:lang w:eastAsia="zh-CN"/>
        </w:rPr>
        <w:t>13102]</w:t>
      </w:r>
    </w:p>
    <w:p w14:paraId="6B04D7BF" w14:textId="7A499C2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123 Product information on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Zepatier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[cited 4 October 2022]. Available from: https://www.ema.europa.eu/en/documents/product-information/zepatier-epar-product-information_en.pdf</w:t>
      </w:r>
    </w:p>
    <w:p w14:paraId="33D5AF93" w14:textId="7D96CDB0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lastRenderedPageBreak/>
        <w:t xml:space="preserve">124 </w:t>
      </w:r>
      <w:r w:rsidRPr="001029FD">
        <w:rPr>
          <w:rFonts w:ascii="Book Antiqua" w:eastAsia="宋体" w:hAnsi="Book Antiqua" w:cs="宋体"/>
          <w:b/>
          <w:bCs/>
          <w:lang w:eastAsia="zh-CN"/>
        </w:rPr>
        <w:t>Roth D</w:t>
      </w:r>
      <w:r w:rsidRPr="001029FD">
        <w:rPr>
          <w:rFonts w:ascii="Book Antiqua" w:eastAsia="宋体" w:hAnsi="Book Antiqua" w:cs="宋体"/>
          <w:lang w:eastAsia="zh-CN"/>
        </w:rPr>
        <w:t xml:space="preserve">, Nelson DR,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Bruchfeld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Liapakis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Silva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Monsour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 Jr, Martin P, Pol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Londoño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Hassanein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Zamor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PJ, Zuckerman E, Wan S, Jackson B, Nguyen BY, Robertson M, Barr E, Wahl J, Greaves W. Grazoprevir plus elbasvir in treatment-naive and treatment-experienced patients with hepatitis C virus genotype 1 infection and stage 4-5 chronic kidney disease (the C-SURFER study): a combination phase 3 study. </w:t>
      </w:r>
      <w:r w:rsidRPr="001029FD">
        <w:rPr>
          <w:rFonts w:ascii="Book Antiqua" w:eastAsia="宋体" w:hAnsi="Book Antiqua" w:cs="宋体"/>
          <w:i/>
          <w:iCs/>
          <w:lang w:eastAsia="zh-CN"/>
        </w:rPr>
        <w:t>Lancet</w:t>
      </w:r>
      <w:r w:rsidRPr="001029FD">
        <w:rPr>
          <w:rFonts w:ascii="Book Antiqua" w:eastAsia="宋体" w:hAnsi="Book Antiqua" w:cs="宋体"/>
          <w:lang w:eastAsia="zh-CN"/>
        </w:rPr>
        <w:t xml:space="preserve"> 2015; </w:t>
      </w:r>
      <w:r w:rsidRPr="001029FD">
        <w:rPr>
          <w:rFonts w:ascii="Book Antiqua" w:eastAsia="宋体" w:hAnsi="Book Antiqua" w:cs="宋体"/>
          <w:b/>
          <w:bCs/>
          <w:lang w:eastAsia="zh-CN"/>
        </w:rPr>
        <w:t>386</w:t>
      </w:r>
      <w:r w:rsidRPr="001029FD">
        <w:rPr>
          <w:rFonts w:ascii="Book Antiqua" w:eastAsia="宋体" w:hAnsi="Book Antiqua" w:cs="宋体"/>
          <w:lang w:eastAsia="zh-CN"/>
        </w:rPr>
        <w:t>: 1537-1545 [PMID: 26456905 DOI: 10.1016/S0140-6736(15)00349-9]</w:t>
      </w:r>
    </w:p>
    <w:p w14:paraId="27BD778A" w14:textId="6D6A18A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125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Lawitz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E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Gane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Cohen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Vierling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Agarwal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Hassanein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Mantry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Pockros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PJ, Bennett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Kemmer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Morelli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Zha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Wang D, Shulman NS, Cohen DE, Reddy KR. Efficacy and Safety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Paritaprevir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/Ritonavir in Patients With Hepatitis C Virus Genotype 1 or 4 Infection and Advanced Kidney Disease. </w:t>
      </w:r>
      <w:r w:rsidRPr="001029FD">
        <w:rPr>
          <w:rFonts w:ascii="Book Antiqua" w:eastAsia="宋体" w:hAnsi="Book Antiqua" w:cs="宋体"/>
          <w:i/>
          <w:iCs/>
          <w:lang w:eastAsia="zh-CN"/>
        </w:rPr>
        <w:t>Kidney Int Rep</w:t>
      </w:r>
      <w:r w:rsidRPr="001029FD">
        <w:rPr>
          <w:rFonts w:ascii="Book Antiqua" w:eastAsia="宋体" w:hAnsi="Book Antiqua" w:cs="宋体"/>
          <w:lang w:eastAsia="zh-CN"/>
        </w:rPr>
        <w:t xml:space="preserve"> 2019; </w:t>
      </w:r>
      <w:r w:rsidRPr="001029FD">
        <w:rPr>
          <w:rFonts w:ascii="Book Antiqua" w:eastAsia="宋体" w:hAnsi="Book Antiqua" w:cs="宋体"/>
          <w:b/>
          <w:bCs/>
          <w:lang w:eastAsia="zh-CN"/>
        </w:rPr>
        <w:t>4</w:t>
      </w:r>
      <w:r w:rsidRPr="001029FD">
        <w:rPr>
          <w:rFonts w:ascii="Book Antiqua" w:eastAsia="宋体" w:hAnsi="Book Antiqua" w:cs="宋体"/>
          <w:lang w:eastAsia="zh-CN"/>
        </w:rPr>
        <w:t>: 257-266 [PMID: 30775622 DOI: 10.1016/j.ekir.2018.10.003]</w:t>
      </w:r>
    </w:p>
    <w:p w14:paraId="2A9FBA82" w14:textId="5E8D20BB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126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Lawitz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E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Abunimeh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Sise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ME, Park JY,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Kaskas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Bruchfeld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Wörns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Aglitti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Zamor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Xue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Z, Schnell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Jalundhwala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Porcalla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Mensa FJ, Persico M. Efficacy and safety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glecaprevir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pibrentasvir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in renally impaired patients with chronic HCV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>Liver Int</w:t>
      </w:r>
      <w:r w:rsidRPr="001029FD">
        <w:rPr>
          <w:rFonts w:ascii="Book Antiqua" w:eastAsia="宋体" w:hAnsi="Book Antiqua" w:cs="宋体"/>
          <w:lang w:eastAsia="zh-CN"/>
        </w:rPr>
        <w:t xml:space="preserve"> 2020; </w:t>
      </w:r>
      <w:r w:rsidRPr="001029FD">
        <w:rPr>
          <w:rFonts w:ascii="Book Antiqua" w:eastAsia="宋体" w:hAnsi="Book Antiqua" w:cs="宋体"/>
          <w:b/>
          <w:bCs/>
          <w:lang w:eastAsia="zh-CN"/>
        </w:rPr>
        <w:t>40</w:t>
      </w:r>
      <w:r w:rsidRPr="001029FD">
        <w:rPr>
          <w:rFonts w:ascii="Book Antiqua" w:eastAsia="宋体" w:hAnsi="Book Antiqua" w:cs="宋体"/>
          <w:lang w:eastAsia="zh-CN"/>
        </w:rPr>
        <w:t>: 1032-1041 [PMID: 31821716 DOI: 10.1111</w:t>
      </w:r>
      <w:r w:rsidR="005F7F20" w:rsidRPr="001029FD">
        <w:rPr>
          <w:rFonts w:ascii="Book Antiqua" w:eastAsia="宋体" w:hAnsi="Book Antiqua" w:cs="宋体"/>
          <w:lang w:eastAsia="zh-CN"/>
        </w:rPr>
        <w:t>/liv.143</w:t>
      </w:r>
      <w:r w:rsidRPr="001029FD">
        <w:rPr>
          <w:rFonts w:ascii="Book Antiqua" w:eastAsia="宋体" w:hAnsi="Book Antiqua" w:cs="宋体"/>
          <w:lang w:eastAsia="zh-CN"/>
        </w:rPr>
        <w:t>20]</w:t>
      </w:r>
    </w:p>
    <w:p w14:paraId="4CC2CABE" w14:textId="457F517A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127 </w:t>
      </w:r>
      <w:r w:rsidRPr="001029FD">
        <w:rPr>
          <w:rFonts w:ascii="Book Antiqua" w:eastAsia="宋体" w:hAnsi="Book Antiqua" w:cs="宋体"/>
          <w:b/>
          <w:bCs/>
          <w:lang w:eastAsia="zh-CN"/>
        </w:rPr>
        <w:t>Ahmed H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Abushouk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Menshawy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Attia A, Mohamed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Negida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Abdel-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Daim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MM. Meta-Analysis of Grazoprevir plus Elbasvir for Treatment of Hepatitis C Virus Genotype 1 Infection. </w:t>
      </w:r>
      <w:r w:rsidRPr="001029FD">
        <w:rPr>
          <w:rFonts w:ascii="Book Antiqua" w:eastAsia="宋体" w:hAnsi="Book Antiqua" w:cs="宋体"/>
          <w:i/>
          <w:iCs/>
          <w:lang w:eastAsia="zh-CN"/>
        </w:rPr>
        <w:t>Ann Hepatol</w:t>
      </w:r>
      <w:r w:rsidRPr="001029FD">
        <w:rPr>
          <w:rFonts w:ascii="Book Antiqua" w:eastAsia="宋体" w:hAnsi="Book Antiqua" w:cs="宋体"/>
          <w:lang w:eastAsia="zh-CN"/>
        </w:rPr>
        <w:t xml:space="preserve"> 2018; </w:t>
      </w:r>
      <w:r w:rsidRPr="001029FD">
        <w:rPr>
          <w:rFonts w:ascii="Book Antiqua" w:eastAsia="宋体" w:hAnsi="Book Antiqua" w:cs="宋体"/>
          <w:b/>
          <w:bCs/>
          <w:lang w:eastAsia="zh-CN"/>
        </w:rPr>
        <w:t>17</w:t>
      </w:r>
      <w:r w:rsidRPr="001029FD">
        <w:rPr>
          <w:rFonts w:ascii="Book Antiqua" w:eastAsia="宋体" w:hAnsi="Book Antiqua" w:cs="宋体"/>
          <w:lang w:eastAsia="zh-CN"/>
        </w:rPr>
        <w:t>: 18-32 [PMID: 29311409 DOI: 10.5604/01.3001.0010.7532]</w:t>
      </w:r>
    </w:p>
    <w:p w14:paraId="67E8B9BB" w14:textId="4A51D0AE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128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Poordad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F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Hezode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Trinh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Kowdley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Zeuzem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Agarwal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Shiffman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Wedemeyer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Berg T, Yoshida EM,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Forns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X, Lovell SS, Da Silva-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Tillmann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Collins CA, Campbell AL,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Podsadecki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T, Bernstein B. ABT-450/r-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ombitasvir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and dasabuvir with ribavirin for hepatitis C with cirrhosis.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029FD">
        <w:rPr>
          <w:rFonts w:ascii="Book Antiqua" w:eastAsia="宋体" w:hAnsi="Book Antiqua" w:cs="宋体"/>
          <w:lang w:eastAsia="zh-CN"/>
        </w:rPr>
        <w:t xml:space="preserve"> 2014;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370</w:t>
      </w:r>
      <w:r w:rsidRPr="001029FD">
        <w:rPr>
          <w:rFonts w:ascii="Book Antiqua" w:eastAsia="宋体" w:hAnsi="Book Antiqua" w:cs="宋体"/>
          <w:lang w:eastAsia="zh-CN"/>
        </w:rPr>
        <w:t>: 1973-1982 [PMID: 24725237 DOI: 10.1056/NEJMoa1402869]</w:t>
      </w:r>
    </w:p>
    <w:p w14:paraId="662A2B8C" w14:textId="326A91E0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129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Gane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E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Poordad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Zadeikis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Valdes J, Lin CW, Liu W, Asatryan A, Wang S, Stedman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Greenbloom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Nguyen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Elkhashab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Wörns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MA, Tran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Mulkay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Setze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Yu Y, Pilot-Matias T,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Porcalla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Mensa FJ. Safety and Pharmacokinetics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Glecaprevir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Pibrentasvir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in Adults With Chronic Genotype 1-6 Hepatitis C Virus </w:t>
      </w:r>
      <w:r w:rsidRPr="001029FD">
        <w:rPr>
          <w:rFonts w:ascii="Book Antiqua" w:eastAsia="宋体" w:hAnsi="Book Antiqua" w:cs="宋体"/>
          <w:lang w:eastAsia="zh-CN"/>
        </w:rPr>
        <w:lastRenderedPageBreak/>
        <w:t xml:space="preserve">Infections and Compensated Liver Disease. </w:t>
      </w:r>
      <w:r w:rsidRPr="001029FD">
        <w:rPr>
          <w:rFonts w:ascii="Book Antiqua" w:eastAsia="宋体" w:hAnsi="Book Antiqua" w:cs="宋体"/>
          <w:i/>
          <w:iCs/>
          <w:lang w:eastAsia="zh-CN"/>
        </w:rPr>
        <w:t>Clin Infect Dis</w:t>
      </w:r>
      <w:r w:rsidRPr="001029FD">
        <w:rPr>
          <w:rFonts w:ascii="Book Antiqua" w:eastAsia="宋体" w:hAnsi="Book Antiqua" w:cs="宋体"/>
          <w:lang w:eastAsia="zh-CN"/>
        </w:rPr>
        <w:t xml:space="preserve"> 2019; </w:t>
      </w:r>
      <w:r w:rsidRPr="001029FD">
        <w:rPr>
          <w:rFonts w:ascii="Book Antiqua" w:eastAsia="宋体" w:hAnsi="Book Antiqua" w:cs="宋体"/>
          <w:b/>
          <w:bCs/>
          <w:lang w:eastAsia="zh-CN"/>
        </w:rPr>
        <w:t>69</w:t>
      </w:r>
      <w:r w:rsidRPr="001029FD">
        <w:rPr>
          <w:rFonts w:ascii="Book Antiqua" w:eastAsia="宋体" w:hAnsi="Book Antiqua" w:cs="宋体"/>
          <w:lang w:eastAsia="zh-CN"/>
        </w:rPr>
        <w:t>: 1657-1664 [PMID: 30923816 DOI: 10.1093/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cid</w:t>
      </w:r>
      <w:proofErr w:type="spellEnd"/>
      <w:r w:rsidRPr="001029FD">
        <w:rPr>
          <w:rFonts w:ascii="Book Antiqua" w:eastAsia="宋体" w:hAnsi="Book Antiqua" w:cs="宋体"/>
          <w:lang w:eastAsia="zh-CN"/>
        </w:rPr>
        <w:t>/ciz022]</w:t>
      </w:r>
    </w:p>
    <w:p w14:paraId="7AD59A48" w14:textId="01D747DF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130 </w:t>
      </w:r>
      <w:r w:rsidRPr="001029FD">
        <w:rPr>
          <w:rFonts w:ascii="Book Antiqua" w:eastAsia="宋体" w:hAnsi="Book Antiqua" w:cs="宋体"/>
          <w:b/>
          <w:bCs/>
          <w:lang w:eastAsia="zh-CN"/>
        </w:rPr>
        <w:t>Naguib GG</w:t>
      </w:r>
      <w:r w:rsidRPr="001029FD">
        <w:rPr>
          <w:rFonts w:ascii="Book Antiqua" w:eastAsia="宋体" w:hAnsi="Book Antiqua" w:cs="宋体"/>
          <w:lang w:eastAsia="zh-CN"/>
        </w:rPr>
        <w:t xml:space="preserve">, Farid A, Hassan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Elshafie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Shazly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YE, Shaker MK, Ezzat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Safwat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Ahmed OA, Dabbous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Sherief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Hassany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Elserafy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Elsayed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MH. Direct-acting antiviral regimens in Egyptian patients with chronic hepatitis C virus infection: A real-world single-center experience. </w:t>
      </w:r>
      <w:r w:rsidRPr="001029FD">
        <w:rPr>
          <w:rFonts w:ascii="Book Antiqua" w:eastAsia="宋体" w:hAnsi="Book Antiqua" w:cs="宋体"/>
          <w:i/>
          <w:iCs/>
          <w:lang w:eastAsia="zh-CN"/>
        </w:rPr>
        <w:t>Arab J Gastroenterol</w:t>
      </w:r>
      <w:r w:rsidRPr="001029FD">
        <w:rPr>
          <w:rFonts w:ascii="Book Antiqua" w:eastAsia="宋体" w:hAnsi="Book Antiqua" w:cs="宋体"/>
          <w:lang w:eastAsia="zh-CN"/>
        </w:rPr>
        <w:t xml:space="preserve"> 2021; </w:t>
      </w:r>
      <w:r w:rsidRPr="001029FD">
        <w:rPr>
          <w:rFonts w:ascii="Book Antiqua" w:eastAsia="宋体" w:hAnsi="Book Antiqua" w:cs="宋体"/>
          <w:b/>
          <w:bCs/>
          <w:lang w:eastAsia="zh-CN"/>
        </w:rPr>
        <w:t>22</w:t>
      </w:r>
      <w:r w:rsidRPr="001029FD">
        <w:rPr>
          <w:rFonts w:ascii="Book Antiqua" w:eastAsia="宋体" w:hAnsi="Book Antiqua" w:cs="宋体"/>
          <w:lang w:eastAsia="zh-CN"/>
        </w:rPr>
        <w:t>: 285-291 [PMID: 34531135 DOI: 10.1016/j.ajg.2021.06.001]</w:t>
      </w:r>
    </w:p>
    <w:p w14:paraId="6F8CC918" w14:textId="35F6F416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131 </w:t>
      </w:r>
      <w:r w:rsidRPr="001029FD">
        <w:rPr>
          <w:rFonts w:ascii="Book Antiqua" w:eastAsia="宋体" w:hAnsi="Book Antiqua" w:cs="宋体"/>
          <w:b/>
          <w:bCs/>
          <w:lang w:eastAsia="zh-CN"/>
        </w:rPr>
        <w:t>Talal AH</w:t>
      </w:r>
      <w:r w:rsidRPr="001029FD">
        <w:rPr>
          <w:rFonts w:ascii="Book Antiqua" w:eastAsia="宋体" w:hAnsi="Book Antiqua" w:cs="宋体"/>
          <w:lang w:eastAsia="zh-CN"/>
        </w:rPr>
        <w:t xml:space="preserve">, LaFleur J, Hoop R, Pandya P, Martin P, Jacobson I, Han J, Korner EJ. Absolute and relative contraindications to pegylated-interferon or ribavirin in the US general patient population with chronic hepatitis C: results from a US database of over 45 000 HCV-infected, evaluated patients.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Aliment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2013; </w:t>
      </w:r>
      <w:r w:rsidRPr="001029FD">
        <w:rPr>
          <w:rFonts w:ascii="Book Antiqua" w:eastAsia="宋体" w:hAnsi="Book Antiqua" w:cs="宋体"/>
          <w:b/>
          <w:bCs/>
          <w:lang w:eastAsia="zh-CN"/>
        </w:rPr>
        <w:t>37</w:t>
      </w:r>
      <w:r w:rsidRPr="001029FD">
        <w:rPr>
          <w:rFonts w:ascii="Book Antiqua" w:eastAsia="宋体" w:hAnsi="Book Antiqua" w:cs="宋体"/>
          <w:lang w:eastAsia="zh-CN"/>
        </w:rPr>
        <w:t>: 473-481 [PMID: 23289640 DOI: 10.1111/apt.12200]</w:t>
      </w:r>
    </w:p>
    <w:p w14:paraId="070B9130" w14:textId="06C57160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>132 Product information on Harvoni</w:t>
      </w:r>
      <w:r w:rsidR="005F7F20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[cited 4 October 2022]. Available from: https://www.ema.europa.eu/en/documents/product-information/harvoni-epar-product-information_en.pdf</w:t>
      </w:r>
    </w:p>
    <w:p w14:paraId="61CD8E77" w14:textId="5F9B2812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>133 Product information on Epclusa</w:t>
      </w:r>
      <w:r w:rsidR="005F7F20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[cited 4 October 2022]. Available from: https://www.ema.europa.eu/en/documents/product-information/epclusa-epar-product-information_en.pdf</w:t>
      </w:r>
    </w:p>
    <w:p w14:paraId="25DF55A1" w14:textId="430A616C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134 Product information on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Daklinza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[cited 4 October 2022]. Available from: https://www.ema.europa.eu/en/documents/product-information/daklinza-epar-product-information_en.pdf</w:t>
      </w:r>
    </w:p>
    <w:p w14:paraId="03E4D8A2" w14:textId="01DA2AE1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135 </w:t>
      </w:r>
      <w:proofErr w:type="spellStart"/>
      <w:r w:rsidR="005F7F20" w:rsidRPr="001029FD">
        <w:rPr>
          <w:rFonts w:ascii="Book Antiqua" w:eastAsia="宋体" w:hAnsi="Book Antiqua" w:cs="宋体"/>
          <w:b/>
          <w:bCs/>
          <w:lang w:eastAsia="zh-CN"/>
        </w:rPr>
        <w:t>Janczewska</w:t>
      </w:r>
      <w:proofErr w:type="spellEnd"/>
      <w:r w:rsidR="005F7F20" w:rsidRPr="001029FD">
        <w:rPr>
          <w:rFonts w:ascii="Book Antiqua" w:eastAsia="宋体" w:hAnsi="Book Antiqua" w:cs="宋体"/>
          <w:b/>
          <w:bCs/>
          <w:lang w:eastAsia="zh-CN"/>
        </w:rPr>
        <w:t xml:space="preserve"> E</w:t>
      </w:r>
      <w:r w:rsidR="005F7F20"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Kołek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MF,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Lorenc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Klapaczyński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Tudrujek-Zdunek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Sitko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M, Mazur W,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Zarębska-Michaluk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Buczyńska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I,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Dybowska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Czauż-Andrzejuk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Berak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Krygier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Jaroszewicz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Citko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Piekarska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Dobracka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Socha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Ł,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Deroń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Z,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Laurans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Ł,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Białkowska-Warzecha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Tronina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O,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Adamek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Tomasiewicz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K, Simon K,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Pawłowska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Halota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R. Factors influencing the failure of interferon-free therapy for chronic hepatitis C: Data from the Polish EpiTer-2 cohort study. </w:t>
      </w:r>
      <w:r w:rsidR="005F7F20" w:rsidRPr="001029FD">
        <w:rPr>
          <w:rFonts w:ascii="Book Antiqua" w:eastAsia="宋体" w:hAnsi="Book Antiqua" w:cs="宋体"/>
          <w:i/>
          <w:iCs/>
          <w:lang w:eastAsia="zh-CN"/>
        </w:rPr>
        <w:t>World J Gastroenterol</w:t>
      </w:r>
      <w:r w:rsidR="005F7F20" w:rsidRPr="001029FD">
        <w:rPr>
          <w:rFonts w:ascii="Book Antiqua" w:eastAsia="宋体" w:hAnsi="Book Antiqua" w:cs="宋体"/>
          <w:lang w:eastAsia="zh-CN"/>
        </w:rPr>
        <w:t xml:space="preserve"> 2021; </w:t>
      </w:r>
      <w:r w:rsidR="005F7F20" w:rsidRPr="001029FD">
        <w:rPr>
          <w:rFonts w:ascii="Book Antiqua" w:eastAsia="宋体" w:hAnsi="Book Antiqua" w:cs="宋体"/>
          <w:b/>
          <w:bCs/>
          <w:lang w:eastAsia="zh-CN"/>
        </w:rPr>
        <w:t>27</w:t>
      </w:r>
      <w:r w:rsidR="005F7F20" w:rsidRPr="001029FD">
        <w:rPr>
          <w:rFonts w:ascii="Book Antiqua" w:eastAsia="宋体" w:hAnsi="Book Antiqua" w:cs="宋体"/>
          <w:lang w:eastAsia="zh-CN"/>
        </w:rPr>
        <w:t>: 2177-2192 [PMID: 34025072 DOI: 10.3748/wjg.v27.i18.2177]</w:t>
      </w:r>
    </w:p>
    <w:p w14:paraId="7D577BD7" w14:textId="3BBED608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lastRenderedPageBreak/>
        <w:t xml:space="preserve">136 </w:t>
      </w:r>
      <w:r w:rsidRPr="001029FD">
        <w:rPr>
          <w:rFonts w:ascii="Book Antiqua" w:eastAsia="宋体" w:hAnsi="Book Antiqua" w:cs="宋体"/>
          <w:b/>
          <w:bCs/>
          <w:lang w:eastAsia="zh-CN"/>
        </w:rPr>
        <w:t>Soria A</w:t>
      </w:r>
      <w:r w:rsidRPr="001029FD">
        <w:rPr>
          <w:rFonts w:ascii="Book Antiqua" w:eastAsia="宋体" w:hAnsi="Book Antiqua" w:cs="宋体"/>
          <w:lang w:eastAsia="zh-CN"/>
        </w:rPr>
        <w:t xml:space="preserve">, Fava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Bernasconi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Lapadula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Colella E, Valsecchi MG,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Migliorino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D'Ambrosio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Landonio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Schiavini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Spinetti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Carriero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Degasperi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Cologni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Gatti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Viganò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Hasson H, Uberti-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Foppa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Pasulo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Baiguera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Rossotti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Vinci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Puoti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Giorgini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Menzaghi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Lombardi A, Pan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Aghemo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Grossi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Boldizzoni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Colombo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Viganò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Rumi MG, Del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Poggio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Valenti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L, Giglio O, De Bona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d'Arminio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Monforte A, Colombo A, Spinelli O,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Pigozzi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Molteni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Bonfanti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Terreni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N, Perini P, Capretti A, Bella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Liani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C, Polo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Aimo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Pagnucco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Bhoori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Centenaro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Graffeo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Ciaccio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Dionigi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Lazzaroni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Carderi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I, Di Marco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Rizzardini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Noventa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Lampertico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Fagiuoli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S. Comparison of three therapeutic regimens for genotype-3 hepatitis C virus infection in a large real-life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multicentre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cohort. </w:t>
      </w:r>
      <w:r w:rsidRPr="001029FD">
        <w:rPr>
          <w:rFonts w:ascii="Book Antiqua" w:eastAsia="宋体" w:hAnsi="Book Antiqua" w:cs="宋体"/>
          <w:i/>
          <w:iCs/>
          <w:lang w:eastAsia="zh-CN"/>
        </w:rPr>
        <w:t>Liver Int</w:t>
      </w:r>
      <w:r w:rsidRPr="001029FD">
        <w:rPr>
          <w:rFonts w:ascii="Book Antiqua" w:eastAsia="宋体" w:hAnsi="Book Antiqua" w:cs="宋体"/>
          <w:lang w:eastAsia="zh-CN"/>
        </w:rPr>
        <w:t xml:space="preserve"> 2020; </w:t>
      </w:r>
      <w:r w:rsidRPr="001029FD">
        <w:rPr>
          <w:rFonts w:ascii="Book Antiqua" w:eastAsia="宋体" w:hAnsi="Book Antiqua" w:cs="宋体"/>
          <w:b/>
          <w:bCs/>
          <w:lang w:eastAsia="zh-CN"/>
        </w:rPr>
        <w:t>40</w:t>
      </w:r>
      <w:r w:rsidRPr="001029FD">
        <w:rPr>
          <w:rFonts w:ascii="Book Antiqua" w:eastAsia="宋体" w:hAnsi="Book Antiqua" w:cs="宋体"/>
          <w:lang w:eastAsia="zh-CN"/>
        </w:rPr>
        <w:t>: 769-777 [PMID: 31970845 DOI: 10.1111</w:t>
      </w:r>
      <w:r w:rsidR="005F7F20" w:rsidRPr="001029FD">
        <w:rPr>
          <w:rFonts w:ascii="Book Antiqua" w:eastAsia="宋体" w:hAnsi="Book Antiqua" w:cs="宋体"/>
          <w:lang w:eastAsia="zh-CN"/>
        </w:rPr>
        <w:t>/liv.</w:t>
      </w:r>
      <w:r w:rsidRPr="001029FD">
        <w:rPr>
          <w:rFonts w:ascii="Book Antiqua" w:eastAsia="宋体" w:hAnsi="Book Antiqua" w:cs="宋体"/>
          <w:lang w:eastAsia="zh-CN"/>
        </w:rPr>
        <w:t>14386]</w:t>
      </w:r>
    </w:p>
    <w:p w14:paraId="2036E1C4" w14:textId="6366C48C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137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Zarębska-Michaluk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Jaroszewicz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Parfieniuk-Kowerda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Janczewska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Dybowska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Pawłowska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Halota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W, Mazur W,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Lorenc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Janocha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-Litwin J, Simon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Piekarska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Berak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Klapaczyński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Stępień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Sobala-Szczygieł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Citko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Socha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Ł,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Tudrujek-Zdunek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Tomasiewicz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Sitko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Dobracka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Krygier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Białkowska-Warzecha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Laurans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Ł,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Flisiak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R. Effectiveness and Safety of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Pangenotypic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Regimens in the Most Difficult to Treat Population of Genotype 3 HCV Infected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Cirrhotics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Clin Med</w:t>
      </w:r>
      <w:r w:rsidRPr="001029FD">
        <w:rPr>
          <w:rFonts w:ascii="Book Antiqua" w:eastAsia="宋体" w:hAnsi="Book Antiqua" w:cs="宋体"/>
          <w:lang w:eastAsia="zh-CN"/>
        </w:rPr>
        <w:t xml:space="preserve"> 2021; </w:t>
      </w:r>
      <w:r w:rsidRPr="001029FD">
        <w:rPr>
          <w:rFonts w:ascii="Book Antiqua" w:eastAsia="宋体" w:hAnsi="Book Antiqua" w:cs="宋体"/>
          <w:b/>
          <w:bCs/>
          <w:lang w:eastAsia="zh-CN"/>
        </w:rPr>
        <w:t>10</w:t>
      </w:r>
      <w:r w:rsidRPr="001029FD">
        <w:rPr>
          <w:rFonts w:ascii="Book Antiqua" w:eastAsia="宋体" w:hAnsi="Book Antiqua" w:cs="宋体"/>
          <w:lang w:eastAsia="zh-CN"/>
        </w:rPr>
        <w:t xml:space="preserve"> [PMID: 34362064 DOI: 10.3390/jcm10153280]</w:t>
      </w:r>
    </w:p>
    <w:p w14:paraId="747FDD03" w14:textId="4B01515C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138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Naggie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1029FD">
        <w:rPr>
          <w:rFonts w:ascii="Book Antiqua" w:eastAsia="宋体" w:hAnsi="Book Antiqua" w:cs="宋体"/>
          <w:lang w:eastAsia="zh-CN"/>
        </w:rPr>
        <w:t xml:space="preserve">, Muir AJ. Oral Combination Therapies for Hepatitis C Virus Infection: Successes, Challenges, and Unmet Needs.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Annu</w:t>
      </w:r>
      <w:proofErr w:type="spellEnd"/>
      <w:r w:rsidRPr="001029FD">
        <w:rPr>
          <w:rFonts w:ascii="Book Antiqua" w:eastAsia="宋体" w:hAnsi="Book Antiqua" w:cs="宋体"/>
          <w:i/>
          <w:iCs/>
          <w:lang w:eastAsia="zh-CN"/>
        </w:rPr>
        <w:t xml:space="preserve"> Rev Med</w:t>
      </w:r>
      <w:r w:rsidRPr="001029FD">
        <w:rPr>
          <w:rFonts w:ascii="Book Antiqua" w:eastAsia="宋体" w:hAnsi="Book Antiqua" w:cs="宋体"/>
          <w:lang w:eastAsia="zh-CN"/>
        </w:rPr>
        <w:t xml:space="preserve"> 2017; </w:t>
      </w:r>
      <w:r w:rsidRPr="001029FD">
        <w:rPr>
          <w:rFonts w:ascii="Book Antiqua" w:eastAsia="宋体" w:hAnsi="Book Antiqua" w:cs="宋体"/>
          <w:b/>
          <w:bCs/>
          <w:lang w:eastAsia="zh-CN"/>
        </w:rPr>
        <w:t>68</w:t>
      </w:r>
      <w:r w:rsidRPr="001029FD">
        <w:rPr>
          <w:rFonts w:ascii="Book Antiqua" w:eastAsia="宋体" w:hAnsi="Book Antiqua" w:cs="宋体"/>
          <w:lang w:eastAsia="zh-CN"/>
        </w:rPr>
        <w:t>: 345-358 [PMID: 27686017 DOI: 10.1146/annurev-med-052915-015720]</w:t>
      </w:r>
    </w:p>
    <w:p w14:paraId="684EC0DC" w14:textId="2FD7B03C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139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Sarrazin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C</w:t>
      </w:r>
      <w:r w:rsidRPr="001029FD">
        <w:rPr>
          <w:rFonts w:ascii="Book Antiqua" w:eastAsia="宋体" w:hAnsi="Book Antiqua" w:cs="宋体"/>
          <w:lang w:eastAsia="zh-CN"/>
        </w:rPr>
        <w:t xml:space="preserve">. Treatment failure with DAA therapy: Importance of resistance.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Pr="001029FD">
        <w:rPr>
          <w:rFonts w:ascii="Book Antiqua" w:eastAsia="宋体" w:hAnsi="Book Antiqua" w:cs="宋体"/>
          <w:lang w:eastAsia="zh-CN"/>
        </w:rPr>
        <w:t xml:space="preserve"> 2021; </w:t>
      </w:r>
      <w:r w:rsidRPr="001029FD">
        <w:rPr>
          <w:rFonts w:ascii="Book Antiqua" w:eastAsia="宋体" w:hAnsi="Book Antiqua" w:cs="宋体"/>
          <w:b/>
          <w:bCs/>
          <w:lang w:eastAsia="zh-CN"/>
        </w:rPr>
        <w:t>74</w:t>
      </w:r>
      <w:r w:rsidRPr="001029FD">
        <w:rPr>
          <w:rFonts w:ascii="Book Antiqua" w:eastAsia="宋体" w:hAnsi="Book Antiqua" w:cs="宋体"/>
          <w:lang w:eastAsia="zh-CN"/>
        </w:rPr>
        <w:t>: 1472-1482 [PMID: 33716089 DOI: 10.1016/j.jhep.2021.03.004]</w:t>
      </w:r>
    </w:p>
    <w:p w14:paraId="3049B308" w14:textId="5FE102AC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140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Xie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1029FD">
        <w:rPr>
          <w:rFonts w:ascii="Book Antiqua" w:eastAsia="宋体" w:hAnsi="Book Antiqua" w:cs="宋体"/>
          <w:lang w:eastAsia="zh-CN"/>
        </w:rPr>
        <w:t>, Xu B, Wei L, Huang C, Liu W. Effectiveness and Safety of Sofosbuvir/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Velpatasvir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Voxilaprevir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as a Hepatitis C Virus Infection Salvage Therapy in the Real World: A Systematic Review and Meta-analysis. </w:t>
      </w:r>
      <w:r w:rsidRPr="001029FD">
        <w:rPr>
          <w:rFonts w:ascii="Book Antiqua" w:eastAsia="宋体" w:hAnsi="Book Antiqua" w:cs="宋体"/>
          <w:i/>
          <w:iCs/>
          <w:lang w:eastAsia="zh-CN"/>
        </w:rPr>
        <w:t xml:space="preserve">Infect Dis </w:t>
      </w:r>
      <w:proofErr w:type="spellStart"/>
      <w:r w:rsidRPr="001029FD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2022; </w:t>
      </w:r>
      <w:r w:rsidRPr="001029FD">
        <w:rPr>
          <w:rFonts w:ascii="Book Antiqua" w:eastAsia="宋体" w:hAnsi="Book Antiqua" w:cs="宋体"/>
          <w:b/>
          <w:bCs/>
          <w:lang w:eastAsia="zh-CN"/>
        </w:rPr>
        <w:t>11</w:t>
      </w:r>
      <w:r w:rsidRPr="001029FD">
        <w:rPr>
          <w:rFonts w:ascii="Book Antiqua" w:eastAsia="宋体" w:hAnsi="Book Antiqua" w:cs="宋体"/>
          <w:lang w:eastAsia="zh-CN"/>
        </w:rPr>
        <w:t>: 1661-1682 [PMID: 35749010 DOI: 10.1007/s40121-022-00666-0]</w:t>
      </w:r>
    </w:p>
    <w:p w14:paraId="1665FE18" w14:textId="06824FE4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141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Llaneras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J</w:t>
      </w:r>
      <w:r w:rsidRPr="001029FD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Riveiro-Barciela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Lens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Diago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Cachero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García-Samaniego J, Conde I,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Arencibia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A, Arenas J, Gea F,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Torras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X, Luis Calleja J, Antonio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Carrión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</w:t>
      </w:r>
      <w:r w:rsidRPr="001029FD">
        <w:rPr>
          <w:rFonts w:ascii="Book Antiqua" w:eastAsia="宋体" w:hAnsi="Book Antiqua" w:cs="宋体"/>
          <w:lang w:eastAsia="zh-CN"/>
        </w:rPr>
        <w:lastRenderedPageBreak/>
        <w:t xml:space="preserve">Fernández I, María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Morillas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R, Rosales JM, Carmona I, Fernández-Rodríguez C, Hernández-Guerra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Llerena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Bernal V,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Turnes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J, González-Santiago JM,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Montoliu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Figueruela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Badia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E, Delgado M, Fernández-Bermejo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Iñarrairaegui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Pascasio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JM, Esteban R,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Mariño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Z, Buti M. Effectiveness and safety of sofosbuvir/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velpatasvir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voxilaprevir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in patients with chronic hepatitis C previously treated with DAAs. </w:t>
      </w:r>
      <w:r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Pr="001029FD">
        <w:rPr>
          <w:rFonts w:ascii="Book Antiqua" w:eastAsia="宋体" w:hAnsi="Book Antiqua" w:cs="宋体"/>
          <w:lang w:eastAsia="zh-CN"/>
        </w:rPr>
        <w:t xml:space="preserve"> 2019; </w:t>
      </w:r>
      <w:r w:rsidRPr="001029FD">
        <w:rPr>
          <w:rFonts w:ascii="Book Antiqua" w:eastAsia="宋体" w:hAnsi="Book Antiqua" w:cs="宋体"/>
          <w:b/>
          <w:bCs/>
          <w:lang w:eastAsia="zh-CN"/>
        </w:rPr>
        <w:t>71</w:t>
      </w:r>
      <w:r w:rsidRPr="001029FD">
        <w:rPr>
          <w:rFonts w:ascii="Book Antiqua" w:eastAsia="宋体" w:hAnsi="Book Antiqua" w:cs="宋体"/>
          <w:lang w:eastAsia="zh-CN"/>
        </w:rPr>
        <w:t>: 666-672 [PMID: 31203153 DOI: 10.1016/j.jhep.2019.06.002]</w:t>
      </w:r>
    </w:p>
    <w:p w14:paraId="61D19D6F" w14:textId="1B77FB2C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>142 HCV Guidelines on treatment experienced patients</w:t>
      </w:r>
      <w:r w:rsidR="005F7F20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2021 Jan 21 [cited 4 October 2022]. Available from: https://www.hcvguidelines.org/treatment-experienced</w:t>
      </w:r>
    </w:p>
    <w:p w14:paraId="41918670" w14:textId="5CEF15C8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143 </w:t>
      </w:r>
      <w:proofErr w:type="spellStart"/>
      <w:r w:rsidR="005F7F20" w:rsidRPr="001029FD">
        <w:rPr>
          <w:rFonts w:ascii="Book Antiqua" w:eastAsia="宋体" w:hAnsi="Book Antiqua" w:cs="宋体"/>
          <w:b/>
          <w:bCs/>
          <w:lang w:eastAsia="zh-CN"/>
        </w:rPr>
        <w:t>Wyles</w:t>
      </w:r>
      <w:proofErr w:type="spellEnd"/>
      <w:r w:rsidR="005F7F20" w:rsidRPr="001029FD">
        <w:rPr>
          <w:rFonts w:ascii="Book Antiqua" w:eastAsia="宋体" w:hAnsi="Book Antiqua" w:cs="宋体"/>
          <w:b/>
          <w:bCs/>
          <w:lang w:eastAsia="zh-CN"/>
        </w:rPr>
        <w:t xml:space="preserve"> D</w:t>
      </w:r>
      <w:r w:rsidR="005F7F20" w:rsidRPr="001029FD">
        <w:rPr>
          <w:rFonts w:ascii="Book Antiqua" w:eastAsia="宋体" w:hAnsi="Book Antiqua" w:cs="宋体"/>
          <w:lang w:eastAsia="zh-CN"/>
        </w:rPr>
        <w:t xml:space="preserve">, Weiland O, Yao B,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Weilert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F, Dufour JF, Gordon SC,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Stoehr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A, Brown A,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Mauss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S, Zhang Z, Pilot-Matias T, Rodrigues L Jr, Mensa FJ,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Poordad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F. Retreatment of patients who failed 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glecaprevir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="005F7F20" w:rsidRPr="001029FD">
        <w:rPr>
          <w:rFonts w:ascii="Book Antiqua" w:eastAsia="宋体" w:hAnsi="Book Antiqua" w:cs="宋体"/>
          <w:lang w:eastAsia="zh-CN"/>
        </w:rPr>
        <w:t>pibrentasvir</w:t>
      </w:r>
      <w:proofErr w:type="spellEnd"/>
      <w:r w:rsidR="005F7F20" w:rsidRPr="001029FD">
        <w:rPr>
          <w:rFonts w:ascii="Book Antiqua" w:eastAsia="宋体" w:hAnsi="Book Antiqua" w:cs="宋体"/>
          <w:lang w:eastAsia="zh-CN"/>
        </w:rPr>
        <w:t xml:space="preserve"> treatment for hepatitis C virus infection. </w:t>
      </w:r>
      <w:r w:rsidR="005F7F20" w:rsidRPr="001029FD">
        <w:rPr>
          <w:rFonts w:ascii="Book Antiqua" w:eastAsia="宋体" w:hAnsi="Book Antiqua" w:cs="宋体"/>
          <w:i/>
          <w:iCs/>
          <w:lang w:eastAsia="zh-CN"/>
        </w:rPr>
        <w:t>J Hepatol</w:t>
      </w:r>
      <w:r w:rsidR="005F7F20" w:rsidRPr="001029FD">
        <w:rPr>
          <w:rFonts w:ascii="Book Antiqua" w:eastAsia="宋体" w:hAnsi="Book Antiqua" w:cs="宋体"/>
          <w:lang w:eastAsia="zh-CN"/>
        </w:rPr>
        <w:t xml:space="preserve"> 2019; </w:t>
      </w:r>
      <w:r w:rsidR="005F7F20" w:rsidRPr="001029FD">
        <w:rPr>
          <w:rFonts w:ascii="Book Antiqua" w:eastAsia="宋体" w:hAnsi="Book Antiqua" w:cs="宋体"/>
          <w:b/>
          <w:bCs/>
          <w:lang w:eastAsia="zh-CN"/>
        </w:rPr>
        <w:t>70</w:t>
      </w:r>
      <w:r w:rsidR="005F7F20" w:rsidRPr="001029FD">
        <w:rPr>
          <w:rFonts w:ascii="Book Antiqua" w:eastAsia="宋体" w:hAnsi="Book Antiqua" w:cs="宋体"/>
          <w:lang w:eastAsia="zh-CN"/>
        </w:rPr>
        <w:t>: 1019-1023 [PMID: 30857780 DOI: 10.1016/j.jhep.2019.01.031]</w:t>
      </w:r>
    </w:p>
    <w:p w14:paraId="06DF4BBC" w14:textId="5620E5CC" w:rsidR="004F6EA9" w:rsidRPr="001029FD" w:rsidRDefault="004F6EA9" w:rsidP="0084785E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029FD">
        <w:rPr>
          <w:rFonts w:ascii="Book Antiqua" w:eastAsia="宋体" w:hAnsi="Book Antiqua" w:cs="宋体"/>
          <w:lang w:eastAsia="zh-CN"/>
        </w:rPr>
        <w:t xml:space="preserve">144 </w:t>
      </w:r>
      <w:proofErr w:type="spellStart"/>
      <w:r w:rsidRPr="001029FD">
        <w:rPr>
          <w:rFonts w:ascii="Book Antiqua" w:eastAsia="宋体" w:hAnsi="Book Antiqua" w:cs="宋体"/>
          <w:b/>
          <w:bCs/>
          <w:lang w:eastAsia="zh-CN"/>
        </w:rPr>
        <w:t>Gane</w:t>
      </w:r>
      <w:proofErr w:type="spellEnd"/>
      <w:r w:rsidRPr="001029FD">
        <w:rPr>
          <w:rFonts w:ascii="Book Antiqua" w:eastAsia="宋体" w:hAnsi="Book Antiqua" w:cs="宋体"/>
          <w:b/>
          <w:bCs/>
          <w:lang w:eastAsia="zh-CN"/>
        </w:rPr>
        <w:t xml:space="preserve"> EJ,</w:t>
      </w:r>
      <w:r w:rsidRPr="001029FD">
        <w:rPr>
          <w:rFonts w:ascii="Book Antiqua" w:eastAsia="宋体" w:hAnsi="Book Antiqua" w:cs="宋体"/>
          <w:lang w:eastAsia="zh-CN"/>
        </w:rPr>
        <w:t xml:space="preserve"> Faire B, Helmy S, Freeman J.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Glecaprevir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>/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pibrentasvir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&amp; sofosbuvir for 16 </w:t>
      </w:r>
      <w:proofErr w:type="spellStart"/>
      <w:r w:rsidRPr="001029FD">
        <w:rPr>
          <w:rFonts w:ascii="Book Antiqua" w:eastAsia="宋体" w:hAnsi="Book Antiqua" w:cs="宋体"/>
          <w:lang w:eastAsia="zh-CN"/>
        </w:rPr>
        <w:t>wk</w:t>
      </w:r>
      <w:proofErr w:type="spellEnd"/>
      <w:r w:rsidRPr="001029FD">
        <w:rPr>
          <w:rFonts w:ascii="Book Antiqua" w:eastAsia="宋体" w:hAnsi="Book Antiqua" w:cs="宋体"/>
          <w:lang w:eastAsia="zh-CN"/>
        </w:rPr>
        <w:t xml:space="preserve"> without ribavirin is safe and highly effective retreatment for patients who have failed an NS5A inhibitor containing antiviral regimen. Conference Reports for NATAP; The International Liver Congress™ EASL – European Association for the Study of the Liver</w:t>
      </w:r>
      <w:r w:rsidR="005F7F20" w:rsidRPr="001029FD">
        <w:rPr>
          <w:rFonts w:ascii="Book Antiqua" w:eastAsia="宋体" w:hAnsi="Book Antiqua" w:cs="宋体"/>
          <w:lang w:eastAsia="zh-CN"/>
        </w:rPr>
        <w:t>.</w:t>
      </w:r>
      <w:r w:rsidRPr="001029FD">
        <w:rPr>
          <w:rFonts w:ascii="Book Antiqua" w:eastAsia="宋体" w:hAnsi="Book Antiqua" w:cs="宋体"/>
          <w:lang w:eastAsia="zh-CN"/>
        </w:rPr>
        <w:t xml:space="preserve"> 2022 June 22-26 [cited 4 October 2022]. Available from: https://www.natap.org/2022/EASL/EASL_48.htm</w:t>
      </w:r>
    </w:p>
    <w:p w14:paraId="19DBE609" w14:textId="036A2E86" w:rsidR="00A77B3E" w:rsidRPr="001029FD" w:rsidRDefault="00A77B3E" w:rsidP="0084785E">
      <w:pPr>
        <w:spacing w:line="360" w:lineRule="auto"/>
        <w:jc w:val="both"/>
      </w:pPr>
    </w:p>
    <w:p w14:paraId="4722304E" w14:textId="77777777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Footnotes</w:t>
      </w:r>
    </w:p>
    <w:p w14:paraId="05A409FD" w14:textId="74FAD8CE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13C1" w:rsidRPr="001029FD">
        <w:rPr>
          <w:rFonts w:ascii="Book Antiqua" w:hAnsi="Book Antiqua" w:cs="Book Antiqua"/>
          <w:color w:val="000000"/>
          <w:lang w:eastAsia="zh-CN"/>
        </w:rPr>
        <w:t>The a</w:t>
      </w:r>
      <w:r w:rsidRPr="001029FD">
        <w:rPr>
          <w:rFonts w:ascii="Book Antiqua" w:eastAsia="Book Antiqua" w:hAnsi="Book Antiqua" w:cs="Book Antiqua"/>
          <w:color w:val="000000"/>
        </w:rPr>
        <w:t>uthors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declare</w:t>
      </w:r>
      <w:r w:rsidR="00083491" w:rsidRPr="001029FD">
        <w:rPr>
          <w:rFonts w:ascii="Book Antiqua" w:eastAsia="Book Antiqua" w:hAnsi="Book Antiqua" w:cs="Book Antiqua"/>
          <w:color w:val="000000"/>
        </w:rPr>
        <w:t xml:space="preserve"> having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relevant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conflict</w:t>
      </w:r>
      <w:r w:rsidR="006F4FE0" w:rsidRPr="001029FD">
        <w:rPr>
          <w:rFonts w:ascii="Book Antiqua" w:eastAsia="Book Antiqua" w:hAnsi="Book Antiqua" w:cs="Book Antiqua"/>
          <w:color w:val="000000"/>
        </w:rPr>
        <w:t>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interest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="00C14EC0" w:rsidRPr="001029FD">
        <w:rPr>
          <w:rFonts w:ascii="Book Antiqua" w:eastAsia="Book Antiqua" w:hAnsi="Book Antiqua" w:cs="Book Antiqua"/>
          <w:color w:val="000000"/>
        </w:rPr>
        <w:t xml:space="preserve">the </w:t>
      </w:r>
      <w:r w:rsidRPr="001029FD">
        <w:rPr>
          <w:rFonts w:ascii="Book Antiqua" w:eastAsia="Book Antiqua" w:hAnsi="Book Antiqua" w:cs="Book Antiqua"/>
          <w:color w:val="000000"/>
        </w:rPr>
        <w:t>submitted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work.</w:t>
      </w:r>
    </w:p>
    <w:p w14:paraId="011FE6BC" w14:textId="77777777" w:rsidR="00A77B3E" w:rsidRPr="001029FD" w:rsidRDefault="00A77B3E" w:rsidP="0084785E">
      <w:pPr>
        <w:spacing w:line="360" w:lineRule="auto"/>
        <w:jc w:val="both"/>
      </w:pPr>
    </w:p>
    <w:p w14:paraId="3FE37A23" w14:textId="270DA1DE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F6EA9" w:rsidRPr="001029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article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open-access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article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that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was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selected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in-house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editor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fully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peer-reviewed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external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reviewers.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distributed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accordance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with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Creative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Commons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Attribution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(CC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BY-NC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4.0)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license,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which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permits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others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distribute,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remix,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adapt,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build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upon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work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non-commercially,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license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lastRenderedPageBreak/>
        <w:t>their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derivative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works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on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different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terms,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provided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original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work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properly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cited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the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use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is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non-commercial.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See: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4D16144" w14:textId="77777777" w:rsidR="00A77B3E" w:rsidRPr="001029FD" w:rsidRDefault="00A77B3E" w:rsidP="0084785E">
      <w:pPr>
        <w:spacing w:line="360" w:lineRule="auto"/>
        <w:jc w:val="both"/>
      </w:pPr>
    </w:p>
    <w:p w14:paraId="3F8D36C2" w14:textId="2E58AC4E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Provenance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and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peer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review: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Invited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article;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Externally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peer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reviewed.</w:t>
      </w:r>
    </w:p>
    <w:p w14:paraId="277A8E24" w14:textId="685973D7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Peer-review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model: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Single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blind</w:t>
      </w:r>
    </w:p>
    <w:p w14:paraId="23ABB081" w14:textId="77777777" w:rsidR="00A77B3E" w:rsidRPr="001029FD" w:rsidRDefault="00A77B3E" w:rsidP="0084785E">
      <w:pPr>
        <w:spacing w:line="360" w:lineRule="auto"/>
        <w:jc w:val="both"/>
      </w:pPr>
    </w:p>
    <w:p w14:paraId="0C9F0BE6" w14:textId="0EED8C2E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Peer-review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started: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October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12,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2022</w:t>
      </w:r>
    </w:p>
    <w:p w14:paraId="4C983186" w14:textId="40417C5C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First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decision: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November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15,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2022</w:t>
      </w:r>
    </w:p>
    <w:p w14:paraId="05B0B9A6" w14:textId="76F0F2FB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Article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in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press: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52C3" w:rsidRPr="001029FD">
        <w:rPr>
          <w:rFonts w:ascii="Book Antiqua" w:eastAsia="Book Antiqua" w:hAnsi="Book Antiqua" w:cs="Book Antiqua"/>
          <w:color w:val="000000"/>
        </w:rPr>
        <w:t>January 9, 2023</w:t>
      </w:r>
    </w:p>
    <w:p w14:paraId="67CED238" w14:textId="77777777" w:rsidR="00A77B3E" w:rsidRPr="001029FD" w:rsidRDefault="00A77B3E" w:rsidP="0084785E">
      <w:pPr>
        <w:spacing w:line="360" w:lineRule="auto"/>
        <w:jc w:val="both"/>
      </w:pPr>
    </w:p>
    <w:p w14:paraId="0463A209" w14:textId="40401B7F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Specialty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type: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Virology</w:t>
      </w:r>
    </w:p>
    <w:p w14:paraId="7D4BF820" w14:textId="518E9B05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Country/Territory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of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origin: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Poland</w:t>
      </w:r>
    </w:p>
    <w:p w14:paraId="667AE10E" w14:textId="2872B3CE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b/>
          <w:color w:val="000000"/>
        </w:rPr>
        <w:t>Peer-review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report’s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scientific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quality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318B27A" w14:textId="25213BFF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t>Grade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A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(Excellent):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0</w:t>
      </w:r>
    </w:p>
    <w:p w14:paraId="3583A460" w14:textId="5B767E2E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t>Grade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(Very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good):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B</w:t>
      </w:r>
    </w:p>
    <w:p w14:paraId="1645B73E" w14:textId="3ACDD60B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t>Grade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C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(Good):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0</w:t>
      </w:r>
    </w:p>
    <w:p w14:paraId="0B937A20" w14:textId="47FE39B6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t>Grade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D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(Fair):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0</w:t>
      </w:r>
    </w:p>
    <w:p w14:paraId="33C0E4BC" w14:textId="2A6F8DA3" w:rsidR="00A77B3E" w:rsidRPr="001029FD" w:rsidRDefault="00865C50" w:rsidP="0084785E">
      <w:pPr>
        <w:spacing w:line="360" w:lineRule="auto"/>
        <w:jc w:val="both"/>
      </w:pPr>
      <w:r w:rsidRPr="001029FD">
        <w:rPr>
          <w:rFonts w:ascii="Book Antiqua" w:eastAsia="Book Antiqua" w:hAnsi="Book Antiqua" w:cs="Book Antiqua"/>
          <w:color w:val="000000"/>
        </w:rPr>
        <w:t>Grade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E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(Poor):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0</w:t>
      </w:r>
    </w:p>
    <w:p w14:paraId="0A13C23D" w14:textId="77777777" w:rsidR="00A77B3E" w:rsidRPr="001029FD" w:rsidRDefault="00A77B3E" w:rsidP="0084785E">
      <w:pPr>
        <w:spacing w:line="360" w:lineRule="auto"/>
        <w:jc w:val="both"/>
      </w:pPr>
    </w:p>
    <w:p w14:paraId="330F4BA5" w14:textId="299D661D" w:rsidR="00931CEC" w:rsidRPr="001029FD" w:rsidRDefault="00865C50" w:rsidP="0084785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029FD">
        <w:rPr>
          <w:rFonts w:ascii="Book Antiqua" w:eastAsia="Book Antiqua" w:hAnsi="Book Antiqua" w:cs="Book Antiqua"/>
          <w:b/>
          <w:color w:val="000000"/>
        </w:rPr>
        <w:t>P-Reviewer: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Lo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SY,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Taiwan;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29FD">
        <w:rPr>
          <w:rFonts w:ascii="Book Antiqua" w:eastAsia="Book Antiqua" w:hAnsi="Book Antiqua" w:cs="Book Antiqua"/>
          <w:color w:val="000000"/>
        </w:rPr>
        <w:t>Sahin</w:t>
      </w:r>
      <w:proofErr w:type="spellEnd"/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TT,</w:t>
      </w:r>
      <w:r w:rsidR="004F6EA9" w:rsidRPr="001029FD">
        <w:rPr>
          <w:rFonts w:ascii="Book Antiqua" w:eastAsia="Book Antiqua" w:hAnsi="Book Antiqua" w:cs="Book Antiqua"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color w:val="000000"/>
        </w:rPr>
        <w:t>Turkey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S-Editor: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31CEC" w:rsidRPr="001029FD">
        <w:rPr>
          <w:rFonts w:ascii="Book Antiqua" w:eastAsia="Book Antiqua" w:hAnsi="Book Antiqua" w:cs="Book Antiqua"/>
          <w:bCs/>
          <w:color w:val="000000"/>
        </w:rPr>
        <w:t>Zhang H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L-Editor: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029" w:rsidRPr="001029FD">
        <w:rPr>
          <w:rFonts w:ascii="Book Antiqua" w:eastAsia="Book Antiqua" w:hAnsi="Book Antiqua" w:cs="Book Antiqua"/>
          <w:bCs/>
          <w:color w:val="000000"/>
        </w:rPr>
        <w:t>Filipodia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29FD">
        <w:rPr>
          <w:rFonts w:ascii="Book Antiqua" w:eastAsia="Book Antiqua" w:hAnsi="Book Antiqua" w:cs="Book Antiqua"/>
          <w:b/>
          <w:color w:val="000000"/>
        </w:rPr>
        <w:t>P-Editor:</w:t>
      </w:r>
      <w:r w:rsidR="004F6EA9" w:rsidRPr="001029F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168B" w:rsidRPr="001029FD">
        <w:rPr>
          <w:rFonts w:ascii="Book Antiqua" w:eastAsia="Book Antiqua" w:hAnsi="Book Antiqua" w:cs="Book Antiqua"/>
          <w:bCs/>
          <w:color w:val="000000"/>
        </w:rPr>
        <w:t>Zhang H</w:t>
      </w:r>
    </w:p>
    <w:p w14:paraId="06A8B807" w14:textId="11A89D57" w:rsidR="00931CEC" w:rsidRPr="001029FD" w:rsidRDefault="00931CEC" w:rsidP="0084785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931CEC" w:rsidRPr="001029F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E33177" w14:textId="48C69E03" w:rsidR="00A77B3E" w:rsidRPr="001029FD" w:rsidRDefault="00931CEC" w:rsidP="0084785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029FD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01D9FFEA" w14:textId="0DCA86D1" w:rsidR="00931CEC" w:rsidRPr="001029FD" w:rsidRDefault="00931CEC" w:rsidP="0084785E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shd w:val="clear" w:color="auto" w:fill="FFFFFF"/>
        </w:rPr>
      </w:pPr>
      <w:r w:rsidRPr="001029FD">
        <w:rPr>
          <w:rFonts w:ascii="Book Antiqua" w:hAnsi="Book Antiqua" w:cstheme="minorHAnsi"/>
          <w:b/>
          <w:bCs/>
          <w:color w:val="000000" w:themeColor="text1"/>
          <w:shd w:val="clear" w:color="auto" w:fill="FFFFFF"/>
        </w:rPr>
        <w:t>Table 1 Efficacy of genotype-specific regimens in phase III of clinical trials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623"/>
        <w:gridCol w:w="2473"/>
        <w:gridCol w:w="762"/>
        <w:gridCol w:w="1527"/>
        <w:gridCol w:w="1643"/>
        <w:gridCol w:w="1527"/>
        <w:gridCol w:w="1641"/>
      </w:tblGrid>
      <w:tr w:rsidR="00931CEC" w:rsidRPr="001029FD" w14:paraId="41BCF846" w14:textId="77777777" w:rsidTr="008607F1">
        <w:tc>
          <w:tcPr>
            <w:tcW w:w="68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3B68E9" w14:textId="45271A4C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Ref.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346F44" w14:textId="152BF90B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 xml:space="preserve">Number of participants 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9D4C2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Regimen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7F8D2C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GT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57A76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SVR (</w:t>
            </w:r>
            <w:proofErr w:type="spellStart"/>
            <w:r w:rsidRPr="001029FD">
              <w:rPr>
                <w:rFonts w:ascii="Book Antiqua" w:hAnsi="Book Antiqua" w:cstheme="minorHAnsi"/>
                <w:b/>
                <w:bCs/>
              </w:rPr>
              <w:t>mITT</w:t>
            </w:r>
            <w:proofErr w:type="spellEnd"/>
            <w:r w:rsidRPr="001029FD">
              <w:rPr>
                <w:rFonts w:ascii="Book Antiqua" w:hAnsi="Book Antiqua" w:cstheme="minorHAnsi"/>
                <w:b/>
                <w:bCs/>
              </w:rPr>
              <w:t xml:space="preserve"> analysis) </w:t>
            </w:r>
            <w:r w:rsidRPr="001029FD">
              <w:rPr>
                <w:rFonts w:ascii="Book Antiqua" w:hAnsi="Book Antiqua" w:cstheme="minorHAnsi"/>
                <w:b/>
                <w:bCs/>
                <w:i/>
                <w:iCs/>
              </w:rPr>
              <w:t>n</w:t>
            </w:r>
            <w:r w:rsidRPr="001029FD">
              <w:rPr>
                <w:rFonts w:ascii="Book Antiqua" w:hAnsi="Book Antiqua" w:cstheme="minorHAnsi"/>
                <w:b/>
                <w:bCs/>
              </w:rPr>
              <w:t>/</w:t>
            </w:r>
            <w:r w:rsidRPr="001029FD">
              <w:rPr>
                <w:rFonts w:ascii="Book Antiqua" w:hAnsi="Book Antiqua" w:cstheme="minorHAnsi"/>
                <w:b/>
                <w:bCs/>
                <w:i/>
                <w:iCs/>
              </w:rPr>
              <w:t>N</w:t>
            </w:r>
            <w:r w:rsidRPr="001029FD">
              <w:rPr>
                <w:rFonts w:ascii="Book Antiqua" w:hAnsi="Book Antiqua" w:cstheme="minorHAnsi"/>
                <w:b/>
                <w:bCs/>
              </w:rPr>
              <w:t xml:space="preserve"> (%)</w:t>
            </w:r>
          </w:p>
        </w:tc>
      </w:tr>
      <w:tr w:rsidR="00931CEC" w:rsidRPr="001029FD" w14:paraId="00F8FE4A" w14:textId="77777777" w:rsidTr="008607F1">
        <w:tc>
          <w:tcPr>
            <w:tcW w:w="681" w:type="pct"/>
            <w:vMerge/>
            <w:tcBorders>
              <w:top w:val="single" w:sz="4" w:space="0" w:color="auto"/>
              <w:bottom w:val="nil"/>
            </w:tcBorders>
          </w:tcPr>
          <w:p w14:paraId="098D6C9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bottom w:val="nil"/>
            </w:tcBorders>
          </w:tcPr>
          <w:p w14:paraId="118B0066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bottom w:val="nil"/>
            </w:tcBorders>
          </w:tcPr>
          <w:p w14:paraId="1C9AF6F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</w:tcBorders>
          </w:tcPr>
          <w:p w14:paraId="000208A7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29FBE" w14:textId="5D507175" w:rsidR="00931CEC" w:rsidRPr="001029FD" w:rsidRDefault="00C14EC0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 xml:space="preserve">Patients without </w:t>
            </w:r>
            <w:r w:rsidR="00931CEC" w:rsidRPr="001029FD">
              <w:rPr>
                <w:rFonts w:ascii="Book Antiqua" w:hAnsi="Book Antiqua" w:cstheme="minorHAnsi"/>
                <w:b/>
                <w:bCs/>
              </w:rPr>
              <w:t>cirrho</w:t>
            </w:r>
            <w:r w:rsidRPr="001029FD">
              <w:rPr>
                <w:rFonts w:ascii="Book Antiqua" w:hAnsi="Book Antiqua" w:cstheme="minorHAnsi"/>
                <w:b/>
                <w:bCs/>
              </w:rPr>
              <w:t>s</w:t>
            </w:r>
            <w:r w:rsidR="00931CEC" w:rsidRPr="001029FD">
              <w:rPr>
                <w:rFonts w:ascii="Book Antiqua" w:hAnsi="Book Antiqua" w:cstheme="minorHAnsi"/>
                <w:b/>
                <w:bCs/>
              </w:rPr>
              <w:t>is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873B42" w14:textId="5F075897" w:rsidR="00931CEC" w:rsidRPr="001029FD" w:rsidRDefault="00C14EC0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Patients with c</w:t>
            </w:r>
            <w:r w:rsidR="00931CEC" w:rsidRPr="001029FD">
              <w:rPr>
                <w:rFonts w:ascii="Book Antiqua" w:hAnsi="Book Antiqua" w:cstheme="minorHAnsi"/>
                <w:b/>
                <w:bCs/>
              </w:rPr>
              <w:t>irrho</w:t>
            </w:r>
            <w:r w:rsidRPr="001029FD">
              <w:rPr>
                <w:rFonts w:ascii="Book Antiqua" w:hAnsi="Book Antiqua" w:cstheme="minorHAnsi"/>
                <w:b/>
                <w:bCs/>
              </w:rPr>
              <w:t>s</w:t>
            </w:r>
            <w:r w:rsidR="00931CEC" w:rsidRPr="001029FD">
              <w:rPr>
                <w:rFonts w:ascii="Book Antiqua" w:hAnsi="Book Antiqua" w:cstheme="minorHAnsi"/>
                <w:b/>
                <w:bCs/>
              </w:rPr>
              <w:t>is</w:t>
            </w:r>
          </w:p>
        </w:tc>
      </w:tr>
      <w:tr w:rsidR="00931CEC" w:rsidRPr="001029FD" w14:paraId="3B6FC328" w14:textId="77777777" w:rsidTr="008607F1">
        <w:tc>
          <w:tcPr>
            <w:tcW w:w="681" w:type="pct"/>
            <w:vMerge/>
            <w:tcBorders>
              <w:top w:val="nil"/>
              <w:bottom w:val="single" w:sz="4" w:space="0" w:color="auto"/>
            </w:tcBorders>
          </w:tcPr>
          <w:p w14:paraId="6B400FE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626" w:type="pct"/>
            <w:vMerge/>
            <w:tcBorders>
              <w:top w:val="nil"/>
              <w:bottom w:val="single" w:sz="4" w:space="0" w:color="auto"/>
            </w:tcBorders>
          </w:tcPr>
          <w:p w14:paraId="13AF2BE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954" w:type="pct"/>
            <w:vMerge/>
            <w:tcBorders>
              <w:top w:val="nil"/>
              <w:bottom w:val="single" w:sz="4" w:space="0" w:color="auto"/>
            </w:tcBorders>
          </w:tcPr>
          <w:p w14:paraId="4232E14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</w:tcPr>
          <w:p w14:paraId="34FA384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7E4D54C0" w14:textId="37DE843B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Treatment-</w:t>
            </w:r>
            <w:r w:rsidR="00C14EC0" w:rsidRPr="001029FD">
              <w:rPr>
                <w:rFonts w:ascii="Book Antiqua" w:hAnsi="Book Antiqua" w:cstheme="minorHAnsi"/>
                <w:b/>
                <w:bCs/>
              </w:rPr>
              <w:t>naïve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77B957F6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Treatment-experienced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1C706F22" w14:textId="6E838A12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Treatment-</w:t>
            </w:r>
            <w:r w:rsidR="00C14EC0" w:rsidRPr="001029FD">
              <w:rPr>
                <w:rFonts w:ascii="Book Antiqua" w:hAnsi="Book Antiqua" w:cstheme="minorHAnsi"/>
                <w:b/>
                <w:bCs/>
              </w:rPr>
              <w:t>naïve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14:paraId="20641B1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Treatment-experienced</w:t>
            </w:r>
          </w:p>
        </w:tc>
      </w:tr>
      <w:tr w:rsidR="00931CEC" w:rsidRPr="001029FD" w14:paraId="1E716221" w14:textId="77777777" w:rsidTr="008607F1">
        <w:tc>
          <w:tcPr>
            <w:tcW w:w="681" w:type="pct"/>
            <w:vMerge w:val="restart"/>
            <w:tcBorders>
              <w:top w:val="single" w:sz="4" w:space="0" w:color="auto"/>
              <w:bottom w:val="nil"/>
            </w:tcBorders>
          </w:tcPr>
          <w:p w14:paraId="640BCB9A" w14:textId="2BA6AA8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Afdhal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A753D1" w:rsidRPr="001029FD">
              <w:rPr>
                <w:rFonts w:ascii="Book Antiqua" w:hAnsi="Book Antiqua"/>
                <w:vertAlign w:val="superscript"/>
              </w:rPr>
              <w:t>[40]</w:t>
            </w:r>
            <w:r w:rsidRPr="001029FD">
              <w:rPr>
                <w:rFonts w:ascii="Book Antiqua" w:hAnsi="Book Antiqua" w:cstheme="minorHAnsi"/>
              </w:rPr>
              <w:t xml:space="preserve"> (ION-1)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bottom w:val="nil"/>
            </w:tcBorders>
          </w:tcPr>
          <w:p w14:paraId="338EB55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865</w:t>
            </w:r>
          </w:p>
        </w:tc>
        <w:tc>
          <w:tcPr>
            <w:tcW w:w="954" w:type="pct"/>
            <w:tcBorders>
              <w:top w:val="single" w:sz="4" w:space="0" w:color="auto"/>
              <w:bottom w:val="nil"/>
            </w:tcBorders>
          </w:tcPr>
          <w:p w14:paraId="04CF1DF4" w14:textId="01780FE5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LDV/SOF,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=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214)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bottom w:val="nil"/>
            </w:tcBorders>
          </w:tcPr>
          <w:p w14:paraId="18BCC33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1C9A5AA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179/179 (100)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</w:tcPr>
          <w:p w14:paraId="689425DC" w14:textId="50D2F9EF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  <w:tcBorders>
              <w:top w:val="single" w:sz="4" w:space="0" w:color="auto"/>
            </w:tcBorders>
          </w:tcPr>
          <w:p w14:paraId="167D526C" w14:textId="21BE374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32/33 (97</w:t>
            </w:r>
            <w:r w:rsidR="00C14EC0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</w:tcBorders>
          </w:tcPr>
          <w:p w14:paraId="60CFC97B" w14:textId="48CB2C8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931CEC" w:rsidRPr="001029FD" w14:paraId="25DA45B7" w14:textId="77777777" w:rsidTr="008607F1">
        <w:tc>
          <w:tcPr>
            <w:tcW w:w="681" w:type="pct"/>
            <w:vMerge/>
            <w:tcBorders>
              <w:top w:val="nil"/>
            </w:tcBorders>
          </w:tcPr>
          <w:p w14:paraId="7ECE5BC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26" w:type="pct"/>
            <w:vMerge/>
            <w:tcBorders>
              <w:top w:val="nil"/>
            </w:tcBorders>
          </w:tcPr>
          <w:p w14:paraId="4DA4190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954" w:type="pct"/>
            <w:tcBorders>
              <w:top w:val="nil"/>
            </w:tcBorders>
          </w:tcPr>
          <w:p w14:paraId="2B6096FB" w14:textId="7348F459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LDV/SOF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 xml:space="preserve">RBV,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217)</w:t>
            </w:r>
          </w:p>
        </w:tc>
        <w:tc>
          <w:tcPr>
            <w:tcW w:w="294" w:type="pct"/>
            <w:vMerge/>
            <w:tcBorders>
              <w:top w:val="nil"/>
              <w:bottom w:val="nil"/>
            </w:tcBorders>
          </w:tcPr>
          <w:p w14:paraId="338CDD92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3E1D015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178/178 (100)</w:t>
            </w:r>
          </w:p>
        </w:tc>
        <w:tc>
          <w:tcPr>
            <w:tcW w:w="634" w:type="pct"/>
            <w:vMerge/>
          </w:tcPr>
          <w:p w14:paraId="79C8E4C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2AFEA54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33/33 (100)</w:t>
            </w:r>
          </w:p>
        </w:tc>
        <w:tc>
          <w:tcPr>
            <w:tcW w:w="633" w:type="pct"/>
            <w:vMerge/>
          </w:tcPr>
          <w:p w14:paraId="0616702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931CEC" w:rsidRPr="001029FD" w14:paraId="134AB86E" w14:textId="77777777" w:rsidTr="008607F1">
        <w:tc>
          <w:tcPr>
            <w:tcW w:w="681" w:type="pct"/>
            <w:vMerge/>
          </w:tcPr>
          <w:p w14:paraId="41B14F6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26" w:type="pct"/>
            <w:vMerge/>
          </w:tcPr>
          <w:p w14:paraId="4A3F042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954" w:type="pct"/>
          </w:tcPr>
          <w:p w14:paraId="6E8FCDD8" w14:textId="4EFCC86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LDV/SOF, 24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>,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217)</w:t>
            </w:r>
          </w:p>
        </w:tc>
        <w:tc>
          <w:tcPr>
            <w:tcW w:w="294" w:type="pct"/>
            <w:vMerge/>
            <w:tcBorders>
              <w:top w:val="nil"/>
              <w:bottom w:val="nil"/>
            </w:tcBorders>
          </w:tcPr>
          <w:p w14:paraId="1DD8CAB6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20E5698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181/182 (99.5)</w:t>
            </w:r>
          </w:p>
        </w:tc>
        <w:tc>
          <w:tcPr>
            <w:tcW w:w="634" w:type="pct"/>
            <w:vMerge/>
          </w:tcPr>
          <w:p w14:paraId="1C0E4FD7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6C199EE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31/32 (96.9)</w:t>
            </w:r>
          </w:p>
        </w:tc>
        <w:tc>
          <w:tcPr>
            <w:tcW w:w="633" w:type="pct"/>
            <w:vMerge/>
          </w:tcPr>
          <w:p w14:paraId="2DF10B4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931CEC" w:rsidRPr="001029FD" w14:paraId="0439A557" w14:textId="77777777" w:rsidTr="008607F1">
        <w:tc>
          <w:tcPr>
            <w:tcW w:w="681" w:type="pct"/>
            <w:vMerge/>
          </w:tcPr>
          <w:p w14:paraId="3491FD5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26" w:type="pct"/>
            <w:vMerge/>
          </w:tcPr>
          <w:p w14:paraId="5FB016D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954" w:type="pct"/>
          </w:tcPr>
          <w:p w14:paraId="01683C93" w14:textId="6EA65A69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LDV/SOF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 xml:space="preserve">RBV, 24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217)</w:t>
            </w:r>
          </w:p>
        </w:tc>
        <w:tc>
          <w:tcPr>
            <w:tcW w:w="294" w:type="pct"/>
            <w:vMerge/>
            <w:tcBorders>
              <w:top w:val="nil"/>
              <w:bottom w:val="nil"/>
            </w:tcBorders>
          </w:tcPr>
          <w:p w14:paraId="16E8956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73B8DE52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179/179 (100)</w:t>
            </w:r>
          </w:p>
        </w:tc>
        <w:tc>
          <w:tcPr>
            <w:tcW w:w="634" w:type="pct"/>
            <w:vMerge/>
          </w:tcPr>
          <w:p w14:paraId="1635DAD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2B18A972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36/36 (100)</w:t>
            </w:r>
          </w:p>
        </w:tc>
        <w:tc>
          <w:tcPr>
            <w:tcW w:w="633" w:type="pct"/>
            <w:vMerge/>
          </w:tcPr>
          <w:p w14:paraId="6C29374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931CEC" w:rsidRPr="001029FD" w14:paraId="598BE270" w14:textId="77777777" w:rsidTr="008607F1">
        <w:tc>
          <w:tcPr>
            <w:tcW w:w="681" w:type="pct"/>
            <w:vMerge w:val="restart"/>
          </w:tcPr>
          <w:p w14:paraId="3E074A45" w14:textId="6A7528AF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Afdhal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A753D1" w:rsidRPr="001029FD">
              <w:rPr>
                <w:rFonts w:ascii="Book Antiqua" w:hAnsi="Book Antiqua"/>
                <w:vertAlign w:val="superscript"/>
              </w:rPr>
              <w:t>[41]</w:t>
            </w:r>
            <w:r w:rsidRPr="001029FD">
              <w:rPr>
                <w:rFonts w:ascii="Book Antiqua" w:hAnsi="Book Antiqua" w:cstheme="minorHAnsi"/>
              </w:rPr>
              <w:t xml:space="preserve"> (ION-2)</w:t>
            </w:r>
          </w:p>
        </w:tc>
        <w:tc>
          <w:tcPr>
            <w:tcW w:w="626" w:type="pct"/>
            <w:vMerge w:val="restart"/>
          </w:tcPr>
          <w:p w14:paraId="38B914D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440</w:t>
            </w:r>
          </w:p>
        </w:tc>
        <w:tc>
          <w:tcPr>
            <w:tcW w:w="954" w:type="pct"/>
          </w:tcPr>
          <w:p w14:paraId="2F61DC98" w14:textId="1FC7D96A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LDV/SOF,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109)</w:t>
            </w:r>
          </w:p>
        </w:tc>
        <w:tc>
          <w:tcPr>
            <w:tcW w:w="294" w:type="pct"/>
            <w:vMerge w:val="restart"/>
            <w:tcBorders>
              <w:top w:val="nil"/>
            </w:tcBorders>
          </w:tcPr>
          <w:p w14:paraId="58586E3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</w:t>
            </w:r>
          </w:p>
        </w:tc>
        <w:tc>
          <w:tcPr>
            <w:tcW w:w="589" w:type="pct"/>
            <w:vMerge w:val="restart"/>
          </w:tcPr>
          <w:p w14:paraId="5387FF67" w14:textId="3578F830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4" w:type="pct"/>
          </w:tcPr>
          <w:p w14:paraId="235DF5B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83/87 (95.4)</w:t>
            </w:r>
          </w:p>
        </w:tc>
        <w:tc>
          <w:tcPr>
            <w:tcW w:w="589" w:type="pct"/>
            <w:vMerge w:val="restart"/>
          </w:tcPr>
          <w:p w14:paraId="66A7A15A" w14:textId="7CD6108B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</w:tcPr>
          <w:p w14:paraId="47E5E4E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19/22 (86.4)</w:t>
            </w:r>
          </w:p>
        </w:tc>
      </w:tr>
      <w:tr w:rsidR="00931CEC" w:rsidRPr="001029FD" w14:paraId="1092C275" w14:textId="77777777" w:rsidTr="00362D81">
        <w:tc>
          <w:tcPr>
            <w:tcW w:w="681" w:type="pct"/>
            <w:vMerge/>
          </w:tcPr>
          <w:p w14:paraId="667ABF12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26" w:type="pct"/>
            <w:vMerge/>
          </w:tcPr>
          <w:p w14:paraId="0E011452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954" w:type="pct"/>
          </w:tcPr>
          <w:p w14:paraId="5A754E27" w14:textId="763741F3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LDV/SOF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 xml:space="preserve">RBV,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111)</w:t>
            </w:r>
          </w:p>
        </w:tc>
        <w:tc>
          <w:tcPr>
            <w:tcW w:w="294" w:type="pct"/>
            <w:vMerge/>
          </w:tcPr>
          <w:p w14:paraId="6144092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  <w:vMerge/>
          </w:tcPr>
          <w:p w14:paraId="0A1F2476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4" w:type="pct"/>
          </w:tcPr>
          <w:p w14:paraId="67C684C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89/89 (100)</w:t>
            </w:r>
          </w:p>
        </w:tc>
        <w:tc>
          <w:tcPr>
            <w:tcW w:w="589" w:type="pct"/>
            <w:vMerge/>
          </w:tcPr>
          <w:p w14:paraId="45E1A6A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</w:tcPr>
          <w:p w14:paraId="7CC444D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18/22 (81.8)</w:t>
            </w:r>
          </w:p>
        </w:tc>
      </w:tr>
      <w:tr w:rsidR="00931CEC" w:rsidRPr="001029FD" w14:paraId="52D49BF9" w14:textId="77777777" w:rsidTr="00362D81">
        <w:tc>
          <w:tcPr>
            <w:tcW w:w="681" w:type="pct"/>
            <w:vMerge/>
          </w:tcPr>
          <w:p w14:paraId="693AB2D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26" w:type="pct"/>
            <w:vMerge/>
          </w:tcPr>
          <w:p w14:paraId="0BEB754A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954" w:type="pct"/>
          </w:tcPr>
          <w:p w14:paraId="62FF5E8A" w14:textId="01B1B0E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LDV/SOF, 24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>,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109)</w:t>
            </w:r>
          </w:p>
        </w:tc>
        <w:tc>
          <w:tcPr>
            <w:tcW w:w="294" w:type="pct"/>
            <w:vMerge/>
          </w:tcPr>
          <w:p w14:paraId="79DAB8FC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  <w:vMerge/>
          </w:tcPr>
          <w:p w14:paraId="56F7881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4" w:type="pct"/>
          </w:tcPr>
          <w:p w14:paraId="712DC86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86/87 (98.9)</w:t>
            </w:r>
          </w:p>
        </w:tc>
        <w:tc>
          <w:tcPr>
            <w:tcW w:w="589" w:type="pct"/>
            <w:vMerge/>
          </w:tcPr>
          <w:p w14:paraId="046D172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</w:tcPr>
          <w:p w14:paraId="681D9B1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22/22 (100)</w:t>
            </w:r>
          </w:p>
        </w:tc>
      </w:tr>
      <w:tr w:rsidR="00931CEC" w:rsidRPr="001029FD" w14:paraId="7D9F0D51" w14:textId="77777777" w:rsidTr="00362D81">
        <w:tc>
          <w:tcPr>
            <w:tcW w:w="681" w:type="pct"/>
            <w:vMerge/>
          </w:tcPr>
          <w:p w14:paraId="417083A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26" w:type="pct"/>
            <w:vMerge/>
          </w:tcPr>
          <w:p w14:paraId="1476D87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954" w:type="pct"/>
          </w:tcPr>
          <w:p w14:paraId="2E59FA75" w14:textId="0F058391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LDV/SOF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 xml:space="preserve">RBV, 24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111)</w:t>
            </w:r>
          </w:p>
        </w:tc>
        <w:tc>
          <w:tcPr>
            <w:tcW w:w="294" w:type="pct"/>
            <w:vMerge/>
          </w:tcPr>
          <w:p w14:paraId="4CEA361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  <w:vMerge/>
          </w:tcPr>
          <w:p w14:paraId="502902AA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4" w:type="pct"/>
          </w:tcPr>
          <w:p w14:paraId="5058217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88/89 (98.9)</w:t>
            </w:r>
          </w:p>
        </w:tc>
        <w:tc>
          <w:tcPr>
            <w:tcW w:w="589" w:type="pct"/>
            <w:vMerge/>
          </w:tcPr>
          <w:p w14:paraId="600835F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</w:tcPr>
          <w:p w14:paraId="360BCC0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22/22 (100)</w:t>
            </w:r>
          </w:p>
        </w:tc>
      </w:tr>
      <w:tr w:rsidR="00931CEC" w:rsidRPr="001029FD" w14:paraId="6DFD50D5" w14:textId="77777777" w:rsidTr="00362D81">
        <w:tc>
          <w:tcPr>
            <w:tcW w:w="681" w:type="pct"/>
            <w:vMerge w:val="restart"/>
          </w:tcPr>
          <w:p w14:paraId="71B629DA" w14:textId="21CFF4C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Kowdley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A753D1" w:rsidRPr="001029FD">
              <w:rPr>
                <w:rFonts w:ascii="Book Antiqua" w:hAnsi="Book Antiqua"/>
                <w:vertAlign w:val="superscript"/>
              </w:rPr>
              <w:t>[42]</w:t>
            </w:r>
            <w:r w:rsidRPr="001029FD">
              <w:rPr>
                <w:rFonts w:ascii="Book Antiqua" w:hAnsi="Book Antiqua" w:cstheme="minorHAnsi"/>
              </w:rPr>
              <w:t xml:space="preserve"> (ION-3)</w:t>
            </w:r>
          </w:p>
        </w:tc>
        <w:tc>
          <w:tcPr>
            <w:tcW w:w="626" w:type="pct"/>
            <w:vMerge w:val="restart"/>
          </w:tcPr>
          <w:p w14:paraId="7470951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647</w:t>
            </w:r>
          </w:p>
        </w:tc>
        <w:tc>
          <w:tcPr>
            <w:tcW w:w="954" w:type="pct"/>
          </w:tcPr>
          <w:p w14:paraId="1E158295" w14:textId="774DC8F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LDV/SOF, 8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215)</w:t>
            </w:r>
          </w:p>
        </w:tc>
        <w:tc>
          <w:tcPr>
            <w:tcW w:w="294" w:type="pct"/>
            <w:vMerge w:val="restart"/>
          </w:tcPr>
          <w:p w14:paraId="3A3F4A26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</w:t>
            </w:r>
          </w:p>
        </w:tc>
        <w:tc>
          <w:tcPr>
            <w:tcW w:w="589" w:type="pct"/>
          </w:tcPr>
          <w:p w14:paraId="290C5A3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202/214 (94.4)</w:t>
            </w:r>
          </w:p>
        </w:tc>
        <w:tc>
          <w:tcPr>
            <w:tcW w:w="634" w:type="pct"/>
            <w:vMerge w:val="restart"/>
          </w:tcPr>
          <w:p w14:paraId="59EEA61B" w14:textId="0CE4FE94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  <w:vMerge w:val="restart"/>
          </w:tcPr>
          <w:p w14:paraId="336752BE" w14:textId="48073C85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  <w:vMerge w:val="restart"/>
          </w:tcPr>
          <w:p w14:paraId="1DDE234F" w14:textId="58A9A2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931CEC" w:rsidRPr="001029FD" w14:paraId="06AA7BF0" w14:textId="77777777" w:rsidTr="00362D81">
        <w:tc>
          <w:tcPr>
            <w:tcW w:w="681" w:type="pct"/>
            <w:vMerge/>
          </w:tcPr>
          <w:p w14:paraId="2A12F1F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26" w:type="pct"/>
            <w:vMerge/>
          </w:tcPr>
          <w:p w14:paraId="33DA656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954" w:type="pct"/>
          </w:tcPr>
          <w:p w14:paraId="5C7203BA" w14:textId="3074527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LDV/SOF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 xml:space="preserve">RBV, 8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216)</w:t>
            </w:r>
          </w:p>
        </w:tc>
        <w:tc>
          <w:tcPr>
            <w:tcW w:w="294" w:type="pct"/>
            <w:vMerge/>
          </w:tcPr>
          <w:p w14:paraId="1D05DD7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050D475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201/211 (95.3)</w:t>
            </w:r>
          </w:p>
        </w:tc>
        <w:tc>
          <w:tcPr>
            <w:tcW w:w="634" w:type="pct"/>
            <w:vMerge/>
          </w:tcPr>
          <w:p w14:paraId="6975AD4A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  <w:vMerge/>
          </w:tcPr>
          <w:p w14:paraId="6285D8E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  <w:vMerge/>
          </w:tcPr>
          <w:p w14:paraId="43E015A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931CEC" w:rsidRPr="001029FD" w14:paraId="6A82617E" w14:textId="77777777" w:rsidTr="00362D81">
        <w:tc>
          <w:tcPr>
            <w:tcW w:w="681" w:type="pct"/>
            <w:vMerge/>
          </w:tcPr>
          <w:p w14:paraId="55614D6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26" w:type="pct"/>
            <w:vMerge/>
          </w:tcPr>
          <w:p w14:paraId="10E235A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954" w:type="pct"/>
          </w:tcPr>
          <w:p w14:paraId="51309F48" w14:textId="2DD7CF62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LDV/SOF,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216)</w:t>
            </w:r>
          </w:p>
        </w:tc>
        <w:tc>
          <w:tcPr>
            <w:tcW w:w="294" w:type="pct"/>
            <w:vMerge/>
          </w:tcPr>
          <w:p w14:paraId="515B6AA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3B17EFF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206/209 (98.6)</w:t>
            </w:r>
          </w:p>
        </w:tc>
        <w:tc>
          <w:tcPr>
            <w:tcW w:w="634" w:type="pct"/>
            <w:vMerge/>
          </w:tcPr>
          <w:p w14:paraId="205DF2BC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  <w:vMerge/>
          </w:tcPr>
          <w:p w14:paraId="4F35D08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  <w:vMerge/>
          </w:tcPr>
          <w:p w14:paraId="5E8D36F6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931CEC" w:rsidRPr="001029FD" w14:paraId="5DA2E1C9" w14:textId="77777777" w:rsidTr="00362D81">
        <w:tc>
          <w:tcPr>
            <w:tcW w:w="681" w:type="pct"/>
          </w:tcPr>
          <w:p w14:paraId="6FB86A8E" w14:textId="54EA31C2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Feld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A753D1" w:rsidRPr="001029FD">
              <w:rPr>
                <w:rFonts w:ascii="Book Antiqua" w:hAnsi="Book Antiqua"/>
                <w:vertAlign w:val="superscript"/>
              </w:rPr>
              <w:t>[45]</w:t>
            </w:r>
            <w:r w:rsidRPr="001029FD">
              <w:rPr>
                <w:rFonts w:ascii="Book Antiqua" w:hAnsi="Book Antiqua" w:cstheme="minorHAnsi"/>
              </w:rPr>
              <w:t xml:space="preserve"> (SAPPHIRE-I)</w:t>
            </w:r>
          </w:p>
        </w:tc>
        <w:tc>
          <w:tcPr>
            <w:tcW w:w="626" w:type="pct"/>
          </w:tcPr>
          <w:p w14:paraId="10DCAEE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473</w:t>
            </w:r>
          </w:p>
        </w:tc>
        <w:tc>
          <w:tcPr>
            <w:tcW w:w="954" w:type="pct"/>
          </w:tcPr>
          <w:p w14:paraId="7D2E2A7B" w14:textId="66156D41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OBV/PTV/r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 DSV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 xml:space="preserve">RBV,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294" w:type="pct"/>
          </w:tcPr>
          <w:p w14:paraId="6F209FBA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</w:t>
            </w:r>
          </w:p>
        </w:tc>
        <w:tc>
          <w:tcPr>
            <w:tcW w:w="589" w:type="pct"/>
          </w:tcPr>
          <w:p w14:paraId="519C83C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455/473 (96.2)</w:t>
            </w:r>
          </w:p>
        </w:tc>
        <w:tc>
          <w:tcPr>
            <w:tcW w:w="634" w:type="pct"/>
          </w:tcPr>
          <w:p w14:paraId="7C774D37" w14:textId="0024371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07DA297A" w14:textId="3DBC6966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</w:tcPr>
          <w:p w14:paraId="5775CF69" w14:textId="7ECA9B80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931CEC" w:rsidRPr="001029FD" w14:paraId="6D47C361" w14:textId="77777777" w:rsidTr="00362D81">
        <w:tc>
          <w:tcPr>
            <w:tcW w:w="681" w:type="pct"/>
          </w:tcPr>
          <w:p w14:paraId="7E15508A" w14:textId="13674DF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Zeuzem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A753D1" w:rsidRPr="001029FD">
              <w:rPr>
                <w:rFonts w:ascii="Book Antiqua" w:hAnsi="Book Antiqua"/>
                <w:vertAlign w:val="superscript"/>
              </w:rPr>
              <w:t>[46]</w:t>
            </w:r>
            <w:r w:rsidRPr="001029FD">
              <w:rPr>
                <w:rFonts w:ascii="Book Antiqua" w:hAnsi="Book Antiqua" w:cstheme="minorHAnsi"/>
              </w:rPr>
              <w:t xml:space="preserve"> (SAPPHIRE-II)</w:t>
            </w:r>
          </w:p>
        </w:tc>
        <w:tc>
          <w:tcPr>
            <w:tcW w:w="626" w:type="pct"/>
          </w:tcPr>
          <w:p w14:paraId="12BFBBA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297</w:t>
            </w:r>
          </w:p>
        </w:tc>
        <w:tc>
          <w:tcPr>
            <w:tcW w:w="954" w:type="pct"/>
          </w:tcPr>
          <w:p w14:paraId="608E3FA5" w14:textId="255B629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OBV/PTV/r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 DSV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5019BA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 xml:space="preserve">RBV,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294" w:type="pct"/>
          </w:tcPr>
          <w:p w14:paraId="4C2C783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</w:t>
            </w:r>
          </w:p>
        </w:tc>
        <w:tc>
          <w:tcPr>
            <w:tcW w:w="589" w:type="pct"/>
          </w:tcPr>
          <w:p w14:paraId="610C45DF" w14:textId="08630AD6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4" w:type="pct"/>
          </w:tcPr>
          <w:p w14:paraId="2EE153D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286/297 (96.3)</w:t>
            </w:r>
          </w:p>
        </w:tc>
        <w:tc>
          <w:tcPr>
            <w:tcW w:w="589" w:type="pct"/>
          </w:tcPr>
          <w:p w14:paraId="1559C15D" w14:textId="5AA3692B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</w:tcPr>
          <w:p w14:paraId="2F5BBBFE" w14:textId="4A066C08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C14EC0" w:rsidRPr="001029FD" w14:paraId="0AB3BF1F" w14:textId="77777777" w:rsidTr="00362D81">
        <w:tc>
          <w:tcPr>
            <w:tcW w:w="681" w:type="pct"/>
          </w:tcPr>
          <w:p w14:paraId="4F014D82" w14:textId="114D5890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Ferenci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Pr="001029FD">
              <w:rPr>
                <w:rFonts w:ascii="Book Antiqua" w:hAnsi="Book Antiqua"/>
                <w:vertAlign w:val="superscript"/>
              </w:rPr>
              <w:t>[47]</w:t>
            </w:r>
            <w:r w:rsidRPr="001029FD">
              <w:rPr>
                <w:rFonts w:ascii="Book Antiqua" w:hAnsi="Book Antiqua" w:cstheme="minorHAnsi"/>
              </w:rPr>
              <w:t xml:space="preserve"> (PEARL-III)</w:t>
            </w:r>
          </w:p>
        </w:tc>
        <w:tc>
          <w:tcPr>
            <w:tcW w:w="626" w:type="pct"/>
          </w:tcPr>
          <w:p w14:paraId="00075A95" w14:textId="5F4B4764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419</w:t>
            </w:r>
          </w:p>
        </w:tc>
        <w:tc>
          <w:tcPr>
            <w:tcW w:w="954" w:type="pct"/>
          </w:tcPr>
          <w:p w14:paraId="352ABE40" w14:textId="65FEBCED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OBV/PTV/r + DSV + RBV, 12 </w:t>
            </w:r>
            <w:proofErr w:type="spellStart"/>
            <w:r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Pr="001029FD">
              <w:rPr>
                <w:rFonts w:ascii="Book Antiqua" w:hAnsi="Book Antiqua" w:cstheme="minorHAnsi"/>
              </w:rPr>
              <w:t xml:space="preserve"> = 210)</w:t>
            </w:r>
          </w:p>
        </w:tc>
        <w:tc>
          <w:tcPr>
            <w:tcW w:w="294" w:type="pct"/>
          </w:tcPr>
          <w:p w14:paraId="43D178F7" w14:textId="70E1BB58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1b</w:t>
            </w:r>
          </w:p>
        </w:tc>
        <w:tc>
          <w:tcPr>
            <w:tcW w:w="589" w:type="pct"/>
          </w:tcPr>
          <w:p w14:paraId="561A696E" w14:textId="16B9A732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209/210 (99.5)</w:t>
            </w:r>
          </w:p>
        </w:tc>
        <w:tc>
          <w:tcPr>
            <w:tcW w:w="634" w:type="pct"/>
          </w:tcPr>
          <w:p w14:paraId="4E4B88A9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42C6A438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</w:tcPr>
          <w:p w14:paraId="5996D69A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C14EC0" w:rsidRPr="001029FD" w14:paraId="5A535127" w14:textId="77777777" w:rsidTr="00362D81">
        <w:tc>
          <w:tcPr>
            <w:tcW w:w="681" w:type="pct"/>
          </w:tcPr>
          <w:p w14:paraId="421396F7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26" w:type="pct"/>
          </w:tcPr>
          <w:p w14:paraId="04935CD9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954" w:type="pct"/>
          </w:tcPr>
          <w:p w14:paraId="245D9F84" w14:textId="495D260D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OBV/PTV/r + DSV + placebo, 12 </w:t>
            </w:r>
            <w:proofErr w:type="spellStart"/>
            <w:r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Pr="001029FD">
              <w:rPr>
                <w:rFonts w:ascii="Book Antiqua" w:hAnsi="Book Antiqua" w:cstheme="minorHAnsi"/>
              </w:rPr>
              <w:t xml:space="preserve"> = 209)</w:t>
            </w:r>
          </w:p>
        </w:tc>
        <w:tc>
          <w:tcPr>
            <w:tcW w:w="294" w:type="pct"/>
          </w:tcPr>
          <w:p w14:paraId="36BD44A6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15FF68E7" w14:textId="1589953F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207/207 (100)</w:t>
            </w:r>
          </w:p>
        </w:tc>
        <w:tc>
          <w:tcPr>
            <w:tcW w:w="634" w:type="pct"/>
          </w:tcPr>
          <w:p w14:paraId="02681C2C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6F0D6493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</w:tcPr>
          <w:p w14:paraId="6FD85C21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C14EC0" w:rsidRPr="001029FD" w14:paraId="73B61739" w14:textId="77777777" w:rsidTr="00362D81">
        <w:tc>
          <w:tcPr>
            <w:tcW w:w="681" w:type="pct"/>
          </w:tcPr>
          <w:p w14:paraId="1451771C" w14:textId="2BA5C99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lastRenderedPageBreak/>
              <w:t>Ferenci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Pr="001029FD">
              <w:rPr>
                <w:rFonts w:ascii="Book Antiqua" w:hAnsi="Book Antiqua"/>
                <w:vertAlign w:val="superscript"/>
              </w:rPr>
              <w:t>[47]</w:t>
            </w:r>
            <w:r w:rsidRPr="001029FD">
              <w:rPr>
                <w:rFonts w:ascii="Book Antiqua" w:hAnsi="Book Antiqua" w:cstheme="minorHAnsi"/>
              </w:rPr>
              <w:t xml:space="preserve"> (PEARL-IV)</w:t>
            </w:r>
          </w:p>
        </w:tc>
        <w:tc>
          <w:tcPr>
            <w:tcW w:w="626" w:type="pct"/>
          </w:tcPr>
          <w:p w14:paraId="14531A5B" w14:textId="12335E48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305</w:t>
            </w:r>
          </w:p>
        </w:tc>
        <w:tc>
          <w:tcPr>
            <w:tcW w:w="954" w:type="pct"/>
          </w:tcPr>
          <w:p w14:paraId="5326DCD7" w14:textId="57B49B04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OBV/PTV/r + DSV + RBV, 12 </w:t>
            </w:r>
            <w:proofErr w:type="spellStart"/>
            <w:r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Pr="001029FD">
              <w:rPr>
                <w:rFonts w:ascii="Book Antiqua" w:hAnsi="Book Antiqua" w:cstheme="minorHAnsi"/>
              </w:rPr>
              <w:t xml:space="preserve"> = 100)</w:t>
            </w:r>
          </w:p>
        </w:tc>
        <w:tc>
          <w:tcPr>
            <w:tcW w:w="294" w:type="pct"/>
          </w:tcPr>
          <w:p w14:paraId="14F2FE66" w14:textId="46ABBE65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1a</w:t>
            </w:r>
          </w:p>
        </w:tc>
        <w:tc>
          <w:tcPr>
            <w:tcW w:w="589" w:type="pct"/>
          </w:tcPr>
          <w:p w14:paraId="49163DCF" w14:textId="50A3F3F8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97/99 (98.0)</w:t>
            </w:r>
          </w:p>
        </w:tc>
        <w:tc>
          <w:tcPr>
            <w:tcW w:w="634" w:type="pct"/>
          </w:tcPr>
          <w:p w14:paraId="754E1539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4F91228B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</w:tcPr>
          <w:p w14:paraId="0DE70BA3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C14EC0" w:rsidRPr="001029FD" w14:paraId="050932C8" w14:textId="77777777" w:rsidTr="00362D81">
        <w:tc>
          <w:tcPr>
            <w:tcW w:w="681" w:type="pct"/>
          </w:tcPr>
          <w:p w14:paraId="659D186D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26" w:type="pct"/>
          </w:tcPr>
          <w:p w14:paraId="56BF046F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954" w:type="pct"/>
          </w:tcPr>
          <w:p w14:paraId="7919F34F" w14:textId="4CEDE0C5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OBV/PTV/r + DSV + placebo, 12 </w:t>
            </w:r>
            <w:proofErr w:type="spellStart"/>
            <w:r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Pr="001029FD">
              <w:rPr>
                <w:rFonts w:ascii="Book Antiqua" w:hAnsi="Book Antiqua" w:cstheme="minorHAnsi"/>
              </w:rPr>
              <w:t xml:space="preserve"> = 205)</w:t>
            </w:r>
          </w:p>
        </w:tc>
        <w:tc>
          <w:tcPr>
            <w:tcW w:w="294" w:type="pct"/>
          </w:tcPr>
          <w:p w14:paraId="7398077F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2A647F43" w14:textId="5CD4D5A8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185/204 (90.7)</w:t>
            </w:r>
          </w:p>
        </w:tc>
        <w:tc>
          <w:tcPr>
            <w:tcW w:w="634" w:type="pct"/>
          </w:tcPr>
          <w:p w14:paraId="6C72E502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0EC87C5C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</w:tcPr>
          <w:p w14:paraId="3C578800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C14EC0" w:rsidRPr="001029FD" w14:paraId="34914519" w14:textId="77777777" w:rsidTr="00362D81">
        <w:tc>
          <w:tcPr>
            <w:tcW w:w="681" w:type="pct"/>
          </w:tcPr>
          <w:p w14:paraId="534743F6" w14:textId="441496F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Welzel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Pr="001029FD">
              <w:rPr>
                <w:rFonts w:ascii="Book Antiqua" w:hAnsi="Book Antiqua"/>
                <w:vertAlign w:val="superscript"/>
              </w:rPr>
              <w:t>[48]</w:t>
            </w:r>
            <w:r w:rsidRPr="001029FD">
              <w:rPr>
                <w:rFonts w:ascii="Book Antiqua" w:hAnsi="Book Antiqua" w:cstheme="minorHAnsi"/>
              </w:rPr>
              <w:t xml:space="preserve"> (GARNET)</w:t>
            </w:r>
          </w:p>
        </w:tc>
        <w:tc>
          <w:tcPr>
            <w:tcW w:w="626" w:type="pct"/>
          </w:tcPr>
          <w:p w14:paraId="70072129" w14:textId="64F05520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163</w:t>
            </w:r>
          </w:p>
        </w:tc>
        <w:tc>
          <w:tcPr>
            <w:tcW w:w="954" w:type="pct"/>
          </w:tcPr>
          <w:p w14:paraId="5C901834" w14:textId="72FE8CD5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OBV/PTV/r + DSV, 8 </w:t>
            </w:r>
            <w:proofErr w:type="spellStart"/>
            <w:r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294" w:type="pct"/>
          </w:tcPr>
          <w:p w14:paraId="1EFD7BE7" w14:textId="2A6DA9E9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1b</w:t>
            </w:r>
          </w:p>
        </w:tc>
        <w:tc>
          <w:tcPr>
            <w:tcW w:w="589" w:type="pct"/>
          </w:tcPr>
          <w:p w14:paraId="7D870DCD" w14:textId="7610581A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160/162 (99.0)</w:t>
            </w:r>
          </w:p>
        </w:tc>
        <w:tc>
          <w:tcPr>
            <w:tcW w:w="634" w:type="pct"/>
          </w:tcPr>
          <w:p w14:paraId="41297D37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6FB577AD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</w:tcPr>
          <w:p w14:paraId="1FBD19BE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C14EC0" w:rsidRPr="001029FD" w14:paraId="32E699B6" w14:textId="77777777" w:rsidTr="00362D81">
        <w:tc>
          <w:tcPr>
            <w:tcW w:w="681" w:type="pct"/>
          </w:tcPr>
          <w:p w14:paraId="77177425" w14:textId="53A396C2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Asselah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Pr="001029FD">
              <w:rPr>
                <w:rFonts w:ascii="Book Antiqua" w:hAnsi="Book Antiqua"/>
                <w:vertAlign w:val="superscript"/>
              </w:rPr>
              <w:t>[49]</w:t>
            </w:r>
            <w:r w:rsidRPr="001029FD">
              <w:rPr>
                <w:rFonts w:ascii="Book Antiqua" w:hAnsi="Book Antiqua" w:cstheme="minorHAnsi"/>
              </w:rPr>
              <w:t xml:space="preserve"> (AGATE-I)</w:t>
            </w:r>
          </w:p>
        </w:tc>
        <w:tc>
          <w:tcPr>
            <w:tcW w:w="626" w:type="pct"/>
          </w:tcPr>
          <w:p w14:paraId="59CFA740" w14:textId="45DB80CB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120</w:t>
            </w:r>
          </w:p>
        </w:tc>
        <w:tc>
          <w:tcPr>
            <w:tcW w:w="954" w:type="pct"/>
          </w:tcPr>
          <w:p w14:paraId="0E502D2D" w14:textId="10E8D04E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OBV/PTV/r + RBV, 12 </w:t>
            </w:r>
            <w:proofErr w:type="spellStart"/>
            <w:r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Pr="001029FD">
              <w:rPr>
                <w:rFonts w:ascii="Book Antiqua" w:hAnsi="Book Antiqua" w:cstheme="minorHAnsi"/>
              </w:rPr>
              <w:t xml:space="preserve"> = 59)</w:t>
            </w:r>
          </w:p>
        </w:tc>
        <w:tc>
          <w:tcPr>
            <w:tcW w:w="294" w:type="pct"/>
          </w:tcPr>
          <w:p w14:paraId="34E1D28B" w14:textId="291F532E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4</w:t>
            </w:r>
          </w:p>
        </w:tc>
        <w:tc>
          <w:tcPr>
            <w:tcW w:w="589" w:type="pct"/>
          </w:tcPr>
          <w:p w14:paraId="5656E501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4" w:type="pct"/>
          </w:tcPr>
          <w:p w14:paraId="5E9C2E47" w14:textId="24F7E504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28A84E9C" w14:textId="13BE4D92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57/58 (98.0)</w:t>
            </w:r>
          </w:p>
        </w:tc>
        <w:tc>
          <w:tcPr>
            <w:tcW w:w="633" w:type="pct"/>
          </w:tcPr>
          <w:p w14:paraId="5BDC70F7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C14EC0" w:rsidRPr="001029FD" w14:paraId="159919CA" w14:textId="77777777" w:rsidTr="00362D81">
        <w:tc>
          <w:tcPr>
            <w:tcW w:w="681" w:type="pct"/>
          </w:tcPr>
          <w:p w14:paraId="10DFA99A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26" w:type="pct"/>
          </w:tcPr>
          <w:p w14:paraId="6F7A26F3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954" w:type="pct"/>
          </w:tcPr>
          <w:p w14:paraId="3C352659" w14:textId="2D7F0D43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OBV/PTV/r + RBV, 16 </w:t>
            </w:r>
            <w:proofErr w:type="spellStart"/>
            <w:r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Pr="001029FD">
              <w:rPr>
                <w:rFonts w:ascii="Book Antiqua" w:hAnsi="Book Antiqua" w:cstheme="minorHAnsi"/>
              </w:rPr>
              <w:t xml:space="preserve"> = 61)</w:t>
            </w:r>
          </w:p>
        </w:tc>
        <w:tc>
          <w:tcPr>
            <w:tcW w:w="294" w:type="pct"/>
          </w:tcPr>
          <w:p w14:paraId="5E0CF7BA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32887AC8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4" w:type="pct"/>
          </w:tcPr>
          <w:p w14:paraId="38DB06D3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45A1A106" w14:textId="7E2C83A0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60/60 (100)</w:t>
            </w:r>
          </w:p>
        </w:tc>
        <w:tc>
          <w:tcPr>
            <w:tcW w:w="633" w:type="pct"/>
          </w:tcPr>
          <w:p w14:paraId="64AB2AE2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C14EC0" w:rsidRPr="001029FD" w14:paraId="6B44CA97" w14:textId="77777777" w:rsidTr="00362D81">
        <w:tc>
          <w:tcPr>
            <w:tcW w:w="681" w:type="pct"/>
          </w:tcPr>
          <w:p w14:paraId="369D8A51" w14:textId="491CE383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Asselah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Pr="001029FD">
              <w:rPr>
                <w:rFonts w:ascii="Book Antiqua" w:hAnsi="Book Antiqua"/>
                <w:vertAlign w:val="superscript"/>
              </w:rPr>
              <w:t>[50]</w:t>
            </w:r>
            <w:r w:rsidRPr="001029FD">
              <w:rPr>
                <w:rFonts w:ascii="Book Antiqua" w:hAnsi="Book Antiqua" w:cstheme="minorHAnsi"/>
              </w:rPr>
              <w:t xml:space="preserve"> (AGATE-I Part II)</w:t>
            </w:r>
          </w:p>
        </w:tc>
        <w:tc>
          <w:tcPr>
            <w:tcW w:w="626" w:type="pct"/>
          </w:tcPr>
          <w:p w14:paraId="54D00650" w14:textId="7450FEB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64</w:t>
            </w:r>
          </w:p>
        </w:tc>
        <w:tc>
          <w:tcPr>
            <w:tcW w:w="954" w:type="pct"/>
          </w:tcPr>
          <w:p w14:paraId="4B8F1071" w14:textId="6248A26C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OBV/PTV/r + RBV, 24 </w:t>
            </w:r>
            <w:proofErr w:type="spellStart"/>
            <w:r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294" w:type="pct"/>
          </w:tcPr>
          <w:p w14:paraId="4A768FAC" w14:textId="178BF176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4</w:t>
            </w:r>
          </w:p>
        </w:tc>
        <w:tc>
          <w:tcPr>
            <w:tcW w:w="589" w:type="pct"/>
          </w:tcPr>
          <w:p w14:paraId="4172A468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4" w:type="pct"/>
          </w:tcPr>
          <w:p w14:paraId="661A0B56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1031CF1E" w14:textId="6EBB08BE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60/60 (100)</w:t>
            </w:r>
          </w:p>
        </w:tc>
        <w:tc>
          <w:tcPr>
            <w:tcW w:w="633" w:type="pct"/>
          </w:tcPr>
          <w:p w14:paraId="61E36273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C14EC0" w:rsidRPr="001029FD" w14:paraId="22F02FAD" w14:textId="77777777" w:rsidTr="00362D81">
        <w:tc>
          <w:tcPr>
            <w:tcW w:w="681" w:type="pct"/>
          </w:tcPr>
          <w:p w14:paraId="6768E4BB" w14:textId="7361C381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Waked </w:t>
            </w:r>
            <w:r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Pr="001029FD">
              <w:rPr>
                <w:rFonts w:ascii="Book Antiqua" w:hAnsi="Book Antiqua"/>
                <w:vertAlign w:val="superscript"/>
              </w:rPr>
              <w:t>[51]</w:t>
            </w:r>
            <w:r w:rsidRPr="001029FD">
              <w:rPr>
                <w:rFonts w:ascii="Book Antiqua" w:hAnsi="Book Antiqua" w:cstheme="minorHAnsi"/>
              </w:rPr>
              <w:t xml:space="preserve"> (AGATE-II)</w:t>
            </w:r>
          </w:p>
        </w:tc>
        <w:tc>
          <w:tcPr>
            <w:tcW w:w="626" w:type="pct"/>
          </w:tcPr>
          <w:p w14:paraId="3E1BC0D0" w14:textId="08962CE5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160</w:t>
            </w:r>
          </w:p>
        </w:tc>
        <w:tc>
          <w:tcPr>
            <w:tcW w:w="954" w:type="pct"/>
          </w:tcPr>
          <w:p w14:paraId="49C0AE19" w14:textId="0444F894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OBV/PTV/r + RBV, 12 </w:t>
            </w:r>
            <w:proofErr w:type="spellStart"/>
            <w:r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Pr="001029FD">
              <w:rPr>
                <w:rFonts w:ascii="Book Antiqua" w:hAnsi="Book Antiqua" w:cstheme="minorHAnsi"/>
              </w:rPr>
              <w:t xml:space="preserve"> = 131)</w:t>
            </w:r>
          </w:p>
        </w:tc>
        <w:tc>
          <w:tcPr>
            <w:tcW w:w="294" w:type="pct"/>
          </w:tcPr>
          <w:p w14:paraId="7FE3DA4E" w14:textId="6500FFC2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4</w:t>
            </w:r>
          </w:p>
        </w:tc>
        <w:tc>
          <w:tcPr>
            <w:tcW w:w="589" w:type="pct"/>
          </w:tcPr>
          <w:p w14:paraId="633AF1BF" w14:textId="4656AD92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94/98 (96.0)</w:t>
            </w:r>
          </w:p>
        </w:tc>
        <w:tc>
          <w:tcPr>
            <w:tcW w:w="634" w:type="pct"/>
          </w:tcPr>
          <w:p w14:paraId="67591FB3" w14:textId="3399A293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30/31 (97.0)</w:t>
            </w:r>
          </w:p>
        </w:tc>
        <w:tc>
          <w:tcPr>
            <w:tcW w:w="589" w:type="pct"/>
          </w:tcPr>
          <w:p w14:paraId="612204C5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3" w:type="pct"/>
          </w:tcPr>
          <w:p w14:paraId="711DE53C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C14EC0" w:rsidRPr="001029FD" w14:paraId="4F557151" w14:textId="77777777" w:rsidTr="00362D81">
        <w:tc>
          <w:tcPr>
            <w:tcW w:w="681" w:type="pct"/>
          </w:tcPr>
          <w:p w14:paraId="1D174F14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26" w:type="pct"/>
          </w:tcPr>
          <w:p w14:paraId="22417AA6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954" w:type="pct"/>
          </w:tcPr>
          <w:p w14:paraId="450AF79D" w14:textId="1BE922EB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OBV/PTV/r + RBV, 24 </w:t>
            </w:r>
            <w:proofErr w:type="spellStart"/>
            <w:r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Pr="001029FD">
              <w:rPr>
                <w:rFonts w:ascii="Book Antiqua" w:hAnsi="Book Antiqua" w:cstheme="minorHAnsi"/>
              </w:rPr>
              <w:t xml:space="preserve"> = 29)</w:t>
            </w:r>
          </w:p>
        </w:tc>
        <w:tc>
          <w:tcPr>
            <w:tcW w:w="294" w:type="pct"/>
          </w:tcPr>
          <w:p w14:paraId="50CA1C8C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74B610E1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4" w:type="pct"/>
          </w:tcPr>
          <w:p w14:paraId="07B288C5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673598F3" w14:textId="4C0F020B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27/28 (96.0)</w:t>
            </w:r>
          </w:p>
        </w:tc>
        <w:tc>
          <w:tcPr>
            <w:tcW w:w="633" w:type="pct"/>
          </w:tcPr>
          <w:p w14:paraId="0E3982A3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C14EC0" w:rsidRPr="001029FD" w14:paraId="702CC80B" w14:textId="77777777" w:rsidTr="00362D81">
        <w:tc>
          <w:tcPr>
            <w:tcW w:w="681" w:type="pct"/>
          </w:tcPr>
          <w:p w14:paraId="3B022016" w14:textId="2D16DA56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lastRenderedPageBreak/>
              <w:t>Zeuzem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Pr="001029FD">
              <w:rPr>
                <w:rFonts w:ascii="Book Antiqua" w:hAnsi="Book Antiqua"/>
                <w:vertAlign w:val="superscript"/>
              </w:rPr>
              <w:t>[58]</w:t>
            </w:r>
            <w:r w:rsidRPr="001029FD">
              <w:rPr>
                <w:rFonts w:ascii="Book Antiqua" w:hAnsi="Book Antiqua" w:cstheme="minorHAnsi"/>
              </w:rPr>
              <w:t xml:space="preserve"> (C-EDGE treatment naïve)</w:t>
            </w:r>
          </w:p>
        </w:tc>
        <w:tc>
          <w:tcPr>
            <w:tcW w:w="626" w:type="pct"/>
          </w:tcPr>
          <w:p w14:paraId="5B95BE7D" w14:textId="7601561A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421</w:t>
            </w:r>
          </w:p>
        </w:tc>
        <w:tc>
          <w:tcPr>
            <w:tcW w:w="954" w:type="pct"/>
          </w:tcPr>
          <w:p w14:paraId="1AB9A631" w14:textId="2C510A1A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GZR/EBR ± RBV, 12 </w:t>
            </w:r>
            <w:proofErr w:type="spellStart"/>
            <w:r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294" w:type="pct"/>
          </w:tcPr>
          <w:p w14:paraId="5F29650A" w14:textId="3BFD409E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1, 4, 6</w:t>
            </w:r>
          </w:p>
        </w:tc>
        <w:tc>
          <w:tcPr>
            <w:tcW w:w="589" w:type="pct"/>
          </w:tcPr>
          <w:p w14:paraId="52161629" w14:textId="75A0EB16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68/70 (97.0)</w:t>
            </w:r>
            <w:r w:rsidRPr="001029FD">
              <w:rPr>
                <w:rFonts w:ascii="Book Antiqua" w:hAnsi="Book Antiqua" w:cstheme="minorHAnsi"/>
                <w:vertAlign w:val="superscript"/>
              </w:rPr>
              <w:t>1</w:t>
            </w:r>
          </w:p>
        </w:tc>
        <w:tc>
          <w:tcPr>
            <w:tcW w:w="634" w:type="pct"/>
          </w:tcPr>
          <w:p w14:paraId="345D0174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589" w:type="pct"/>
          </w:tcPr>
          <w:p w14:paraId="6F0DA1D2" w14:textId="47CFED79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231/246 (94.0)</w:t>
            </w:r>
            <w:r w:rsidRPr="001029FD">
              <w:rPr>
                <w:rFonts w:ascii="Book Antiqua" w:hAnsi="Book Antiqua" w:cstheme="minorHAnsi"/>
                <w:vertAlign w:val="superscript"/>
              </w:rPr>
              <w:t>1</w:t>
            </w:r>
          </w:p>
        </w:tc>
        <w:tc>
          <w:tcPr>
            <w:tcW w:w="633" w:type="pct"/>
          </w:tcPr>
          <w:p w14:paraId="7905D798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C14EC0" w:rsidRPr="001029FD" w14:paraId="4864FEE3" w14:textId="77777777" w:rsidTr="00362D81">
        <w:tc>
          <w:tcPr>
            <w:tcW w:w="681" w:type="pct"/>
          </w:tcPr>
          <w:p w14:paraId="235CD889" w14:textId="65931850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Kwo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Pr="001029FD">
              <w:rPr>
                <w:rFonts w:ascii="Book Antiqua" w:hAnsi="Book Antiqua"/>
                <w:vertAlign w:val="superscript"/>
              </w:rPr>
              <w:t>[59]</w:t>
            </w:r>
            <w:r w:rsidRPr="001029FD">
              <w:rPr>
                <w:rFonts w:ascii="Book Antiqua" w:hAnsi="Book Antiqua" w:cstheme="minorHAnsi"/>
              </w:rPr>
              <w:t xml:space="preserve"> (C-EDGE treatment-experienced)</w:t>
            </w:r>
          </w:p>
        </w:tc>
        <w:tc>
          <w:tcPr>
            <w:tcW w:w="626" w:type="pct"/>
          </w:tcPr>
          <w:p w14:paraId="3BEBBEA3" w14:textId="5718AAB3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420</w:t>
            </w:r>
          </w:p>
        </w:tc>
        <w:tc>
          <w:tcPr>
            <w:tcW w:w="954" w:type="pct"/>
          </w:tcPr>
          <w:p w14:paraId="5DFD35E6" w14:textId="6859759C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GZR/EBR ± RBV, 12 or 16 </w:t>
            </w:r>
            <w:proofErr w:type="spellStart"/>
            <w:r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294" w:type="pct"/>
          </w:tcPr>
          <w:p w14:paraId="5609ABB8" w14:textId="4B01C0AE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1, 4, 6</w:t>
            </w:r>
          </w:p>
        </w:tc>
        <w:tc>
          <w:tcPr>
            <w:tcW w:w="589" w:type="pct"/>
          </w:tcPr>
          <w:p w14:paraId="4C0D92A7" w14:textId="7777777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634" w:type="pct"/>
          </w:tcPr>
          <w:p w14:paraId="3FBFDE38" w14:textId="1D49B957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255/264 (96.6)</w:t>
            </w:r>
          </w:p>
        </w:tc>
        <w:tc>
          <w:tcPr>
            <w:tcW w:w="589" w:type="pct"/>
          </w:tcPr>
          <w:p w14:paraId="3EBCE41C" w14:textId="30580830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633" w:type="pct"/>
          </w:tcPr>
          <w:p w14:paraId="6F87D0DF" w14:textId="3C3EDB26" w:rsidR="00C14EC0" w:rsidRPr="001029FD" w:rsidRDefault="00C14EC0" w:rsidP="00C14EC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135/144 (93.8)</w:t>
            </w:r>
          </w:p>
        </w:tc>
      </w:tr>
    </w:tbl>
    <w:p w14:paraId="3E6A8E1E" w14:textId="2FB1C42E" w:rsidR="00931CEC" w:rsidRPr="001029FD" w:rsidRDefault="005019BA" w:rsidP="006F73C0">
      <w:pPr>
        <w:spacing w:line="360" w:lineRule="auto"/>
        <w:jc w:val="both"/>
        <w:rPr>
          <w:rFonts w:ascii="Book Antiqua" w:hAnsi="Book Antiqua" w:cstheme="minorHAnsi"/>
          <w:color w:val="000000" w:themeColor="text1"/>
          <w:shd w:val="clear" w:color="auto" w:fill="FFFFFF"/>
        </w:rPr>
      </w:pPr>
      <w:r w:rsidRPr="001029FD">
        <w:rPr>
          <w:rFonts w:ascii="Book Antiqua" w:hAnsi="Book Antiqua" w:cstheme="minorHAnsi"/>
          <w:color w:val="000000" w:themeColor="text1"/>
          <w:shd w:val="clear" w:color="auto" w:fill="FFFFFF"/>
          <w:vertAlign w:val="superscript"/>
        </w:rPr>
        <w:t>1</w:t>
      </w:r>
      <w:r w:rsidRPr="001029FD">
        <w:t>I</w:t>
      </w:r>
      <w:r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ntent-to-treat</w:t>
      </w:r>
      <w:r w:rsidR="00931CEC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 analysis (no data for </w:t>
      </w:r>
      <w:r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modified intent-to-treat </w:t>
      </w:r>
      <w:r w:rsidR="00931CEC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analysis)</w:t>
      </w:r>
      <w:r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.</w:t>
      </w:r>
      <w:r w:rsidR="00C14EC0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 </w:t>
      </w:r>
      <w:r w:rsidR="00083491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DSV: Dasabuvir; EBR: Elbasvir; GT: Genotype; GZR: Grazoprevir; </w:t>
      </w:r>
      <w:r w:rsidR="000D317D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LDV: Ledipasvir; </w:t>
      </w:r>
      <w:proofErr w:type="spellStart"/>
      <w:r w:rsidR="00083491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mITT</w:t>
      </w:r>
      <w:proofErr w:type="spellEnd"/>
      <w:r w:rsidR="00083491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: Modified intention-to-treat; OBV: </w:t>
      </w:r>
      <w:proofErr w:type="spellStart"/>
      <w:r w:rsidR="00083491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Ombitasvir</w:t>
      </w:r>
      <w:proofErr w:type="spellEnd"/>
      <w:r w:rsidR="00083491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; PTV/r: </w:t>
      </w:r>
      <w:proofErr w:type="spellStart"/>
      <w:r w:rsidR="00083491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Paritaprevir</w:t>
      </w:r>
      <w:proofErr w:type="spellEnd"/>
      <w:r w:rsidR="00083491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; </w:t>
      </w:r>
      <w:r w:rsidR="00931CEC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RBV</w:t>
      </w:r>
      <w:r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:</w:t>
      </w:r>
      <w:r w:rsidR="00931CEC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 </w:t>
      </w:r>
      <w:r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R</w:t>
      </w:r>
      <w:r w:rsidR="00931CEC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ibavirin; </w:t>
      </w:r>
      <w:r w:rsidR="00083491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SOF: Sofosbuvir; </w:t>
      </w:r>
      <w:r w:rsidR="00931CEC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SVR</w:t>
      </w:r>
      <w:r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:</w:t>
      </w:r>
      <w:r w:rsidR="00931CEC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 xml:space="preserve"> </w:t>
      </w:r>
      <w:r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S</w:t>
      </w:r>
      <w:r w:rsidR="00931CEC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ustained virological response.</w:t>
      </w:r>
    </w:p>
    <w:p w14:paraId="3F4B612D" w14:textId="51BFDF84" w:rsidR="003D76D7" w:rsidRPr="001029FD" w:rsidRDefault="003D76D7" w:rsidP="0084785E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color w:val="000000" w:themeColor="text1"/>
          <w:shd w:val="clear" w:color="auto" w:fill="FFFFFF"/>
        </w:rPr>
      </w:pPr>
    </w:p>
    <w:p w14:paraId="06DFF6CB" w14:textId="48EEBDBE" w:rsidR="00931CEC" w:rsidRPr="001029FD" w:rsidRDefault="00931CEC" w:rsidP="0084785E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shd w:val="clear" w:color="auto" w:fill="FFFFFF"/>
        </w:rPr>
      </w:pPr>
      <w:r w:rsidRPr="001029FD">
        <w:rPr>
          <w:rFonts w:ascii="Book Antiqua" w:hAnsi="Book Antiqua" w:cstheme="minorHAnsi"/>
          <w:b/>
          <w:bCs/>
          <w:color w:val="000000" w:themeColor="text1"/>
          <w:shd w:val="clear" w:color="auto" w:fill="FFFFFF"/>
        </w:rPr>
        <w:t xml:space="preserve">Table 2 Efficacy of </w:t>
      </w:r>
      <w:proofErr w:type="spellStart"/>
      <w:r w:rsidRPr="001029FD">
        <w:rPr>
          <w:rFonts w:ascii="Book Antiqua" w:hAnsi="Book Antiqua" w:cstheme="minorHAnsi"/>
          <w:b/>
          <w:bCs/>
          <w:color w:val="000000" w:themeColor="text1"/>
          <w:shd w:val="clear" w:color="auto" w:fill="FFFFFF"/>
        </w:rPr>
        <w:t>pangenotypic</w:t>
      </w:r>
      <w:proofErr w:type="spellEnd"/>
      <w:r w:rsidRPr="001029FD">
        <w:rPr>
          <w:rFonts w:ascii="Book Antiqua" w:hAnsi="Book Antiqua" w:cstheme="minorHAnsi"/>
          <w:b/>
          <w:bCs/>
          <w:color w:val="000000" w:themeColor="text1"/>
          <w:shd w:val="clear" w:color="auto" w:fill="FFFFFF"/>
        </w:rPr>
        <w:t xml:space="preserve"> regimens in phase III of clinical trials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653"/>
        <w:gridCol w:w="2166"/>
        <w:gridCol w:w="674"/>
        <w:gridCol w:w="1492"/>
        <w:gridCol w:w="1673"/>
        <w:gridCol w:w="1492"/>
        <w:gridCol w:w="1661"/>
      </w:tblGrid>
      <w:tr w:rsidR="00B85160" w:rsidRPr="001029FD" w14:paraId="29F9A210" w14:textId="77777777" w:rsidTr="008848A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90B7295" w14:textId="671F26F0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Ref</w:t>
            </w:r>
            <w:r w:rsidR="00B85160" w:rsidRPr="001029FD">
              <w:rPr>
                <w:rFonts w:ascii="Book Antiqua" w:hAnsi="Book Antiqua" w:cstheme="minorHAnsi"/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3797BF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Number of participants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C5372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Regimen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E1B8EC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GT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8002D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SVR (</w:t>
            </w:r>
            <w:proofErr w:type="spellStart"/>
            <w:r w:rsidRPr="001029FD">
              <w:rPr>
                <w:rFonts w:ascii="Book Antiqua" w:hAnsi="Book Antiqua" w:cstheme="minorHAnsi"/>
                <w:b/>
                <w:bCs/>
              </w:rPr>
              <w:t>mITT</w:t>
            </w:r>
            <w:proofErr w:type="spellEnd"/>
            <w:r w:rsidRPr="001029FD">
              <w:rPr>
                <w:rFonts w:ascii="Book Antiqua" w:hAnsi="Book Antiqua" w:cstheme="minorHAnsi"/>
                <w:b/>
                <w:bCs/>
              </w:rPr>
              <w:t xml:space="preserve"> analysis) </w:t>
            </w:r>
            <w:r w:rsidRPr="001029FD">
              <w:rPr>
                <w:rFonts w:ascii="Book Antiqua" w:hAnsi="Book Antiqua" w:cstheme="minorHAnsi"/>
                <w:b/>
                <w:bCs/>
                <w:i/>
                <w:iCs/>
              </w:rPr>
              <w:t>n</w:t>
            </w:r>
            <w:r w:rsidRPr="001029FD">
              <w:rPr>
                <w:rFonts w:ascii="Book Antiqua" w:hAnsi="Book Antiqua" w:cstheme="minorHAnsi"/>
                <w:b/>
                <w:bCs/>
              </w:rPr>
              <w:t>/</w:t>
            </w:r>
            <w:r w:rsidRPr="001029FD">
              <w:rPr>
                <w:rFonts w:ascii="Book Antiqua" w:hAnsi="Book Antiqua" w:cstheme="minorHAnsi"/>
                <w:b/>
                <w:bCs/>
                <w:i/>
                <w:iCs/>
              </w:rPr>
              <w:t>N</w:t>
            </w:r>
            <w:r w:rsidRPr="001029FD">
              <w:rPr>
                <w:rFonts w:ascii="Book Antiqua" w:hAnsi="Book Antiqua" w:cstheme="minorHAnsi"/>
                <w:b/>
                <w:bCs/>
              </w:rPr>
              <w:t xml:space="preserve"> (%)</w:t>
            </w:r>
          </w:p>
        </w:tc>
      </w:tr>
      <w:tr w:rsidR="00B85160" w:rsidRPr="001029FD" w14:paraId="3522FE3E" w14:textId="77777777" w:rsidTr="008848A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CAFCE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541F0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3625FC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5BE60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36358" w14:textId="552A5F16" w:rsidR="00931CEC" w:rsidRPr="001029FD" w:rsidRDefault="003D76D7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 xml:space="preserve">Patients without </w:t>
            </w:r>
            <w:r w:rsidR="00931CEC" w:rsidRPr="001029FD">
              <w:rPr>
                <w:rFonts w:ascii="Book Antiqua" w:hAnsi="Book Antiqua" w:cstheme="minorHAnsi"/>
                <w:b/>
                <w:bCs/>
              </w:rPr>
              <w:t>cirrho</w:t>
            </w:r>
            <w:r w:rsidRPr="001029FD">
              <w:rPr>
                <w:rFonts w:ascii="Book Antiqua" w:hAnsi="Book Antiqua" w:cstheme="minorHAnsi"/>
                <w:b/>
                <w:bCs/>
              </w:rPr>
              <w:t>s</w:t>
            </w:r>
            <w:r w:rsidR="00931CEC" w:rsidRPr="001029FD">
              <w:rPr>
                <w:rFonts w:ascii="Book Antiqua" w:hAnsi="Book Antiqua" w:cstheme="minorHAnsi"/>
                <w:b/>
                <w:bCs/>
              </w:rPr>
              <w:t>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6FC89" w14:textId="2C7B0381" w:rsidR="00931CEC" w:rsidRPr="001029FD" w:rsidRDefault="003D76D7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Patients with c</w:t>
            </w:r>
            <w:r w:rsidR="00931CEC" w:rsidRPr="001029FD">
              <w:rPr>
                <w:rFonts w:ascii="Book Antiqua" w:hAnsi="Book Antiqua" w:cstheme="minorHAnsi"/>
                <w:b/>
                <w:bCs/>
              </w:rPr>
              <w:t>irrho</w:t>
            </w:r>
            <w:r w:rsidRPr="001029FD">
              <w:rPr>
                <w:rFonts w:ascii="Book Antiqua" w:hAnsi="Book Antiqua" w:cstheme="minorHAnsi"/>
                <w:b/>
                <w:bCs/>
              </w:rPr>
              <w:t>s</w:t>
            </w:r>
            <w:r w:rsidR="00931CEC" w:rsidRPr="001029FD">
              <w:rPr>
                <w:rFonts w:ascii="Book Antiqua" w:hAnsi="Book Antiqua" w:cstheme="minorHAnsi"/>
                <w:b/>
                <w:bCs/>
              </w:rPr>
              <w:t>is</w:t>
            </w:r>
          </w:p>
        </w:tc>
      </w:tr>
      <w:tr w:rsidR="00B85160" w:rsidRPr="001029FD" w14:paraId="1C904B64" w14:textId="77777777" w:rsidTr="008848A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806EA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211C16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3F4CAA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6CD2F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E683A9" w14:textId="06424675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Treatment-</w:t>
            </w:r>
            <w:r w:rsidR="003D76D7" w:rsidRPr="001029FD">
              <w:rPr>
                <w:rFonts w:ascii="Book Antiqua" w:hAnsi="Book Antiqua" w:cstheme="minorHAnsi"/>
                <w:b/>
                <w:bCs/>
              </w:rPr>
              <w:t>naïve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559EC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Treatment-experienced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B8C421" w14:textId="37959AC5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Treatment-</w:t>
            </w:r>
            <w:r w:rsidR="003D76D7" w:rsidRPr="001029FD">
              <w:rPr>
                <w:rFonts w:ascii="Book Antiqua" w:hAnsi="Book Antiqua" w:cstheme="minorHAnsi"/>
                <w:b/>
                <w:bCs/>
              </w:rPr>
              <w:t>naïve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491AA6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1029FD">
              <w:rPr>
                <w:rFonts w:ascii="Book Antiqua" w:hAnsi="Book Antiqua" w:cstheme="minorHAnsi"/>
                <w:b/>
                <w:bCs/>
              </w:rPr>
              <w:t>Treatment-experienced</w:t>
            </w:r>
          </w:p>
        </w:tc>
      </w:tr>
      <w:tr w:rsidR="00B85160" w:rsidRPr="001029FD" w14:paraId="6C602099" w14:textId="77777777" w:rsidTr="008848A9">
        <w:tc>
          <w:tcPr>
            <w:tcW w:w="0" w:type="auto"/>
            <w:tcBorders>
              <w:top w:val="single" w:sz="4" w:space="0" w:color="auto"/>
            </w:tcBorders>
          </w:tcPr>
          <w:p w14:paraId="7CEC0354" w14:textId="015F4E1D" w:rsidR="00931CEC" w:rsidRPr="001029FD" w:rsidRDefault="00931CEC" w:rsidP="003D76D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shd w:val="clear" w:color="auto" w:fill="FFFFFF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Lawitz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[60]</w:t>
            </w:r>
            <w:r w:rsidRPr="001029FD">
              <w:rPr>
                <w:rFonts w:ascii="Book Antiqua" w:hAnsi="Book Antiqua" w:cstheme="minorHAnsi"/>
              </w:rPr>
              <w:t xml:space="preserve"> (FISSION)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48A4E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EA0CDA" w14:textId="438E7E4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RBV, 12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3FBDB1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1-3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11D22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147/204 (72.1)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B83493" w14:textId="38008573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C5E8C3" w14:textId="40445A25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23/49 (46.9)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7F2FF9" w14:textId="070C4CFF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B85160" w:rsidRPr="001029FD" w14:paraId="4677C502" w14:textId="77777777" w:rsidTr="008848A9">
        <w:tc>
          <w:tcPr>
            <w:tcW w:w="0" w:type="auto"/>
            <w:vMerge w:val="restart"/>
          </w:tcPr>
          <w:p w14:paraId="37015D7F" w14:textId="19430C58" w:rsidR="00931CEC" w:rsidRPr="001029FD" w:rsidRDefault="00931CEC" w:rsidP="003D76D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lastRenderedPageBreak/>
              <w:t xml:space="preserve">Jacobson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[61]</w:t>
            </w:r>
            <w:r w:rsidRPr="001029FD">
              <w:rPr>
                <w:rFonts w:ascii="Book Antiqua" w:hAnsi="Book Antiqua" w:cstheme="minorHAnsi"/>
              </w:rPr>
              <w:t xml:space="preserve"> (FUSION)</w:t>
            </w:r>
          </w:p>
        </w:tc>
        <w:tc>
          <w:tcPr>
            <w:tcW w:w="0" w:type="auto"/>
            <w:vMerge w:val="restart"/>
          </w:tcPr>
          <w:p w14:paraId="4A6CB04C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201</w:t>
            </w:r>
          </w:p>
        </w:tc>
        <w:tc>
          <w:tcPr>
            <w:tcW w:w="0" w:type="auto"/>
          </w:tcPr>
          <w:p w14:paraId="076EBB67" w14:textId="75E72D94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RBV, 12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103)</w:t>
            </w:r>
          </w:p>
        </w:tc>
        <w:tc>
          <w:tcPr>
            <w:tcW w:w="0" w:type="auto"/>
          </w:tcPr>
          <w:p w14:paraId="3EB23600" w14:textId="3C3D552D" w:rsidR="00931CEC" w:rsidRPr="001029FD" w:rsidRDefault="00931CEC" w:rsidP="003D76D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</w:t>
            </w:r>
            <w:r w:rsidR="003D76D7" w:rsidRPr="001029FD">
              <w:rPr>
                <w:rFonts w:ascii="Book Antiqua" w:hAnsi="Book Antiqua" w:cstheme="minorHAnsi"/>
              </w:rPr>
              <w:t xml:space="preserve">, </w:t>
            </w:r>
            <w:r w:rsidRPr="001029FD">
              <w:rPr>
                <w:rFonts w:ascii="Book Antiqua" w:hAnsi="Book Antiqua" w:cstheme="minorHAnsi"/>
              </w:rPr>
              <w:t>3</w:t>
            </w:r>
          </w:p>
        </w:tc>
        <w:tc>
          <w:tcPr>
            <w:tcW w:w="0" w:type="auto"/>
            <w:vMerge w:val="restart"/>
          </w:tcPr>
          <w:p w14:paraId="55CE64CE" w14:textId="5A244E52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55F64F74" w14:textId="17F96496" w:rsidR="00931CEC" w:rsidRPr="001029FD" w:rsidRDefault="00931CEC" w:rsidP="003D76D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25/26 (96.2)</w:t>
            </w:r>
            <w:r w:rsidR="003D76D7" w:rsidRPr="001029FD">
              <w:rPr>
                <w:rFonts w:ascii="Book Antiqua" w:hAnsi="Book Antiqua" w:cstheme="minorHAnsi"/>
              </w:rPr>
              <w:t xml:space="preserve">, </w:t>
            </w:r>
            <w:r w:rsidRPr="001029FD">
              <w:rPr>
                <w:rFonts w:ascii="Book Antiqua" w:hAnsi="Book Antiqua" w:cstheme="minorHAnsi"/>
              </w:rPr>
              <w:t>14/38 (36.8)</w:t>
            </w:r>
          </w:p>
        </w:tc>
        <w:tc>
          <w:tcPr>
            <w:tcW w:w="0" w:type="auto"/>
            <w:vMerge w:val="restart"/>
          </w:tcPr>
          <w:p w14:paraId="6552F74B" w14:textId="7DF2794C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232E68D0" w14:textId="55947BAC" w:rsidR="00931CEC" w:rsidRPr="001029FD" w:rsidRDefault="00931CEC" w:rsidP="003D76D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6/10 (60.0)</w:t>
            </w:r>
            <w:r w:rsidR="003D76D7" w:rsidRPr="001029FD">
              <w:rPr>
                <w:rFonts w:ascii="Book Antiqua" w:hAnsi="Book Antiqua" w:cstheme="minorHAnsi"/>
              </w:rPr>
              <w:t xml:space="preserve">, </w:t>
            </w:r>
            <w:r w:rsidRPr="001029FD">
              <w:rPr>
                <w:rFonts w:ascii="Book Antiqua" w:hAnsi="Book Antiqua" w:cstheme="minorHAnsi"/>
              </w:rPr>
              <w:t>5/26 (19.2)</w:t>
            </w:r>
          </w:p>
        </w:tc>
      </w:tr>
      <w:tr w:rsidR="00B85160" w:rsidRPr="001029FD" w14:paraId="30E3C629" w14:textId="77777777" w:rsidTr="008848A9">
        <w:tc>
          <w:tcPr>
            <w:tcW w:w="0" w:type="auto"/>
            <w:vMerge/>
          </w:tcPr>
          <w:p w14:paraId="7BCDC892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209489F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7D7E9FF9" w14:textId="7D6637AC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RBV, 16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98)</w:t>
            </w:r>
          </w:p>
        </w:tc>
        <w:tc>
          <w:tcPr>
            <w:tcW w:w="0" w:type="auto"/>
          </w:tcPr>
          <w:p w14:paraId="19A7E5BB" w14:textId="3C5963A1" w:rsidR="00931CEC" w:rsidRPr="001029FD" w:rsidRDefault="00931CEC" w:rsidP="003D76D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</w:t>
            </w:r>
            <w:r w:rsidR="003D76D7" w:rsidRPr="001029FD">
              <w:rPr>
                <w:rFonts w:ascii="Book Antiqua" w:hAnsi="Book Antiqua" w:cstheme="minorHAnsi"/>
              </w:rPr>
              <w:t xml:space="preserve">, </w:t>
            </w:r>
            <w:r w:rsidRPr="001029FD">
              <w:rPr>
                <w:rFonts w:ascii="Book Antiqua" w:hAnsi="Book Antiqua" w:cstheme="minorHAnsi"/>
              </w:rPr>
              <w:t>3</w:t>
            </w:r>
          </w:p>
        </w:tc>
        <w:tc>
          <w:tcPr>
            <w:tcW w:w="0" w:type="auto"/>
            <w:vMerge/>
          </w:tcPr>
          <w:p w14:paraId="5925064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4488FDA4" w14:textId="4C4FF1C7" w:rsidR="00931CEC" w:rsidRPr="001029FD" w:rsidRDefault="00931CEC" w:rsidP="003D76D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23/23 (100)</w:t>
            </w:r>
            <w:r w:rsidR="003D76D7" w:rsidRPr="001029FD">
              <w:rPr>
                <w:rFonts w:ascii="Book Antiqua" w:hAnsi="Book Antiqua" w:cstheme="minorHAnsi"/>
              </w:rPr>
              <w:t xml:space="preserve">, </w:t>
            </w:r>
            <w:r w:rsidRPr="001029FD">
              <w:rPr>
                <w:rFonts w:ascii="Book Antiqua" w:hAnsi="Book Antiqua" w:cstheme="minorHAnsi"/>
              </w:rPr>
              <w:t>25/40 (62.5)</w:t>
            </w:r>
          </w:p>
        </w:tc>
        <w:tc>
          <w:tcPr>
            <w:tcW w:w="0" w:type="auto"/>
            <w:vMerge/>
          </w:tcPr>
          <w:p w14:paraId="56776327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1FEBB74D" w14:textId="31FB346A" w:rsidR="00931CEC" w:rsidRPr="001029FD" w:rsidRDefault="00931CEC" w:rsidP="003D76D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7/9 (77.8)</w:t>
            </w:r>
            <w:r w:rsidR="003D76D7" w:rsidRPr="001029FD">
              <w:rPr>
                <w:rFonts w:ascii="Book Antiqua" w:hAnsi="Book Antiqua" w:cstheme="minorHAnsi"/>
              </w:rPr>
              <w:t xml:space="preserve">, </w:t>
            </w:r>
            <w:r w:rsidRPr="001029FD">
              <w:rPr>
                <w:rFonts w:ascii="Book Antiqua" w:hAnsi="Book Antiqua" w:cstheme="minorHAnsi"/>
              </w:rPr>
              <w:t>14/23 (60.9)</w:t>
            </w:r>
          </w:p>
        </w:tc>
      </w:tr>
      <w:tr w:rsidR="00B85160" w:rsidRPr="001029FD" w14:paraId="57BF725E" w14:textId="77777777" w:rsidTr="008848A9">
        <w:tc>
          <w:tcPr>
            <w:tcW w:w="0" w:type="auto"/>
            <w:vMerge w:val="restart"/>
          </w:tcPr>
          <w:p w14:paraId="08EFF829" w14:textId="0D16872D" w:rsidR="00931CEC" w:rsidRPr="001029FD" w:rsidRDefault="00931CEC" w:rsidP="003D76D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Jacobson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[61]</w:t>
            </w:r>
            <w:r w:rsidRPr="001029FD">
              <w:rPr>
                <w:rFonts w:ascii="Book Antiqua" w:hAnsi="Book Antiqua" w:cstheme="minorHAnsi"/>
              </w:rPr>
              <w:t xml:space="preserve"> (POSITION)</w:t>
            </w:r>
          </w:p>
        </w:tc>
        <w:tc>
          <w:tcPr>
            <w:tcW w:w="0" w:type="auto"/>
            <w:vMerge w:val="restart"/>
          </w:tcPr>
          <w:p w14:paraId="791002F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207</w:t>
            </w:r>
          </w:p>
        </w:tc>
        <w:tc>
          <w:tcPr>
            <w:tcW w:w="0" w:type="auto"/>
            <w:vMerge w:val="restart"/>
          </w:tcPr>
          <w:p w14:paraId="764E1E1C" w14:textId="2F3266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RBV, 12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</w:tcPr>
          <w:p w14:paraId="2DE5FF5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</w:t>
            </w:r>
          </w:p>
        </w:tc>
        <w:tc>
          <w:tcPr>
            <w:tcW w:w="0" w:type="auto"/>
          </w:tcPr>
          <w:p w14:paraId="6B81D7D0" w14:textId="3DDD876A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6F4148A3" w14:textId="554A91BA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85/92 (92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%)</w:t>
            </w:r>
          </w:p>
        </w:tc>
        <w:tc>
          <w:tcPr>
            <w:tcW w:w="0" w:type="auto"/>
          </w:tcPr>
          <w:p w14:paraId="368C7BA5" w14:textId="1240052B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4670281B" w14:textId="6EF055FB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16/17 (94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%)</w:t>
            </w:r>
          </w:p>
        </w:tc>
      </w:tr>
      <w:tr w:rsidR="00B85160" w:rsidRPr="001029FD" w14:paraId="29DBBD1E" w14:textId="77777777" w:rsidTr="008848A9">
        <w:tc>
          <w:tcPr>
            <w:tcW w:w="0" w:type="auto"/>
            <w:vMerge/>
          </w:tcPr>
          <w:p w14:paraId="669362D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3F434152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122DCC9F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020F9D7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</w:t>
            </w:r>
          </w:p>
        </w:tc>
        <w:tc>
          <w:tcPr>
            <w:tcW w:w="0" w:type="auto"/>
          </w:tcPr>
          <w:p w14:paraId="2C18D6CB" w14:textId="76A0CF5C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4FF4E730" w14:textId="1157E946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57/84 (68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%)</w:t>
            </w:r>
          </w:p>
        </w:tc>
        <w:tc>
          <w:tcPr>
            <w:tcW w:w="0" w:type="auto"/>
          </w:tcPr>
          <w:p w14:paraId="01560B30" w14:textId="3D130921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5CF7CF62" w14:textId="7EF77269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3/14 (21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%)</w:t>
            </w:r>
          </w:p>
        </w:tc>
      </w:tr>
      <w:tr w:rsidR="00B85160" w:rsidRPr="001029FD" w14:paraId="5FF5DAE6" w14:textId="77777777" w:rsidTr="008848A9">
        <w:tc>
          <w:tcPr>
            <w:tcW w:w="0" w:type="auto"/>
            <w:vMerge w:val="restart"/>
          </w:tcPr>
          <w:p w14:paraId="1CFB73D4" w14:textId="73F62C7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Zeuzem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[81]</w:t>
            </w:r>
            <w:r w:rsidRPr="001029FD">
              <w:rPr>
                <w:rFonts w:ascii="Book Antiqua" w:hAnsi="Book Antiqua" w:cstheme="minorHAnsi"/>
              </w:rPr>
              <w:t xml:space="preserve"> (VALENCE)</w:t>
            </w:r>
            <w:r w:rsidR="00AE4E5B" w:rsidRPr="001029FD">
              <w:rPr>
                <w:rFonts w:ascii="Book Antiqua" w:hAnsi="Book Antiqua" w:cstheme="minorHAnsi"/>
                <w:vertAlign w:val="superscript"/>
              </w:rPr>
              <w:t>1</w:t>
            </w:r>
            <w:r w:rsidR="00AE4E5B" w:rsidRPr="001029FD" w:rsidDel="00AE4E5B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75974CFA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323</w:t>
            </w:r>
          </w:p>
        </w:tc>
        <w:tc>
          <w:tcPr>
            <w:tcW w:w="0" w:type="auto"/>
          </w:tcPr>
          <w:p w14:paraId="4870FF2B" w14:textId="5C9440CF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RBV, 12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73)</w:t>
            </w:r>
          </w:p>
        </w:tc>
        <w:tc>
          <w:tcPr>
            <w:tcW w:w="0" w:type="auto"/>
          </w:tcPr>
          <w:p w14:paraId="31F9E12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</w:t>
            </w:r>
          </w:p>
        </w:tc>
        <w:tc>
          <w:tcPr>
            <w:tcW w:w="0" w:type="auto"/>
          </w:tcPr>
          <w:p w14:paraId="5A3E4D8F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29/30 (96.7)</w:t>
            </w:r>
          </w:p>
        </w:tc>
        <w:tc>
          <w:tcPr>
            <w:tcW w:w="0" w:type="auto"/>
          </w:tcPr>
          <w:p w14:paraId="233244FC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30/32 (93.8)</w:t>
            </w:r>
          </w:p>
        </w:tc>
        <w:tc>
          <w:tcPr>
            <w:tcW w:w="0" w:type="auto"/>
          </w:tcPr>
          <w:p w14:paraId="5A8D4FD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2/2 (100)</w:t>
            </w:r>
          </w:p>
        </w:tc>
        <w:tc>
          <w:tcPr>
            <w:tcW w:w="0" w:type="auto"/>
          </w:tcPr>
          <w:p w14:paraId="7A3BB759" w14:textId="4615A135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7/9 (77.8)</w:t>
            </w:r>
          </w:p>
        </w:tc>
      </w:tr>
      <w:tr w:rsidR="00B85160" w:rsidRPr="001029FD" w14:paraId="2884D400" w14:textId="77777777" w:rsidTr="008848A9">
        <w:tc>
          <w:tcPr>
            <w:tcW w:w="0" w:type="auto"/>
            <w:vMerge/>
          </w:tcPr>
          <w:p w14:paraId="75DB9646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0420EAC7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7DDB849E" w14:textId="65A0FC0C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RBV, 24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250)</w:t>
            </w:r>
          </w:p>
        </w:tc>
        <w:tc>
          <w:tcPr>
            <w:tcW w:w="0" w:type="auto"/>
          </w:tcPr>
          <w:p w14:paraId="697BA7A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</w:t>
            </w:r>
          </w:p>
        </w:tc>
        <w:tc>
          <w:tcPr>
            <w:tcW w:w="0" w:type="auto"/>
          </w:tcPr>
          <w:p w14:paraId="47DC382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87/92 (94.6)</w:t>
            </w:r>
          </w:p>
        </w:tc>
        <w:tc>
          <w:tcPr>
            <w:tcW w:w="0" w:type="auto"/>
          </w:tcPr>
          <w:p w14:paraId="6662A1E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85/98 (86.7)</w:t>
            </w:r>
          </w:p>
        </w:tc>
        <w:tc>
          <w:tcPr>
            <w:tcW w:w="0" w:type="auto"/>
          </w:tcPr>
          <w:p w14:paraId="70EB140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12/13 (92.3)</w:t>
            </w:r>
          </w:p>
        </w:tc>
        <w:tc>
          <w:tcPr>
            <w:tcW w:w="0" w:type="auto"/>
          </w:tcPr>
          <w:p w14:paraId="056C585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29/47 (61.7)</w:t>
            </w:r>
          </w:p>
        </w:tc>
      </w:tr>
      <w:tr w:rsidR="00B85160" w:rsidRPr="001029FD" w14:paraId="72996133" w14:textId="77777777" w:rsidTr="008848A9">
        <w:tc>
          <w:tcPr>
            <w:tcW w:w="0" w:type="auto"/>
          </w:tcPr>
          <w:p w14:paraId="5EE8ABCF" w14:textId="507E727C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Omata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[82]</w:t>
            </w:r>
          </w:p>
        </w:tc>
        <w:tc>
          <w:tcPr>
            <w:tcW w:w="0" w:type="auto"/>
          </w:tcPr>
          <w:p w14:paraId="1F140BE7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153</w:t>
            </w:r>
          </w:p>
        </w:tc>
        <w:tc>
          <w:tcPr>
            <w:tcW w:w="0" w:type="auto"/>
          </w:tcPr>
          <w:p w14:paraId="5F195F61" w14:textId="46FAEF00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RBV, 12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</w:tcPr>
          <w:p w14:paraId="6B6CEA7F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</w:t>
            </w:r>
          </w:p>
        </w:tc>
        <w:tc>
          <w:tcPr>
            <w:tcW w:w="0" w:type="auto"/>
          </w:tcPr>
          <w:p w14:paraId="4C6CF74F" w14:textId="455C340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80/82 (95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</w:tcPr>
          <w:p w14:paraId="0B585E3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52/54 (100)</w:t>
            </w:r>
          </w:p>
        </w:tc>
        <w:tc>
          <w:tcPr>
            <w:tcW w:w="0" w:type="auto"/>
          </w:tcPr>
          <w:p w14:paraId="5822B5D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8/8 (100)</w:t>
            </w:r>
          </w:p>
        </w:tc>
        <w:tc>
          <w:tcPr>
            <w:tcW w:w="0" w:type="auto"/>
          </w:tcPr>
          <w:p w14:paraId="46A63DB0" w14:textId="3B26D045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8/9 (89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</w:tr>
      <w:tr w:rsidR="00B85160" w:rsidRPr="001029FD" w14:paraId="2FC2A54A" w14:textId="77777777" w:rsidTr="008848A9">
        <w:tc>
          <w:tcPr>
            <w:tcW w:w="0" w:type="auto"/>
            <w:vMerge w:val="restart"/>
          </w:tcPr>
          <w:p w14:paraId="17E2567E" w14:textId="29D0B255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Foster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[62]</w:t>
            </w:r>
            <w:r w:rsidRPr="001029FD">
              <w:rPr>
                <w:rFonts w:ascii="Book Antiqua" w:hAnsi="Book Antiqua" w:cstheme="minorHAnsi"/>
              </w:rPr>
              <w:t xml:space="preserve"> (BOSON)</w:t>
            </w:r>
            <w:r w:rsidR="00B85160" w:rsidRPr="001029FD">
              <w:rPr>
                <w:rFonts w:ascii="Book Antiqua" w:hAnsi="Book Antiqua" w:cstheme="minorHAnsi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</w:tcPr>
          <w:p w14:paraId="611CED1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363</w:t>
            </w:r>
          </w:p>
        </w:tc>
        <w:tc>
          <w:tcPr>
            <w:tcW w:w="0" w:type="auto"/>
          </w:tcPr>
          <w:p w14:paraId="2DC0CECF" w14:textId="23D19970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RBV, 16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  <w:vMerge w:val="restart"/>
          </w:tcPr>
          <w:p w14:paraId="58CA9A96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</w:t>
            </w:r>
          </w:p>
        </w:tc>
        <w:tc>
          <w:tcPr>
            <w:tcW w:w="0" w:type="auto"/>
          </w:tcPr>
          <w:p w14:paraId="6F995FF4" w14:textId="4568EC7C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  <w:shd w:val="clear" w:color="auto" w:fill="FFFFFF"/>
              </w:rPr>
              <w:t>58/70 (83</w:t>
            </w:r>
            <w:r w:rsidR="003D76D7" w:rsidRPr="001029FD">
              <w:rPr>
                <w:rFonts w:ascii="Book Antiqua" w:hAnsi="Book Antiqua" w:cstheme="minorHAnsi"/>
                <w:shd w:val="clear" w:color="auto" w:fill="FFFFFF"/>
              </w:rPr>
              <w:t>.0</w:t>
            </w:r>
            <w:r w:rsidRPr="001029FD">
              <w:rPr>
                <w:rFonts w:ascii="Book Antiqua" w:hAnsi="Book Antiqua" w:cstheme="minorHAnsi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6A031052" w14:textId="21B791C6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  <w:shd w:val="clear" w:color="auto" w:fill="FFFFFF"/>
              </w:rPr>
              <w:t>41/54 (76</w:t>
            </w:r>
            <w:r w:rsidR="003D76D7" w:rsidRPr="001029FD">
              <w:rPr>
                <w:rFonts w:ascii="Book Antiqua" w:hAnsi="Book Antiqua" w:cstheme="minorHAnsi"/>
                <w:shd w:val="clear" w:color="auto" w:fill="FFFFFF"/>
              </w:rPr>
              <w:t>.0</w:t>
            </w:r>
            <w:r w:rsidRPr="001029FD">
              <w:rPr>
                <w:rFonts w:ascii="Book Antiqua" w:hAnsi="Book Antiqua" w:cstheme="minorHAnsi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1295FD39" w14:textId="44934D00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  <w:shd w:val="clear" w:color="auto" w:fill="FFFFFF"/>
              </w:rPr>
              <w:t>12/21 (57</w:t>
            </w:r>
            <w:r w:rsidR="003D76D7" w:rsidRPr="001029FD">
              <w:rPr>
                <w:rFonts w:ascii="Book Antiqua" w:hAnsi="Book Antiqua" w:cstheme="minorHAnsi"/>
                <w:shd w:val="clear" w:color="auto" w:fill="FFFFFF"/>
              </w:rPr>
              <w:t>.0</w:t>
            </w:r>
            <w:r w:rsidRPr="001029FD">
              <w:rPr>
                <w:rFonts w:ascii="Book Antiqua" w:hAnsi="Book Antiqua" w:cstheme="minorHAnsi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1F20289C" w14:textId="460C3996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  <w:shd w:val="clear" w:color="auto" w:fill="FFFFFF"/>
              </w:rPr>
              <w:t>17/36 (47</w:t>
            </w:r>
            <w:r w:rsidR="003D76D7" w:rsidRPr="001029FD">
              <w:rPr>
                <w:rFonts w:ascii="Book Antiqua" w:hAnsi="Book Antiqua" w:cstheme="minorHAnsi"/>
                <w:shd w:val="clear" w:color="auto" w:fill="FFFFFF"/>
              </w:rPr>
              <w:t>.0</w:t>
            </w:r>
            <w:r w:rsidRPr="001029FD">
              <w:rPr>
                <w:rFonts w:ascii="Book Antiqua" w:hAnsi="Book Antiqua" w:cstheme="minorHAnsi"/>
                <w:shd w:val="clear" w:color="auto" w:fill="FFFFFF"/>
              </w:rPr>
              <w:t>)</w:t>
            </w:r>
          </w:p>
        </w:tc>
      </w:tr>
      <w:tr w:rsidR="00B85160" w:rsidRPr="001029FD" w14:paraId="6BBC953A" w14:textId="77777777" w:rsidTr="008848A9">
        <w:tc>
          <w:tcPr>
            <w:tcW w:w="0" w:type="auto"/>
            <w:vMerge/>
          </w:tcPr>
          <w:p w14:paraId="594BDFB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4ED1AB5F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5CA83114" w14:textId="5B88F4FA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RBV, 24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  <w:vMerge/>
          </w:tcPr>
          <w:p w14:paraId="3B6FB6B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47C24EC5" w14:textId="4F688298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shd w:val="clear" w:color="auto" w:fill="FFFFFF"/>
              </w:rPr>
            </w:pPr>
            <w:r w:rsidRPr="001029FD">
              <w:rPr>
                <w:rFonts w:ascii="Book Antiqua" w:hAnsi="Book Antiqua" w:cstheme="minorHAnsi"/>
                <w:shd w:val="clear" w:color="auto" w:fill="FFFFFF"/>
              </w:rPr>
              <w:t>65/72 (90</w:t>
            </w:r>
            <w:r w:rsidR="003D76D7" w:rsidRPr="001029FD">
              <w:rPr>
                <w:rFonts w:ascii="Book Antiqua" w:hAnsi="Book Antiqua" w:cstheme="minorHAnsi"/>
                <w:shd w:val="clear" w:color="auto" w:fill="FFFFFF"/>
              </w:rPr>
              <w:t>.0</w:t>
            </w:r>
            <w:r w:rsidRPr="001029FD">
              <w:rPr>
                <w:rFonts w:ascii="Book Antiqua" w:hAnsi="Book Antiqua" w:cstheme="minorHAnsi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0454BACE" w14:textId="2316565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shd w:val="clear" w:color="auto" w:fill="FFFFFF"/>
              </w:rPr>
            </w:pPr>
            <w:r w:rsidRPr="001029FD">
              <w:rPr>
                <w:rFonts w:ascii="Book Antiqua" w:hAnsi="Book Antiqua" w:cstheme="minorHAnsi"/>
                <w:shd w:val="clear" w:color="auto" w:fill="FFFFFF"/>
              </w:rPr>
              <w:t>44/54 (81</w:t>
            </w:r>
            <w:r w:rsidR="003D76D7" w:rsidRPr="001029FD">
              <w:rPr>
                <w:rFonts w:ascii="Book Antiqua" w:hAnsi="Book Antiqua" w:cstheme="minorHAnsi"/>
                <w:shd w:val="clear" w:color="auto" w:fill="FFFFFF"/>
              </w:rPr>
              <w:t>.0</w:t>
            </w:r>
            <w:r w:rsidRPr="001029FD">
              <w:rPr>
                <w:rFonts w:ascii="Book Antiqua" w:hAnsi="Book Antiqua" w:cstheme="minorHAnsi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418F1F24" w14:textId="5BEDA9B1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shd w:val="clear" w:color="auto" w:fill="FFFFFF"/>
              </w:rPr>
            </w:pPr>
            <w:r w:rsidRPr="001029FD">
              <w:rPr>
                <w:rFonts w:ascii="Book Antiqua" w:hAnsi="Book Antiqua" w:cstheme="minorHAnsi"/>
                <w:shd w:val="clear" w:color="auto" w:fill="FFFFFF"/>
              </w:rPr>
              <w:t>18/22 (82</w:t>
            </w:r>
            <w:r w:rsidR="003D76D7" w:rsidRPr="001029FD">
              <w:rPr>
                <w:rFonts w:ascii="Book Antiqua" w:hAnsi="Book Antiqua" w:cstheme="minorHAnsi"/>
                <w:shd w:val="clear" w:color="auto" w:fill="FFFFFF"/>
              </w:rPr>
              <w:t>.0</w:t>
            </w:r>
            <w:r w:rsidRPr="001029FD">
              <w:rPr>
                <w:rFonts w:ascii="Book Antiqua" w:hAnsi="Book Antiqua" w:cstheme="minorHAnsi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14:paraId="2AAA8BA9" w14:textId="6B298378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shd w:val="clear" w:color="auto" w:fill="FFFFFF"/>
              </w:rPr>
            </w:pPr>
            <w:r w:rsidRPr="001029FD">
              <w:rPr>
                <w:rFonts w:ascii="Book Antiqua" w:hAnsi="Book Antiqua" w:cstheme="minorHAnsi"/>
                <w:shd w:val="clear" w:color="auto" w:fill="FFFFFF"/>
              </w:rPr>
              <w:t>26/34 (76</w:t>
            </w:r>
            <w:r w:rsidR="003D76D7" w:rsidRPr="001029FD">
              <w:rPr>
                <w:rFonts w:ascii="Book Antiqua" w:hAnsi="Book Antiqua" w:cstheme="minorHAnsi"/>
                <w:shd w:val="clear" w:color="auto" w:fill="FFFFFF"/>
              </w:rPr>
              <w:t>.0</w:t>
            </w:r>
            <w:r w:rsidRPr="001029FD">
              <w:rPr>
                <w:rFonts w:ascii="Book Antiqua" w:hAnsi="Book Antiqua" w:cstheme="minorHAnsi"/>
                <w:shd w:val="clear" w:color="auto" w:fill="FFFFFF"/>
              </w:rPr>
              <w:t>)</w:t>
            </w:r>
          </w:p>
        </w:tc>
      </w:tr>
      <w:tr w:rsidR="00B85160" w:rsidRPr="001029FD" w14:paraId="61EC0C5B" w14:textId="77777777" w:rsidTr="008848A9">
        <w:tc>
          <w:tcPr>
            <w:tcW w:w="0" w:type="auto"/>
          </w:tcPr>
          <w:p w14:paraId="267317A0" w14:textId="4A6F315A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Satsangi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[83]</w:t>
            </w:r>
          </w:p>
        </w:tc>
        <w:tc>
          <w:tcPr>
            <w:tcW w:w="0" w:type="auto"/>
          </w:tcPr>
          <w:p w14:paraId="285E2A6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105</w:t>
            </w:r>
          </w:p>
        </w:tc>
        <w:tc>
          <w:tcPr>
            <w:tcW w:w="0" w:type="auto"/>
          </w:tcPr>
          <w:p w14:paraId="3F8D334B" w14:textId="7E572244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RBV, 24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</w:tcPr>
          <w:p w14:paraId="26F58C7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</w:t>
            </w:r>
          </w:p>
        </w:tc>
        <w:tc>
          <w:tcPr>
            <w:tcW w:w="0" w:type="auto"/>
          </w:tcPr>
          <w:p w14:paraId="351B020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shd w:val="clear" w:color="auto" w:fill="FFFFFF"/>
              </w:rPr>
            </w:pPr>
            <w:r w:rsidRPr="001029FD">
              <w:rPr>
                <w:rFonts w:ascii="Book Antiqua" w:hAnsi="Book Antiqua" w:cstheme="minorHAnsi"/>
              </w:rPr>
              <w:t>49/49 (100)</w:t>
            </w:r>
          </w:p>
        </w:tc>
        <w:tc>
          <w:tcPr>
            <w:tcW w:w="0" w:type="auto"/>
          </w:tcPr>
          <w:p w14:paraId="682AB5D7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shd w:val="clear" w:color="auto" w:fill="FFFFFF"/>
              </w:rPr>
            </w:pPr>
            <w:r w:rsidRPr="001029FD">
              <w:rPr>
                <w:rFonts w:ascii="Book Antiqua" w:hAnsi="Book Antiqua" w:cstheme="minorHAnsi"/>
                <w:shd w:val="clear" w:color="auto" w:fill="FFFFFF"/>
              </w:rPr>
              <w:t>1/1 (100)</w:t>
            </w:r>
          </w:p>
        </w:tc>
        <w:tc>
          <w:tcPr>
            <w:tcW w:w="0" w:type="auto"/>
          </w:tcPr>
          <w:p w14:paraId="498EE26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shd w:val="clear" w:color="auto" w:fill="FFFFFF"/>
              </w:rPr>
            </w:pPr>
            <w:r w:rsidRPr="001029FD">
              <w:rPr>
                <w:rFonts w:ascii="Book Antiqua" w:hAnsi="Book Antiqua" w:cstheme="minorHAnsi"/>
                <w:shd w:val="clear" w:color="auto" w:fill="FFFFFF"/>
              </w:rPr>
              <w:t>22/23 (95.6)</w:t>
            </w:r>
          </w:p>
        </w:tc>
        <w:tc>
          <w:tcPr>
            <w:tcW w:w="0" w:type="auto"/>
          </w:tcPr>
          <w:p w14:paraId="098F84F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shd w:val="clear" w:color="auto" w:fill="FFFFFF"/>
              </w:rPr>
            </w:pPr>
            <w:r w:rsidRPr="001029FD">
              <w:rPr>
                <w:rFonts w:ascii="Book Antiqua" w:hAnsi="Book Antiqua" w:cstheme="minorHAnsi"/>
                <w:shd w:val="clear" w:color="auto" w:fill="FFFFFF"/>
              </w:rPr>
              <w:t>3/3 (100)</w:t>
            </w:r>
          </w:p>
        </w:tc>
      </w:tr>
      <w:tr w:rsidR="00B85160" w:rsidRPr="001029FD" w14:paraId="5C111475" w14:textId="77777777" w:rsidTr="008848A9">
        <w:tc>
          <w:tcPr>
            <w:tcW w:w="0" w:type="auto"/>
            <w:vMerge w:val="restart"/>
          </w:tcPr>
          <w:p w14:paraId="017B3249" w14:textId="571C0364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shd w:val="clear" w:color="auto" w:fill="FFFFFF"/>
              </w:rPr>
            </w:pPr>
            <w:r w:rsidRPr="001029FD">
              <w:rPr>
                <w:rFonts w:ascii="Book Antiqua" w:hAnsi="Book Antiqua" w:cstheme="minorHAnsi"/>
                <w:shd w:val="clear" w:color="auto" w:fill="FFFFFF"/>
              </w:rPr>
              <w:t xml:space="preserve">Nelson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[65]</w:t>
            </w:r>
            <w:r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  <w:shd w:val="clear" w:color="auto" w:fill="FFFFFF"/>
              </w:rPr>
              <w:t>(ALLY-3)</w:t>
            </w:r>
          </w:p>
        </w:tc>
        <w:tc>
          <w:tcPr>
            <w:tcW w:w="0" w:type="auto"/>
            <w:vMerge w:val="restart"/>
          </w:tcPr>
          <w:p w14:paraId="6E44CDC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152</w:t>
            </w:r>
          </w:p>
        </w:tc>
        <w:tc>
          <w:tcPr>
            <w:tcW w:w="0" w:type="auto"/>
            <w:vMerge w:val="restart"/>
          </w:tcPr>
          <w:p w14:paraId="6096E1B2" w14:textId="46E107C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DCV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 xml:space="preserve">SOF,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  <w:vMerge w:val="restart"/>
          </w:tcPr>
          <w:p w14:paraId="175D5AE2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</w:t>
            </w:r>
          </w:p>
        </w:tc>
        <w:tc>
          <w:tcPr>
            <w:tcW w:w="0" w:type="auto"/>
            <w:gridSpan w:val="2"/>
          </w:tcPr>
          <w:p w14:paraId="7374552F" w14:textId="4E5DD582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105/109 (96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  <w:gridSpan w:val="2"/>
          </w:tcPr>
          <w:p w14:paraId="50F4D80C" w14:textId="4EFE3C49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20/32 (63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</w:tr>
      <w:tr w:rsidR="00B85160" w:rsidRPr="001029FD" w14:paraId="643B85C6" w14:textId="77777777" w:rsidTr="008848A9">
        <w:tc>
          <w:tcPr>
            <w:tcW w:w="0" w:type="auto"/>
            <w:vMerge/>
          </w:tcPr>
          <w:p w14:paraId="164AAD0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49DC242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1D62F03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77A71D5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611E6461" w14:textId="679428DA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73/75 (97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</w:tcPr>
          <w:p w14:paraId="65FDD725" w14:textId="160A6A01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32/34 (94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</w:tcPr>
          <w:p w14:paraId="56339496" w14:textId="772DA0B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11/19 (58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</w:tcPr>
          <w:p w14:paraId="13D818C9" w14:textId="470CC8C6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9/13 (69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</w:tr>
      <w:tr w:rsidR="00B85160" w:rsidRPr="001029FD" w14:paraId="5C4ABE8A" w14:textId="77777777" w:rsidTr="008848A9">
        <w:tc>
          <w:tcPr>
            <w:tcW w:w="0" w:type="auto"/>
            <w:vMerge w:val="restart"/>
          </w:tcPr>
          <w:p w14:paraId="2A40FE7B" w14:textId="44B08498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Feld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[67]</w:t>
            </w:r>
            <w:r w:rsidRPr="001029FD">
              <w:rPr>
                <w:rFonts w:ascii="Book Antiqua" w:hAnsi="Book Antiqua" w:cstheme="minorHAnsi"/>
              </w:rPr>
              <w:t xml:space="preserve"> (ASTRAL-1)</w:t>
            </w:r>
          </w:p>
        </w:tc>
        <w:tc>
          <w:tcPr>
            <w:tcW w:w="0" w:type="auto"/>
            <w:vMerge w:val="restart"/>
          </w:tcPr>
          <w:p w14:paraId="1A6F6B4F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624</w:t>
            </w:r>
          </w:p>
        </w:tc>
        <w:tc>
          <w:tcPr>
            <w:tcW w:w="0" w:type="auto"/>
            <w:vMerge w:val="restart"/>
          </w:tcPr>
          <w:p w14:paraId="3F747923" w14:textId="7A00138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SOF/VEL,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  <w:vMerge w:val="restart"/>
          </w:tcPr>
          <w:p w14:paraId="340A74EB" w14:textId="1CBC4F9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1, 2, 4, 5, 6</w:t>
            </w:r>
          </w:p>
        </w:tc>
        <w:tc>
          <w:tcPr>
            <w:tcW w:w="0" w:type="auto"/>
            <w:gridSpan w:val="2"/>
          </w:tcPr>
          <w:p w14:paraId="10342CAC" w14:textId="5ED6C90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496/501 (99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  <w:gridSpan w:val="2"/>
          </w:tcPr>
          <w:p w14:paraId="400A0AB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120/121 (99.2)</w:t>
            </w:r>
          </w:p>
        </w:tc>
      </w:tr>
      <w:tr w:rsidR="00B85160" w:rsidRPr="001029FD" w14:paraId="12E007EB" w14:textId="77777777" w:rsidTr="008848A9">
        <w:tc>
          <w:tcPr>
            <w:tcW w:w="0" w:type="auto"/>
            <w:vMerge/>
          </w:tcPr>
          <w:p w14:paraId="3A7C91B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57EF14A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09F888EA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1EA9339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5C2D766E" w14:textId="1E520DE8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572551D8" w14:textId="4CEC4BBB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4DC1BD49" w14:textId="20222598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1C876FFD" w14:textId="5908F7D5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B85160" w:rsidRPr="001029FD" w14:paraId="0D7DF647" w14:textId="77777777" w:rsidTr="008848A9">
        <w:tc>
          <w:tcPr>
            <w:tcW w:w="0" w:type="auto"/>
            <w:vMerge w:val="restart"/>
          </w:tcPr>
          <w:p w14:paraId="075C4347" w14:textId="5708C7E2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lastRenderedPageBreak/>
              <w:t xml:space="preserve">Foster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[68]</w:t>
            </w:r>
            <w:r w:rsidRPr="001029FD">
              <w:rPr>
                <w:rFonts w:ascii="Book Antiqua" w:hAnsi="Book Antiqua" w:cstheme="minorHAnsi"/>
              </w:rPr>
              <w:t xml:space="preserve"> (ASTRAL-2)</w:t>
            </w:r>
          </w:p>
        </w:tc>
        <w:tc>
          <w:tcPr>
            <w:tcW w:w="0" w:type="auto"/>
            <w:vMerge w:val="restart"/>
          </w:tcPr>
          <w:p w14:paraId="798DA53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266</w:t>
            </w:r>
          </w:p>
        </w:tc>
        <w:tc>
          <w:tcPr>
            <w:tcW w:w="0" w:type="auto"/>
          </w:tcPr>
          <w:p w14:paraId="4A078E63" w14:textId="0909B72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SOF/VEL,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134)</w:t>
            </w:r>
          </w:p>
        </w:tc>
        <w:tc>
          <w:tcPr>
            <w:tcW w:w="0" w:type="auto"/>
            <w:vMerge w:val="restart"/>
          </w:tcPr>
          <w:p w14:paraId="1EEE455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</w:t>
            </w:r>
          </w:p>
        </w:tc>
        <w:tc>
          <w:tcPr>
            <w:tcW w:w="0" w:type="auto"/>
            <w:gridSpan w:val="4"/>
          </w:tcPr>
          <w:p w14:paraId="35E78249" w14:textId="65F51A29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133/134 (99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</w:tr>
      <w:tr w:rsidR="00B85160" w:rsidRPr="001029FD" w14:paraId="113B1832" w14:textId="77777777" w:rsidTr="008848A9">
        <w:tc>
          <w:tcPr>
            <w:tcW w:w="0" w:type="auto"/>
            <w:vMerge/>
          </w:tcPr>
          <w:p w14:paraId="345DA76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07EC21A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08D44B48" w14:textId="183C617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113DD1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113DD1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 xml:space="preserve">RBV,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132)</w:t>
            </w:r>
          </w:p>
        </w:tc>
        <w:tc>
          <w:tcPr>
            <w:tcW w:w="0" w:type="auto"/>
            <w:vMerge/>
          </w:tcPr>
          <w:p w14:paraId="5358B86F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gridSpan w:val="4"/>
          </w:tcPr>
          <w:p w14:paraId="0DA86BC5" w14:textId="0A17169A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124/132 (94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</w:tr>
      <w:tr w:rsidR="00B85160" w:rsidRPr="001029FD" w14:paraId="4A4386B6" w14:textId="77777777" w:rsidTr="008848A9">
        <w:tc>
          <w:tcPr>
            <w:tcW w:w="0" w:type="auto"/>
            <w:vMerge w:val="restart"/>
          </w:tcPr>
          <w:p w14:paraId="01BC604C" w14:textId="334A3BC6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Foster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[68]</w:t>
            </w:r>
            <w:r w:rsidRPr="001029FD">
              <w:rPr>
                <w:rFonts w:ascii="Book Antiqua" w:hAnsi="Book Antiqua" w:cstheme="minorHAnsi"/>
              </w:rPr>
              <w:t xml:space="preserve"> (ASTRAL-3)</w:t>
            </w:r>
          </w:p>
        </w:tc>
        <w:tc>
          <w:tcPr>
            <w:tcW w:w="0" w:type="auto"/>
            <w:vMerge w:val="restart"/>
          </w:tcPr>
          <w:p w14:paraId="32C6EC3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552</w:t>
            </w:r>
          </w:p>
        </w:tc>
        <w:tc>
          <w:tcPr>
            <w:tcW w:w="0" w:type="auto"/>
          </w:tcPr>
          <w:p w14:paraId="14610B6C" w14:textId="38ED764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SOF/VEL,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277)</w:t>
            </w:r>
          </w:p>
        </w:tc>
        <w:tc>
          <w:tcPr>
            <w:tcW w:w="0" w:type="auto"/>
            <w:vMerge w:val="restart"/>
          </w:tcPr>
          <w:p w14:paraId="69FFE80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</w:t>
            </w:r>
          </w:p>
        </w:tc>
        <w:tc>
          <w:tcPr>
            <w:tcW w:w="0" w:type="auto"/>
          </w:tcPr>
          <w:p w14:paraId="197449EE" w14:textId="34253FB5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160/163 (98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</w:tcPr>
          <w:p w14:paraId="1D44E197" w14:textId="32A205A3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31/34 (91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</w:tcPr>
          <w:p w14:paraId="768F252F" w14:textId="73A08964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40/43 (93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</w:tcPr>
          <w:p w14:paraId="6C927947" w14:textId="68D9649A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33/37 (89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</w:tr>
      <w:tr w:rsidR="00B85160" w:rsidRPr="001029FD" w14:paraId="180A89FE" w14:textId="77777777" w:rsidTr="008848A9">
        <w:tc>
          <w:tcPr>
            <w:tcW w:w="0" w:type="auto"/>
            <w:vMerge/>
          </w:tcPr>
          <w:p w14:paraId="1B93DFF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1302E2A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70BD68FE" w14:textId="7ACA432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 xml:space="preserve">RBV, 24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275)</w:t>
            </w:r>
          </w:p>
        </w:tc>
        <w:tc>
          <w:tcPr>
            <w:tcW w:w="0" w:type="auto"/>
            <w:vMerge/>
          </w:tcPr>
          <w:p w14:paraId="2D71DA0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03C6EF48" w14:textId="3FE9399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141/156 (90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</w:tcPr>
          <w:p w14:paraId="01D6465F" w14:textId="65537226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22/31 (71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</w:tcPr>
          <w:p w14:paraId="14565A3E" w14:textId="2CC716C1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33/45 (73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</w:tcPr>
          <w:p w14:paraId="4FD0CB0D" w14:textId="71F08168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22/38 (58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</w:tr>
      <w:tr w:rsidR="00B85160" w:rsidRPr="001029FD" w14:paraId="784A3400" w14:textId="77777777" w:rsidTr="008848A9">
        <w:tc>
          <w:tcPr>
            <w:tcW w:w="0" w:type="auto"/>
            <w:vMerge w:val="restart"/>
          </w:tcPr>
          <w:p w14:paraId="63CEC13B" w14:textId="1E26818B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Curry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[69]</w:t>
            </w:r>
            <w:r w:rsidRPr="001029FD">
              <w:rPr>
                <w:rFonts w:ascii="Book Antiqua" w:hAnsi="Book Antiqua" w:cstheme="minorHAnsi"/>
              </w:rPr>
              <w:t xml:space="preserve"> (ASTRAL-4)</w:t>
            </w:r>
          </w:p>
        </w:tc>
        <w:tc>
          <w:tcPr>
            <w:tcW w:w="0" w:type="auto"/>
            <w:vMerge w:val="restart"/>
          </w:tcPr>
          <w:p w14:paraId="0DD7E12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267</w:t>
            </w:r>
          </w:p>
        </w:tc>
        <w:tc>
          <w:tcPr>
            <w:tcW w:w="0" w:type="auto"/>
          </w:tcPr>
          <w:p w14:paraId="2DE58483" w14:textId="03310378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SOF/VEL,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90)</w:t>
            </w:r>
          </w:p>
        </w:tc>
        <w:tc>
          <w:tcPr>
            <w:tcW w:w="0" w:type="auto"/>
            <w:vMerge w:val="restart"/>
          </w:tcPr>
          <w:p w14:paraId="59196C4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1-6</w:t>
            </w:r>
          </w:p>
        </w:tc>
        <w:tc>
          <w:tcPr>
            <w:tcW w:w="0" w:type="auto"/>
            <w:vMerge w:val="restart"/>
          </w:tcPr>
          <w:p w14:paraId="3F5BE611" w14:textId="48188863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 w:val="restart"/>
          </w:tcPr>
          <w:p w14:paraId="4395E0D5" w14:textId="703507EB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gridSpan w:val="2"/>
          </w:tcPr>
          <w:p w14:paraId="67DF303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75/89 (84.3)</w:t>
            </w:r>
          </w:p>
        </w:tc>
      </w:tr>
      <w:tr w:rsidR="00B85160" w:rsidRPr="001029FD" w14:paraId="76CB2AE7" w14:textId="77777777" w:rsidTr="008848A9">
        <w:tc>
          <w:tcPr>
            <w:tcW w:w="0" w:type="auto"/>
            <w:vMerge/>
          </w:tcPr>
          <w:p w14:paraId="51B9EBC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6496C38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06D6E4AA" w14:textId="74C232D8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SOF/VEL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 xml:space="preserve">RBV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87)</w:t>
            </w:r>
          </w:p>
        </w:tc>
        <w:tc>
          <w:tcPr>
            <w:tcW w:w="0" w:type="auto"/>
            <w:vMerge/>
          </w:tcPr>
          <w:p w14:paraId="7D0EF517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41DD816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69BACEB2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gridSpan w:val="2"/>
          </w:tcPr>
          <w:p w14:paraId="3E9860ED" w14:textId="3C536082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82/87 (94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</w:tr>
      <w:tr w:rsidR="00B85160" w:rsidRPr="001029FD" w14:paraId="54C97A9E" w14:textId="77777777" w:rsidTr="008848A9">
        <w:tc>
          <w:tcPr>
            <w:tcW w:w="0" w:type="auto"/>
            <w:vMerge/>
          </w:tcPr>
          <w:p w14:paraId="6B39D2B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24554E16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77A15DDB" w14:textId="7BA80B28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SOF/VEL, 24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90)</w:t>
            </w:r>
          </w:p>
        </w:tc>
        <w:tc>
          <w:tcPr>
            <w:tcW w:w="0" w:type="auto"/>
            <w:vMerge/>
          </w:tcPr>
          <w:p w14:paraId="049A9FC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3AF093D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3A64BDA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gridSpan w:val="2"/>
          </w:tcPr>
          <w:p w14:paraId="45CC96F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77/87 (88.5)</w:t>
            </w:r>
          </w:p>
        </w:tc>
      </w:tr>
      <w:tr w:rsidR="00B85160" w:rsidRPr="001029FD" w14:paraId="4758AC43" w14:textId="77777777" w:rsidTr="008848A9">
        <w:tc>
          <w:tcPr>
            <w:tcW w:w="0" w:type="auto"/>
          </w:tcPr>
          <w:p w14:paraId="3E67DFA3" w14:textId="03D090BF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Forns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[73]</w:t>
            </w:r>
            <w:r w:rsidRPr="001029FD">
              <w:rPr>
                <w:rFonts w:ascii="Book Antiqua" w:hAnsi="Book Antiqua" w:cstheme="minorHAnsi"/>
              </w:rPr>
              <w:t xml:space="preserve"> (EXPEDITION-1)</w:t>
            </w:r>
          </w:p>
        </w:tc>
        <w:tc>
          <w:tcPr>
            <w:tcW w:w="0" w:type="auto"/>
          </w:tcPr>
          <w:p w14:paraId="31FB4E4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146</w:t>
            </w:r>
          </w:p>
        </w:tc>
        <w:tc>
          <w:tcPr>
            <w:tcW w:w="0" w:type="auto"/>
          </w:tcPr>
          <w:p w14:paraId="10F5C585" w14:textId="1DD8D239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GLE/PIB,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</w:tcPr>
          <w:p w14:paraId="3FA731BE" w14:textId="46D65A60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1, 2, 4, 5 or 6</w:t>
            </w:r>
          </w:p>
        </w:tc>
        <w:tc>
          <w:tcPr>
            <w:tcW w:w="0" w:type="auto"/>
          </w:tcPr>
          <w:p w14:paraId="0C2C293B" w14:textId="3D7DA6E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153682CB" w14:textId="1879A2CC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gridSpan w:val="2"/>
          </w:tcPr>
          <w:p w14:paraId="67446EB9" w14:textId="22D83FB5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145/146 (99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</w:tr>
      <w:tr w:rsidR="00B85160" w:rsidRPr="001029FD" w14:paraId="4DB2EE8D" w14:textId="77777777" w:rsidTr="008848A9">
        <w:tc>
          <w:tcPr>
            <w:tcW w:w="0" w:type="auto"/>
            <w:vMerge w:val="restart"/>
          </w:tcPr>
          <w:p w14:paraId="28C06BE9" w14:textId="2BEFF91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Zeuzem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[81]</w:t>
            </w:r>
            <w:r w:rsidRPr="001029FD">
              <w:rPr>
                <w:rFonts w:ascii="Book Antiqua" w:hAnsi="Book Antiqua" w:cstheme="minorHAnsi"/>
              </w:rPr>
              <w:t xml:space="preserve"> (ENDURANCE-1)</w:t>
            </w:r>
          </w:p>
        </w:tc>
        <w:tc>
          <w:tcPr>
            <w:tcW w:w="0" w:type="auto"/>
            <w:vMerge w:val="restart"/>
          </w:tcPr>
          <w:p w14:paraId="78F88822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703</w:t>
            </w:r>
          </w:p>
        </w:tc>
        <w:tc>
          <w:tcPr>
            <w:tcW w:w="0" w:type="auto"/>
          </w:tcPr>
          <w:p w14:paraId="718B6CEC" w14:textId="4B34AE80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GLE/PIB, 8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351)</w:t>
            </w:r>
          </w:p>
        </w:tc>
        <w:tc>
          <w:tcPr>
            <w:tcW w:w="0" w:type="auto"/>
            <w:vMerge w:val="restart"/>
          </w:tcPr>
          <w:p w14:paraId="0CDE7B3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</w:t>
            </w:r>
          </w:p>
        </w:tc>
        <w:tc>
          <w:tcPr>
            <w:tcW w:w="0" w:type="auto"/>
            <w:gridSpan w:val="2"/>
          </w:tcPr>
          <w:p w14:paraId="4E29D2F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343/344 (99.7)</w:t>
            </w:r>
          </w:p>
        </w:tc>
        <w:tc>
          <w:tcPr>
            <w:tcW w:w="0" w:type="auto"/>
            <w:vMerge w:val="restart"/>
          </w:tcPr>
          <w:p w14:paraId="358EE303" w14:textId="0D6737A4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 w:val="restart"/>
          </w:tcPr>
          <w:p w14:paraId="45A7B40B" w14:textId="4BCE45A6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B85160" w:rsidRPr="001029FD" w14:paraId="7712FB19" w14:textId="77777777" w:rsidTr="008848A9">
        <w:tc>
          <w:tcPr>
            <w:tcW w:w="0" w:type="auto"/>
            <w:vMerge/>
          </w:tcPr>
          <w:p w14:paraId="647667E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2D7D944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45ADABC7" w14:textId="7CB07F64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GLE/PIB,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352)</w:t>
            </w:r>
          </w:p>
        </w:tc>
        <w:tc>
          <w:tcPr>
            <w:tcW w:w="0" w:type="auto"/>
            <w:vMerge/>
          </w:tcPr>
          <w:p w14:paraId="32A3B82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gridSpan w:val="2"/>
          </w:tcPr>
          <w:p w14:paraId="4DDD69B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345/345 (100)</w:t>
            </w:r>
          </w:p>
        </w:tc>
        <w:tc>
          <w:tcPr>
            <w:tcW w:w="0" w:type="auto"/>
            <w:vMerge/>
          </w:tcPr>
          <w:p w14:paraId="422E7E3B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0CAD7FF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B85160" w:rsidRPr="001029FD" w14:paraId="21E4AA2F" w14:textId="77777777" w:rsidTr="008848A9">
        <w:tc>
          <w:tcPr>
            <w:tcW w:w="0" w:type="auto"/>
            <w:vMerge w:val="restart"/>
          </w:tcPr>
          <w:p w14:paraId="30059791" w14:textId="65BFA4CC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Zeuzem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[72]</w:t>
            </w:r>
            <w:r w:rsidRPr="001029FD">
              <w:rPr>
                <w:rFonts w:ascii="Book Antiqua" w:hAnsi="Book Antiqua" w:cstheme="minorHAnsi"/>
              </w:rPr>
              <w:t xml:space="preserve"> (ENDURANCE-3)</w:t>
            </w:r>
          </w:p>
        </w:tc>
        <w:tc>
          <w:tcPr>
            <w:tcW w:w="0" w:type="auto"/>
            <w:vMerge w:val="restart"/>
          </w:tcPr>
          <w:p w14:paraId="61944F8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505</w:t>
            </w:r>
          </w:p>
        </w:tc>
        <w:tc>
          <w:tcPr>
            <w:tcW w:w="0" w:type="auto"/>
          </w:tcPr>
          <w:p w14:paraId="11BB83DA" w14:textId="10248081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GLE/PIB,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233)</w:t>
            </w:r>
          </w:p>
        </w:tc>
        <w:tc>
          <w:tcPr>
            <w:tcW w:w="0" w:type="auto"/>
            <w:vMerge w:val="restart"/>
          </w:tcPr>
          <w:p w14:paraId="61BDF03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</w:t>
            </w:r>
          </w:p>
        </w:tc>
        <w:tc>
          <w:tcPr>
            <w:tcW w:w="0" w:type="auto"/>
            <w:gridSpan w:val="2"/>
          </w:tcPr>
          <w:p w14:paraId="4EB4C299" w14:textId="56B7030C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214/217 (99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  <w:vMerge w:val="restart"/>
          </w:tcPr>
          <w:p w14:paraId="079A3AE8" w14:textId="4352DE8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 w:val="restart"/>
          </w:tcPr>
          <w:p w14:paraId="42D28928" w14:textId="5D309A9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B85160" w:rsidRPr="001029FD" w14:paraId="0EF4CE7E" w14:textId="77777777" w:rsidTr="008848A9">
        <w:tc>
          <w:tcPr>
            <w:tcW w:w="0" w:type="auto"/>
            <w:vMerge/>
          </w:tcPr>
          <w:p w14:paraId="5C61A11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286CFAC5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77DD1920" w14:textId="0EB42EC6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SOF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+</w:t>
            </w:r>
            <w:r w:rsidR="00B85160" w:rsidRPr="001029FD">
              <w:rPr>
                <w:rFonts w:ascii="Book Antiqua" w:hAnsi="Book Antiqua" w:cstheme="minorHAnsi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 xml:space="preserve">DCV,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115)</w:t>
            </w:r>
          </w:p>
        </w:tc>
        <w:tc>
          <w:tcPr>
            <w:tcW w:w="0" w:type="auto"/>
            <w:vMerge/>
          </w:tcPr>
          <w:p w14:paraId="7819DE5A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gridSpan w:val="2"/>
          </w:tcPr>
          <w:p w14:paraId="13741AF5" w14:textId="5C69568F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110/111 (99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  <w:vMerge/>
          </w:tcPr>
          <w:p w14:paraId="683AF102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383CC8EC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B85160" w:rsidRPr="001029FD" w14:paraId="753DAB0F" w14:textId="77777777" w:rsidTr="008848A9">
        <w:tc>
          <w:tcPr>
            <w:tcW w:w="0" w:type="auto"/>
            <w:vMerge/>
          </w:tcPr>
          <w:p w14:paraId="60A2798F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541E4F3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78D32A93" w14:textId="2855F2D6" w:rsidR="00931CEC" w:rsidRPr="001029FD" w:rsidRDefault="00931CEC" w:rsidP="003D76D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GLE/PIB, 8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(</w:t>
            </w:r>
            <w:r w:rsidR="005019BA" w:rsidRPr="001029FD">
              <w:rPr>
                <w:rFonts w:ascii="Book Antiqua" w:hAnsi="Book Antiqua" w:cstheme="minorHAnsi"/>
                <w:i/>
                <w:iCs/>
              </w:rPr>
              <w:t>n</w:t>
            </w:r>
            <w:r w:rsidR="005019BA" w:rsidRPr="001029FD">
              <w:rPr>
                <w:rFonts w:ascii="Book Antiqua" w:hAnsi="Book Antiqua" w:cstheme="minorHAnsi"/>
              </w:rPr>
              <w:t xml:space="preserve"> = </w:t>
            </w:r>
            <w:r w:rsidRPr="001029FD">
              <w:rPr>
                <w:rFonts w:ascii="Book Antiqua" w:hAnsi="Book Antiqua" w:cstheme="minorHAnsi"/>
              </w:rPr>
              <w:t>157)</w:t>
            </w:r>
          </w:p>
        </w:tc>
        <w:tc>
          <w:tcPr>
            <w:tcW w:w="0" w:type="auto"/>
            <w:vMerge/>
          </w:tcPr>
          <w:p w14:paraId="58154D6D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gridSpan w:val="2"/>
          </w:tcPr>
          <w:p w14:paraId="44482A63" w14:textId="1E4770AC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143/149 (96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0" w:type="auto"/>
            <w:vMerge/>
          </w:tcPr>
          <w:p w14:paraId="1F8EDF00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  <w:vMerge/>
          </w:tcPr>
          <w:p w14:paraId="470DBDF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B85160" w:rsidRPr="001029FD" w14:paraId="2F07626A" w14:textId="77777777" w:rsidTr="008848A9">
        <w:tc>
          <w:tcPr>
            <w:tcW w:w="0" w:type="auto"/>
          </w:tcPr>
          <w:p w14:paraId="585E7055" w14:textId="6C04FA1D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Asselah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[74]</w:t>
            </w:r>
            <w:r w:rsidRPr="001029FD">
              <w:rPr>
                <w:rFonts w:ascii="Book Antiqua" w:hAnsi="Book Antiqua" w:cstheme="minorHAnsi"/>
              </w:rPr>
              <w:t xml:space="preserve"> (ENDURANCE-2)</w:t>
            </w:r>
          </w:p>
        </w:tc>
        <w:tc>
          <w:tcPr>
            <w:tcW w:w="0" w:type="auto"/>
          </w:tcPr>
          <w:p w14:paraId="3A085F12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202</w:t>
            </w:r>
          </w:p>
        </w:tc>
        <w:tc>
          <w:tcPr>
            <w:tcW w:w="0" w:type="auto"/>
          </w:tcPr>
          <w:p w14:paraId="6E34087B" w14:textId="458071D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GLE/PIB,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0" w:type="auto"/>
          </w:tcPr>
          <w:p w14:paraId="5D3659CF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</w:t>
            </w:r>
          </w:p>
        </w:tc>
        <w:tc>
          <w:tcPr>
            <w:tcW w:w="0" w:type="auto"/>
            <w:gridSpan w:val="2"/>
          </w:tcPr>
          <w:p w14:paraId="09202F1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192/192 (100)</w:t>
            </w:r>
          </w:p>
        </w:tc>
        <w:tc>
          <w:tcPr>
            <w:tcW w:w="0" w:type="auto"/>
          </w:tcPr>
          <w:p w14:paraId="32BB7DD7" w14:textId="2CA87F9C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5DD77DF1" w14:textId="57343FD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B85160" w:rsidRPr="001029FD" w14:paraId="59AF66BE" w14:textId="77777777" w:rsidTr="008848A9">
        <w:tc>
          <w:tcPr>
            <w:tcW w:w="0" w:type="auto"/>
          </w:tcPr>
          <w:p w14:paraId="34D23A70" w14:textId="64FFA944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Asselah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[74]</w:t>
            </w:r>
            <w:r w:rsidRPr="001029FD">
              <w:rPr>
                <w:rFonts w:ascii="Book Antiqua" w:hAnsi="Book Antiqua" w:cstheme="minorHAnsi"/>
              </w:rPr>
              <w:t xml:space="preserve"> (ENDURANCE-4)</w:t>
            </w:r>
          </w:p>
        </w:tc>
        <w:tc>
          <w:tcPr>
            <w:tcW w:w="0" w:type="auto"/>
          </w:tcPr>
          <w:p w14:paraId="0018B308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121</w:t>
            </w:r>
          </w:p>
        </w:tc>
        <w:tc>
          <w:tcPr>
            <w:tcW w:w="0" w:type="auto"/>
          </w:tcPr>
          <w:p w14:paraId="4E98F34D" w14:textId="092F79DA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GLE/PIB,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0" w:type="auto"/>
          </w:tcPr>
          <w:p w14:paraId="5CBAB00E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4-6</w:t>
            </w:r>
          </w:p>
        </w:tc>
        <w:tc>
          <w:tcPr>
            <w:tcW w:w="0" w:type="auto"/>
            <w:gridSpan w:val="2"/>
          </w:tcPr>
          <w:p w14:paraId="010103D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120/120 (100)</w:t>
            </w:r>
          </w:p>
        </w:tc>
        <w:tc>
          <w:tcPr>
            <w:tcW w:w="0" w:type="auto"/>
          </w:tcPr>
          <w:p w14:paraId="1EFC56FF" w14:textId="0A81EF7A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51A247F5" w14:textId="35CCE30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B85160" w:rsidRPr="001029FD" w14:paraId="239DDAEF" w14:textId="77777777" w:rsidTr="008848A9">
        <w:tc>
          <w:tcPr>
            <w:tcW w:w="0" w:type="auto"/>
          </w:tcPr>
          <w:p w14:paraId="2280C07F" w14:textId="31BBB073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Brown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[76]</w:t>
            </w:r>
            <w:r w:rsidRPr="001029FD">
              <w:rPr>
                <w:rFonts w:ascii="Book Antiqua" w:hAnsi="Book Antiqua" w:cstheme="minorHAnsi"/>
              </w:rPr>
              <w:t xml:space="preserve"> (EXPEDITION-8)</w:t>
            </w:r>
          </w:p>
        </w:tc>
        <w:tc>
          <w:tcPr>
            <w:tcW w:w="0" w:type="auto"/>
          </w:tcPr>
          <w:p w14:paraId="40659144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343</w:t>
            </w:r>
          </w:p>
        </w:tc>
        <w:tc>
          <w:tcPr>
            <w:tcW w:w="0" w:type="auto"/>
          </w:tcPr>
          <w:p w14:paraId="1382C256" w14:textId="3F4AC981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GLE/PIB, 8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</w:tcPr>
          <w:p w14:paraId="1A660E8C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1-6</w:t>
            </w:r>
          </w:p>
        </w:tc>
        <w:tc>
          <w:tcPr>
            <w:tcW w:w="0" w:type="auto"/>
          </w:tcPr>
          <w:p w14:paraId="5848D844" w14:textId="102E56D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7D9D8683" w14:textId="5CC73586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  <w:tc>
          <w:tcPr>
            <w:tcW w:w="0" w:type="auto"/>
          </w:tcPr>
          <w:p w14:paraId="1F3E395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334/335 (99.7)</w:t>
            </w:r>
          </w:p>
        </w:tc>
        <w:tc>
          <w:tcPr>
            <w:tcW w:w="0" w:type="auto"/>
          </w:tcPr>
          <w:p w14:paraId="3129974B" w14:textId="615D3C54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B85160" w:rsidRPr="001029FD" w14:paraId="7E209244" w14:textId="77777777" w:rsidTr="008848A9">
        <w:tc>
          <w:tcPr>
            <w:tcW w:w="0" w:type="auto"/>
          </w:tcPr>
          <w:p w14:paraId="59FE0DEE" w14:textId="26979758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Gane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[78]</w:t>
            </w:r>
            <w:r w:rsidRPr="001029FD">
              <w:rPr>
                <w:rFonts w:ascii="Book Antiqua" w:hAnsi="Book Antiqua" w:cstheme="minorHAnsi"/>
              </w:rPr>
              <w:t xml:space="preserve"> (EXPEDITION-4)</w:t>
            </w:r>
          </w:p>
        </w:tc>
        <w:tc>
          <w:tcPr>
            <w:tcW w:w="0" w:type="auto"/>
          </w:tcPr>
          <w:p w14:paraId="0269576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104</w:t>
            </w:r>
          </w:p>
        </w:tc>
        <w:tc>
          <w:tcPr>
            <w:tcW w:w="0" w:type="auto"/>
          </w:tcPr>
          <w:p w14:paraId="1E49D7A4" w14:textId="19622DB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 xml:space="preserve">GLE/PIB, 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</w:tcPr>
          <w:p w14:paraId="11E2794A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1-6</w:t>
            </w:r>
          </w:p>
        </w:tc>
        <w:tc>
          <w:tcPr>
            <w:tcW w:w="0" w:type="auto"/>
            <w:gridSpan w:val="4"/>
          </w:tcPr>
          <w:p w14:paraId="3853B3AC" w14:textId="34153F1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102/104 (98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</w:p>
        </w:tc>
      </w:tr>
      <w:tr w:rsidR="00B85160" w:rsidRPr="001029FD" w14:paraId="0D38619F" w14:textId="77777777" w:rsidTr="008848A9">
        <w:tc>
          <w:tcPr>
            <w:tcW w:w="0" w:type="auto"/>
          </w:tcPr>
          <w:p w14:paraId="63A2F8D7" w14:textId="45D0F08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lastRenderedPageBreak/>
              <w:t>Bourlière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[84]</w:t>
            </w:r>
            <w:r w:rsidRPr="001029FD">
              <w:rPr>
                <w:rFonts w:ascii="Book Antiqua" w:hAnsi="Book Antiqua" w:cstheme="minorHAnsi"/>
              </w:rPr>
              <w:t xml:space="preserve"> (POLARIS-1)</w:t>
            </w:r>
            <w:r w:rsidR="00B85160" w:rsidRPr="001029FD">
              <w:rPr>
                <w:rFonts w:ascii="Book Antiqua" w:hAnsi="Book Antiqua" w:cstheme="minorHAnsi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7E312F1C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263</w:t>
            </w:r>
          </w:p>
        </w:tc>
        <w:tc>
          <w:tcPr>
            <w:tcW w:w="0" w:type="auto"/>
          </w:tcPr>
          <w:p w14:paraId="3FE951AA" w14:textId="11C8D2BA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  <w:color w:val="000000" w:themeColor="text1"/>
                <w:shd w:val="clear" w:color="auto" w:fill="FFFFFF"/>
              </w:rPr>
              <w:t xml:space="preserve">SOF/VEL/VOX, </w:t>
            </w:r>
            <w:r w:rsidRPr="001029FD">
              <w:rPr>
                <w:rFonts w:ascii="Book Antiqua" w:hAnsi="Book Antiqua" w:cstheme="minorHAnsi"/>
              </w:rPr>
              <w:t xml:space="preserve">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</w:tcPr>
          <w:p w14:paraId="74EEB069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1-6</w:t>
            </w:r>
          </w:p>
        </w:tc>
        <w:tc>
          <w:tcPr>
            <w:tcW w:w="0" w:type="auto"/>
            <w:gridSpan w:val="4"/>
          </w:tcPr>
          <w:p w14:paraId="03F29B31" w14:textId="0A6E52CE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color w:val="FF0000"/>
              </w:rPr>
            </w:pPr>
            <w:r w:rsidRPr="001029FD">
              <w:rPr>
                <w:rFonts w:ascii="Book Antiqua" w:hAnsi="Book Antiqua" w:cstheme="minorHAnsi"/>
              </w:rPr>
              <w:t>253/263 (96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  <w:r w:rsidR="00B85160" w:rsidRPr="001029FD">
              <w:rPr>
                <w:rFonts w:ascii="Book Antiqua" w:hAnsi="Book Antiqua" w:cstheme="minorHAnsi"/>
                <w:vertAlign w:val="superscript"/>
              </w:rPr>
              <w:t>2</w:t>
            </w:r>
          </w:p>
        </w:tc>
      </w:tr>
      <w:tr w:rsidR="00B85160" w:rsidRPr="001029FD" w14:paraId="19E66B44" w14:textId="77777777" w:rsidTr="008848A9">
        <w:tc>
          <w:tcPr>
            <w:tcW w:w="0" w:type="auto"/>
          </w:tcPr>
          <w:p w14:paraId="1E8A2ADC" w14:textId="2DF775C2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1029FD">
              <w:rPr>
                <w:rFonts w:ascii="Book Antiqua" w:hAnsi="Book Antiqua" w:cstheme="minorHAnsi"/>
              </w:rPr>
              <w:t>Bourlière</w:t>
            </w:r>
            <w:proofErr w:type="spellEnd"/>
            <w:r w:rsidRPr="001029FD">
              <w:rPr>
                <w:rFonts w:ascii="Book Antiqua" w:hAnsi="Book Antiqua" w:cstheme="minorHAnsi"/>
              </w:rPr>
              <w:t xml:space="preserve"> </w:t>
            </w:r>
            <w:r w:rsidR="00A753D1" w:rsidRPr="001029FD">
              <w:rPr>
                <w:rFonts w:ascii="Book Antiqua" w:hAnsi="Book Antiqua" w:cstheme="minorHAnsi"/>
                <w:i/>
                <w:iCs/>
              </w:rPr>
              <w:t>et al</w:t>
            </w:r>
            <w:r w:rsidR="00B85160" w:rsidRPr="001029FD">
              <w:rPr>
                <w:rFonts w:ascii="Book Antiqua" w:hAnsi="Book Antiqua"/>
                <w:vertAlign w:val="superscript"/>
              </w:rPr>
              <w:t>[84]</w:t>
            </w:r>
            <w:r w:rsidR="00B85160" w:rsidRPr="001029FD">
              <w:rPr>
                <w:rFonts w:ascii="Book Antiqua" w:hAnsi="Book Antiqua"/>
                <w:vertAlign w:val="superscript"/>
                <w:lang w:eastAsia="zh-CN"/>
              </w:rPr>
              <w:t xml:space="preserve"> </w:t>
            </w:r>
            <w:r w:rsidRPr="001029FD">
              <w:rPr>
                <w:rFonts w:ascii="Book Antiqua" w:hAnsi="Book Antiqua" w:cstheme="minorHAnsi"/>
              </w:rPr>
              <w:t>(POLARIS-4)</w:t>
            </w:r>
            <w:r w:rsidR="00B85160" w:rsidRPr="001029FD">
              <w:rPr>
                <w:rFonts w:ascii="Book Antiqua" w:hAnsi="Book Antiqua" w:cstheme="minorHAnsi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359B05D3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182</w:t>
            </w:r>
          </w:p>
        </w:tc>
        <w:tc>
          <w:tcPr>
            <w:tcW w:w="0" w:type="auto"/>
          </w:tcPr>
          <w:p w14:paraId="173B4992" w14:textId="67ED14AA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  <w:color w:val="000000" w:themeColor="text1"/>
                <w:shd w:val="clear" w:color="auto" w:fill="FFFFFF"/>
              </w:rPr>
              <w:t xml:space="preserve">SOF/VEL/VOX, </w:t>
            </w:r>
            <w:r w:rsidRPr="001029FD">
              <w:rPr>
                <w:rFonts w:ascii="Book Antiqua" w:hAnsi="Book Antiqua" w:cstheme="minorHAnsi"/>
              </w:rPr>
              <w:t xml:space="preserve">12 </w:t>
            </w:r>
            <w:proofErr w:type="spellStart"/>
            <w:r w:rsidR="005019BA" w:rsidRPr="001029FD">
              <w:rPr>
                <w:rFonts w:ascii="Book Antiqua" w:hAnsi="Book Antiqua" w:cstheme="minorHAnsi"/>
              </w:rPr>
              <w:t>wk</w:t>
            </w:r>
            <w:proofErr w:type="spellEnd"/>
          </w:p>
        </w:tc>
        <w:tc>
          <w:tcPr>
            <w:tcW w:w="0" w:type="auto"/>
          </w:tcPr>
          <w:p w14:paraId="58821851" w14:textId="77777777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1-4</w:t>
            </w:r>
          </w:p>
        </w:tc>
        <w:tc>
          <w:tcPr>
            <w:tcW w:w="0" w:type="auto"/>
            <w:gridSpan w:val="4"/>
          </w:tcPr>
          <w:p w14:paraId="11EBB0B3" w14:textId="44332A20" w:rsidR="00931CEC" w:rsidRPr="001029FD" w:rsidRDefault="00931CEC" w:rsidP="0084785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1029FD">
              <w:rPr>
                <w:rFonts w:ascii="Book Antiqua" w:hAnsi="Book Antiqua" w:cstheme="minorHAnsi"/>
              </w:rPr>
              <w:t>178/182 (98</w:t>
            </w:r>
            <w:r w:rsidR="003D76D7" w:rsidRPr="001029FD">
              <w:rPr>
                <w:rFonts w:ascii="Book Antiqua" w:hAnsi="Book Antiqua" w:cstheme="minorHAnsi"/>
              </w:rPr>
              <w:t>.0</w:t>
            </w:r>
            <w:r w:rsidRPr="001029FD">
              <w:rPr>
                <w:rFonts w:ascii="Book Antiqua" w:hAnsi="Book Antiqua" w:cstheme="minorHAnsi"/>
              </w:rPr>
              <w:t>)</w:t>
            </w:r>
            <w:r w:rsidR="00B85160" w:rsidRPr="001029FD">
              <w:rPr>
                <w:rFonts w:ascii="Book Antiqua" w:hAnsi="Book Antiqua" w:cstheme="minorHAnsi"/>
                <w:vertAlign w:val="superscript"/>
              </w:rPr>
              <w:t>2</w:t>
            </w:r>
          </w:p>
        </w:tc>
      </w:tr>
    </w:tbl>
    <w:p w14:paraId="407EE415" w14:textId="77777777" w:rsidR="003952C3" w:rsidRPr="001029FD" w:rsidRDefault="00B85160" w:rsidP="0084785E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color w:val="000000" w:themeColor="text1"/>
          <w:shd w:val="clear" w:color="auto" w:fill="FFFFFF"/>
        </w:rPr>
      </w:pPr>
      <w:r w:rsidRPr="001029FD">
        <w:rPr>
          <w:rFonts w:ascii="Book Antiqua" w:hAnsi="Book Antiqua" w:cstheme="minorHAnsi"/>
          <w:color w:val="000000" w:themeColor="text1"/>
          <w:shd w:val="clear" w:color="auto" w:fill="FFFFFF"/>
          <w:vertAlign w:val="superscript"/>
        </w:rPr>
        <w:t>1</w:t>
      </w:r>
      <w:r w:rsidRPr="001029FD">
        <w:t>I</w:t>
      </w:r>
      <w:r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ntent-to-treat analysis (no data for modified intent-to-treat analysis).</w:t>
      </w:r>
    </w:p>
    <w:p w14:paraId="4B3802FD" w14:textId="77777777" w:rsidR="003952C3" w:rsidRPr="001029FD" w:rsidRDefault="00B85160" w:rsidP="0084785E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shd w:val="clear" w:color="auto" w:fill="FFFFFF"/>
        </w:rPr>
      </w:pPr>
      <w:r w:rsidRPr="001029FD">
        <w:rPr>
          <w:rFonts w:ascii="Book Antiqua" w:hAnsi="Book Antiqua" w:cstheme="minorHAnsi"/>
          <w:shd w:val="clear" w:color="auto" w:fill="FFFFFF"/>
          <w:vertAlign w:val="superscript"/>
        </w:rPr>
        <w:t>2</w:t>
      </w:r>
      <w:r w:rsidRPr="001029FD">
        <w:rPr>
          <w:rFonts w:ascii="Book Antiqua" w:hAnsi="Book Antiqua" w:cstheme="minorHAnsi"/>
          <w:shd w:val="clear" w:color="auto" w:fill="FFFFFF"/>
        </w:rPr>
        <w:t>A</w:t>
      </w:r>
      <w:r w:rsidR="00931CEC" w:rsidRPr="001029FD">
        <w:rPr>
          <w:rFonts w:ascii="Book Antiqua" w:hAnsi="Book Antiqua" w:cstheme="minorHAnsi"/>
          <w:shd w:val="clear" w:color="auto" w:fill="FFFFFF"/>
        </w:rPr>
        <w:t xml:space="preserve">ll analyzed patients were previously treated with a </w:t>
      </w:r>
      <w:r w:rsidRPr="001029FD">
        <w:rPr>
          <w:rFonts w:ascii="Book Antiqua" w:hAnsi="Book Antiqua" w:cstheme="minorHAnsi"/>
          <w:shd w:val="clear" w:color="auto" w:fill="FFFFFF"/>
        </w:rPr>
        <w:t>direct</w:t>
      </w:r>
      <w:r w:rsidR="005675C7" w:rsidRPr="001029FD">
        <w:rPr>
          <w:rFonts w:ascii="Book Antiqua" w:hAnsi="Book Antiqua" w:cstheme="minorHAnsi"/>
          <w:shd w:val="clear" w:color="auto" w:fill="FFFFFF"/>
        </w:rPr>
        <w:t>-acting</w:t>
      </w:r>
      <w:r w:rsidRPr="001029FD">
        <w:rPr>
          <w:rFonts w:ascii="Book Antiqua" w:hAnsi="Book Antiqua" w:cstheme="minorHAnsi"/>
          <w:shd w:val="clear" w:color="auto" w:fill="FFFFFF"/>
        </w:rPr>
        <w:t xml:space="preserve"> antiviral</w:t>
      </w:r>
      <w:r w:rsidR="00931CEC" w:rsidRPr="001029FD">
        <w:rPr>
          <w:rFonts w:ascii="Book Antiqua" w:hAnsi="Book Antiqua" w:cstheme="minorHAnsi"/>
          <w:shd w:val="clear" w:color="auto" w:fill="FFFFFF"/>
        </w:rPr>
        <w:t>-containing regimen</w:t>
      </w:r>
      <w:r w:rsidRPr="001029FD">
        <w:rPr>
          <w:rFonts w:ascii="Book Antiqua" w:hAnsi="Book Antiqua" w:cstheme="minorHAnsi"/>
          <w:shd w:val="clear" w:color="auto" w:fill="FFFFFF"/>
        </w:rPr>
        <w:t>.</w:t>
      </w:r>
      <w:r w:rsidR="005675C7" w:rsidRPr="001029FD">
        <w:rPr>
          <w:rFonts w:ascii="Book Antiqua" w:hAnsi="Book Antiqua" w:cstheme="minorHAnsi"/>
          <w:shd w:val="clear" w:color="auto" w:fill="FFFFFF"/>
        </w:rPr>
        <w:t xml:space="preserve"> </w:t>
      </w:r>
    </w:p>
    <w:p w14:paraId="44B68E8D" w14:textId="77777777" w:rsidR="001029FD" w:rsidRPr="001029FD" w:rsidRDefault="00931CEC" w:rsidP="0084785E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color w:val="000000" w:themeColor="text1"/>
          <w:shd w:val="clear" w:color="auto" w:fill="FFFFFF"/>
        </w:rPr>
        <w:sectPr w:rsidR="001029FD" w:rsidRPr="001029FD" w:rsidSect="00931CE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029FD">
        <w:rPr>
          <w:rFonts w:ascii="Book Antiqua" w:hAnsi="Book Antiqua" w:cstheme="minorHAnsi"/>
          <w:shd w:val="clear" w:color="auto" w:fill="FFFFFF"/>
        </w:rPr>
        <w:t>DCV</w:t>
      </w:r>
      <w:r w:rsidR="0076113E" w:rsidRPr="001029FD">
        <w:rPr>
          <w:rFonts w:ascii="Book Antiqua" w:hAnsi="Book Antiqua" w:cstheme="minorHAnsi"/>
          <w:shd w:val="clear" w:color="auto" w:fill="FFFFFF"/>
        </w:rPr>
        <w:t>:</w:t>
      </w:r>
      <w:r w:rsidRPr="001029FD">
        <w:rPr>
          <w:rFonts w:ascii="Book Antiqua" w:hAnsi="Book Antiqua" w:cstheme="minorHAnsi"/>
          <w:shd w:val="clear" w:color="auto" w:fill="FFFFFF"/>
        </w:rPr>
        <w:t xml:space="preserve"> </w:t>
      </w:r>
      <w:r w:rsidR="0076113E" w:rsidRPr="001029FD">
        <w:rPr>
          <w:rFonts w:ascii="Book Antiqua" w:hAnsi="Book Antiqua" w:cstheme="minorHAnsi"/>
          <w:shd w:val="clear" w:color="auto" w:fill="FFFFFF"/>
        </w:rPr>
        <w:t>D</w:t>
      </w:r>
      <w:r w:rsidRPr="001029FD">
        <w:rPr>
          <w:rFonts w:ascii="Book Antiqua" w:hAnsi="Book Antiqua" w:cstheme="minorHAnsi"/>
          <w:shd w:val="clear" w:color="auto" w:fill="FFFFFF"/>
        </w:rPr>
        <w:t>aclatasvir; GLE</w:t>
      </w:r>
      <w:r w:rsidR="0076113E" w:rsidRPr="001029FD">
        <w:rPr>
          <w:rFonts w:ascii="Book Antiqua" w:hAnsi="Book Antiqua" w:cstheme="minorHAnsi"/>
          <w:shd w:val="clear" w:color="auto" w:fill="FFFFFF"/>
        </w:rPr>
        <w:t>:</w:t>
      </w:r>
      <w:r w:rsidRPr="001029FD">
        <w:rPr>
          <w:rFonts w:ascii="Book Antiqua" w:hAnsi="Book Antiqua" w:cstheme="minorHAnsi"/>
          <w:shd w:val="clear" w:color="auto" w:fill="FFFFFF"/>
        </w:rPr>
        <w:t xml:space="preserve"> </w:t>
      </w:r>
      <w:proofErr w:type="spellStart"/>
      <w:r w:rsidR="0076113E" w:rsidRPr="001029FD">
        <w:rPr>
          <w:rFonts w:ascii="Book Antiqua" w:hAnsi="Book Antiqua" w:cstheme="minorHAnsi"/>
          <w:shd w:val="clear" w:color="auto" w:fill="FFFFFF"/>
        </w:rPr>
        <w:t>G</w:t>
      </w:r>
      <w:r w:rsidRPr="001029FD">
        <w:rPr>
          <w:rFonts w:ascii="Book Antiqua" w:hAnsi="Book Antiqua" w:cstheme="minorHAnsi"/>
          <w:shd w:val="clear" w:color="auto" w:fill="FFFFFF"/>
        </w:rPr>
        <w:t>lecaprevir</w:t>
      </w:r>
      <w:proofErr w:type="spellEnd"/>
      <w:r w:rsidRPr="001029FD">
        <w:rPr>
          <w:rFonts w:ascii="Book Antiqua" w:hAnsi="Book Antiqua" w:cstheme="minorHAnsi"/>
          <w:shd w:val="clear" w:color="auto" w:fill="FFFFFF"/>
        </w:rPr>
        <w:t xml:space="preserve">; </w:t>
      </w:r>
      <w:r w:rsidR="00083491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GT: Genotype</w:t>
      </w:r>
      <w:r w:rsidR="00083491" w:rsidRPr="001029FD">
        <w:rPr>
          <w:rFonts w:ascii="Book Antiqua" w:hAnsi="Book Antiqua" w:cstheme="minorHAnsi"/>
          <w:shd w:val="clear" w:color="auto" w:fill="FFFFFF"/>
        </w:rPr>
        <w:t xml:space="preserve">; </w:t>
      </w:r>
      <w:proofErr w:type="spellStart"/>
      <w:r w:rsidR="00083491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mITT</w:t>
      </w:r>
      <w:proofErr w:type="spellEnd"/>
      <w:r w:rsidR="00083491"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: Modified intention-to-treat;</w:t>
      </w:r>
      <w:r w:rsidR="00083491" w:rsidRPr="001029FD">
        <w:rPr>
          <w:rFonts w:ascii="Book Antiqua" w:hAnsi="Book Antiqua" w:cstheme="minorHAnsi"/>
          <w:shd w:val="clear" w:color="auto" w:fill="FFFFFF"/>
        </w:rPr>
        <w:t xml:space="preserve"> </w:t>
      </w:r>
      <w:r w:rsidRPr="001029FD">
        <w:rPr>
          <w:rFonts w:ascii="Book Antiqua" w:hAnsi="Book Antiqua" w:cstheme="minorHAnsi"/>
          <w:shd w:val="clear" w:color="auto" w:fill="FFFFFF"/>
        </w:rPr>
        <w:t>PIB</w:t>
      </w:r>
      <w:r w:rsidR="0076113E" w:rsidRPr="001029FD">
        <w:rPr>
          <w:rFonts w:ascii="Book Antiqua" w:hAnsi="Book Antiqua" w:cstheme="minorHAnsi"/>
          <w:shd w:val="clear" w:color="auto" w:fill="FFFFFF"/>
        </w:rPr>
        <w:t>:</w:t>
      </w:r>
      <w:r w:rsidRPr="001029FD">
        <w:rPr>
          <w:rFonts w:ascii="Book Antiqua" w:hAnsi="Book Antiqua" w:cstheme="minorHAnsi"/>
          <w:shd w:val="clear" w:color="auto" w:fill="FFFFFF"/>
        </w:rPr>
        <w:t xml:space="preserve"> </w:t>
      </w:r>
      <w:proofErr w:type="spellStart"/>
      <w:r w:rsidR="0076113E" w:rsidRPr="001029FD">
        <w:rPr>
          <w:rFonts w:ascii="Book Antiqua" w:hAnsi="Book Antiqua" w:cstheme="minorHAnsi"/>
          <w:shd w:val="clear" w:color="auto" w:fill="FFFFFF"/>
        </w:rPr>
        <w:t>P</w:t>
      </w:r>
      <w:r w:rsidRPr="001029FD">
        <w:rPr>
          <w:rFonts w:ascii="Book Antiqua" w:hAnsi="Book Antiqua" w:cstheme="minorHAnsi"/>
          <w:shd w:val="clear" w:color="auto" w:fill="FFFFFF"/>
        </w:rPr>
        <w:t>ibrentasvir</w:t>
      </w:r>
      <w:proofErr w:type="spellEnd"/>
      <w:r w:rsidRPr="001029FD">
        <w:rPr>
          <w:rFonts w:ascii="Book Antiqua" w:hAnsi="Book Antiqua" w:cstheme="minorHAnsi"/>
          <w:shd w:val="clear" w:color="auto" w:fill="FFFFFF"/>
        </w:rPr>
        <w:t xml:space="preserve">; </w:t>
      </w:r>
      <w:r w:rsidR="00083491" w:rsidRPr="001029FD">
        <w:rPr>
          <w:rFonts w:ascii="Book Antiqua" w:hAnsi="Book Antiqua" w:cstheme="minorHAnsi"/>
          <w:shd w:val="clear" w:color="auto" w:fill="FFFFFF"/>
        </w:rPr>
        <w:t xml:space="preserve">RBV: Ribavirin; SOF: Sofosbuvir; </w:t>
      </w:r>
      <w:r w:rsidRPr="001029FD">
        <w:rPr>
          <w:rFonts w:ascii="Book Antiqua" w:hAnsi="Book Antiqua" w:cstheme="minorHAnsi"/>
          <w:shd w:val="clear" w:color="auto" w:fill="FFFFFF"/>
        </w:rPr>
        <w:t>SVR</w:t>
      </w:r>
      <w:r w:rsidR="0076113E" w:rsidRPr="001029FD">
        <w:rPr>
          <w:rFonts w:ascii="Book Antiqua" w:hAnsi="Book Antiqua" w:cstheme="minorHAnsi"/>
          <w:shd w:val="clear" w:color="auto" w:fill="FFFFFF"/>
        </w:rPr>
        <w:t>:</w:t>
      </w:r>
      <w:r w:rsidRPr="001029FD">
        <w:rPr>
          <w:rFonts w:ascii="Book Antiqua" w:hAnsi="Book Antiqua" w:cstheme="minorHAnsi"/>
          <w:shd w:val="clear" w:color="auto" w:fill="FFFFFF"/>
        </w:rPr>
        <w:t xml:space="preserve"> </w:t>
      </w:r>
      <w:r w:rsidR="0076113E" w:rsidRPr="001029FD">
        <w:rPr>
          <w:rFonts w:ascii="Book Antiqua" w:hAnsi="Book Antiqua" w:cstheme="minorHAnsi"/>
          <w:shd w:val="clear" w:color="auto" w:fill="FFFFFF"/>
        </w:rPr>
        <w:t>S</w:t>
      </w:r>
      <w:r w:rsidRPr="001029FD">
        <w:rPr>
          <w:rFonts w:ascii="Book Antiqua" w:hAnsi="Book Antiqua" w:cstheme="minorHAnsi"/>
          <w:shd w:val="clear" w:color="auto" w:fill="FFFFFF"/>
        </w:rPr>
        <w:t xml:space="preserve">ustained virological response; </w:t>
      </w:r>
      <w:r w:rsidR="00083491" w:rsidRPr="001029FD">
        <w:rPr>
          <w:rFonts w:ascii="Book Antiqua" w:hAnsi="Book Antiqua" w:cstheme="minorHAnsi"/>
          <w:shd w:val="clear" w:color="auto" w:fill="FFFFFF"/>
        </w:rPr>
        <w:t xml:space="preserve">VEL: </w:t>
      </w:r>
      <w:proofErr w:type="spellStart"/>
      <w:r w:rsidR="00083491" w:rsidRPr="001029FD">
        <w:rPr>
          <w:rFonts w:ascii="Book Antiqua" w:hAnsi="Book Antiqua" w:cstheme="minorHAnsi"/>
          <w:shd w:val="clear" w:color="auto" w:fill="FFFFFF"/>
        </w:rPr>
        <w:t>Velpatasvir</w:t>
      </w:r>
      <w:proofErr w:type="spellEnd"/>
      <w:r w:rsidR="00083491" w:rsidRPr="001029FD">
        <w:rPr>
          <w:rFonts w:ascii="Book Antiqua" w:hAnsi="Book Antiqua" w:cstheme="minorHAnsi"/>
          <w:shd w:val="clear" w:color="auto" w:fill="FFFFFF"/>
        </w:rPr>
        <w:t xml:space="preserve">; VOX: </w:t>
      </w:r>
      <w:proofErr w:type="spellStart"/>
      <w:r w:rsidR="00083491" w:rsidRPr="001029FD">
        <w:rPr>
          <w:rFonts w:ascii="Book Antiqua" w:hAnsi="Book Antiqua" w:cstheme="minorHAnsi"/>
          <w:shd w:val="clear" w:color="auto" w:fill="FFFFFF"/>
        </w:rPr>
        <w:t>Voxilaprevir</w:t>
      </w:r>
      <w:proofErr w:type="spellEnd"/>
      <w:r w:rsidRPr="001029FD">
        <w:rPr>
          <w:rFonts w:ascii="Book Antiqua" w:hAnsi="Book Antiqua" w:cstheme="minorHAnsi"/>
          <w:color w:val="000000" w:themeColor="text1"/>
          <w:shd w:val="clear" w:color="auto" w:fill="FFFFFF"/>
        </w:rPr>
        <w:t>.</w:t>
      </w:r>
    </w:p>
    <w:p w14:paraId="2A87A1C6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3055E7A5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AA4800D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3D16E21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47AC80C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  <w:r w:rsidRPr="001029FD">
        <w:rPr>
          <w:rFonts w:ascii="Book Antiqua" w:hAnsi="Book Antiqua"/>
          <w:noProof/>
          <w:lang w:eastAsia="zh-CN"/>
        </w:rPr>
        <w:drawing>
          <wp:inline distT="0" distB="0" distL="0" distR="0" wp14:anchorId="3953E8F3" wp14:editId="631C900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948F5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D509540" w14:textId="77777777" w:rsidR="001029FD" w:rsidRPr="001029FD" w:rsidRDefault="001029FD" w:rsidP="001029FD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1029FD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1029F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1029F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77AA592" w14:textId="77777777" w:rsidR="001029FD" w:rsidRPr="001029FD" w:rsidRDefault="001029FD" w:rsidP="001029F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1029FD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72EAC68" w14:textId="77777777" w:rsidR="001029FD" w:rsidRPr="001029FD" w:rsidRDefault="001029FD" w:rsidP="001029F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1029F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1029FD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498C781" w14:textId="77777777" w:rsidR="001029FD" w:rsidRPr="001029FD" w:rsidRDefault="001029FD" w:rsidP="001029F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1029F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1029FD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42A82C5" w14:textId="77777777" w:rsidR="001029FD" w:rsidRPr="001029FD" w:rsidRDefault="001029FD" w:rsidP="001029FD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1029FD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proofErr w:type="gramStart"/>
      <w:r w:rsidRPr="001029FD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  <w:proofErr w:type="gramEnd"/>
    </w:p>
    <w:p w14:paraId="5DE7906A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  <w:r w:rsidRPr="001029FD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79C0BFA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8424A6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07EE24C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EBC7052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  <w:r w:rsidRPr="001029FD">
        <w:rPr>
          <w:rFonts w:ascii="Book Antiqua" w:hAnsi="Book Antiqua"/>
          <w:noProof/>
          <w:lang w:eastAsia="zh-CN"/>
        </w:rPr>
        <w:drawing>
          <wp:inline distT="0" distB="0" distL="0" distR="0" wp14:anchorId="59CDA5D8" wp14:editId="416038B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FD84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637104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2F38BE8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44B1ADF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052C3D1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22EE47E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009F1F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EE550EF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E5ED795" w14:textId="77777777" w:rsidR="001029FD" w:rsidRPr="001029FD" w:rsidRDefault="001029FD" w:rsidP="001029FD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7816B96" w14:textId="77777777" w:rsidR="001029FD" w:rsidRPr="001029FD" w:rsidRDefault="001029FD" w:rsidP="001029FD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4B092817" w14:textId="77777777" w:rsidR="001029FD" w:rsidRPr="00763D22" w:rsidRDefault="001029FD" w:rsidP="001029FD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1029FD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 w:rsidRPr="001029FD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1029FD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1029FD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1029FD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1029FD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14B9614C" w14:textId="3FE83B4E" w:rsidR="00931CEC" w:rsidRPr="0084785E" w:rsidRDefault="00931CEC" w:rsidP="0084785E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color w:val="000000" w:themeColor="text1"/>
          <w:shd w:val="clear" w:color="auto" w:fill="FFFFFF"/>
        </w:rPr>
      </w:pPr>
    </w:p>
    <w:sectPr w:rsidR="00931CEC" w:rsidRPr="0084785E" w:rsidSect="00BD7A2A">
      <w:foot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1780" w14:textId="77777777" w:rsidR="00B44893" w:rsidRDefault="00B44893" w:rsidP="00865C50">
      <w:r>
        <w:separator/>
      </w:r>
    </w:p>
  </w:endnote>
  <w:endnote w:type="continuationSeparator" w:id="0">
    <w:p w14:paraId="05393D9D" w14:textId="77777777" w:rsidR="00B44893" w:rsidRDefault="00B44893" w:rsidP="0086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790665660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05D2DFD" w14:textId="1F68475B" w:rsidR="00865C50" w:rsidRPr="007A2D9A" w:rsidRDefault="00865C50" w:rsidP="007A2D9A">
            <w:pPr>
              <w:pStyle w:val="ac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A2D9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A2D9A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A2D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7A2D9A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7A2D9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A2D9A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A2D9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A2D9A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A2D9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7A2D9A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7A2D9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36DB2BB" w14:textId="77777777" w:rsidR="001204A0" w:rsidRDefault="00000000" w:rsidP="00134D22">
            <w:pPr>
              <w:pStyle w:val="ac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>
              <w:rPr>
                <w:lang w:val="zh-CN" w:eastAsia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E8461" w14:textId="77777777" w:rsidR="001204A0" w:rsidRDefault="000000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7DA1" w14:textId="77777777" w:rsidR="00B44893" w:rsidRDefault="00B44893" w:rsidP="00865C50">
      <w:r>
        <w:separator/>
      </w:r>
    </w:p>
  </w:footnote>
  <w:footnote w:type="continuationSeparator" w:id="0">
    <w:p w14:paraId="00EC4CC2" w14:textId="77777777" w:rsidR="00B44893" w:rsidRDefault="00B44893" w:rsidP="0086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S427G577C868Z689"/>
    <w:docVar w:name="paperpile-doc-name" w:val="FP7387_ce16_CE1MS_QC.docx"/>
  </w:docVars>
  <w:rsids>
    <w:rsidRoot w:val="00A77B3E"/>
    <w:rsid w:val="00020C6B"/>
    <w:rsid w:val="0002265C"/>
    <w:rsid w:val="00026A8B"/>
    <w:rsid w:val="00065F48"/>
    <w:rsid w:val="00083491"/>
    <w:rsid w:val="00090043"/>
    <w:rsid w:val="00090C23"/>
    <w:rsid w:val="000A2CCD"/>
    <w:rsid w:val="000B2E8C"/>
    <w:rsid w:val="000D317D"/>
    <w:rsid w:val="000E7D77"/>
    <w:rsid w:val="001029FD"/>
    <w:rsid w:val="00113DD1"/>
    <w:rsid w:val="001C41C9"/>
    <w:rsid w:val="001D0EB1"/>
    <w:rsid w:val="001E169A"/>
    <w:rsid w:val="00205736"/>
    <w:rsid w:val="00274EC2"/>
    <w:rsid w:val="0027575B"/>
    <w:rsid w:val="002807F3"/>
    <w:rsid w:val="00280E58"/>
    <w:rsid w:val="002B129D"/>
    <w:rsid w:val="003437CC"/>
    <w:rsid w:val="00362D81"/>
    <w:rsid w:val="00363B05"/>
    <w:rsid w:val="003700FD"/>
    <w:rsid w:val="003952C3"/>
    <w:rsid w:val="003B4B30"/>
    <w:rsid w:val="003D76D7"/>
    <w:rsid w:val="003E7592"/>
    <w:rsid w:val="003F026C"/>
    <w:rsid w:val="003F3E4B"/>
    <w:rsid w:val="00405FC0"/>
    <w:rsid w:val="00420B1A"/>
    <w:rsid w:val="00424256"/>
    <w:rsid w:val="00462EFD"/>
    <w:rsid w:val="004A0474"/>
    <w:rsid w:val="004F6EA9"/>
    <w:rsid w:val="00500EE6"/>
    <w:rsid w:val="005019BA"/>
    <w:rsid w:val="00510C1F"/>
    <w:rsid w:val="00545155"/>
    <w:rsid w:val="005675C7"/>
    <w:rsid w:val="005F2B45"/>
    <w:rsid w:val="005F7F20"/>
    <w:rsid w:val="00612859"/>
    <w:rsid w:val="006F4FE0"/>
    <w:rsid w:val="006F73C0"/>
    <w:rsid w:val="00702542"/>
    <w:rsid w:val="00706753"/>
    <w:rsid w:val="0071168B"/>
    <w:rsid w:val="00711AF5"/>
    <w:rsid w:val="0076113E"/>
    <w:rsid w:val="007A2D9A"/>
    <w:rsid w:val="007B38AD"/>
    <w:rsid w:val="007F72B6"/>
    <w:rsid w:val="0080029E"/>
    <w:rsid w:val="00815257"/>
    <w:rsid w:val="0084785E"/>
    <w:rsid w:val="008607F1"/>
    <w:rsid w:val="00865C50"/>
    <w:rsid w:val="008848A9"/>
    <w:rsid w:val="008A4B32"/>
    <w:rsid w:val="00931645"/>
    <w:rsid w:val="00931CEC"/>
    <w:rsid w:val="009400C0"/>
    <w:rsid w:val="00A246AF"/>
    <w:rsid w:val="00A54753"/>
    <w:rsid w:val="00A753D1"/>
    <w:rsid w:val="00A77B3E"/>
    <w:rsid w:val="00AB6CA6"/>
    <w:rsid w:val="00AD5722"/>
    <w:rsid w:val="00AE4E5B"/>
    <w:rsid w:val="00B35AB4"/>
    <w:rsid w:val="00B44893"/>
    <w:rsid w:val="00B85160"/>
    <w:rsid w:val="00C14EC0"/>
    <w:rsid w:val="00C24340"/>
    <w:rsid w:val="00C34029"/>
    <w:rsid w:val="00C36090"/>
    <w:rsid w:val="00C6187B"/>
    <w:rsid w:val="00C813C1"/>
    <w:rsid w:val="00C9777F"/>
    <w:rsid w:val="00CA2A55"/>
    <w:rsid w:val="00CC6D48"/>
    <w:rsid w:val="00CF0C61"/>
    <w:rsid w:val="00D07D92"/>
    <w:rsid w:val="00D545F7"/>
    <w:rsid w:val="00DB08A6"/>
    <w:rsid w:val="00DB2560"/>
    <w:rsid w:val="00E27E22"/>
    <w:rsid w:val="00E8628F"/>
    <w:rsid w:val="00E90DE7"/>
    <w:rsid w:val="00E96615"/>
    <w:rsid w:val="00EC7696"/>
    <w:rsid w:val="00ED4F35"/>
    <w:rsid w:val="00ED7694"/>
    <w:rsid w:val="00EE2465"/>
    <w:rsid w:val="00F2278B"/>
    <w:rsid w:val="00F65B0B"/>
    <w:rsid w:val="00F94907"/>
    <w:rsid w:val="00FA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CE59A"/>
  <w15:docId w15:val="{BD44BB04-5EC9-44DD-9A02-54D0C5F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p4f531fe1colour">
    <w:name w:val="gwp4f531fe1colour"/>
    <w:basedOn w:val="a0"/>
  </w:style>
  <w:style w:type="character" w:customStyle="1" w:styleId="y2iqfc">
    <w:name w:val="y2iqfc"/>
    <w:basedOn w:val="a0"/>
  </w:style>
  <w:style w:type="character" w:customStyle="1" w:styleId="markedcontent">
    <w:name w:val="markedcontent"/>
    <w:basedOn w:val="a0"/>
  </w:style>
  <w:style w:type="numbering" w:customStyle="1" w:styleId="1">
    <w:name w:val="无列表1"/>
    <w:next w:val="a2"/>
    <w:uiPriority w:val="99"/>
    <w:semiHidden/>
    <w:unhideWhenUsed/>
    <w:rsid w:val="004F6EA9"/>
  </w:style>
  <w:style w:type="paragraph" w:customStyle="1" w:styleId="msonormal0">
    <w:name w:val="msonormal"/>
    <w:basedOn w:val="a"/>
    <w:rsid w:val="004F6EA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3">
    <w:name w:val="Normal (Web)"/>
    <w:basedOn w:val="a"/>
    <w:uiPriority w:val="99"/>
    <w:semiHidden/>
    <w:unhideWhenUsed/>
    <w:rsid w:val="004F6EA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4F6EA9"/>
  </w:style>
  <w:style w:type="character" w:styleId="a4">
    <w:name w:val="annotation reference"/>
    <w:basedOn w:val="a0"/>
    <w:semiHidden/>
    <w:unhideWhenUsed/>
    <w:rsid w:val="005F7F20"/>
    <w:rPr>
      <w:sz w:val="21"/>
      <w:szCs w:val="21"/>
    </w:rPr>
  </w:style>
  <w:style w:type="paragraph" w:styleId="a5">
    <w:name w:val="annotation text"/>
    <w:basedOn w:val="a"/>
    <w:link w:val="a6"/>
    <w:unhideWhenUsed/>
    <w:rsid w:val="005F7F20"/>
  </w:style>
  <w:style w:type="character" w:customStyle="1" w:styleId="a6">
    <w:name w:val="批注文字 字符"/>
    <w:basedOn w:val="a0"/>
    <w:link w:val="a5"/>
    <w:rsid w:val="005F7F20"/>
    <w:rPr>
      <w:sz w:val="24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5F7F20"/>
    <w:rPr>
      <w:b/>
      <w:bCs/>
    </w:rPr>
  </w:style>
  <w:style w:type="character" w:customStyle="1" w:styleId="a8">
    <w:name w:val="批注主题 字符"/>
    <w:basedOn w:val="a6"/>
    <w:link w:val="a7"/>
    <w:semiHidden/>
    <w:rsid w:val="005F7F20"/>
    <w:rPr>
      <w:b/>
      <w:bCs/>
      <w:sz w:val="24"/>
      <w:szCs w:val="24"/>
    </w:rPr>
  </w:style>
  <w:style w:type="table" w:styleId="a9">
    <w:name w:val="Table Grid"/>
    <w:basedOn w:val="a1"/>
    <w:uiPriority w:val="39"/>
    <w:rsid w:val="00931CEC"/>
    <w:rPr>
      <w:rFonts w:ascii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86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865C5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865C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865C50"/>
    <w:rPr>
      <w:sz w:val="18"/>
      <w:szCs w:val="18"/>
    </w:rPr>
  </w:style>
  <w:style w:type="paragraph" w:styleId="ae">
    <w:name w:val="Revision"/>
    <w:hidden/>
    <w:uiPriority w:val="99"/>
    <w:semiHidden/>
    <w:rsid w:val="00D07D92"/>
    <w:rPr>
      <w:sz w:val="24"/>
      <w:szCs w:val="24"/>
    </w:rPr>
  </w:style>
  <w:style w:type="character" w:styleId="af">
    <w:name w:val="Hyperlink"/>
    <w:basedOn w:val="a0"/>
    <w:unhideWhenUsed/>
    <w:rsid w:val="001029F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0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007-9327/full/v29/i6/949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14328</Words>
  <Characters>81676</Characters>
  <Application>Microsoft Office Word</Application>
  <DocSecurity>0</DocSecurity>
  <Lines>680</Lines>
  <Paragraphs>191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michaluk</dc:creator>
  <cp:lastModifiedBy>Li Jia-Hui</cp:lastModifiedBy>
  <cp:revision>8</cp:revision>
  <dcterms:created xsi:type="dcterms:W3CDTF">2023-01-15T21:51:00Z</dcterms:created>
  <dcterms:modified xsi:type="dcterms:W3CDTF">2023-02-07T01:17:00Z</dcterms:modified>
</cp:coreProperties>
</file>