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E7ECF" w14:textId="5A5C526C" w:rsidR="00A77B3E" w:rsidRPr="009A3C92" w:rsidRDefault="00202141">
      <w:pPr>
        <w:spacing w:line="360" w:lineRule="auto"/>
        <w:jc w:val="both"/>
      </w:pPr>
      <w:r w:rsidRPr="009A3C92">
        <w:rPr>
          <w:rFonts w:ascii="Book Antiqua" w:eastAsia="Book Antiqua" w:hAnsi="Book Antiqua" w:cs="Book Antiqua"/>
          <w:b/>
        </w:rPr>
        <w:t>Name</w:t>
      </w:r>
      <w:r w:rsidR="008E3348" w:rsidRPr="009A3C92">
        <w:rPr>
          <w:rFonts w:ascii="Book Antiqua" w:eastAsia="Book Antiqua" w:hAnsi="Book Antiqua" w:cs="Book Antiqua"/>
          <w:b/>
        </w:rPr>
        <w:t xml:space="preserve"> </w:t>
      </w:r>
      <w:r w:rsidRPr="009A3C92">
        <w:rPr>
          <w:rFonts w:ascii="Book Antiqua" w:eastAsia="Book Antiqua" w:hAnsi="Book Antiqua" w:cs="Book Antiqua"/>
          <w:b/>
        </w:rPr>
        <w:t>of</w:t>
      </w:r>
      <w:r w:rsidR="008E3348" w:rsidRPr="009A3C92">
        <w:rPr>
          <w:rFonts w:ascii="Book Antiqua" w:eastAsia="Book Antiqua" w:hAnsi="Book Antiqua" w:cs="Book Antiqua"/>
          <w:b/>
        </w:rPr>
        <w:t xml:space="preserve"> </w:t>
      </w:r>
      <w:r w:rsidRPr="009A3C92">
        <w:rPr>
          <w:rFonts w:ascii="Book Antiqua" w:eastAsia="Book Antiqua" w:hAnsi="Book Antiqua" w:cs="Book Antiqua"/>
          <w:b/>
        </w:rPr>
        <w:t>Journal:</w:t>
      </w:r>
      <w:r w:rsidR="008E3348" w:rsidRPr="009A3C92">
        <w:rPr>
          <w:rFonts w:ascii="Book Antiqua" w:eastAsia="Book Antiqua" w:hAnsi="Book Antiqua" w:cs="Book Antiqua"/>
          <w:b/>
        </w:rPr>
        <w:t xml:space="preserve"> </w:t>
      </w:r>
      <w:r w:rsidRPr="009A3C92">
        <w:rPr>
          <w:rFonts w:ascii="Book Antiqua" w:eastAsia="Book Antiqua" w:hAnsi="Book Antiqua" w:cs="Book Antiqua"/>
          <w:i/>
        </w:rPr>
        <w:t>World</w:t>
      </w:r>
      <w:r w:rsidR="008E3348" w:rsidRPr="009A3C92">
        <w:rPr>
          <w:rFonts w:ascii="Book Antiqua" w:eastAsia="Book Antiqua" w:hAnsi="Book Antiqua" w:cs="Book Antiqua"/>
          <w:i/>
        </w:rPr>
        <w:t xml:space="preserve"> </w:t>
      </w:r>
      <w:r w:rsidRPr="009A3C92">
        <w:rPr>
          <w:rFonts w:ascii="Book Antiqua" w:eastAsia="Book Antiqua" w:hAnsi="Book Antiqua" w:cs="Book Antiqua"/>
          <w:i/>
        </w:rPr>
        <w:t>Journal</w:t>
      </w:r>
      <w:r w:rsidR="008E3348" w:rsidRPr="009A3C92">
        <w:rPr>
          <w:rFonts w:ascii="Book Antiqua" w:eastAsia="Book Antiqua" w:hAnsi="Book Antiqua" w:cs="Book Antiqua"/>
          <w:i/>
        </w:rPr>
        <w:t xml:space="preserve"> </w:t>
      </w:r>
      <w:r w:rsidRPr="009A3C92">
        <w:rPr>
          <w:rFonts w:ascii="Book Antiqua" w:eastAsia="Book Antiqua" w:hAnsi="Book Antiqua" w:cs="Book Antiqua"/>
          <w:i/>
        </w:rPr>
        <w:t>of</w:t>
      </w:r>
      <w:r w:rsidR="008E3348" w:rsidRPr="009A3C92">
        <w:rPr>
          <w:rFonts w:ascii="Book Antiqua" w:eastAsia="Book Antiqua" w:hAnsi="Book Antiqua" w:cs="Book Antiqua"/>
          <w:i/>
        </w:rPr>
        <w:t xml:space="preserve"> </w:t>
      </w:r>
      <w:r w:rsidRPr="009A3C92">
        <w:rPr>
          <w:rFonts w:ascii="Book Antiqua" w:eastAsia="Book Antiqua" w:hAnsi="Book Antiqua" w:cs="Book Antiqua"/>
          <w:i/>
        </w:rPr>
        <w:t>Gastroenterology</w:t>
      </w:r>
    </w:p>
    <w:p w14:paraId="3F13CC3A" w14:textId="0351C193" w:rsidR="00A77B3E" w:rsidRPr="009A3C92" w:rsidRDefault="00202141">
      <w:pPr>
        <w:spacing w:line="360" w:lineRule="auto"/>
        <w:jc w:val="both"/>
      </w:pPr>
      <w:r w:rsidRPr="009A3C92">
        <w:rPr>
          <w:rFonts w:ascii="Book Antiqua" w:eastAsia="Book Antiqua" w:hAnsi="Book Antiqua" w:cs="Book Antiqua"/>
          <w:b/>
        </w:rPr>
        <w:t>Manuscript</w:t>
      </w:r>
      <w:r w:rsidR="008E3348" w:rsidRPr="009A3C92">
        <w:rPr>
          <w:rFonts w:ascii="Book Antiqua" w:eastAsia="Book Antiqua" w:hAnsi="Book Antiqua" w:cs="Book Antiqua"/>
          <w:b/>
        </w:rPr>
        <w:t xml:space="preserve"> </w:t>
      </w:r>
      <w:r w:rsidRPr="009A3C92">
        <w:rPr>
          <w:rFonts w:ascii="Book Antiqua" w:eastAsia="Book Antiqua" w:hAnsi="Book Antiqua" w:cs="Book Antiqua"/>
          <w:b/>
        </w:rPr>
        <w:t>NO:</w:t>
      </w:r>
      <w:r w:rsidR="008E3348" w:rsidRPr="009A3C92">
        <w:rPr>
          <w:rFonts w:ascii="Book Antiqua" w:eastAsia="Book Antiqua" w:hAnsi="Book Antiqua" w:cs="Book Antiqua"/>
          <w:b/>
        </w:rPr>
        <w:t xml:space="preserve"> </w:t>
      </w:r>
      <w:r w:rsidRPr="009A3C92">
        <w:rPr>
          <w:rFonts w:ascii="Book Antiqua" w:eastAsia="Book Antiqua" w:hAnsi="Book Antiqua" w:cs="Book Antiqua"/>
        </w:rPr>
        <w:t>82802</w:t>
      </w:r>
    </w:p>
    <w:p w14:paraId="758E9EAA" w14:textId="78B695DA" w:rsidR="00A77B3E" w:rsidRPr="009A3C92" w:rsidRDefault="00202141">
      <w:pPr>
        <w:spacing w:line="360" w:lineRule="auto"/>
        <w:jc w:val="both"/>
      </w:pPr>
      <w:r w:rsidRPr="009A3C92">
        <w:rPr>
          <w:rFonts w:ascii="Book Antiqua" w:eastAsia="Book Antiqua" w:hAnsi="Book Antiqua" w:cs="Book Antiqua"/>
          <w:b/>
        </w:rPr>
        <w:t>Manuscript</w:t>
      </w:r>
      <w:r w:rsidR="008E3348" w:rsidRPr="009A3C92">
        <w:rPr>
          <w:rFonts w:ascii="Book Antiqua" w:eastAsia="Book Antiqua" w:hAnsi="Book Antiqua" w:cs="Book Antiqua"/>
          <w:b/>
        </w:rPr>
        <w:t xml:space="preserve"> </w:t>
      </w:r>
      <w:r w:rsidRPr="009A3C92">
        <w:rPr>
          <w:rFonts w:ascii="Book Antiqua" w:eastAsia="Book Antiqua" w:hAnsi="Book Antiqua" w:cs="Book Antiqua"/>
          <w:b/>
        </w:rPr>
        <w:t>Type:</w:t>
      </w:r>
      <w:r w:rsidR="008E3348" w:rsidRPr="009A3C92">
        <w:rPr>
          <w:rFonts w:ascii="Book Antiqua" w:eastAsia="Book Antiqua" w:hAnsi="Book Antiqua" w:cs="Book Antiqua"/>
          <w:b/>
        </w:rPr>
        <w:t xml:space="preserve"> </w:t>
      </w:r>
      <w:r w:rsidRPr="009A3C92">
        <w:rPr>
          <w:rFonts w:ascii="Book Antiqua" w:eastAsia="Book Antiqua" w:hAnsi="Book Antiqua" w:cs="Book Antiqua"/>
        </w:rPr>
        <w:t>MINIREVIEWS</w:t>
      </w:r>
    </w:p>
    <w:p w14:paraId="7B69D88A" w14:textId="77777777" w:rsidR="00A77B3E" w:rsidRPr="009A3C92" w:rsidRDefault="00A77B3E">
      <w:pPr>
        <w:spacing w:line="360" w:lineRule="auto"/>
        <w:jc w:val="both"/>
      </w:pPr>
    </w:p>
    <w:p w14:paraId="26A51ED8" w14:textId="18954EBE" w:rsidR="00A77B3E" w:rsidRPr="009A3C92" w:rsidRDefault="00202141">
      <w:pPr>
        <w:spacing w:line="360" w:lineRule="auto"/>
        <w:jc w:val="both"/>
      </w:pPr>
      <w:r w:rsidRPr="009A3C92">
        <w:rPr>
          <w:rFonts w:ascii="Book Antiqua" w:eastAsia="Book Antiqua" w:hAnsi="Book Antiqua" w:cs="Book Antiqua"/>
          <w:b/>
          <w:bCs/>
          <w:color w:val="000000"/>
        </w:rPr>
        <w:t>Infliximab</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i/>
          <w:iCs/>
          <w:color w:val="000000"/>
        </w:rPr>
        <w:t>vs</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adalimumab</w:t>
      </w:r>
      <w:r w:rsidRPr="009A3C92">
        <w:rPr>
          <w:rFonts w:ascii="Book Antiqua" w:eastAsia="Book Antiqua" w:hAnsi="Book Antiqua" w:cs="Book Antiqua"/>
          <w:b/>
          <w:bCs/>
          <w:color w:val="000000"/>
        </w:rPr>
        <w:t>:</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Points</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to</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consider</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when</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selecting</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anti-tumor</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necrosis</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factor</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agents</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in</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pediatric</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patients</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with</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Crohn’s</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dis</w:t>
      </w:r>
      <w:r w:rsidRPr="009A3C92">
        <w:rPr>
          <w:rFonts w:ascii="Book Antiqua" w:eastAsia="Book Antiqua" w:hAnsi="Book Antiqua" w:cs="Book Antiqua"/>
          <w:b/>
          <w:bCs/>
          <w:color w:val="000000"/>
        </w:rPr>
        <w:t>ease</w:t>
      </w:r>
    </w:p>
    <w:p w14:paraId="279D0FEC" w14:textId="77777777" w:rsidR="00A77B3E" w:rsidRPr="009A3C92" w:rsidRDefault="00A77B3E">
      <w:pPr>
        <w:spacing w:line="360" w:lineRule="auto"/>
        <w:jc w:val="both"/>
      </w:pPr>
    </w:p>
    <w:p w14:paraId="4F78A733" w14:textId="380FED7B" w:rsidR="00A77B3E" w:rsidRPr="009A3C92" w:rsidRDefault="00EA17CD">
      <w:pPr>
        <w:spacing w:line="360" w:lineRule="auto"/>
        <w:jc w:val="both"/>
      </w:pPr>
      <w:r w:rsidRPr="009A3C92">
        <w:rPr>
          <w:rFonts w:ascii="Book Antiqua" w:eastAsia="Book Antiqua" w:hAnsi="Book Antiqua" w:cs="Book Antiqua"/>
          <w:color w:val="000000"/>
        </w:rPr>
        <w:t>Kim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00202141" w:rsidRPr="009A3C92">
        <w:rPr>
          <w:rFonts w:ascii="Book Antiqua" w:eastAsia="Book Antiqua" w:hAnsi="Book Antiqua" w:cs="Book Antiqua"/>
          <w:color w:val="000000"/>
        </w:rPr>
        <w:t>Infliximab</w:t>
      </w:r>
      <w:r w:rsidR="008E3348" w:rsidRPr="009A3C92">
        <w:rPr>
          <w:rFonts w:ascii="Book Antiqua" w:eastAsia="Book Antiqua" w:hAnsi="Book Antiqua" w:cs="Book Antiqua"/>
          <w:color w:val="000000"/>
        </w:rPr>
        <w:t xml:space="preserve"> </w:t>
      </w:r>
      <w:r w:rsidR="00202141"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adalimumab</w:t>
      </w:r>
      <w:r w:rsidR="008E3348" w:rsidRPr="009A3C92">
        <w:rPr>
          <w:rFonts w:ascii="Book Antiqua" w:eastAsia="Book Antiqua" w:hAnsi="Book Antiqua" w:cs="Book Antiqua"/>
          <w:color w:val="000000"/>
        </w:rPr>
        <w:t xml:space="preserve"> </w:t>
      </w:r>
      <w:r w:rsidR="00202141"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00202141" w:rsidRPr="009A3C92">
        <w:rPr>
          <w:rFonts w:ascii="Book Antiqua" w:eastAsia="Book Antiqua" w:hAnsi="Book Antiqua" w:cs="Book Antiqua"/>
          <w:color w:val="000000"/>
        </w:rPr>
        <w:t>CD</w:t>
      </w:r>
    </w:p>
    <w:p w14:paraId="62B340E4" w14:textId="77777777" w:rsidR="00A77B3E" w:rsidRPr="009A3C92" w:rsidRDefault="00A77B3E">
      <w:pPr>
        <w:spacing w:line="360" w:lineRule="auto"/>
        <w:jc w:val="both"/>
      </w:pPr>
    </w:p>
    <w:p w14:paraId="11CD6437" w14:textId="448AF58D" w:rsidR="00A77B3E" w:rsidRPr="009A3C92" w:rsidRDefault="00202141">
      <w:pPr>
        <w:spacing w:line="360" w:lineRule="auto"/>
        <w:jc w:val="both"/>
      </w:pPr>
      <w:r w:rsidRPr="009A3C92">
        <w:rPr>
          <w:rFonts w:ascii="Book Antiqua" w:eastAsia="Book Antiqua" w:hAnsi="Book Antiqua" w:cs="Book Antiqua"/>
          <w:color w:val="000000"/>
        </w:rPr>
        <w:t>Eun</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Sil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Kim,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Kang</w:t>
      </w:r>
    </w:p>
    <w:p w14:paraId="0F8A4F5A" w14:textId="77777777" w:rsidR="00A77B3E" w:rsidRPr="009A3C92" w:rsidRDefault="00A77B3E">
      <w:pPr>
        <w:spacing w:line="360" w:lineRule="auto"/>
        <w:jc w:val="both"/>
      </w:pPr>
    </w:p>
    <w:p w14:paraId="4812DA1B" w14:textId="49EA68A3" w:rsidR="00A77B3E" w:rsidRPr="009A3C92" w:rsidRDefault="00202141">
      <w:pPr>
        <w:spacing w:line="360" w:lineRule="auto"/>
        <w:jc w:val="both"/>
      </w:pPr>
      <w:r w:rsidRPr="009A3C92">
        <w:rPr>
          <w:rFonts w:ascii="Book Antiqua" w:eastAsia="Book Antiqua" w:hAnsi="Book Antiqua" w:cs="Book Antiqua"/>
          <w:b/>
          <w:bCs/>
          <w:color w:val="000000"/>
        </w:rPr>
        <w:t>Eun</w:t>
      </w:r>
      <w:r w:rsidR="008E3348" w:rsidRPr="009A3C92">
        <w:rPr>
          <w:rFonts w:ascii="Book Antiqua" w:eastAsia="Book Antiqua" w:hAnsi="Book Antiqua" w:cs="Book Antiqua"/>
          <w:b/>
          <w:bCs/>
          <w:color w:val="000000"/>
        </w:rPr>
        <w:t xml:space="preserve"> </w:t>
      </w:r>
      <w:r w:rsidR="00EA17CD" w:rsidRPr="009A3C92">
        <w:rPr>
          <w:rFonts w:ascii="Book Antiqua" w:eastAsia="Book Antiqua" w:hAnsi="Book Antiqua" w:cs="Book Antiqua"/>
          <w:b/>
          <w:bCs/>
          <w:color w:val="000000"/>
        </w:rPr>
        <w:t>Sil</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Kim,</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color w:val="000000"/>
        </w:rPr>
        <w:t>Department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Kangbuk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Samsung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Hospital,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Sungkyunkwan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University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School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Medicine,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Seoul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03181,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South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Korea</w:t>
      </w:r>
    </w:p>
    <w:p w14:paraId="1646104F" w14:textId="77777777" w:rsidR="00A77B3E" w:rsidRPr="009A3C92" w:rsidRDefault="00A77B3E">
      <w:pPr>
        <w:spacing w:line="360" w:lineRule="auto"/>
        <w:jc w:val="both"/>
      </w:pPr>
    </w:p>
    <w:p w14:paraId="18EC59A7" w14:textId="1BE28484" w:rsidR="00A77B3E" w:rsidRPr="009A3C92" w:rsidRDefault="00202141">
      <w:pPr>
        <w:spacing w:line="360" w:lineRule="auto"/>
        <w:jc w:val="both"/>
      </w:pPr>
      <w:r w:rsidRPr="009A3C92">
        <w:rPr>
          <w:rFonts w:ascii="Book Antiqua" w:eastAsia="Book Antiqua" w:hAnsi="Book Antiqua" w:cs="Book Antiqua"/>
          <w:b/>
          <w:bCs/>
          <w:color w:val="000000"/>
        </w:rPr>
        <w:t>Ben</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Kang,</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color w:val="000000"/>
        </w:rPr>
        <w:t>Department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School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Medicine,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Kyungpook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National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University,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Daegu</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41944,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South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Korea</w:t>
      </w:r>
    </w:p>
    <w:p w14:paraId="3E3822ED" w14:textId="77777777" w:rsidR="00A77B3E" w:rsidRPr="009A3C92" w:rsidRDefault="00A77B3E">
      <w:pPr>
        <w:spacing w:line="360" w:lineRule="auto"/>
        <w:jc w:val="both"/>
      </w:pPr>
    </w:p>
    <w:p w14:paraId="513EF50F" w14:textId="5DF0A44E" w:rsidR="00A77B3E" w:rsidRPr="009A3C92" w:rsidRDefault="00202141">
      <w:pPr>
        <w:spacing w:line="360" w:lineRule="auto"/>
        <w:jc w:val="both"/>
      </w:pPr>
      <w:r w:rsidRPr="009A3C92">
        <w:rPr>
          <w:rFonts w:ascii="Book Antiqua" w:eastAsia="Book Antiqua" w:hAnsi="Book Antiqua" w:cs="Book Antiqua"/>
          <w:b/>
          <w:bCs/>
          <w:color w:val="000000"/>
        </w:rPr>
        <w:t>Author</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contributions:</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color w:val="000000"/>
          <w:shd w:val="clear" w:color="auto" w:fill="FFFFFF"/>
        </w:rPr>
        <w:t>Kim</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ES</w:t>
      </w:r>
      <w:r w:rsidR="008E3348" w:rsidRPr="009A3C92">
        <w:rPr>
          <w:rFonts w:ascii="Book Antiqua" w:eastAsia="Book Antiqua" w:hAnsi="Book Antiqua" w:cs="Book Antiqua"/>
          <w:color w:val="000000"/>
          <w:shd w:val="clear" w:color="auto" w:fill="FFFFFF"/>
        </w:rPr>
        <w:t xml:space="preserve"> </w:t>
      </w:r>
      <w:r w:rsidR="00EA17CD" w:rsidRPr="009A3C92">
        <w:rPr>
          <w:rFonts w:ascii="Book Antiqua" w:eastAsia="Book Antiqua" w:hAnsi="Book Antiqua" w:cs="Book Antiqua"/>
          <w:color w:val="000000"/>
          <w:shd w:val="clear" w:color="auto" w:fill="FFFFFF"/>
        </w:rPr>
        <w:t>contributed</w:t>
      </w:r>
      <w:r w:rsidR="008E3348" w:rsidRPr="009A3C92">
        <w:rPr>
          <w:rFonts w:ascii="Book Antiqua" w:eastAsia="Book Antiqua" w:hAnsi="Book Antiqua" w:cs="Book Antiqua"/>
          <w:color w:val="000000"/>
          <w:shd w:val="clear" w:color="auto" w:fill="FFFFFF"/>
        </w:rPr>
        <w:t xml:space="preserve"> </w:t>
      </w:r>
      <w:r w:rsidR="00EA17CD" w:rsidRPr="009A3C92">
        <w:rPr>
          <w:rFonts w:ascii="Book Antiqua" w:eastAsia="Book Antiqua" w:hAnsi="Book Antiqua" w:cs="Book Antiqua"/>
          <w:color w:val="000000"/>
          <w:shd w:val="clear" w:color="auto" w:fill="FFFFFF"/>
        </w:rPr>
        <w:t>to</w:t>
      </w:r>
      <w:r w:rsidR="008E3348" w:rsidRPr="009A3C92">
        <w:rPr>
          <w:rFonts w:ascii="Book Antiqua" w:eastAsia="Book Antiqua" w:hAnsi="Book Antiqua" w:cs="Book Antiqua"/>
          <w:color w:val="000000"/>
          <w:shd w:val="clear" w:color="auto" w:fill="FFFFFF"/>
        </w:rPr>
        <w:t xml:space="preserve"> </w:t>
      </w:r>
      <w:r w:rsidR="00EA17CD"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literature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search,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evidence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procurement,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writing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editing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manuscript,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revision</w:t>
      </w:r>
      <w:r w:rsidR="00EA17CD" w:rsidRPr="009A3C92">
        <w:rPr>
          <w:rFonts w:ascii="Book Antiqua" w:eastAsia="Book Antiqua" w:hAnsi="Book Antiqua" w:cs="Book Antiqua"/>
          <w:color w:val="000000"/>
          <w:shd w:val="clear" w:color="auto" w:fill="FFFFFF"/>
        </w:rPr>
        <w:t>;</w:t>
      </w:r>
      <w:r w:rsidR="008E3348" w:rsidRPr="009A3C92">
        <w:rPr>
          <w:rFonts w:ascii="Book Antiqua" w:eastAsia="Book Antiqua" w:hAnsi="Book Antiqua" w:cs="Book Antiqua"/>
          <w:color w:val="000000"/>
        </w:rPr>
        <w:t xml:space="preserve"> </w:t>
      </w:r>
      <w:r w:rsidR="00496FE7" w:rsidRPr="009A3C92">
        <w:rPr>
          <w:rFonts w:eastAsia="Malgun Gothic"/>
          <w:color w:val="000000"/>
          <w:lang w:eastAsia="ko-KR"/>
        </w:rPr>
        <w:t>Kang B</w:t>
      </w:r>
      <w:r w:rsidR="008E3348" w:rsidRPr="009A3C92">
        <w:rPr>
          <w:rFonts w:eastAsia="Book Antiqua"/>
          <w:color w:val="000000"/>
        </w:rPr>
        <w:t xml:space="preserve"> </w:t>
      </w:r>
      <w:r w:rsidR="00EA17CD"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guarantor</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article,</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shd w:val="clear" w:color="auto" w:fill="FFFFFF"/>
        </w:rPr>
        <w:t>contributed</w:t>
      </w:r>
      <w:r w:rsidR="008E3348" w:rsidRPr="009A3C92">
        <w:rPr>
          <w:rFonts w:ascii="Book Antiqua" w:eastAsia="Book Antiqua" w:hAnsi="Book Antiqua" w:cs="Book Antiqua"/>
          <w:color w:val="000000"/>
          <w:shd w:val="clear" w:color="auto" w:fill="FFFFFF"/>
        </w:rPr>
        <w:t xml:space="preserve"> </w:t>
      </w:r>
      <w:r w:rsidR="00EA17CD" w:rsidRPr="009A3C92">
        <w:rPr>
          <w:rFonts w:ascii="Book Antiqua" w:eastAsia="Book Antiqua" w:hAnsi="Book Antiqua" w:cs="Book Antiqua"/>
          <w:color w:val="000000"/>
          <w:shd w:val="clear" w:color="auto" w:fill="FFFFFF"/>
        </w:rPr>
        <w:t>to</w:t>
      </w:r>
      <w:r w:rsidR="008E3348" w:rsidRPr="009A3C92">
        <w:rPr>
          <w:rFonts w:ascii="Book Antiqua" w:eastAsia="Book Antiqua" w:hAnsi="Book Antiqua" w:cs="Book Antiqua"/>
          <w:color w:val="000000"/>
          <w:shd w:val="clear" w:color="auto" w:fill="FFFFFF"/>
        </w:rPr>
        <w:t xml:space="preserve"> </w:t>
      </w:r>
      <w:r w:rsidR="00EA17CD"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literature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search,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evidence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procurement,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writing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editing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manuscript,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critical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review</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manuscript,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revision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editing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final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manuscript.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All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authors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contributed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to</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article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approved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submitted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version.</w:t>
      </w:r>
      <w:r w:rsidR="008E3348" w:rsidRPr="009A3C92">
        <w:rPr>
          <w:rFonts w:ascii="Book Antiqua" w:eastAsia="Book Antiqua" w:hAnsi="Book Antiqua" w:cs="Book Antiqua"/>
          <w:color w:val="000000"/>
          <w:shd w:val="clear" w:color="auto" w:fill="FFFFFF"/>
        </w:rPr>
        <w:t xml:space="preserve"> </w:t>
      </w:r>
    </w:p>
    <w:p w14:paraId="774C24DA" w14:textId="77777777" w:rsidR="00A77B3E" w:rsidRPr="009A3C92" w:rsidRDefault="00A77B3E">
      <w:pPr>
        <w:spacing w:line="360" w:lineRule="auto"/>
        <w:jc w:val="both"/>
      </w:pPr>
    </w:p>
    <w:p w14:paraId="3F2EA852" w14:textId="7B92B014" w:rsidR="00A77B3E" w:rsidRPr="009A3C92" w:rsidRDefault="00202141">
      <w:pPr>
        <w:spacing w:line="360" w:lineRule="auto"/>
        <w:jc w:val="both"/>
      </w:pPr>
      <w:r w:rsidRPr="009A3C92">
        <w:rPr>
          <w:rFonts w:ascii="Book Antiqua" w:eastAsia="Book Antiqua" w:hAnsi="Book Antiqua" w:cs="Book Antiqua"/>
          <w:b/>
          <w:bCs/>
          <w:color w:val="000000"/>
        </w:rPr>
        <w:t>Corresponding</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author:</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Ben</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Kang,</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MD,</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PhD,</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Associate</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Professor,</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color w:val="000000"/>
        </w:rPr>
        <w:t>Department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School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Medicine,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Kyungpook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National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University,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680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Gukchaebosang-ro,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Jung-gu,</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Daegu</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41944,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South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Korea.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benkang@knu.ac.kr</w:t>
      </w:r>
    </w:p>
    <w:p w14:paraId="7BFC25A1" w14:textId="77777777" w:rsidR="00A77B3E" w:rsidRPr="009A3C92" w:rsidRDefault="00A77B3E">
      <w:pPr>
        <w:spacing w:line="360" w:lineRule="auto"/>
        <w:jc w:val="both"/>
      </w:pPr>
    </w:p>
    <w:p w14:paraId="133C9B82" w14:textId="3B3C1F02" w:rsidR="00A77B3E" w:rsidRPr="009A3C92" w:rsidRDefault="00202141">
      <w:pPr>
        <w:spacing w:line="360" w:lineRule="auto"/>
        <w:jc w:val="both"/>
      </w:pPr>
      <w:r w:rsidRPr="009A3C92">
        <w:rPr>
          <w:rFonts w:ascii="Book Antiqua" w:eastAsia="Book Antiqua" w:hAnsi="Book Antiqua" w:cs="Book Antiqua"/>
          <w:b/>
          <w:bCs/>
        </w:rPr>
        <w:t>Received:</w:t>
      </w:r>
      <w:r w:rsidR="008E3348" w:rsidRPr="009A3C92">
        <w:rPr>
          <w:rFonts w:ascii="Book Antiqua" w:eastAsia="Book Antiqua" w:hAnsi="Book Antiqua" w:cs="Book Antiqua"/>
          <w:b/>
          <w:bCs/>
        </w:rPr>
        <w:t xml:space="preserve"> </w:t>
      </w:r>
      <w:r w:rsidRPr="009A3C92">
        <w:rPr>
          <w:rFonts w:ascii="Book Antiqua" w:eastAsia="Book Antiqua" w:hAnsi="Book Antiqua" w:cs="Book Antiqua"/>
        </w:rPr>
        <w:t>December</w:t>
      </w:r>
      <w:r w:rsidR="008E3348" w:rsidRPr="009A3C92">
        <w:rPr>
          <w:rFonts w:ascii="Book Antiqua" w:eastAsia="Book Antiqua" w:hAnsi="Book Antiqua" w:cs="Book Antiqua"/>
        </w:rPr>
        <w:t xml:space="preserve"> </w:t>
      </w:r>
      <w:r w:rsidRPr="009A3C92">
        <w:rPr>
          <w:rFonts w:ascii="Book Antiqua" w:eastAsia="Book Antiqua" w:hAnsi="Book Antiqua" w:cs="Book Antiqua"/>
        </w:rPr>
        <w:t>28,</w:t>
      </w:r>
      <w:r w:rsidR="008E3348" w:rsidRPr="009A3C92">
        <w:rPr>
          <w:rFonts w:ascii="Book Antiqua" w:eastAsia="Book Antiqua" w:hAnsi="Book Antiqua" w:cs="Book Antiqua"/>
        </w:rPr>
        <w:t xml:space="preserve"> </w:t>
      </w:r>
      <w:r w:rsidRPr="009A3C92">
        <w:rPr>
          <w:rFonts w:ascii="Book Antiqua" w:eastAsia="Book Antiqua" w:hAnsi="Book Antiqua" w:cs="Book Antiqua"/>
        </w:rPr>
        <w:t>2022</w:t>
      </w:r>
    </w:p>
    <w:p w14:paraId="17269409" w14:textId="3E4777ED" w:rsidR="00A77B3E" w:rsidRPr="009A3C92" w:rsidRDefault="00202141">
      <w:pPr>
        <w:spacing w:line="360" w:lineRule="auto"/>
        <w:jc w:val="both"/>
      </w:pPr>
      <w:r w:rsidRPr="009A3C92">
        <w:rPr>
          <w:rFonts w:ascii="Book Antiqua" w:eastAsia="Book Antiqua" w:hAnsi="Book Antiqua" w:cs="Book Antiqua"/>
          <w:b/>
          <w:bCs/>
        </w:rPr>
        <w:t>Revised:</w:t>
      </w:r>
      <w:r w:rsidR="008E3348" w:rsidRPr="009A3C92">
        <w:rPr>
          <w:rFonts w:ascii="Book Antiqua" w:eastAsia="Book Antiqua" w:hAnsi="Book Antiqua" w:cs="Book Antiqua"/>
          <w:b/>
          <w:bCs/>
        </w:rPr>
        <w:t xml:space="preserve"> </w:t>
      </w:r>
      <w:r w:rsidRPr="009A3C92">
        <w:rPr>
          <w:rFonts w:ascii="Book Antiqua" w:eastAsia="Book Antiqua" w:hAnsi="Book Antiqua" w:cs="Book Antiqua"/>
        </w:rPr>
        <w:t>March</w:t>
      </w:r>
      <w:r w:rsidR="008E3348" w:rsidRPr="009A3C92">
        <w:rPr>
          <w:rFonts w:ascii="Book Antiqua" w:eastAsia="Book Antiqua" w:hAnsi="Book Antiqua" w:cs="Book Antiqua"/>
        </w:rPr>
        <w:t xml:space="preserve"> </w:t>
      </w:r>
      <w:r w:rsidRPr="009A3C92">
        <w:rPr>
          <w:rFonts w:ascii="Book Antiqua" w:eastAsia="Book Antiqua" w:hAnsi="Book Antiqua" w:cs="Book Antiqua"/>
        </w:rPr>
        <w:t>20,</w:t>
      </w:r>
      <w:r w:rsidR="008E3348" w:rsidRPr="009A3C92">
        <w:rPr>
          <w:rFonts w:ascii="Book Antiqua" w:eastAsia="Book Antiqua" w:hAnsi="Book Antiqua" w:cs="Book Antiqua"/>
        </w:rPr>
        <w:t xml:space="preserve"> </w:t>
      </w:r>
      <w:r w:rsidRPr="009A3C92">
        <w:rPr>
          <w:rFonts w:ascii="Book Antiqua" w:eastAsia="Book Antiqua" w:hAnsi="Book Antiqua" w:cs="Book Antiqua"/>
        </w:rPr>
        <w:t>2023</w:t>
      </w:r>
    </w:p>
    <w:p w14:paraId="3E09CD86" w14:textId="2F1BCEFF" w:rsidR="00A77B3E" w:rsidRPr="009A3C92" w:rsidRDefault="00202141">
      <w:pPr>
        <w:spacing w:line="360" w:lineRule="auto"/>
        <w:jc w:val="both"/>
      </w:pPr>
      <w:r w:rsidRPr="009A3C92">
        <w:rPr>
          <w:rFonts w:ascii="Book Antiqua" w:eastAsia="Book Antiqua" w:hAnsi="Book Antiqua" w:cs="Book Antiqua"/>
          <w:b/>
          <w:bCs/>
        </w:rPr>
        <w:lastRenderedPageBreak/>
        <w:t>Accepted:</w:t>
      </w:r>
      <w:r w:rsidR="008E3348" w:rsidRPr="009A3C92">
        <w:rPr>
          <w:rFonts w:ascii="Book Antiqua" w:eastAsia="Book Antiqua" w:hAnsi="Book Antiqua" w:cs="Book Antiqua"/>
          <w:b/>
          <w:bCs/>
        </w:rPr>
        <w:t xml:space="preserve"> </w:t>
      </w:r>
      <w:r w:rsidR="009A4074" w:rsidRPr="009A3C92">
        <w:rPr>
          <w:rFonts w:ascii="Book Antiqua" w:eastAsia="Book Antiqua" w:hAnsi="Book Antiqua" w:cs="Book Antiqua"/>
        </w:rPr>
        <w:t>April 17, 2023</w:t>
      </w:r>
    </w:p>
    <w:p w14:paraId="191E669F" w14:textId="2B40CE32" w:rsidR="00A77B3E" w:rsidRPr="009A3C92" w:rsidRDefault="00202141">
      <w:pPr>
        <w:spacing w:line="360" w:lineRule="auto"/>
        <w:jc w:val="both"/>
      </w:pPr>
      <w:r w:rsidRPr="009A3C92">
        <w:rPr>
          <w:rFonts w:ascii="Book Antiqua" w:eastAsia="Book Antiqua" w:hAnsi="Book Antiqua" w:cs="Book Antiqua"/>
          <w:b/>
          <w:bCs/>
        </w:rPr>
        <w:t>Published</w:t>
      </w:r>
      <w:r w:rsidR="008E3348" w:rsidRPr="009A3C92">
        <w:rPr>
          <w:rFonts w:ascii="Book Antiqua" w:eastAsia="Book Antiqua" w:hAnsi="Book Antiqua" w:cs="Book Antiqua"/>
          <w:b/>
          <w:bCs/>
        </w:rPr>
        <w:t xml:space="preserve"> </w:t>
      </w:r>
      <w:r w:rsidRPr="009A3C92">
        <w:rPr>
          <w:rFonts w:ascii="Book Antiqua" w:eastAsia="Book Antiqua" w:hAnsi="Book Antiqua" w:cs="Book Antiqua"/>
          <w:b/>
          <w:bCs/>
        </w:rPr>
        <w:t>online:</w:t>
      </w:r>
      <w:r w:rsidR="008E3348" w:rsidRPr="009A3C92">
        <w:rPr>
          <w:rFonts w:ascii="Book Antiqua" w:eastAsia="Book Antiqua" w:hAnsi="Book Antiqua" w:cs="Book Antiqua"/>
          <w:b/>
          <w:bCs/>
        </w:rPr>
        <w:t xml:space="preserve"> </w:t>
      </w:r>
      <w:bookmarkStart w:id="0" w:name="_Hlk133244804"/>
      <w:r w:rsidR="000C16C7" w:rsidRPr="009A3C92">
        <w:rPr>
          <w:rFonts w:ascii="Book Antiqua" w:hAnsi="Book Antiqua"/>
          <w:color w:val="000000"/>
          <w:shd w:val="clear" w:color="auto" w:fill="FFFFFF"/>
        </w:rPr>
        <w:t>May 14, 2023</w:t>
      </w:r>
      <w:bookmarkEnd w:id="0"/>
    </w:p>
    <w:p w14:paraId="3E53AC8A" w14:textId="77777777" w:rsidR="00A77B3E" w:rsidRPr="009A3C92" w:rsidRDefault="00A77B3E">
      <w:pPr>
        <w:spacing w:line="360" w:lineRule="auto"/>
        <w:jc w:val="both"/>
        <w:sectPr w:rsidR="00A77B3E" w:rsidRPr="009A3C92">
          <w:footerReference w:type="default" r:id="rId6"/>
          <w:pgSz w:w="12240" w:h="15840"/>
          <w:pgMar w:top="1440" w:right="1440" w:bottom="1440" w:left="1440" w:header="720" w:footer="720" w:gutter="0"/>
          <w:cols w:space="720"/>
          <w:docGrid w:linePitch="360"/>
        </w:sectPr>
      </w:pPr>
    </w:p>
    <w:p w14:paraId="2B0F0E9D" w14:textId="77777777" w:rsidR="00A77B3E" w:rsidRPr="009A3C92" w:rsidRDefault="00202141">
      <w:pPr>
        <w:spacing w:line="360" w:lineRule="auto"/>
        <w:jc w:val="both"/>
      </w:pPr>
      <w:r w:rsidRPr="009A3C92">
        <w:rPr>
          <w:rFonts w:ascii="Book Antiqua" w:eastAsia="Book Antiqua" w:hAnsi="Book Antiqua" w:cs="Book Antiqua"/>
          <w:b/>
          <w:color w:val="000000"/>
        </w:rPr>
        <w:lastRenderedPageBreak/>
        <w:t>Abstract</w:t>
      </w:r>
    </w:p>
    <w:p w14:paraId="7BB066C3" w14:textId="4229A79F" w:rsidR="00A77B3E" w:rsidRPr="009A3C92" w:rsidRDefault="00202141">
      <w:pPr>
        <w:spacing w:line="360" w:lineRule="auto"/>
        <w:jc w:val="both"/>
      </w:pP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various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mechanisms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against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Crohn’s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released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widely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practice.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anti-tumor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necrosis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w:t>
      </w:r>
      <w:r w:rsidR="008E3348" w:rsidRPr="009A3C92">
        <w:rPr>
          <w:rFonts w:ascii="Book Antiqua" w:eastAsia="Book Antiqua" w:hAnsi="Book Antiqua" w:cs="Book Antiqua"/>
          <w:color w:val="000000"/>
        </w:rPr>
        <w:t xml:space="preserve"> </w:t>
      </w:r>
      <w:r w:rsidR="00496FE7" w:rsidRPr="009A3C92">
        <w:rPr>
          <w:rFonts w:ascii="Book Antiqua" w:eastAsia="Book Antiqua" w:hAnsi="Book Antiqua" w:cs="Book Antiqua"/>
          <w:color w:val="000000"/>
        </w:rPr>
        <w:t xml:space="preserve">(TNF)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infliximab</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adalimumab</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(ADL)</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Food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currently.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carefully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therapeutic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goal.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currently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head-to-head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lack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accumulated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extrapolation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positioning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From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point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view,</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expected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over</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sustaining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reviewed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safety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profile,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00535C44"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provide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practical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insights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5322B2" w:rsidRPr="009A3C92">
        <w:rPr>
          <w:rFonts w:ascii="Book Antiqua" w:eastAsia="Book Antiqua" w:hAnsi="Book Antiqua" w:cs="Book Antiqua"/>
          <w:color w:val="000000"/>
        </w:rPr>
        <w:t xml:space="preserve"> anti-</w:t>
      </w:r>
      <w:r w:rsidR="00EA17CD" w:rsidRPr="009A3C92">
        <w:rPr>
          <w:rFonts w:ascii="Book Antiqua" w:eastAsia="Book Antiqua" w:hAnsi="Book Antiqua" w:cs="Book Antiqua"/>
          <w:color w:val="000000"/>
        </w:rPr>
        <w:t>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Careful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evaluation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behavior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essential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prescribing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safety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profile,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play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evaluating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selecting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options.</w:t>
      </w:r>
      <w:r w:rsidR="008E3348" w:rsidRPr="009A3C92">
        <w:rPr>
          <w:rFonts w:ascii="Book Antiqua" w:eastAsia="Book Antiqua" w:hAnsi="Book Antiqua" w:cs="Book Antiqua"/>
          <w:color w:val="000000"/>
        </w:rPr>
        <w:t xml:space="preserve"> </w:t>
      </w:r>
    </w:p>
    <w:p w14:paraId="39633CDA" w14:textId="77777777" w:rsidR="00A77B3E" w:rsidRPr="009A3C92" w:rsidRDefault="00A77B3E">
      <w:pPr>
        <w:spacing w:line="360" w:lineRule="auto"/>
        <w:jc w:val="both"/>
      </w:pPr>
    </w:p>
    <w:p w14:paraId="2F225455" w14:textId="73AB52C2" w:rsidR="00A77B3E" w:rsidRPr="009A3C92" w:rsidRDefault="00202141">
      <w:pPr>
        <w:spacing w:line="360" w:lineRule="auto"/>
        <w:jc w:val="both"/>
      </w:pPr>
      <w:r w:rsidRPr="009A3C92">
        <w:rPr>
          <w:rFonts w:ascii="Book Antiqua" w:eastAsia="Book Antiqua" w:hAnsi="Book Antiqua" w:cs="Book Antiqua"/>
          <w:b/>
          <w:bCs/>
          <w:color w:val="000000"/>
        </w:rPr>
        <w:t>Key</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Words:</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color w:val="000000"/>
        </w:rPr>
        <w:t>Anti-</w:t>
      </w:r>
      <w:r w:rsidR="00EA17CD" w:rsidRPr="009A3C92">
        <w:rPr>
          <w:rFonts w:ascii="Book Antiqua" w:eastAsia="Book Antiqua" w:hAnsi="Book Antiqua" w:cs="Book Antiqua"/>
          <w:color w:val="000000"/>
        </w:rPr>
        <w:t>tumor</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necrosis</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factor</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Infliximab;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Adalimumab;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Crohn’s</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disease</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p>
    <w:p w14:paraId="530A1240" w14:textId="77777777" w:rsidR="00A77B3E" w:rsidRPr="009A3C92" w:rsidRDefault="00A77B3E">
      <w:pPr>
        <w:spacing w:line="360" w:lineRule="auto"/>
        <w:jc w:val="both"/>
      </w:pPr>
    </w:p>
    <w:p w14:paraId="7F05F0F5" w14:textId="77777777" w:rsidR="009A3C92" w:rsidRPr="009A3C92" w:rsidRDefault="009A3C92" w:rsidP="009A3C92">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9A3C92">
        <w:rPr>
          <w:rFonts w:ascii="Book Antiqua" w:eastAsia="Book Antiqua" w:hAnsi="Book Antiqua" w:cs="Book Antiqua" w:hint="eastAsia"/>
          <w:b/>
          <w:color w:val="000000"/>
        </w:rPr>
        <w:t>©</w:t>
      </w:r>
      <w:r w:rsidRPr="009A3C92">
        <w:rPr>
          <w:rFonts w:ascii="Book Antiqua" w:eastAsia="Book Antiqua" w:hAnsi="Book Antiqua" w:cs="Book Antiqua"/>
          <w:b/>
          <w:color w:val="000000"/>
        </w:rPr>
        <w:t>The</w:t>
      </w:r>
      <w:r w:rsidRPr="009A3C92">
        <w:rPr>
          <w:rFonts w:ascii="Book Antiqua" w:eastAsia="Book Antiqua" w:hAnsi="Book Antiqua" w:cs="Book Antiqua"/>
          <w:color w:val="000000"/>
        </w:rPr>
        <w:t xml:space="preserve"> </w:t>
      </w:r>
      <w:r w:rsidRPr="009A3C92">
        <w:rPr>
          <w:rFonts w:ascii="Book Antiqua" w:eastAsia="Book Antiqua" w:hAnsi="Book Antiqua" w:cs="Book Antiqua"/>
          <w:b/>
          <w:color w:val="000000"/>
        </w:rPr>
        <w:t xml:space="preserve">Author(s) 2023. </w:t>
      </w:r>
      <w:r w:rsidRPr="009A3C92">
        <w:rPr>
          <w:rFonts w:ascii="Book Antiqua" w:eastAsia="Book Antiqua" w:hAnsi="Book Antiqua" w:cs="Book Antiqua"/>
          <w:color w:val="000000"/>
        </w:rPr>
        <w:t>Published by Baishideng Publishing Group Inc. All rights reserved.</w:t>
      </w:r>
      <w:bookmarkEnd w:id="1"/>
      <w:r w:rsidRPr="009A3C92">
        <w:rPr>
          <w:rFonts w:ascii="Book Antiqua" w:eastAsia="Book Antiqua" w:hAnsi="Book Antiqua" w:cs="Book Antiqua"/>
          <w:color w:val="000000"/>
        </w:rPr>
        <w:t xml:space="preserve"> </w:t>
      </w:r>
    </w:p>
    <w:bookmarkEnd w:id="2"/>
    <w:p w14:paraId="21F9EB7B" w14:textId="77777777" w:rsidR="009A3C92" w:rsidRPr="009A3C92" w:rsidRDefault="009A3C92" w:rsidP="009A3C92">
      <w:pPr>
        <w:spacing w:line="360" w:lineRule="auto"/>
        <w:jc w:val="both"/>
        <w:rPr>
          <w:lang w:eastAsia="zh-CN"/>
        </w:rPr>
      </w:pPr>
    </w:p>
    <w:p w14:paraId="02D26FEE" w14:textId="77777777" w:rsidR="009A3C92" w:rsidRPr="009A3C92" w:rsidRDefault="009A3C92" w:rsidP="009A3C92">
      <w:pPr>
        <w:spacing w:line="360" w:lineRule="auto"/>
        <w:jc w:val="both"/>
        <w:rPr>
          <w:rFonts w:ascii="Book Antiqua" w:eastAsia="Book Antiqua" w:hAnsi="Book Antiqua" w:cs="Book Antiqua"/>
        </w:rPr>
      </w:pPr>
      <w:bookmarkStart w:id="5" w:name="_Hlk88512899"/>
      <w:bookmarkStart w:id="6" w:name="_Hlk88512352"/>
      <w:bookmarkEnd w:id="3"/>
      <w:r w:rsidRPr="009A3C92">
        <w:rPr>
          <w:rFonts w:ascii="Book Antiqua" w:hAnsi="Book Antiqua" w:cs="Book Antiqua" w:hint="eastAsia"/>
          <w:b/>
          <w:color w:val="000000"/>
          <w:lang w:eastAsia="zh-CN"/>
        </w:rPr>
        <w:t>Citation:</w:t>
      </w:r>
      <w:bookmarkEnd w:id="4"/>
      <w:bookmarkEnd w:id="5"/>
      <w:r w:rsidRPr="009A3C92">
        <w:rPr>
          <w:rFonts w:ascii="Book Antiqua" w:hAnsi="Book Antiqua" w:cs="Book Antiqua" w:hint="eastAsia"/>
          <w:color w:val="000000"/>
          <w:lang w:eastAsia="zh-CN"/>
        </w:rPr>
        <w:t xml:space="preserve"> </w:t>
      </w:r>
      <w:bookmarkEnd w:id="6"/>
      <w:r w:rsidR="00202141" w:rsidRPr="009A3C92">
        <w:rPr>
          <w:rFonts w:ascii="Book Antiqua" w:eastAsia="Book Antiqua" w:hAnsi="Book Antiqua" w:cs="Book Antiqua"/>
        </w:rPr>
        <w:t>Kim</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ES,</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Kang</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B.</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Infliximab</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i/>
          <w:iCs/>
        </w:rPr>
        <w:t>vs</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adalimumab</w:t>
      </w:r>
      <w:r w:rsidR="00202141" w:rsidRPr="009A3C92">
        <w:rPr>
          <w:rFonts w:ascii="Book Antiqua" w:eastAsia="Book Antiqua" w:hAnsi="Book Antiqua" w:cs="Book Antiqua"/>
        </w:rPr>
        <w:t>:</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Points</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to</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consider</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when</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selecting</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anti-tumor</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necrosis</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factor</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agents</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in</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pediatric</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patients</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with</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Crohn’s</w:t>
      </w:r>
      <w:r w:rsidR="008E3348" w:rsidRPr="009A3C92">
        <w:rPr>
          <w:rFonts w:ascii="Book Antiqua" w:eastAsia="Book Antiqua" w:hAnsi="Book Antiqua" w:cs="Book Antiqua"/>
        </w:rPr>
        <w:t xml:space="preserve"> </w:t>
      </w:r>
      <w:r w:rsidR="00EA17CD" w:rsidRPr="009A3C92">
        <w:rPr>
          <w:rFonts w:ascii="Book Antiqua" w:eastAsia="Book Antiqua" w:hAnsi="Book Antiqua" w:cs="Book Antiqua"/>
        </w:rPr>
        <w:t>disease</w:t>
      </w:r>
      <w:r w:rsidR="00202141" w:rsidRPr="009A3C92">
        <w:rPr>
          <w:rFonts w:ascii="Book Antiqua" w:eastAsia="Book Antiqua" w:hAnsi="Book Antiqua" w:cs="Book Antiqua"/>
        </w:rPr>
        <w:t>.</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i/>
          <w:iCs/>
        </w:rPr>
        <w:t>World</w:t>
      </w:r>
      <w:r w:rsidR="008E3348" w:rsidRPr="009A3C92">
        <w:rPr>
          <w:rFonts w:ascii="Book Antiqua" w:eastAsia="Book Antiqua" w:hAnsi="Book Antiqua" w:cs="Book Antiqua"/>
          <w:i/>
          <w:iCs/>
        </w:rPr>
        <w:t xml:space="preserve"> </w:t>
      </w:r>
      <w:r w:rsidR="00202141" w:rsidRPr="009A3C92">
        <w:rPr>
          <w:rFonts w:ascii="Book Antiqua" w:eastAsia="Book Antiqua" w:hAnsi="Book Antiqua" w:cs="Book Antiqua"/>
          <w:i/>
          <w:iCs/>
        </w:rPr>
        <w:t>J</w:t>
      </w:r>
      <w:r w:rsidR="008E3348" w:rsidRPr="009A3C92">
        <w:rPr>
          <w:rFonts w:ascii="Book Antiqua" w:eastAsia="Book Antiqua" w:hAnsi="Book Antiqua" w:cs="Book Antiqua"/>
          <w:i/>
          <w:iCs/>
        </w:rPr>
        <w:t xml:space="preserve"> </w:t>
      </w:r>
      <w:r w:rsidR="00202141" w:rsidRPr="009A3C92">
        <w:rPr>
          <w:rFonts w:ascii="Book Antiqua" w:eastAsia="Book Antiqua" w:hAnsi="Book Antiqua" w:cs="Book Antiqua"/>
          <w:i/>
          <w:iCs/>
        </w:rPr>
        <w:t>Gastroenterol</w:t>
      </w:r>
      <w:r w:rsidR="008E3348" w:rsidRPr="009A3C92">
        <w:rPr>
          <w:rFonts w:ascii="Book Antiqua" w:eastAsia="Book Antiqua" w:hAnsi="Book Antiqua" w:cs="Book Antiqua"/>
        </w:rPr>
        <w:t xml:space="preserve"> </w:t>
      </w:r>
      <w:r w:rsidR="00202141" w:rsidRPr="009A3C92">
        <w:rPr>
          <w:rFonts w:ascii="Book Antiqua" w:eastAsia="Book Antiqua" w:hAnsi="Book Antiqua" w:cs="Book Antiqua"/>
        </w:rPr>
        <w:t>2023;</w:t>
      </w:r>
      <w:r w:rsidR="008E3348" w:rsidRPr="009A3C92">
        <w:rPr>
          <w:rFonts w:ascii="Book Antiqua" w:eastAsia="Book Antiqua" w:hAnsi="Book Antiqua" w:cs="Book Antiqua"/>
        </w:rPr>
        <w:t xml:space="preserve"> </w:t>
      </w:r>
      <w:r w:rsidR="000C16C7" w:rsidRPr="009A3C92">
        <w:rPr>
          <w:rFonts w:ascii="Book Antiqua" w:eastAsia="Book Antiqua" w:hAnsi="Book Antiqua" w:cs="Book Antiqua"/>
        </w:rPr>
        <w:t xml:space="preserve">29(18): </w:t>
      </w:r>
      <w:r w:rsidRPr="009A3C92">
        <w:rPr>
          <w:rFonts w:ascii="Book Antiqua" w:eastAsia="Book Antiqua" w:hAnsi="Book Antiqua" w:cs="Book Antiqua"/>
        </w:rPr>
        <w:t>2784</w:t>
      </w:r>
      <w:r w:rsidR="000C16C7" w:rsidRPr="009A3C92">
        <w:rPr>
          <w:rFonts w:ascii="Book Antiqua" w:eastAsia="Book Antiqua" w:hAnsi="Book Antiqua" w:cs="Book Antiqua"/>
        </w:rPr>
        <w:t>-</w:t>
      </w:r>
      <w:r w:rsidRPr="009A3C92">
        <w:rPr>
          <w:rFonts w:ascii="Book Antiqua" w:eastAsia="Book Antiqua" w:hAnsi="Book Antiqua" w:cs="Book Antiqua"/>
        </w:rPr>
        <w:t>2797</w:t>
      </w:r>
    </w:p>
    <w:p w14:paraId="598FC18A" w14:textId="487AE693" w:rsidR="009A3C92" w:rsidRPr="009A3C92" w:rsidRDefault="000C16C7" w:rsidP="009A3C92">
      <w:pPr>
        <w:spacing w:line="360" w:lineRule="auto"/>
        <w:jc w:val="both"/>
        <w:rPr>
          <w:rFonts w:ascii="Book Antiqua" w:eastAsia="Book Antiqua" w:hAnsi="Book Antiqua" w:cs="Book Antiqua"/>
        </w:rPr>
      </w:pPr>
      <w:r w:rsidRPr="009A3C92">
        <w:rPr>
          <w:rFonts w:ascii="Book Antiqua" w:eastAsia="Book Antiqua" w:hAnsi="Book Antiqua" w:cs="Book Antiqua"/>
          <w:b/>
          <w:bCs/>
        </w:rPr>
        <w:t>URL:</w:t>
      </w:r>
      <w:r w:rsidRPr="009A3C92">
        <w:rPr>
          <w:rFonts w:ascii="Book Antiqua" w:eastAsia="Book Antiqua" w:hAnsi="Book Antiqua" w:cs="Book Antiqua"/>
        </w:rPr>
        <w:t xml:space="preserve"> </w:t>
      </w:r>
      <w:hyperlink r:id="rId7" w:history="1">
        <w:r w:rsidR="009A3C92" w:rsidRPr="009A3C92">
          <w:rPr>
            <w:rStyle w:val="af"/>
            <w:rFonts w:ascii="Book Antiqua" w:eastAsia="Book Antiqua" w:hAnsi="Book Antiqua" w:cs="Book Antiqua"/>
          </w:rPr>
          <w:t>https://www.wjgnet.com/1007-9327/full/v29/i18/2784.htm</w:t>
        </w:r>
      </w:hyperlink>
    </w:p>
    <w:p w14:paraId="446B0521" w14:textId="0AF0F911" w:rsidR="00A77B3E" w:rsidRPr="009A3C92" w:rsidRDefault="000C16C7" w:rsidP="009A3C92">
      <w:pPr>
        <w:spacing w:line="360" w:lineRule="auto"/>
        <w:jc w:val="both"/>
      </w:pPr>
      <w:r w:rsidRPr="009A3C92">
        <w:rPr>
          <w:rFonts w:ascii="Book Antiqua" w:eastAsia="Book Antiqua" w:hAnsi="Book Antiqua" w:cs="Book Antiqua"/>
          <w:b/>
          <w:bCs/>
        </w:rPr>
        <w:t>DOI:</w:t>
      </w:r>
      <w:r w:rsidRPr="009A3C92">
        <w:rPr>
          <w:rFonts w:ascii="Book Antiqua" w:eastAsia="Book Antiqua" w:hAnsi="Book Antiqua" w:cs="Book Antiqua"/>
        </w:rPr>
        <w:t xml:space="preserve"> https://dx.doi.org/10.3748/wjg.v29.i18.</w:t>
      </w:r>
      <w:r w:rsidR="009A3C92" w:rsidRPr="009A3C92">
        <w:rPr>
          <w:rFonts w:ascii="Book Antiqua" w:eastAsia="Book Antiqua" w:hAnsi="Book Antiqua" w:cs="Book Antiqua"/>
        </w:rPr>
        <w:t>2784</w:t>
      </w:r>
    </w:p>
    <w:p w14:paraId="58B0A1B2" w14:textId="77777777" w:rsidR="00A77B3E" w:rsidRPr="009A3C92" w:rsidRDefault="00A77B3E">
      <w:pPr>
        <w:spacing w:line="360" w:lineRule="auto"/>
        <w:jc w:val="both"/>
      </w:pPr>
    </w:p>
    <w:p w14:paraId="02551639" w14:textId="47D63513" w:rsidR="00A77B3E" w:rsidRPr="009A3C92" w:rsidRDefault="00202141">
      <w:pPr>
        <w:spacing w:line="360" w:lineRule="auto"/>
        <w:jc w:val="both"/>
      </w:pPr>
      <w:r w:rsidRPr="009A3C92">
        <w:rPr>
          <w:rFonts w:ascii="Book Antiqua" w:eastAsia="Book Antiqua" w:hAnsi="Book Antiqua" w:cs="Book Antiqua"/>
          <w:b/>
          <w:bCs/>
        </w:rPr>
        <w:t>Core</w:t>
      </w:r>
      <w:r w:rsidR="008E3348" w:rsidRPr="009A3C92">
        <w:rPr>
          <w:rFonts w:ascii="Book Antiqua" w:eastAsia="Book Antiqua" w:hAnsi="Book Antiqua" w:cs="Book Antiqua"/>
          <w:b/>
          <w:bCs/>
        </w:rPr>
        <w:t xml:space="preserve"> </w:t>
      </w:r>
      <w:r w:rsidRPr="009A3C92">
        <w:rPr>
          <w:rFonts w:ascii="Book Antiqua" w:eastAsia="Book Antiqua" w:hAnsi="Book Antiqua" w:cs="Book Antiqua"/>
          <w:b/>
          <w:bCs/>
        </w:rPr>
        <w:t>Tip:</w:t>
      </w:r>
      <w:r w:rsidR="008E3348" w:rsidRPr="009A3C92">
        <w:rPr>
          <w:rFonts w:ascii="Book Antiqua" w:eastAsia="Book Antiqua" w:hAnsi="Book Antiqua" w:cs="Book Antiqua"/>
          <w:b/>
          <w:bCs/>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Crohn’s</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(CD)</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carefully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therapeutic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goal.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review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article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focuses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safety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profile,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infliximab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adalimumab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CD</w:t>
      </w:r>
      <w:r w:rsidRPr="009A3C92">
        <w:rPr>
          <w:rFonts w:ascii="Book Antiqua" w:eastAsia="Book Antiqua" w:hAnsi="Book Antiqua" w:cs="Book Antiqua"/>
          <w:color w:val="000000"/>
        </w:rPr>
        <w:t>.</w:t>
      </w:r>
    </w:p>
    <w:p w14:paraId="154248EC" w14:textId="68E6F1A2" w:rsidR="00A77B3E" w:rsidRPr="009A3C92" w:rsidRDefault="00DD25F0">
      <w:pPr>
        <w:spacing w:line="360" w:lineRule="auto"/>
        <w:jc w:val="both"/>
      </w:pPr>
      <w:r w:rsidRPr="009A3C92">
        <w:rPr>
          <w:rFonts w:ascii="Book Antiqua" w:eastAsia="Book Antiqua" w:hAnsi="Book Antiqua" w:cs="Book Antiqua"/>
          <w:b/>
          <w:caps/>
          <w:color w:val="000000"/>
          <w:u w:val="single"/>
        </w:rPr>
        <w:br w:type="page"/>
      </w:r>
      <w:r w:rsidR="00202141" w:rsidRPr="009A3C92">
        <w:rPr>
          <w:rFonts w:ascii="Book Antiqua" w:eastAsia="Book Antiqua" w:hAnsi="Book Antiqua" w:cs="Book Antiqua"/>
          <w:b/>
          <w:caps/>
          <w:color w:val="000000"/>
          <w:u w:val="single"/>
        </w:rPr>
        <w:lastRenderedPageBreak/>
        <w:t>INTRODUCTION</w:t>
      </w:r>
    </w:p>
    <w:p w14:paraId="2AF452C4" w14:textId="700A73EF" w:rsidR="00A77B3E" w:rsidRPr="009A3C92" w:rsidRDefault="00202141">
      <w:pPr>
        <w:spacing w:line="360" w:lineRule="auto"/>
        <w:jc w:val="both"/>
      </w:pPr>
      <w:r w:rsidRPr="009A3C92">
        <w:rPr>
          <w:rFonts w:ascii="Book Antiqua" w:eastAsia="Book Antiqua" w:hAnsi="Book Antiqua" w:cs="Book Antiqua"/>
          <w:color w:val="000000"/>
        </w:rPr>
        <w:t>Crohn’s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become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concern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clinicians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owing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rapidly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prevalence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worldwide,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emerging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industrial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countries</w:t>
      </w:r>
      <w:r w:rsidRPr="009A3C92">
        <w:rPr>
          <w:rFonts w:ascii="Book Antiqua" w:eastAsia="Book Antiqua" w:hAnsi="Book Antiqua" w:cs="Book Antiqua"/>
          <w:color w:val="000000"/>
          <w:vertAlign w:val="superscript"/>
        </w:rPr>
        <w:t>[1]</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Western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countries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stabilised,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revealed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statistically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[2,3]</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likely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impairment,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delayed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puberty</w:t>
      </w:r>
      <w:r w:rsidRPr="009A3C92">
        <w:rPr>
          <w:rFonts w:ascii="Book Antiqua" w:eastAsia="Book Antiqua" w:hAnsi="Book Antiqua" w:cs="Book Antiqua"/>
          <w:color w:val="000000"/>
          <w:shd w:val="clear" w:color="auto" w:fill="FFFFFF"/>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psychosocial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problems,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aggressive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disease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course</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extensive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gastrointestinal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involvement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Pr="009A3C92">
        <w:rPr>
          <w:rFonts w:ascii="Book Antiqua" w:eastAsia="Book Antiqua" w:hAnsi="Book Antiqua" w:cs="Book Antiqua"/>
          <w:color w:val="000000"/>
          <w:vertAlign w:val="superscript"/>
        </w:rPr>
        <w:t>[4]</w:t>
      </w:r>
      <w:r w:rsidRPr="009A3C92">
        <w:rPr>
          <w:rFonts w:ascii="Book Antiqua" w:eastAsia="Book Antiqua" w:hAnsi="Book Antiqua" w:cs="Book Antiqua"/>
          <w:color w:val="000000"/>
        </w:rPr>
        <w:t>.</w:t>
      </w:r>
    </w:p>
    <w:p w14:paraId="7A17E930" w14:textId="40C6DD11" w:rsidR="00A77B3E" w:rsidRPr="009A3C92" w:rsidRDefault="00202141" w:rsidP="00535C44">
      <w:pPr>
        <w:spacing w:line="360" w:lineRule="auto"/>
        <w:ind w:firstLineChars="200" w:firstLine="480"/>
        <w:jc w:val="both"/>
      </w:pP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infliximab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Food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(FDA)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1998</w:t>
      </w:r>
      <w:r w:rsidRPr="009A3C92">
        <w:rPr>
          <w:rFonts w:ascii="Book Antiqua" w:eastAsia="Book Antiqua" w:hAnsi="Book Antiqua" w:cs="Book Antiqua"/>
          <w:color w:val="000000"/>
          <w:vertAlign w:val="superscript"/>
        </w:rPr>
        <w:t>[5]</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various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mechanisms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released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widely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practice</w:t>
      </w:r>
      <w:r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broad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spectrum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w:t>
      </w:r>
      <w:bookmarkStart w:id="7" w:name="_Hlk132186149"/>
      <w:r w:rsidRPr="009A3C92">
        <w:rPr>
          <w:rFonts w:ascii="Book Antiqua" w:eastAsia="Book Antiqua" w:hAnsi="Book Antiqua" w:cs="Book Antiqua"/>
          <w:color w:val="000000"/>
        </w:rPr>
        <w:t>tumor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necrosis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factor-α</w:t>
      </w:r>
      <w:bookmarkEnd w:id="7"/>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(TNF-α)</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classically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first-line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moderate-to-severe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refractory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conventional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modulate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binding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receptor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cell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membrane.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purified,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recombinant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DNA-derived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chimeric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human-mouse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immunoglobulin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monoclonal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antibody.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Adalimumab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human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monoclonal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antibody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binds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specifically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TNF-α</w:t>
      </w:r>
      <w:r w:rsidRPr="009A3C92">
        <w:rPr>
          <w:rFonts w:ascii="Book Antiqua" w:eastAsia="Book Antiqua" w:hAnsi="Book Antiqua" w:cs="Book Antiqua"/>
          <w:color w:val="000000"/>
          <w:vertAlign w:val="superscript"/>
        </w:rPr>
        <w:t>[8,9]</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currently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FDA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w:t>
      </w:r>
      <w:r w:rsidRPr="009A3C92">
        <w:rPr>
          <w:rFonts w:ascii="Book Antiqua" w:eastAsia="Book Antiqua" w:hAnsi="Book Antiqua" w:cs="Book Antiqua"/>
          <w:color w:val="000000"/>
          <w:vertAlign w:val="superscript"/>
        </w:rPr>
        <w:t>[10,11]</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initial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modify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course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therapeutic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goal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chosen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carefully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p>
    <w:p w14:paraId="0259DB4A" w14:textId="0FCEBB9A" w:rsidR="00A77B3E" w:rsidRPr="009A3C92" w:rsidRDefault="00202141" w:rsidP="00D37256">
      <w:pPr>
        <w:spacing w:line="360" w:lineRule="auto"/>
        <w:ind w:firstLineChars="200" w:firstLine="480"/>
        <w:jc w:val="both"/>
      </w:pPr>
      <w:r w:rsidRPr="009A3C92">
        <w:rPr>
          <w:rFonts w:ascii="Book Antiqua" w:eastAsia="Book Antiqua" w:hAnsi="Book Antiqua" w:cs="Book Antiqua"/>
          <w:color w:val="000000"/>
        </w:rPr>
        <w:t>Although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head-to-head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standard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method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determining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head-to-head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directly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Until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direct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comparative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performed,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several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points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must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selecting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initial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provide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practical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insights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reviewed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comparative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safety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profile,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p>
    <w:p w14:paraId="4C3E5B4E" w14:textId="77777777" w:rsidR="00A77B3E" w:rsidRPr="009A3C92" w:rsidRDefault="00A77B3E">
      <w:pPr>
        <w:spacing w:line="360" w:lineRule="auto"/>
        <w:jc w:val="both"/>
      </w:pPr>
    </w:p>
    <w:p w14:paraId="0F41ACBD" w14:textId="654C623F" w:rsidR="00A77B3E" w:rsidRPr="009A3C92" w:rsidRDefault="00202141">
      <w:pPr>
        <w:spacing w:line="360" w:lineRule="auto"/>
        <w:jc w:val="both"/>
      </w:pPr>
      <w:r w:rsidRPr="009A3C92">
        <w:rPr>
          <w:rFonts w:ascii="Book Antiqua" w:eastAsia="Book Antiqua" w:hAnsi="Book Antiqua" w:cs="Book Antiqua"/>
          <w:b/>
          <w:bCs/>
          <w:caps/>
          <w:color w:val="000000"/>
          <w:u w:val="single"/>
        </w:rPr>
        <w:lastRenderedPageBreak/>
        <w:t>Main</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studies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in</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pediatric</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CD</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assessing</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the</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efficacy</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of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anti-TNFα</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therapies</w:t>
      </w:r>
    </w:p>
    <w:p w14:paraId="658C7A44" w14:textId="5F6BACBD" w:rsidR="00A77B3E" w:rsidRPr="009A3C92" w:rsidRDefault="00202141">
      <w:pPr>
        <w:spacing w:line="360" w:lineRule="auto"/>
        <w:jc w:val="both"/>
      </w:pPr>
      <w:r w:rsidRPr="009A3C92">
        <w:rPr>
          <w:rFonts w:ascii="Book Antiqua" w:eastAsia="Book Antiqua" w:hAnsi="Book Antiqua" w:cs="Book Antiqua"/>
          <w:color w:val="000000"/>
        </w:rPr>
        <w:t>Anti-TNFα</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well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both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Pr="009A3C92">
        <w:rPr>
          <w:rFonts w:ascii="Book Antiqua" w:eastAsia="Book Antiqua" w:hAnsi="Book Antiqua" w:cs="Book Antiqua"/>
          <w:color w:val="000000"/>
          <w:vertAlign w:val="superscript"/>
        </w:rPr>
        <w:t>[12,13]</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Targan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D37256" w:rsidRPr="009A3C92">
        <w:rPr>
          <w:rFonts w:ascii="Book Antiqua" w:eastAsia="Book Antiqua" w:hAnsi="Book Antiqua" w:cs="Book Antiqua"/>
          <w:color w:val="000000"/>
          <w:vertAlign w:val="superscript"/>
        </w:rPr>
        <w:t>[14]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found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single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four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ACCENT-I</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573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randomised,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placebo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Pr="009A3C92">
        <w:rPr>
          <w:rFonts w:ascii="Book Antiqua" w:eastAsia="Book Antiqua" w:hAnsi="Book Antiqua" w:cs="Book Antiqua"/>
          <w:color w:val="000000"/>
          <w:vertAlign w:val="superscript"/>
        </w:rPr>
        <w:t>[15]</w:t>
      </w:r>
      <w:r w:rsidRPr="009A3C92">
        <w:rPr>
          <w:rFonts w:ascii="Book Antiqua" w:eastAsia="Book Antiqua" w:hAnsi="Book Antiqua" w:cs="Book Antiqua"/>
          <w:color w:val="000000"/>
        </w:rPr>
        <w:t>.</w:t>
      </w:r>
    </w:p>
    <w:p w14:paraId="593B77F7" w14:textId="0F04BA3C" w:rsidR="00A77B3E" w:rsidRPr="009A3C92" w:rsidRDefault="00202141" w:rsidP="00D37256">
      <w:pPr>
        <w:spacing w:line="360" w:lineRule="auto"/>
        <w:ind w:firstLineChars="200" w:firstLine="480"/>
        <w:jc w:val="both"/>
      </w:pP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2006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years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from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accumulated.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from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randomised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controlled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involving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open-label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randomised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dose-ranging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Four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RCTs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both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periods</w:t>
      </w:r>
      <w:r w:rsidRPr="009A3C92">
        <w:rPr>
          <w:rFonts w:ascii="Book Antiqua" w:eastAsia="Book Antiqua" w:hAnsi="Book Antiqua" w:cs="Book Antiqua"/>
          <w:color w:val="000000"/>
          <w:vertAlign w:val="superscript"/>
        </w:rPr>
        <w:t>[16-19]</w:t>
      </w:r>
      <w:r w:rsidRPr="009A3C92">
        <w:rPr>
          <w:rFonts w:ascii="Book Antiqua" w:eastAsia="Book Antiqua" w:hAnsi="Book Antiqua" w:cs="Book Antiqua"/>
          <w:color w:val="000000"/>
        </w:rPr>
        <w:t>.</w:t>
      </w:r>
    </w:p>
    <w:p w14:paraId="597622D5" w14:textId="77EBC2A6" w:rsidR="00A77B3E" w:rsidRPr="009A3C92" w:rsidRDefault="00202141" w:rsidP="00D37256">
      <w:pPr>
        <w:spacing w:line="360" w:lineRule="auto"/>
        <w:ind w:firstLineChars="200" w:firstLine="480"/>
        <w:jc w:val="both"/>
      </w:pP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phases</w:t>
      </w:r>
      <w:r w:rsidRPr="009A3C92">
        <w:rPr>
          <w:rFonts w:ascii="Book Antiqua" w:eastAsia="Book Antiqua" w:hAnsi="Book Antiqua" w:cs="Book Antiqua"/>
          <w:color w:val="000000"/>
          <w:vertAlign w:val="superscript"/>
        </w:rPr>
        <w:t>[16]</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(88.4%)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responded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(58.9%)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randomly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assigned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55.8%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Ruemmele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D37256" w:rsidRPr="009A3C92">
        <w:rPr>
          <w:rFonts w:ascii="Book Antiqua" w:eastAsia="Book Antiqua" w:hAnsi="Book Antiqua" w:cs="Book Antiqua"/>
          <w:color w:val="000000"/>
          <w:vertAlign w:val="superscript"/>
        </w:rPr>
        <w:t>[17]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demonstrated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regimen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randomly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assigned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months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on-demand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regimen.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Around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85.0%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relapse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on-demand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(91.7%)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(23.1%).</w:t>
      </w:r>
      <w:r w:rsidR="008E3348" w:rsidRPr="009A3C92">
        <w:rPr>
          <w:rFonts w:ascii="Book Antiqua" w:eastAsia="Book Antiqua" w:hAnsi="Book Antiqua" w:cs="Book Antiqua"/>
          <w:color w:val="000000"/>
        </w:rPr>
        <w:t xml:space="preserve"> </w:t>
      </w:r>
    </w:p>
    <w:p w14:paraId="242338FF" w14:textId="1CA1683F" w:rsidR="00A77B3E" w:rsidRPr="009A3C92" w:rsidRDefault="00202141" w:rsidP="00D37256">
      <w:pPr>
        <w:spacing w:line="360" w:lineRule="auto"/>
        <w:ind w:firstLineChars="200" w:firstLine="480"/>
        <w:jc w:val="both"/>
      </w:pP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double-blind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evaluating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safety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dose-dependent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regimen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following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open-label,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weight-adjusted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(IMAgINE-1)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both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IFX-naïve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Pr="009A3C92">
        <w:rPr>
          <w:rFonts w:ascii="Book Antiqua" w:eastAsia="Book Antiqua" w:hAnsi="Book Antiqua" w:cs="Book Antiqua"/>
          <w:color w:val="000000"/>
          <w:vertAlign w:val="superscript"/>
        </w:rPr>
        <w:t>[18]</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38.7%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observed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statistically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low-dose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published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anti-TNF-naïve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IMAgINE-1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(48</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82%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38.7%)</w:t>
      </w:r>
      <w:r w:rsidRPr="009A3C92">
        <w:rPr>
          <w:rFonts w:ascii="Book Antiqua" w:eastAsia="Book Antiqua" w:hAnsi="Book Antiqua" w:cs="Book Antiqua"/>
          <w:color w:val="000000"/>
          <w:vertAlign w:val="superscript"/>
        </w:rPr>
        <w:t>[19]</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findings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from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previous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Pr="009A3C92">
        <w:rPr>
          <w:rFonts w:ascii="Book Antiqua" w:eastAsia="Book Antiqua" w:hAnsi="Book Antiqua" w:cs="Book Antiqua"/>
          <w:color w:val="000000"/>
          <w:vertAlign w:val="superscript"/>
        </w:rPr>
        <w:t>[12,13]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highlight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initial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stratification.</w:t>
      </w:r>
    </w:p>
    <w:p w14:paraId="764E4C86" w14:textId="77777777" w:rsidR="00A77B3E" w:rsidRPr="009A3C92" w:rsidRDefault="00A77B3E">
      <w:pPr>
        <w:spacing w:line="360" w:lineRule="auto"/>
        <w:jc w:val="both"/>
      </w:pPr>
    </w:p>
    <w:p w14:paraId="34DAB23B" w14:textId="1EF3DB04" w:rsidR="00A77B3E" w:rsidRPr="009A3C92" w:rsidRDefault="00202141">
      <w:pPr>
        <w:spacing w:line="360" w:lineRule="auto"/>
        <w:jc w:val="both"/>
      </w:pPr>
      <w:r w:rsidRPr="009A3C92">
        <w:rPr>
          <w:rFonts w:ascii="Book Antiqua" w:eastAsia="Book Antiqua" w:hAnsi="Book Antiqua" w:cs="Book Antiqua"/>
          <w:b/>
          <w:bCs/>
          <w:caps/>
          <w:color w:val="000000"/>
          <w:u w:val="single"/>
        </w:rPr>
        <w:t>Anti-TNFα</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and</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Its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Indications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for</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Pediatric</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CD</w:t>
      </w:r>
    </w:p>
    <w:p w14:paraId="44F45D85" w14:textId="6A95FBDF" w:rsidR="00A77B3E" w:rsidRPr="009A3C92" w:rsidRDefault="00202141">
      <w:pPr>
        <w:spacing w:line="360" w:lineRule="auto"/>
        <w:jc w:val="both"/>
      </w:pP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changed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decades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introduction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Previously,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activity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controlled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despite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conventional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immunomodulators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so-called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step-up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strategy</w:t>
      </w:r>
      <w:r w:rsidRPr="009A3C92">
        <w:rPr>
          <w:rFonts w:ascii="Book Antiqua" w:eastAsia="Book Antiqua" w:hAnsi="Book Antiqua" w:cs="Book Antiqua"/>
          <w:color w:val="000000"/>
          <w:vertAlign w:val="superscript"/>
        </w:rPr>
        <w:t>[16]</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guidelines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published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European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Society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Gastroenterology,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Hepatology,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Nutrition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(ESPGHAN)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recommended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diagnosis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moderate-to-severe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extensive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deep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colonic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ulcers,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perianal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stricturing</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B2</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penetrating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B3</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impairment,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so-called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top-down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strategy</w:t>
      </w:r>
      <w:r w:rsidRPr="009A3C92">
        <w:rPr>
          <w:rFonts w:ascii="Book Antiqua" w:eastAsia="Book Antiqua" w:hAnsi="Book Antiqua" w:cs="Book Antiqua"/>
          <w:color w:val="000000"/>
          <w:vertAlign w:val="superscript"/>
        </w:rPr>
        <w:t>[20]</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00496FE7" w:rsidRPr="009A3C92">
        <w:rPr>
          <w:rFonts w:ascii="Book Antiqua" w:eastAsia="Book Antiqua" w:hAnsi="Book Antiqua" w:cs="Book Antiqua"/>
          <w:color w:val="000000"/>
        </w:rPr>
        <w:t xml:space="preserve">RISK </w:t>
      </w:r>
      <w:r w:rsidR="000544E9"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demonstrated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associated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corticosteroid-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surgery-free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exclusive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enteral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nutrition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corticosteroids</w:t>
      </w:r>
      <w:r w:rsidRPr="009A3C92">
        <w:rPr>
          <w:rFonts w:ascii="Book Antiqua" w:eastAsia="Book Antiqua" w:hAnsi="Book Antiqua" w:cs="Book Antiqua"/>
          <w:color w:val="000000"/>
          <w:vertAlign w:val="superscript"/>
        </w:rPr>
        <w:t>[21]</w:t>
      </w:r>
      <w:r w:rsidR="000544E9"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Kugathasan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0544E9" w:rsidRPr="009A3C92">
        <w:rPr>
          <w:rFonts w:ascii="Book Antiqua" w:eastAsia="Book Antiqua" w:hAnsi="Book Antiqua" w:cs="Book Antiqua"/>
          <w:color w:val="000000"/>
          <w:vertAlign w:val="superscript"/>
        </w:rPr>
        <w:t>[22]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penetrating</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B3</w:t>
      </w:r>
      <w:r w:rsidR="000544E9"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seems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reduce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stricturing</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B2</w:t>
      </w:r>
      <w:r w:rsidR="000544E9"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outcome,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impairment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00EA17CD"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activity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index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w:t>
      </w:r>
      <w:r w:rsidR="000544E9"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biochemical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fecal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calprotectin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250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μg/g</w:t>
      </w:r>
      <w:r w:rsidR="000544E9"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despite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corticosteroids</w:t>
      </w:r>
      <w:r w:rsidRPr="009A3C92">
        <w:rPr>
          <w:rFonts w:ascii="Book Antiqua" w:eastAsia="Book Antiqua" w:hAnsi="Book Antiqua" w:cs="Book Antiqua"/>
          <w:color w:val="000000"/>
          <w:vertAlign w:val="superscript"/>
        </w:rPr>
        <w:t>[20]</w:t>
      </w:r>
      <w:r w:rsidR="000544E9" w:rsidRPr="009A3C92">
        <w:rPr>
          <w:rFonts w:ascii="Book Antiqua" w:eastAsia="Book Antiqua" w:hAnsi="Book Antiqua" w:cs="Book Antiqua"/>
          <w:color w:val="000000"/>
        </w:rPr>
        <w:t>.</w:t>
      </w:r>
    </w:p>
    <w:p w14:paraId="6DB49A38" w14:textId="44FA7BC0" w:rsidR="00A77B3E" w:rsidRPr="009A3C92" w:rsidRDefault="00202141" w:rsidP="000544E9">
      <w:pPr>
        <w:spacing w:line="360" w:lineRule="auto"/>
        <w:ind w:firstLineChars="200" w:firstLine="480"/>
        <w:jc w:val="both"/>
      </w:pPr>
      <w:r w:rsidRPr="009A3C92">
        <w:rPr>
          <w:rFonts w:ascii="Book Antiqua" w:eastAsia="Book Antiqua" w:hAnsi="Book Antiqua" w:cs="Book Antiqua"/>
          <w:color w:val="000000"/>
        </w:rPr>
        <w:t>Walters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0544E9"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1</w:t>
      </w:r>
      <w:r w:rsidR="000544E9"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relative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RR</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1.41;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95%CI</w:t>
      </w:r>
      <w:r w:rsidR="000544E9"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1.14</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1.75;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0.0017</w:t>
      </w:r>
      <w:r w:rsidR="000544E9" w:rsidRPr="009A3C92">
        <w:rPr>
          <w:rFonts w:ascii="Book Antiqua" w:eastAsia="Book Antiqua" w:hAnsi="Book Antiqua" w:cs="Book Antiqua"/>
          <w:color w:val="000000"/>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prospective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step-up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top-down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terms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3</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step-up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strategy,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top-down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means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seizing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therapeutic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window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opportunity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earlier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generally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accepted</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4</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guidelines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suggest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either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provided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previously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taking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account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route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w:t>
      </w:r>
    </w:p>
    <w:p w14:paraId="448D4D8E" w14:textId="4F08CA10" w:rsidR="00A77B3E" w:rsidRPr="009A3C92" w:rsidRDefault="00202141" w:rsidP="000544E9">
      <w:pPr>
        <w:spacing w:line="360" w:lineRule="auto"/>
        <w:ind w:firstLineChars="200" w:firstLine="480"/>
        <w:jc w:val="both"/>
      </w:pPr>
      <w:r w:rsidRPr="009A3C92">
        <w:rPr>
          <w:rFonts w:ascii="Book Antiqua" w:eastAsia="Book Antiqua" w:hAnsi="Book Antiqua" w:cs="Book Antiqua"/>
          <w:color w:val="000000"/>
        </w:rPr>
        <w:t>Standard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weight-based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followed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80/40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160/80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escalation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standard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adjustment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interval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mg/kg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adjustment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interval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Especially,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children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accelerated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clearance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Pr="009A3C92">
        <w:rPr>
          <w:rFonts w:ascii="Book Antiqua" w:eastAsia="Book Antiqua" w:hAnsi="Book Antiqua" w:cs="Book Antiqua"/>
          <w:i/>
          <w:iCs/>
          <w:color w:val="000000"/>
        </w:rPr>
        <w:t>i.e.</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extensive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serum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albumin]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escalation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target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their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proactive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therapeutic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monitoring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(TDM)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second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third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5</w:t>
      </w:r>
      <w:r w:rsidRPr="009A3C92">
        <w:rPr>
          <w:rFonts w:ascii="Book Antiqua" w:eastAsia="Book Antiqua" w:hAnsi="Book Antiqua" w:cs="Book Antiqua"/>
          <w:color w:val="000000"/>
          <w:vertAlign w:val="superscript"/>
        </w:rPr>
        <w:t>]</w:t>
      </w:r>
      <w:r w:rsidR="007944CF" w:rsidRPr="009A3C92">
        <w:rPr>
          <w:rFonts w:ascii="Book Antiqua" w:eastAsia="Book Antiqua" w:hAnsi="Book Antiqua" w:cs="Book Antiqua"/>
          <w:color w:val="000000"/>
        </w:rPr>
        <w:t>.</w:t>
      </w:r>
    </w:p>
    <w:p w14:paraId="7BE51A1F" w14:textId="77777777" w:rsidR="00A77B3E" w:rsidRPr="009A3C92" w:rsidRDefault="00A77B3E">
      <w:pPr>
        <w:spacing w:line="360" w:lineRule="auto"/>
        <w:jc w:val="both"/>
      </w:pPr>
    </w:p>
    <w:p w14:paraId="1F2819CA" w14:textId="296248E9" w:rsidR="00A77B3E" w:rsidRPr="009A3C92" w:rsidRDefault="00202141">
      <w:pPr>
        <w:spacing w:line="360" w:lineRule="auto"/>
        <w:jc w:val="both"/>
      </w:pPr>
      <w:r w:rsidRPr="009A3C92">
        <w:rPr>
          <w:rFonts w:ascii="Book Antiqua" w:eastAsia="Book Antiqua" w:hAnsi="Book Antiqua" w:cs="Book Antiqua"/>
          <w:b/>
          <w:bCs/>
          <w:caps/>
          <w:color w:val="000000"/>
          <w:u w:val="single"/>
        </w:rPr>
        <w:t>Efficacy</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of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Anti-TNF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Therapy</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in</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Pediatric</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CD</w:t>
      </w:r>
    </w:p>
    <w:p w14:paraId="60721DE4" w14:textId="5719B94E" w:rsidR="00A77B3E" w:rsidRPr="009A3C92" w:rsidRDefault="00202141">
      <w:pPr>
        <w:spacing w:line="360" w:lineRule="auto"/>
        <w:jc w:val="both"/>
      </w:pPr>
      <w:r w:rsidRPr="009A3C92">
        <w:rPr>
          <w:rFonts w:ascii="Book Antiqua" w:eastAsia="Book Antiqua" w:hAnsi="Book Antiqua" w:cs="Book Antiqua"/>
          <w:b/>
          <w:bCs/>
          <w:i/>
          <w:iCs/>
          <w:color w:val="000000"/>
        </w:rPr>
        <w:t>Comparative</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efficacy</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of</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anti-TNF</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agents</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for</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induction</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of</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remission</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in</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CD</w:t>
      </w:r>
    </w:p>
    <w:p w14:paraId="14F1A6EC" w14:textId="7D4522BF" w:rsidR="00A77B3E" w:rsidRPr="009A3C92" w:rsidRDefault="00202141">
      <w:pPr>
        <w:spacing w:line="360" w:lineRule="auto"/>
        <w:jc w:val="both"/>
      </w:pPr>
      <w:r w:rsidRPr="009A3C92">
        <w:rPr>
          <w:rFonts w:ascii="Book Antiqua" w:eastAsia="Book Antiqua" w:hAnsi="Book Antiqua" w:cs="Book Antiqua"/>
          <w:color w:val="000000"/>
        </w:rPr>
        <w:t>Head-to-head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strategy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standard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method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distinct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therapies</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currently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head-to-head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Owing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absence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relied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expert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opinion,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real-world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indirect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comparison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Unfortunately,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lack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accumulated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extrapolation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positioning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p>
    <w:p w14:paraId="159D5F37" w14:textId="6F36F544" w:rsidR="00A77B3E" w:rsidRPr="009A3C92" w:rsidRDefault="00202141" w:rsidP="007944CF">
      <w:pPr>
        <w:spacing w:line="360" w:lineRule="auto"/>
        <w:ind w:firstLineChars="200" w:firstLine="480"/>
        <w:jc w:val="both"/>
      </w:pP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2018,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network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meta-analysis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indirectly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FDA-approved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vedolizumab,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ustekinumab,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certolizumab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pegol,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published</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ranked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surface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under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cumulative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ranking</w:t>
      </w:r>
      <w:r w:rsidR="008E3348" w:rsidRPr="009A3C92">
        <w:rPr>
          <w:rFonts w:ascii="Book Antiqua" w:eastAsia="Book Antiqua" w:hAnsi="Book Antiqua" w:cs="Book Antiqua"/>
          <w:color w:val="000000"/>
        </w:rPr>
        <w:t xml:space="preserve"> </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SUCRA</w:t>
      </w:r>
      <w:r w:rsidR="002D516E"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0.93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0.75</w:t>
      </w:r>
      <w:r w:rsidR="002D516E"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biologic-naïve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moderate-to-severe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predicted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59.6%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48.7%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p>
    <w:p w14:paraId="515A6C4A" w14:textId="0E130B0D" w:rsidR="00A77B3E" w:rsidRPr="009A3C92" w:rsidRDefault="00202141" w:rsidP="007944CF">
      <w:pPr>
        <w:spacing w:line="360" w:lineRule="auto"/>
        <w:ind w:firstLineChars="200" w:firstLine="480"/>
        <w:jc w:val="both"/>
      </w:pP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findings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partly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explained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tissue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penetration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29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00496FE7" w:rsidRPr="009A3C92">
        <w:rPr>
          <w:rFonts w:ascii="Book Antiqua" w:eastAsia="Book Antiqua" w:hAnsi="Book Antiqua" w:cs="Book Antiqua"/>
          <w:color w:val="000000"/>
        </w:rPr>
        <w:t xml:space="preserve">Drug levels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completely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patterns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Intravenous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formulations,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gradually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decrease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dropping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just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next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subcutaneous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formulations,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peak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point,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point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0</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Because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large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fluctuations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type,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necessary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whereas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p>
    <w:p w14:paraId="14F92C46" w14:textId="6D768330" w:rsidR="00A77B3E" w:rsidRPr="009A3C92" w:rsidRDefault="00202141" w:rsidP="00174FDE">
      <w:pPr>
        <w:spacing w:line="360" w:lineRule="auto"/>
        <w:ind w:firstLineChars="200" w:firstLine="480"/>
        <w:jc w:val="both"/>
      </w:pP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modulate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type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00174FDE" w:rsidRPr="009A3C92">
        <w:rPr>
          <w:rFonts w:ascii="Book Antiqua" w:eastAsia="Book Antiqua" w:hAnsi="Book Antiqua" w:cs="Book Antiqua"/>
          <w:color w:val="000000"/>
        </w:rPr>
        <w:t>Figure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w:t>
      </w:r>
      <w:r w:rsidR="001F4C8F" w:rsidRPr="009A3C92">
        <w:rPr>
          <w:rFonts w:ascii="Book Antiqua" w:eastAsia="Book Antiqua" w:hAnsi="Book Antiqua" w:cs="Book Antiqua"/>
          <w:color w:val="000000"/>
        </w:rPr>
        <w:t>A</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1</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assumed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00496FE7" w:rsidRPr="009A3C92">
        <w:rPr>
          <w:rFonts w:ascii="Book Antiqua" w:eastAsia="Book Antiqua" w:hAnsi="Book Antiqua" w:cs="Book Antiqua"/>
          <w:color w:val="000000"/>
        </w:rPr>
        <w:t xml:space="preserve">drug levels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control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purple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dotted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exhibits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beneficial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above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owing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period.</w:t>
      </w:r>
      <w:r w:rsidR="008E3348" w:rsidRPr="009A3C92">
        <w:rPr>
          <w:rFonts w:ascii="Book Antiqua" w:eastAsia="Book Antiqua" w:hAnsi="Book Antiqua" w:cs="Book Antiqua"/>
          <w:color w:val="000000"/>
        </w:rPr>
        <w:t xml:space="preserve"> </w:t>
      </w:r>
    </w:p>
    <w:p w14:paraId="362447A8" w14:textId="78C35C72" w:rsidR="00A77B3E" w:rsidRPr="009A3C92" w:rsidRDefault="00202141" w:rsidP="00174FDE">
      <w:pPr>
        <w:spacing w:line="360" w:lineRule="auto"/>
        <w:ind w:firstLineChars="200" w:firstLine="480"/>
        <w:jc w:val="both"/>
      </w:pPr>
      <w:r w:rsidRPr="009A3C92">
        <w:rPr>
          <w:rFonts w:ascii="Book Antiqua" w:eastAsia="Book Antiqua" w:hAnsi="Book Antiqua" w:cs="Book Antiqua"/>
          <w:color w:val="000000"/>
        </w:rPr>
        <w:t>Specifically,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post-hoc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ACCENT-I</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found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key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2</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revealed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associated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sustained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Feng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174FDE"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3</w:t>
      </w:r>
      <w:r w:rsidR="00174FDE"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correlated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median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p>
    <w:p w14:paraId="28DDC3C9" w14:textId="658A9E0D" w:rsidR="00A77B3E" w:rsidRPr="009A3C92" w:rsidRDefault="00202141" w:rsidP="00174FDE">
      <w:pPr>
        <w:spacing w:line="360" w:lineRule="auto"/>
        <w:ind w:firstLineChars="200" w:firstLine="480"/>
        <w:jc w:val="both"/>
      </w:pPr>
      <w:r w:rsidRPr="009A3C92">
        <w:rPr>
          <w:rFonts w:ascii="Book Antiqua" w:eastAsia="Book Antiqua" w:hAnsi="Book Antiqua" w:cs="Book Antiqua"/>
          <w:color w:val="000000"/>
        </w:rPr>
        <w:t>Similar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bowel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independent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predicted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biochemical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sustained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4</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Singh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337E3E"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5</w:t>
      </w:r>
      <w:r w:rsidR="00337E3E"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cut-off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positive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predictive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values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predicting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persistent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Recently,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El-Matary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et</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i/>
          <w:iCs/>
          <w:color w:val="000000"/>
          <w:shd w:val="clear" w:color="auto" w:fill="FFFFFF"/>
        </w:rPr>
        <w:t>al</w:t>
      </w:r>
      <w:r w:rsidR="00337E3E"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6</w:t>
      </w:r>
      <w:r w:rsidR="00337E3E"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showed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higher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post-induction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IFX</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TLs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had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strong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relationship</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fistula</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perianal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w:t>
      </w:r>
      <w:r w:rsidRPr="009A3C92">
        <w:rPr>
          <w:rFonts w:ascii="Book Antiqua" w:eastAsia="Book Antiqua" w:hAnsi="Book Antiqua" w:cs="Book Antiqua"/>
          <w:color w:val="000000"/>
          <w:shd w:val="clear" w:color="auto" w:fill="FFFFFF"/>
        </w:rPr>
        <w:t>-induction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IFX</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TLs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clinical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responder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group</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were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higher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those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non-responder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group</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(12.7</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vs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5.4</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0.002).</w:t>
      </w:r>
    </w:p>
    <w:p w14:paraId="5EACC1FF" w14:textId="5898EAC6" w:rsidR="00A77B3E" w:rsidRPr="009A3C92" w:rsidRDefault="00202141" w:rsidP="00337E3E">
      <w:pPr>
        <w:spacing w:line="360" w:lineRule="auto"/>
        <w:ind w:firstLineChars="200" w:firstLine="480"/>
        <w:jc w:val="both"/>
      </w:pPr>
      <w:r w:rsidRPr="009A3C92">
        <w:rPr>
          <w:rFonts w:ascii="Book Antiqua" w:eastAsia="Book Antiqua" w:hAnsi="Book Antiqua" w:cs="Book Antiqua"/>
          <w:color w:val="000000"/>
        </w:rPr>
        <w:t>Likewise,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correlated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biochemical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Zittan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shd w:val="clear" w:color="auto" w:fill="FFFFFF"/>
        </w:rPr>
        <w:t>et</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i/>
          <w:iCs/>
          <w:color w:val="000000"/>
          <w:shd w:val="clear" w:color="auto" w:fill="FFFFFF"/>
        </w:rPr>
        <w:t>al</w:t>
      </w:r>
      <w:r w:rsidR="00337E3E"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7</w:t>
      </w:r>
      <w:r w:rsidR="00337E3E"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reported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TLs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week</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4</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were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higher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biological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remission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group</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non-responder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group</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adult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patients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(19.8</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vs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10.2</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positive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relationship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outcomes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cut-off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values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predict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22.5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12.5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r w:rsidR="008E3348" w:rsidRPr="009A3C92">
        <w:rPr>
          <w:rFonts w:ascii="Book Antiqua" w:eastAsia="Book Antiqua" w:hAnsi="Book Antiqua" w:cs="Book Antiqua"/>
          <w:color w:val="000000"/>
        </w:rPr>
        <w:t xml:space="preserve"> </w:t>
      </w:r>
    </w:p>
    <w:p w14:paraId="249B3485" w14:textId="2225E186" w:rsidR="00A77B3E" w:rsidRPr="009A3C92" w:rsidRDefault="00202141" w:rsidP="00337E3E">
      <w:pPr>
        <w:spacing w:line="360" w:lineRule="auto"/>
        <w:ind w:firstLineChars="200" w:firstLine="480"/>
        <w:jc w:val="both"/>
      </w:pPr>
      <w:r w:rsidRPr="009A3C92">
        <w:rPr>
          <w:rFonts w:ascii="Book Antiqua" w:eastAsia="Book Antiqua" w:hAnsi="Book Antiqua" w:cs="Book Antiqua"/>
          <w:color w:val="000000"/>
        </w:rPr>
        <w:t>Although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cut-off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values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regulating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initiation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anticipated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route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reach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above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shorter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period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exhibits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rapid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predictions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p>
    <w:p w14:paraId="713AA6D5" w14:textId="77777777" w:rsidR="00A77B3E" w:rsidRPr="009A3C92" w:rsidRDefault="00A77B3E">
      <w:pPr>
        <w:spacing w:line="360" w:lineRule="auto"/>
        <w:jc w:val="both"/>
      </w:pPr>
    </w:p>
    <w:p w14:paraId="721F3562" w14:textId="73108BA2" w:rsidR="00A77B3E" w:rsidRPr="009A3C92" w:rsidRDefault="00202141">
      <w:pPr>
        <w:spacing w:line="360" w:lineRule="auto"/>
        <w:jc w:val="both"/>
      </w:pPr>
      <w:r w:rsidRPr="009A3C92">
        <w:rPr>
          <w:rFonts w:ascii="Book Antiqua" w:eastAsia="Book Antiqua" w:hAnsi="Book Antiqua" w:cs="Book Antiqua"/>
          <w:b/>
          <w:bCs/>
          <w:i/>
          <w:iCs/>
          <w:color w:val="000000"/>
        </w:rPr>
        <w:t>Comparative</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efficacy</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of</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anti-TNF</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agents</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for</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maintenance</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of</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remission</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in</w:t>
      </w:r>
      <w:r w:rsidR="008E3348" w:rsidRPr="009A3C92">
        <w:rPr>
          <w:rFonts w:ascii="Book Antiqua" w:eastAsia="Book Antiqua" w:hAnsi="Book Antiqua" w:cs="Book Antiqua"/>
          <w:b/>
          <w:bCs/>
          <w:i/>
          <w:iCs/>
          <w:color w:val="000000"/>
        </w:rPr>
        <w:t xml:space="preserve"> </w:t>
      </w:r>
      <w:r w:rsidRPr="009A3C92">
        <w:rPr>
          <w:rFonts w:ascii="Book Antiqua" w:eastAsia="Book Antiqua" w:hAnsi="Book Antiqua" w:cs="Book Antiqua"/>
          <w:b/>
          <w:bCs/>
          <w:i/>
          <w:iCs/>
          <w:color w:val="000000"/>
        </w:rPr>
        <w:t>CD</w:t>
      </w:r>
    </w:p>
    <w:p w14:paraId="324FE21E" w14:textId="4692670D" w:rsidR="00A77B3E" w:rsidRPr="009A3C92" w:rsidRDefault="00202141">
      <w:pPr>
        <w:spacing w:line="360" w:lineRule="auto"/>
        <w:jc w:val="both"/>
      </w:pP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head-to-head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network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meta-analysis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superior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contrast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biologic-naïve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moderate-to-severe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SUCRA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0.97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0.68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p>
    <w:p w14:paraId="3DA279EE" w14:textId="5D691F93" w:rsidR="00A77B3E" w:rsidRPr="009A3C92" w:rsidRDefault="00202141" w:rsidP="00337E3E">
      <w:pPr>
        <w:spacing w:line="360" w:lineRule="auto"/>
        <w:ind w:firstLineChars="200" w:firstLine="480"/>
        <w:jc w:val="both"/>
      </w:pP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explained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distinction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peak,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intermediate,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available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TDM.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distinction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peak,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intermediate,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sampling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TDM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because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kept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because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frequent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absorption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29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p>
    <w:p w14:paraId="1D2C81EB" w14:textId="042FFFA4" w:rsidR="00A77B3E" w:rsidRPr="009A3C92" w:rsidRDefault="00202141" w:rsidP="00337E3E">
      <w:pPr>
        <w:spacing w:line="360" w:lineRule="auto"/>
        <w:ind w:firstLineChars="200" w:firstLine="480"/>
        <w:jc w:val="both"/>
      </w:pPr>
      <w:r w:rsidRPr="009A3C92">
        <w:rPr>
          <w:rFonts w:ascii="Book Antiqua" w:eastAsia="Book Antiqua" w:hAnsi="Book Antiqua" w:cs="Book Antiqua"/>
          <w:color w:val="000000"/>
        </w:rPr>
        <w:t>Figure</w:t>
      </w:r>
      <w:r w:rsidR="008E3348" w:rsidRPr="009A3C92">
        <w:rPr>
          <w:rFonts w:ascii="Book Antiqua" w:eastAsia="Book Antiqua" w:hAnsi="Book Antiqua" w:cs="Book Antiqua"/>
          <w:color w:val="000000"/>
        </w:rPr>
        <w:t xml:space="preserve"> </w:t>
      </w:r>
      <w:r w:rsidR="001F4C8F" w:rsidRPr="009A3C92">
        <w:rPr>
          <w:rFonts w:ascii="Book Antiqua" w:eastAsia="Book Antiqua" w:hAnsi="Book Antiqua" w:cs="Book Antiqua"/>
          <w:color w:val="000000"/>
        </w:rPr>
        <w:t>1B</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changes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purple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dotted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indicates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controlling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1</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tends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approaches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whereas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continuously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above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because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keep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above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inhibit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antibodies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suppress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occurrence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durability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Owing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p>
    <w:p w14:paraId="4F80E1C5" w14:textId="1C8E03E2" w:rsidR="00A77B3E" w:rsidRPr="009A3C92" w:rsidRDefault="00202141" w:rsidP="00337E3E">
      <w:pPr>
        <w:spacing w:line="360" w:lineRule="auto"/>
        <w:ind w:firstLineChars="200" w:firstLine="480"/>
        <w:jc w:val="both"/>
      </w:pP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association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outcomes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demonstrated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many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meta-analysis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indicated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39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several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are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important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prognostic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factor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achieving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endoscopic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Another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study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revealed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only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factor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associated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endoscopic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was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increase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(likelihood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ratio,</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2.02;</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95%CI</w:t>
      </w:r>
      <w:r w:rsidR="00337E3E" w:rsidRPr="009A3C92">
        <w:rPr>
          <w:rFonts w:ascii="Book Antiqua" w:eastAsia="Book Antiqua" w:hAnsi="Book Antiqua" w:cs="Book Antiqua"/>
          <w:color w:val="000000"/>
          <w:shd w:val="clear" w:color="auto" w:fill="FFFFFF"/>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1.01</w:t>
      </w:r>
      <w:r w:rsidR="00337E3E" w:rsidRPr="009A3C92">
        <w:rPr>
          <w:rFonts w:ascii="Book Antiqua" w:eastAsia="Book Antiqua" w:hAnsi="Book Antiqua" w:cs="Book Antiqua"/>
          <w:color w:val="000000"/>
          <w:shd w:val="clear" w:color="auto" w:fill="FFFFFF"/>
        </w:rPr>
        <w:t>-</w:t>
      </w:r>
      <w:r w:rsidRPr="009A3C92">
        <w:rPr>
          <w:rFonts w:ascii="Book Antiqua" w:eastAsia="Book Antiqua" w:hAnsi="Book Antiqua" w:cs="Book Antiqua"/>
          <w:color w:val="000000"/>
          <w:shd w:val="clear" w:color="auto" w:fill="FFFFFF"/>
        </w:rPr>
        <w:t>4.08;</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0.048)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337E3E"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0</w:t>
      </w:r>
      <w:r w:rsidR="00337E3E"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Yarur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shd w:val="clear" w:color="auto" w:fill="FFFFFF"/>
        </w:rPr>
        <w:t>et</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i/>
          <w:iCs/>
          <w:color w:val="000000"/>
          <w:shd w:val="clear" w:color="auto" w:fill="FFFFFF"/>
        </w:rPr>
        <w:t>al</w:t>
      </w:r>
      <w:r w:rsidR="00337E3E"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1</w:t>
      </w:r>
      <w:r w:rsidR="00337E3E"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demonstrated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correlation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between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IFX</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TLs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fistula</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00337E3E" w:rsidRPr="009A3C92">
        <w:rPr>
          <w:rFonts w:ascii="Book Antiqua" w:eastAsia="Book Antiqua" w:hAnsi="Book Antiqua" w:cs="Book Antiqua"/>
          <w:color w:val="000000"/>
          <w:shd w:val="clear" w:color="auto" w:fill="FFFFFF"/>
        </w:rPr>
        <w:t>[</w:t>
      </w:r>
      <w:r w:rsidRPr="009A3C92">
        <w:rPr>
          <w:rFonts w:ascii="Book Antiqua" w:eastAsia="Book Antiqua" w:hAnsi="Book Antiqua" w:cs="Book Antiqua"/>
          <w:color w:val="000000"/>
          <w:shd w:val="clear" w:color="auto" w:fill="FFFFFF"/>
        </w:rPr>
        <w:t>area</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under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curve</w:t>
      </w:r>
      <w:r w:rsidR="008E3348" w:rsidRPr="009A3C92">
        <w:rPr>
          <w:rFonts w:ascii="Book Antiqua" w:eastAsia="Book Antiqua" w:hAnsi="Book Antiqua" w:cs="Book Antiqua"/>
          <w:color w:val="000000"/>
          <w:shd w:val="clear" w:color="auto" w:fill="FFFFFF"/>
        </w:rPr>
        <w:t xml:space="preserve"> </w:t>
      </w:r>
      <w:r w:rsidR="00337E3E" w:rsidRPr="009A3C92">
        <w:rPr>
          <w:rFonts w:ascii="Book Antiqua" w:eastAsia="Book Antiqua" w:hAnsi="Book Antiqua" w:cs="Book Antiqua"/>
          <w:color w:val="000000"/>
          <w:shd w:val="clear" w:color="auto" w:fill="FFFFFF"/>
        </w:rPr>
        <w:t>(</w:t>
      </w:r>
      <w:r w:rsidRPr="009A3C92">
        <w:rPr>
          <w:rFonts w:ascii="Book Antiqua" w:eastAsia="Book Antiqua" w:hAnsi="Book Antiqua" w:cs="Book Antiqua"/>
          <w:color w:val="000000"/>
          <w:shd w:val="clear" w:color="auto" w:fill="FFFFFF"/>
        </w:rPr>
        <w:t>AUC</w:t>
      </w:r>
      <w:r w:rsidR="00337E3E" w:rsidRPr="009A3C92">
        <w:rPr>
          <w:rFonts w:ascii="Book Antiqua" w:eastAsia="Book Antiqua" w:hAnsi="Book Antiqua" w:cs="Book Antiqua"/>
          <w:color w:val="000000"/>
          <w:shd w:val="clear" w:color="auto" w:fill="FFFFFF"/>
        </w:rPr>
        <w:t>)</w:t>
      </w:r>
      <w:r w:rsidRPr="009A3C92">
        <w:rPr>
          <w:rFonts w:ascii="Book Antiqua" w:eastAsia="Book Antiqua" w:hAnsi="Book Antiqua" w:cs="Book Antiqua"/>
          <w:color w:val="000000"/>
          <w:shd w:val="clear" w:color="auto" w:fill="FFFFFF"/>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0.82;</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0.0001</w:t>
      </w:r>
      <w:r w:rsidR="00337E3E" w:rsidRPr="009A3C92">
        <w:rPr>
          <w:rFonts w:ascii="Book Antiqua" w:eastAsia="Book Antiqua" w:hAnsi="Book Antiqua" w:cs="Book Antiqua"/>
          <w:color w:val="000000"/>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Likewise,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associated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biochemical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2</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determinants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well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00593196" w:rsidRPr="009A3C92">
        <w:rPr>
          <w:rFonts w:ascii="Book Antiqua" w:eastAsia="Book Antiqua" w:hAnsi="Book Antiqua" w:cs="Book Antiqua"/>
          <w:color w:val="000000"/>
        </w:rPr>
        <w:t xml:space="preserve">pediatric patients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specificity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r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3</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p>
    <w:p w14:paraId="1E6234C2" w14:textId="053A1877" w:rsidR="00A77B3E" w:rsidRPr="009A3C92" w:rsidRDefault="00202141" w:rsidP="000262EE">
      <w:pPr>
        <w:spacing w:line="360" w:lineRule="auto"/>
        <w:ind w:firstLineChars="200" w:firstLine="480"/>
        <w:jc w:val="both"/>
      </w:pPr>
      <w:r w:rsidRPr="009A3C92">
        <w:rPr>
          <w:rFonts w:ascii="Book Antiqua" w:eastAsia="Book Antiqua" w:hAnsi="Book Antiqua" w:cs="Book Antiqua"/>
          <w:color w:val="000000"/>
        </w:rPr>
        <w:t>Similar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associated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laboratory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4</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study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showed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TLs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were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associated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clinical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remission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(AUC,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0.748;</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color w:val="000000"/>
          <w:shd w:val="clear" w:color="auto" w:fill="FFFFFF"/>
        </w:rPr>
        <w:t>&lt;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0.001),</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optimal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cut-off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value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for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predicting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clinical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remission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5.85</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(sensitivity</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specificity,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70.6%).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shd w:val="clear" w:color="auto" w:fill="FFFFFF"/>
        </w:rPr>
        <w:t>In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addition,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Zittan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et</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i/>
          <w:iCs/>
          <w:color w:val="000000"/>
          <w:shd w:val="clear" w:color="auto" w:fill="FFFFFF"/>
        </w:rPr>
        <w:t>al</w:t>
      </w:r>
      <w:r w:rsidR="001900B4"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5</w:t>
      </w:r>
      <w:r w:rsidR="001900B4"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conducted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large,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homogenous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cohort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study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which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revealed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patients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endoscopic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have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higher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TLs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during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maintenance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phase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those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without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endoscopic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(14.7</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vs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3.4</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Pr="009A3C92">
        <w:rPr>
          <w:rFonts w:ascii="Book Antiqua" w:eastAsia="Book Antiqua" w:hAnsi="Book Antiqua" w:cs="Book Antiqua"/>
          <w:i/>
          <w:iCs/>
          <w:color w:val="000000"/>
          <w:shd w:val="clear" w:color="auto" w:fill="FFFFFF"/>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found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IMAgINE-1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slightly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without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(11.3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µg/mL,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0.028)</w:t>
      </w:r>
      <w:r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shd w:val="clear" w:color="auto" w:fill="FFFFFF"/>
        </w:rPr>
        <w:t>et</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i/>
          <w:iCs/>
          <w:color w:val="000000"/>
          <w:shd w:val="clear" w:color="auto" w:fill="FFFFFF"/>
        </w:rPr>
        <w:t>al</w:t>
      </w:r>
      <w:r w:rsidR="001900B4"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7</w:t>
      </w:r>
      <w:r w:rsidR="001900B4"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reported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pediatric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patients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endoscopic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had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significantly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lastRenderedPageBreak/>
        <w:t>higher</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TLs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week</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16</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than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those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without</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endoscopic</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healing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(13.0</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vs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6.2</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µg/mL,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i/>
          <w:iCs/>
          <w:color w:val="000000"/>
          <w:shd w:val="clear" w:color="auto" w:fill="FFFFFF"/>
        </w:rPr>
        <w:t>P</w:t>
      </w:r>
      <w:r w:rsidR="008E3348" w:rsidRPr="009A3C92">
        <w:rPr>
          <w:rFonts w:ascii="Book Antiqua" w:eastAsia="Book Antiqua" w:hAnsi="Book Antiqua" w:cs="Book Antiqua"/>
          <w:i/>
          <w:iCs/>
          <w:color w:val="000000"/>
          <w:shd w:val="clear" w:color="auto" w:fill="FFFFFF"/>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0.023).</w:t>
      </w:r>
    </w:p>
    <w:p w14:paraId="388EC96C" w14:textId="3E7B5D8B" w:rsidR="00A77B3E" w:rsidRPr="009A3C92" w:rsidRDefault="00202141" w:rsidP="001900B4">
      <w:pPr>
        <w:spacing w:line="360" w:lineRule="auto"/>
        <w:ind w:firstLineChars="200" w:firstLine="480"/>
        <w:jc w:val="both"/>
      </w:pP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inferred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from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above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concentrations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sustained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above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threshold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despite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cut-off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values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withstanding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inflammatory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burden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constantly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expected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sustaining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p>
    <w:p w14:paraId="58D210FF" w14:textId="77777777" w:rsidR="00A77B3E" w:rsidRPr="009A3C92" w:rsidRDefault="00A77B3E">
      <w:pPr>
        <w:spacing w:line="360" w:lineRule="auto"/>
        <w:jc w:val="both"/>
      </w:pPr>
    </w:p>
    <w:p w14:paraId="0DE2DB89" w14:textId="3818B5D4" w:rsidR="00A77B3E" w:rsidRPr="009A3C92" w:rsidRDefault="00202141">
      <w:pPr>
        <w:spacing w:line="360" w:lineRule="auto"/>
        <w:jc w:val="both"/>
      </w:pPr>
      <w:r w:rsidRPr="009A3C92">
        <w:rPr>
          <w:rFonts w:ascii="Book Antiqua" w:eastAsia="Book Antiqua" w:hAnsi="Book Antiqua" w:cs="Book Antiqua"/>
          <w:b/>
          <w:bCs/>
          <w:caps/>
          <w:color w:val="000000"/>
          <w:u w:val="single"/>
        </w:rPr>
        <w:t>Immunogenicity</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of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Anti-TNF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Agents</w:t>
      </w:r>
    </w:p>
    <w:p w14:paraId="530CC287" w14:textId="55D00D0E" w:rsidR="00A77B3E" w:rsidRPr="009A3C92" w:rsidRDefault="00202141">
      <w:pPr>
        <w:spacing w:line="360" w:lineRule="auto"/>
        <w:jc w:val="both"/>
      </w:pPr>
      <w:r w:rsidRPr="009A3C92">
        <w:rPr>
          <w:rFonts w:ascii="Book Antiqua" w:eastAsia="Book Antiqua" w:hAnsi="Book Antiqua" w:cs="Book Antiqua"/>
          <w:color w:val="000000"/>
        </w:rPr>
        <w:t>Although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refractory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conventional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approximately,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half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primary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responders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escalation</w:t>
      </w:r>
      <w:r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60</w:t>
      </w:r>
      <w:r w:rsidR="001900B4" w:rsidRPr="009A3C92">
        <w:rPr>
          <w:rFonts w:ascii="Book Antiqua" w:eastAsia="Book Antiqua" w:hAnsi="Book Antiqua" w:cs="Book Antiqua"/>
          <w:color w:val="000000"/>
        </w:rPr>
        <w:t>%-</w:t>
      </w:r>
      <w:r w:rsidRPr="009A3C92">
        <w:rPr>
          <w:rFonts w:ascii="Book Antiqua" w:eastAsia="Book Antiqua" w:hAnsi="Book Antiqua" w:cs="Book Antiqua"/>
          <w:color w:val="000000"/>
        </w:rPr>
        <w:t>87%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partial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maintain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year</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49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reason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p>
    <w:p w14:paraId="2B8F91E1" w14:textId="0588BE98" w:rsidR="00A77B3E" w:rsidRPr="009A3C92" w:rsidRDefault="00202141" w:rsidP="001900B4">
      <w:pPr>
        <w:spacing w:line="360" w:lineRule="auto"/>
        <w:ind w:firstLineChars="200" w:firstLine="480"/>
        <w:jc w:val="both"/>
      </w:pP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to</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anti-TNF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agents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develops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when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immune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system</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patients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recognises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drugs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antigens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and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triggers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formation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ADAs.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ADAs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accelerate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drug</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clearance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by</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reticuloendothelial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system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neutralise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binding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Pr="009A3C92">
        <w:rPr>
          <w:rFonts w:ascii="Book Antiqua" w:eastAsia="Book Antiqua" w:hAnsi="Book Antiqua" w:cs="Book Antiqua"/>
          <w:color w:val="000000"/>
          <w:vertAlign w:val="superscript"/>
        </w:rPr>
        <w:t>[5</w:t>
      </w:r>
      <w:r w:rsidR="008E3348" w:rsidRPr="009A3C92">
        <w:rPr>
          <w:rFonts w:ascii="Book Antiqua" w:eastAsia="Book Antiqua" w:hAnsi="Book Antiqua" w:cs="Book Antiqua"/>
          <w:color w:val="000000"/>
          <w:vertAlign w:val="superscript"/>
        </w:rPr>
        <w:t>0</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suboptimal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associated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leads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greater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Pr="009A3C92">
        <w:rPr>
          <w:rFonts w:ascii="Book Antiqua" w:eastAsia="Book Antiqua" w:hAnsi="Book Antiqua" w:cs="Book Antiqua"/>
          <w:color w:val="000000"/>
          <w:vertAlign w:val="superscript"/>
        </w:rPr>
        <w:t>[3</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,5</w:t>
      </w:r>
      <w:r w:rsidR="008E3348" w:rsidRPr="009A3C92">
        <w:rPr>
          <w:rFonts w:ascii="Book Antiqua" w:eastAsia="Book Antiqua" w:hAnsi="Book Antiqua" w:cs="Book Antiqua"/>
          <w:color w:val="000000"/>
          <w:vertAlign w:val="superscript"/>
        </w:rPr>
        <w:t>1</w:t>
      </w:r>
      <w:r w:rsidRPr="009A3C92">
        <w:rPr>
          <w:rFonts w:ascii="Book Antiqua" w:eastAsia="Book Antiqua" w:hAnsi="Book Antiqua" w:cs="Book Antiqua"/>
          <w:color w:val="000000"/>
          <w:vertAlign w:val="superscript"/>
        </w:rPr>
        <w:t>,5</w:t>
      </w:r>
      <w:r w:rsidR="008E3348" w:rsidRPr="009A3C92">
        <w:rPr>
          <w:rFonts w:ascii="Book Antiqua" w:eastAsia="Book Antiqua" w:hAnsi="Book Antiqua" w:cs="Book Antiqua"/>
          <w:color w:val="000000"/>
          <w:vertAlign w:val="superscript"/>
        </w:rPr>
        <w:t>2</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body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development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albumin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elevated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C-reactive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protein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level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covariates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accelerate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clearance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Pr="009A3C92">
        <w:rPr>
          <w:rFonts w:ascii="Book Antiqua" w:eastAsia="Book Antiqua" w:hAnsi="Book Antiqua" w:cs="Book Antiqua"/>
          <w:color w:val="000000"/>
          <w:vertAlign w:val="superscript"/>
        </w:rPr>
        <w:t>[5</w:t>
      </w:r>
      <w:r w:rsidR="008E3348" w:rsidRPr="009A3C92">
        <w:rPr>
          <w:rFonts w:ascii="Book Antiqua" w:eastAsia="Book Antiqua" w:hAnsi="Book Antiqua" w:cs="Book Antiqua"/>
          <w:color w:val="000000"/>
          <w:vertAlign w:val="superscript"/>
        </w:rPr>
        <w:t>3</w:t>
      </w:r>
      <w:r w:rsidRPr="009A3C92">
        <w:rPr>
          <w:rFonts w:ascii="Book Antiqua" w:eastAsia="Book Antiqua" w:hAnsi="Book Antiqua" w:cs="Book Antiqua"/>
          <w:color w:val="000000"/>
          <w:vertAlign w:val="superscript"/>
        </w:rPr>
        <w:t>-5</w:t>
      </w:r>
      <w:r w:rsidR="008E3348"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p>
    <w:p w14:paraId="3DDC409A" w14:textId="5CE1BB54" w:rsidR="00A77B3E" w:rsidRPr="009A3C92" w:rsidRDefault="00202141" w:rsidP="001900B4">
      <w:pPr>
        <w:spacing w:line="360" w:lineRule="auto"/>
        <w:ind w:firstLineChars="200" w:firstLine="480"/>
        <w:jc w:val="both"/>
      </w:pPr>
      <w:r w:rsidRPr="009A3C92">
        <w:rPr>
          <w:rFonts w:ascii="Book Antiqua" w:eastAsia="Book Antiqua" w:hAnsi="Book Antiqua" w:cs="Book Antiqua"/>
          <w:color w:val="000000"/>
        </w:rPr>
        <w:t>Vermeire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1900B4" w:rsidRPr="009A3C92">
        <w:rPr>
          <w:rFonts w:ascii="Book Antiqua" w:eastAsia="Book Antiqua" w:hAnsi="Book Antiqua" w:cs="Book Antiqua"/>
          <w:color w:val="000000"/>
          <w:vertAlign w:val="superscript"/>
        </w:rPr>
        <w:t>[5</w:t>
      </w:r>
      <w:r w:rsidR="008E3348" w:rsidRPr="009A3C92">
        <w:rPr>
          <w:rFonts w:ascii="Book Antiqua" w:eastAsia="Book Antiqua" w:hAnsi="Book Antiqua" w:cs="Book Antiqua"/>
          <w:color w:val="000000"/>
          <w:vertAlign w:val="superscript"/>
        </w:rPr>
        <w:t>7</w:t>
      </w:r>
      <w:r w:rsidR="001900B4"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65.3%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38.0%.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Theoretically,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humanised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monoclonal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antibody,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thought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human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body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monoclonal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chimeric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antibody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(partly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murine,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partly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human).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superior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terms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p>
    <w:p w14:paraId="45A721F2" w14:textId="77777777" w:rsidR="00A77B3E" w:rsidRPr="009A3C92" w:rsidRDefault="00A77B3E">
      <w:pPr>
        <w:spacing w:line="360" w:lineRule="auto"/>
        <w:jc w:val="both"/>
      </w:pPr>
    </w:p>
    <w:p w14:paraId="37CE1E20" w14:textId="36988442" w:rsidR="00A77B3E" w:rsidRPr="009A3C92" w:rsidRDefault="00202141">
      <w:pPr>
        <w:spacing w:line="360" w:lineRule="auto"/>
        <w:jc w:val="both"/>
      </w:pPr>
      <w:r w:rsidRPr="009A3C92">
        <w:rPr>
          <w:rFonts w:ascii="Book Antiqua" w:eastAsia="Book Antiqua" w:hAnsi="Book Antiqua" w:cs="Book Antiqua"/>
          <w:b/>
          <w:bCs/>
          <w:caps/>
          <w:color w:val="000000"/>
          <w:u w:val="single"/>
        </w:rPr>
        <w:t>Anti-TNF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Agents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for</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Growth</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Improvement</w:t>
      </w:r>
    </w:p>
    <w:p w14:paraId="796689F6" w14:textId="7246FA7F" w:rsidR="00A77B3E" w:rsidRPr="009A3C92" w:rsidRDefault="00202141">
      <w:pPr>
        <w:spacing w:line="360" w:lineRule="auto"/>
        <w:jc w:val="both"/>
      </w:pP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Selecting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Therapeutic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Targets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IBD-II,</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restoration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normal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established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intermediate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target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Pr="009A3C92">
        <w:rPr>
          <w:rFonts w:ascii="Book Antiqua" w:eastAsia="Book Antiqua" w:hAnsi="Book Antiqua" w:cs="Book Antiqua"/>
          <w:color w:val="000000"/>
          <w:vertAlign w:val="superscript"/>
        </w:rPr>
        <w:t>[5</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goal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normalise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p>
    <w:p w14:paraId="6DC7A87D" w14:textId="205CA25F" w:rsidR="00A77B3E" w:rsidRPr="009A3C92" w:rsidRDefault="00202141" w:rsidP="001900B4">
      <w:pPr>
        <w:spacing w:line="360" w:lineRule="auto"/>
        <w:ind w:firstLineChars="200" w:firstLine="480"/>
        <w:jc w:val="both"/>
      </w:pP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restoration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positive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recovery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normal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published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restoration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well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195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59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recovery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greater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Tanner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potential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Tanner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Another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diagnosis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conventional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step-up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0.026)</w:t>
      </w:r>
      <w:r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0</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Tanner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statistically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z-score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conventional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step-up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0.438).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Tanner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restoration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improved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0.016).</w:t>
      </w:r>
      <w:r w:rsidR="008E3348" w:rsidRPr="009A3C92">
        <w:rPr>
          <w:rFonts w:ascii="Book Antiqua" w:eastAsia="Book Antiqua" w:hAnsi="Book Antiqua" w:cs="Book Antiqua"/>
          <w:color w:val="000000"/>
        </w:rPr>
        <w:t xml:space="preserve"> </w:t>
      </w:r>
    </w:p>
    <w:p w14:paraId="1F97A27F" w14:textId="44788666" w:rsidR="00A77B3E" w:rsidRPr="009A3C92" w:rsidRDefault="00202141" w:rsidP="001900B4">
      <w:pPr>
        <w:spacing w:line="360" w:lineRule="auto"/>
        <w:ind w:firstLineChars="200" w:firstLine="480"/>
        <w:jc w:val="both"/>
      </w:pPr>
      <w:r w:rsidRPr="009A3C92">
        <w:rPr>
          <w:rFonts w:ascii="Book Antiqua" w:eastAsia="Book Antiqua" w:hAnsi="Book Antiqua" w:cs="Book Antiqua"/>
          <w:color w:val="000000"/>
        </w:rPr>
        <w:t>Similarly,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restoring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baseline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impairment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diagnosis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(median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z-score,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baseline,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-3.25;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-0.34;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0.21,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0.001)</w:t>
      </w:r>
      <w:r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1</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Matar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1900B4"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2</w:t>
      </w:r>
      <w:r w:rsidR="001900B4"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improves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body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index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well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p>
    <w:p w14:paraId="1741A8F2" w14:textId="77777777" w:rsidR="00A77B3E" w:rsidRPr="009A3C92" w:rsidRDefault="00A77B3E">
      <w:pPr>
        <w:spacing w:line="360" w:lineRule="auto"/>
        <w:jc w:val="both"/>
      </w:pPr>
    </w:p>
    <w:p w14:paraId="4CFB1857" w14:textId="08AA8663" w:rsidR="00A77B3E" w:rsidRPr="009A3C92" w:rsidRDefault="00202141">
      <w:pPr>
        <w:spacing w:line="360" w:lineRule="auto"/>
        <w:jc w:val="both"/>
      </w:pPr>
      <w:r w:rsidRPr="009A3C92">
        <w:rPr>
          <w:rFonts w:ascii="Book Antiqua" w:eastAsia="Book Antiqua" w:hAnsi="Book Antiqua" w:cs="Book Antiqua"/>
          <w:b/>
          <w:bCs/>
          <w:caps/>
          <w:color w:val="000000"/>
          <w:u w:val="single"/>
        </w:rPr>
        <w:t>Safety</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and</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Adverse</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Events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during</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Anti-TNF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Therapy</w:t>
      </w:r>
    </w:p>
    <w:p w14:paraId="57E1A5EF" w14:textId="23C2E338" w:rsidR="00A77B3E" w:rsidRPr="009A3C92" w:rsidRDefault="00202141">
      <w:pPr>
        <w:spacing w:line="360" w:lineRule="auto"/>
        <w:jc w:val="both"/>
      </w:pPr>
      <w:r w:rsidRPr="009A3C92">
        <w:rPr>
          <w:rFonts w:ascii="Book Antiqua" w:eastAsia="Book Antiqua" w:hAnsi="Book Antiqua" w:cs="Book Antiqua"/>
          <w:color w:val="000000"/>
        </w:rPr>
        <w:lastRenderedPageBreak/>
        <w:t>From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immunological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point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view,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TNFα</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cytokine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responsible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macrophage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activation,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neutrophil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recruitment,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granuloma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associated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especially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granulomatous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infection</w:t>
      </w:r>
      <w:r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3</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Dulai</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2D516E"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4</w:t>
      </w:r>
      <w:r w:rsidR="002D516E"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serious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infectious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352/10000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33/10000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patient-years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follow-up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evaluation</w:t>
      </w:r>
      <w:r w:rsidR="008E3348" w:rsidRPr="009A3C92">
        <w:rPr>
          <w:rFonts w:ascii="Book Antiqua" w:eastAsia="Book Antiqua" w:hAnsi="Book Antiqua" w:cs="Book Antiqua"/>
          <w:color w:val="000000"/>
        </w:rPr>
        <w:t xml:space="preserve"> </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PYF</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95%CI</w:t>
      </w:r>
      <w:r w:rsidR="002D516E"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0.83</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1.36</w:t>
      </w:r>
      <w:r w:rsidR="002D516E"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(654/10000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PYF;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95%CI</w:t>
      </w:r>
      <w:r w:rsidR="002D516E"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0.43</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0.67).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1.19;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95%CI</w:t>
      </w:r>
      <w:r w:rsidR="002D516E"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1.03</w:t>
      </w:r>
      <w:r w:rsidR="002D516E" w:rsidRPr="009A3C92">
        <w:rPr>
          <w:rFonts w:ascii="Book Antiqua" w:eastAsia="Book Antiqua" w:hAnsi="Book Antiqua" w:cs="Book Antiqua"/>
          <w:color w:val="000000"/>
        </w:rPr>
        <w:t>-</w:t>
      </w:r>
      <w:r w:rsidRPr="009A3C92">
        <w:rPr>
          <w:rFonts w:ascii="Book Antiqua" w:eastAsia="Book Antiqua" w:hAnsi="Book Antiqua" w:cs="Book Antiqua"/>
          <w:color w:val="000000"/>
        </w:rPr>
        <w:t>1.37)</w:t>
      </w:r>
      <w:r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5</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network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meta-analysis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indirectly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(SUCRA,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0.83)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(SUCRA,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0.22)</w:t>
      </w:r>
      <w:r w:rsidRPr="009A3C92">
        <w:rPr>
          <w:rFonts w:ascii="Book Antiqua" w:eastAsia="Book Antiqua" w:hAnsi="Book Antiqua" w:cs="Book Antiqua"/>
          <w:color w:val="000000"/>
          <w:vertAlign w:val="superscript"/>
        </w:rPr>
        <w:t>[2</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p>
    <w:p w14:paraId="06A7A3FC" w14:textId="058F2AD7" w:rsidR="00A77B3E" w:rsidRPr="009A3C92" w:rsidRDefault="00202141" w:rsidP="002D516E">
      <w:pPr>
        <w:spacing w:line="360" w:lineRule="auto"/>
        <w:ind w:firstLineChars="200" w:firstLine="480"/>
        <w:jc w:val="both"/>
      </w:pPr>
      <w:r w:rsidRPr="009A3C92">
        <w:rPr>
          <w:rFonts w:ascii="Book Antiqua" w:eastAsia="Book Antiqua" w:hAnsi="Book Antiqua" w:cs="Book Antiqua"/>
          <w:color w:val="000000"/>
        </w:rPr>
        <w:t>Previous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malignancy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lymphoproliferative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disorders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particularly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thiopurine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meta-analysis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randomised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placebo-controlled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comprising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14590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malignancy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(odds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ratio,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0.90;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95%CI</w:t>
      </w:r>
      <w:r w:rsidR="003F2D9D"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0.54</w:t>
      </w:r>
      <w:r w:rsidR="003F2D9D" w:rsidRPr="009A3C92">
        <w:rPr>
          <w:rFonts w:ascii="Book Antiqua" w:eastAsia="Book Antiqua" w:hAnsi="Book Antiqua" w:cs="Book Antiqua"/>
          <w:color w:val="000000"/>
        </w:rPr>
        <w:t>-</w:t>
      </w:r>
      <w:r w:rsidRPr="009A3C92">
        <w:rPr>
          <w:rFonts w:ascii="Book Antiqua" w:eastAsia="Book Antiqua" w:hAnsi="Book Antiqua" w:cs="Book Antiqua"/>
          <w:color w:val="000000"/>
        </w:rPr>
        <w:t>1.50)</w:t>
      </w:r>
      <w:r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vertAlign w:val="superscript"/>
        </w:rPr>
        <w:t>]</w:t>
      </w:r>
      <w:r w:rsidR="003F2D9D"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DEVELOP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registry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5776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malignancy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occurred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w:t>
      </w:r>
      <w:r w:rsidR="003F2D9D"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malignancy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found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thiopurine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stratified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thiopurine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exposure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performed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regardless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standardised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malignancy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thiopurine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exposure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2.43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prevalence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healthy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children,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increase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malignancy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observed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children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exposed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p>
    <w:p w14:paraId="684AAC13" w14:textId="446F9039" w:rsidR="00A77B3E" w:rsidRPr="009A3C92" w:rsidRDefault="00202141" w:rsidP="003F2D9D">
      <w:pPr>
        <w:spacing w:line="360" w:lineRule="auto"/>
        <w:ind w:firstLineChars="200" w:firstLine="480"/>
        <w:jc w:val="both"/>
      </w:pPr>
      <w:r w:rsidRPr="009A3C92">
        <w:rPr>
          <w:rFonts w:ascii="Book Antiqua" w:eastAsia="Book Antiqua" w:hAnsi="Book Antiqua" w:cs="Book Antiqua"/>
          <w:color w:val="000000"/>
        </w:rPr>
        <w:t>Recent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common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dermatologic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psoriasis,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eczema,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skin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infection</w:t>
      </w:r>
      <w:r w:rsidRPr="009A3C92">
        <w:rPr>
          <w:rFonts w:ascii="Book Antiqua" w:eastAsia="Book Antiqua" w:hAnsi="Book Antiqua" w:cs="Book Antiqua"/>
          <w:color w:val="000000"/>
          <w:vertAlign w:val="superscript"/>
        </w:rPr>
        <w:t>[6</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frequency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skin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problems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appears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retrospective,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large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cohort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comprising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409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11.5%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least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dermatologic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particular,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developed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psoriasis,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proportion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(84.8%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15.2%,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0.05)</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69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Hradsky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et</w:t>
      </w:r>
      <w:r w:rsidR="008E3348" w:rsidRPr="009A3C92">
        <w:rPr>
          <w:rFonts w:ascii="Book Antiqua" w:eastAsia="Book Antiqua" w:hAnsi="Book Antiqua" w:cs="Book Antiqua"/>
          <w:i/>
          <w:iCs/>
          <w:color w:val="000000"/>
        </w:rPr>
        <w:t xml:space="preserve"> </w:t>
      </w:r>
      <w:r w:rsidRPr="009A3C92">
        <w:rPr>
          <w:rFonts w:ascii="Book Antiqua" w:eastAsia="Book Antiqua" w:hAnsi="Book Antiqua" w:cs="Book Antiqua"/>
          <w:i/>
          <w:iCs/>
          <w:color w:val="000000"/>
        </w:rPr>
        <w:t>al</w:t>
      </w:r>
      <w:r w:rsidR="008326D6"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0</w:t>
      </w:r>
      <w:r w:rsidR="008326D6"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predictive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dermatologic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complication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008326D6"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hazard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ratio,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95%CI</w:t>
      </w:r>
      <w:r w:rsidR="008326D6"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1.03</w:t>
      </w:r>
      <w:r w:rsidR="008326D6" w:rsidRPr="009A3C92">
        <w:rPr>
          <w:rFonts w:ascii="Book Antiqua" w:eastAsia="Book Antiqua" w:hAnsi="Book Antiqua" w:cs="Book Antiqua"/>
          <w:color w:val="000000"/>
        </w:rPr>
        <w:t>-</w:t>
      </w:r>
      <w:r w:rsidRPr="009A3C92">
        <w:rPr>
          <w:rFonts w:ascii="Book Antiqua" w:eastAsia="Book Antiqua" w:hAnsi="Book Antiqua" w:cs="Book Antiqua"/>
          <w:color w:val="000000"/>
        </w:rPr>
        <w:t>4.17).</w:t>
      </w:r>
    </w:p>
    <w:p w14:paraId="13B83138" w14:textId="77777777" w:rsidR="00A77B3E" w:rsidRPr="009A3C92" w:rsidRDefault="00A77B3E">
      <w:pPr>
        <w:spacing w:line="360" w:lineRule="auto"/>
        <w:jc w:val="both"/>
      </w:pPr>
    </w:p>
    <w:p w14:paraId="1C44DC6E" w14:textId="4B71921E" w:rsidR="00A77B3E" w:rsidRPr="009A3C92" w:rsidRDefault="00202141">
      <w:pPr>
        <w:spacing w:line="360" w:lineRule="auto"/>
        <w:jc w:val="both"/>
      </w:pPr>
      <w:r w:rsidRPr="009A3C92">
        <w:rPr>
          <w:rFonts w:ascii="Book Antiqua" w:eastAsia="Book Antiqua" w:hAnsi="Book Antiqua" w:cs="Book Antiqua"/>
          <w:b/>
          <w:bCs/>
          <w:caps/>
          <w:color w:val="000000"/>
          <w:u w:val="single"/>
        </w:rPr>
        <w:t>Effects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of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Concomitant</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IMM</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Treatment</w:t>
      </w:r>
    </w:p>
    <w:p w14:paraId="18C92C73" w14:textId="68D861CE" w:rsidR="00A77B3E" w:rsidRPr="009A3C92" w:rsidRDefault="00202141">
      <w:pPr>
        <w:spacing w:line="360" w:lineRule="auto"/>
        <w:jc w:val="both"/>
      </w:pP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starting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azathioprine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(AZA)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methotrexate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(MTX)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recommended.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first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RCTs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regarding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comparison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AZA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AZA,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SONIC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superiority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regarding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1</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developed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whereas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produced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14.6%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receiving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leading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μg/mL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μg/mL,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0.001).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Additionally,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likely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AZA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achieve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corticosteroid-free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healing.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Likewise,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revealed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plus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MTX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development</w:t>
      </w:r>
      <w:r w:rsidR="008E3348" w:rsidRPr="009A3C92">
        <w:rPr>
          <w:rFonts w:ascii="Book Antiqua" w:eastAsia="Book Antiqua" w:hAnsi="Book Antiqua" w:cs="Book Antiqua"/>
          <w:color w:val="000000"/>
        </w:rPr>
        <w:t xml:space="preserve"> </w:t>
      </w:r>
      <w:r w:rsidR="00C7798F" w:rsidRPr="009A3C92">
        <w:rPr>
          <w:rFonts w:ascii="Book Antiqua" w:eastAsia="Book Antiqua" w:hAnsi="Book Antiqua" w:cs="Book Antiqua"/>
          <w:color w:val="000000"/>
        </w:rPr>
        <w:t>(</w:t>
      </w:r>
      <w:r w:rsidRPr="009A3C92">
        <w:rPr>
          <w:rFonts w:ascii="Book Antiqua" w:eastAsia="Book Antiqua" w:hAnsi="Book Antiqua" w:cs="Book Antiqua"/>
          <w:color w:val="000000"/>
        </w:rPr>
        <w:t>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0.01</w:t>
      </w:r>
      <w:r w:rsidR="00C7798F"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00C7798F" w:rsidRPr="009A3C92">
        <w:rPr>
          <w:rFonts w:ascii="Book Antiqua" w:eastAsia="Book Antiqua" w:hAnsi="Book Antiqua" w:cs="Book Antiqua"/>
          <w:color w:val="000000"/>
        </w:rPr>
        <w:t>(</w:t>
      </w:r>
      <w:r w:rsidRPr="009A3C92">
        <w:rPr>
          <w:rFonts w:ascii="Book Antiqua" w:eastAsia="Book Antiqua" w:hAnsi="Book Antiqua" w:cs="Book Antiqua"/>
          <w:color w:val="000000"/>
        </w:rPr>
        <w:t>6.35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μg/mL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3.75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μg/mL,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0.08</w:t>
      </w:r>
      <w:r w:rsidR="00C7798F"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COMMIT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2</w:t>
      </w:r>
      <w:r w:rsidRPr="009A3C92">
        <w:rPr>
          <w:rFonts w:ascii="Book Antiqua" w:eastAsia="Book Antiqua" w:hAnsi="Book Antiqua" w:cs="Book Antiqua"/>
          <w:color w:val="000000"/>
          <w:vertAlign w:val="superscript"/>
        </w:rPr>
        <w:t>]</w:t>
      </w:r>
      <w:r w:rsidR="00C7798F" w:rsidRPr="009A3C92">
        <w:rPr>
          <w:rFonts w:ascii="Book Antiqua" w:eastAsia="Book Antiqua" w:hAnsi="Book Antiqua" w:cs="Book Antiqua"/>
          <w:color w:val="000000"/>
        </w:rPr>
        <w:t>.</w:t>
      </w:r>
    </w:p>
    <w:p w14:paraId="78BAEC00" w14:textId="254386EF" w:rsidR="00A77B3E" w:rsidRPr="009A3C92" w:rsidRDefault="00202141" w:rsidP="00C7798F">
      <w:pPr>
        <w:spacing w:line="360" w:lineRule="auto"/>
        <w:ind w:firstLineChars="200" w:firstLine="480"/>
        <w:jc w:val="both"/>
      </w:pP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RCT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retrospective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229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confirmed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AZA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reduced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3</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Moreover,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probability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remaining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after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(72.6%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93.4%,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57.7%</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91.0%,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48.1%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i/>
          <w:iCs/>
          <w:color w:val="000000"/>
        </w:rPr>
        <w:t>vs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91.0%,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plus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(including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AZA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MTX)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59</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4</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5</w:t>
      </w:r>
      <w:r w:rsidRPr="009A3C92">
        <w:rPr>
          <w:rFonts w:ascii="Book Antiqua" w:eastAsia="Book Antiqua" w:hAnsi="Book Antiqua" w:cs="Book Antiqua"/>
          <w:color w:val="000000"/>
          <w:vertAlign w:val="superscript"/>
        </w:rPr>
        <w:t>]</w:t>
      </w:r>
      <w:r w:rsidR="00B30DF1"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up-front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outcomes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perianal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structuring</w:t>
      </w:r>
      <w:r w:rsidR="008E3348" w:rsidRPr="009A3C92">
        <w:rPr>
          <w:rFonts w:ascii="Book Antiqua" w:eastAsia="Book Antiqua" w:hAnsi="Book Antiqua" w:cs="Book Antiqua"/>
          <w:color w:val="000000"/>
        </w:rPr>
        <w:t xml:space="preserve"> </w:t>
      </w:r>
      <w:r w:rsidR="00B30DF1" w:rsidRPr="009A3C92">
        <w:rPr>
          <w:rFonts w:ascii="Book Antiqua" w:eastAsia="Book Antiqua" w:hAnsi="Book Antiqua" w:cs="Book Antiqua"/>
          <w:color w:val="000000"/>
        </w:rPr>
        <w:t>(</w:t>
      </w:r>
      <w:r w:rsidRPr="009A3C92">
        <w:rPr>
          <w:rFonts w:ascii="Book Antiqua" w:eastAsia="Book Antiqua" w:hAnsi="Book Antiqua" w:cs="Book Antiqua"/>
          <w:color w:val="000000"/>
        </w:rPr>
        <w:t>B2</w:t>
      </w:r>
      <w:r w:rsidR="00B30DF1"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penetrating</w:t>
      </w:r>
      <w:r w:rsidR="008E3348" w:rsidRPr="009A3C92">
        <w:rPr>
          <w:rFonts w:ascii="Book Antiqua" w:eastAsia="Book Antiqua" w:hAnsi="Book Antiqua" w:cs="Book Antiqua"/>
          <w:color w:val="000000"/>
        </w:rPr>
        <w:t xml:space="preserve"> </w:t>
      </w:r>
      <w:r w:rsidR="00B30DF1" w:rsidRPr="009A3C92">
        <w:rPr>
          <w:rFonts w:ascii="Book Antiqua" w:eastAsia="Book Antiqua" w:hAnsi="Book Antiqua" w:cs="Book Antiqua"/>
          <w:color w:val="000000"/>
        </w:rPr>
        <w:t>(</w:t>
      </w:r>
      <w:r w:rsidRPr="009A3C92">
        <w:rPr>
          <w:rFonts w:ascii="Book Antiqua" w:eastAsia="Book Antiqua" w:hAnsi="Book Antiqua" w:cs="Book Antiqua"/>
          <w:color w:val="000000"/>
        </w:rPr>
        <w:t>B3</w:t>
      </w:r>
      <w:r w:rsidR="00B30DF1"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behaviour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growth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impairment.</w:t>
      </w:r>
      <w:r w:rsidR="008E3348" w:rsidRPr="009A3C92">
        <w:rPr>
          <w:rFonts w:ascii="Book Antiqua" w:eastAsia="Book Antiqua" w:hAnsi="Book Antiqua" w:cs="Book Antiqua"/>
          <w:color w:val="000000"/>
        </w:rPr>
        <w:t xml:space="preserve"> </w:t>
      </w:r>
    </w:p>
    <w:p w14:paraId="35FCACFE" w14:textId="5716A561" w:rsidR="00A77B3E" w:rsidRPr="009A3C92" w:rsidRDefault="00202141" w:rsidP="00B30DF1">
      <w:pPr>
        <w:spacing w:line="360" w:lineRule="auto"/>
        <w:ind w:firstLineChars="200" w:firstLine="480"/>
        <w:jc w:val="both"/>
      </w:pP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meta-analysis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revealed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although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comparable</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contrast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post-hoc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analysis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IMAgINE-1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found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superior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terms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safety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weeks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52.</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Regarding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pharmacokinetics,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significant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line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findings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other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[4</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,7</w:t>
      </w:r>
      <w:r w:rsidR="008E3348" w:rsidRPr="009A3C92">
        <w:rPr>
          <w:rFonts w:ascii="Book Antiqua" w:eastAsia="Book Antiqua" w:hAnsi="Book Antiqua" w:cs="Book Antiqua"/>
          <w:color w:val="000000"/>
          <w:vertAlign w:val="superscript"/>
        </w:rPr>
        <w:t>8</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p>
    <w:p w14:paraId="398562D1" w14:textId="15441803" w:rsidR="00A77B3E" w:rsidRPr="009A3C92" w:rsidRDefault="00202141" w:rsidP="00B30DF1">
      <w:pPr>
        <w:spacing w:line="360" w:lineRule="auto"/>
        <w:ind w:firstLineChars="200" w:firstLine="480"/>
        <w:jc w:val="both"/>
      </w:pP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recently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updated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ESPGHAN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guidelines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medical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children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adolescents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recommend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whereas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monotherapy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alternative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combination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IMMs</w:t>
      </w:r>
      <w:r w:rsidRPr="009A3C92">
        <w:rPr>
          <w:rFonts w:ascii="Book Antiqua" w:eastAsia="Book Antiqua" w:hAnsi="Book Antiqua" w:cs="Book Antiqua"/>
          <w:color w:val="000000"/>
          <w:vertAlign w:val="superscript"/>
        </w:rPr>
        <w:t>[20]</w:t>
      </w:r>
      <w:r w:rsidRPr="009A3C92">
        <w:rPr>
          <w:rFonts w:ascii="Book Antiqua" w:eastAsia="Book Antiqua" w:hAnsi="Book Antiqua" w:cs="Book Antiqua"/>
          <w:color w:val="000000"/>
        </w:rPr>
        <w:t>.</w:t>
      </w:r>
    </w:p>
    <w:p w14:paraId="4D2CBDE6" w14:textId="77777777" w:rsidR="00A77B3E" w:rsidRPr="009A3C92" w:rsidRDefault="00A77B3E">
      <w:pPr>
        <w:spacing w:line="360" w:lineRule="auto"/>
        <w:jc w:val="both"/>
      </w:pPr>
    </w:p>
    <w:p w14:paraId="487DEF74" w14:textId="1583C476" w:rsidR="00A77B3E" w:rsidRPr="009A3C92" w:rsidRDefault="00202141">
      <w:pPr>
        <w:spacing w:line="360" w:lineRule="auto"/>
        <w:jc w:val="both"/>
      </w:pPr>
      <w:r w:rsidRPr="009A3C92">
        <w:rPr>
          <w:rFonts w:ascii="Book Antiqua" w:eastAsia="Book Antiqua" w:hAnsi="Book Antiqua" w:cs="Book Antiqua"/>
          <w:b/>
          <w:bCs/>
          <w:caps/>
          <w:color w:val="000000"/>
          <w:u w:val="single"/>
        </w:rPr>
        <w:t>Preferences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of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Patients</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and</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Parents</w:t>
      </w:r>
    </w:p>
    <w:p w14:paraId="2258193F" w14:textId="3DD48DB6" w:rsidR="00A77B3E" w:rsidRPr="009A3C92" w:rsidRDefault="00202141">
      <w:pPr>
        <w:spacing w:line="360" w:lineRule="auto"/>
        <w:jc w:val="both"/>
      </w:pPr>
      <w:r w:rsidRPr="009A3C92">
        <w:rPr>
          <w:rFonts w:ascii="Book Antiqua" w:eastAsia="Book Antiqua" w:hAnsi="Book Antiqua" w:cs="Book Antiqua"/>
          <w:color w:val="000000"/>
        </w:rPr>
        <w:t>There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several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primary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delivery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biotherapeutics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elicit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rapid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suitable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administering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large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volume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other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formulations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fewer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frequent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visits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invasive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administration</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79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Because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route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but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caregivers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delivery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p>
    <w:p w14:paraId="28CD5324" w14:textId="69B668CD" w:rsidR="00A77B3E" w:rsidRPr="009A3C92" w:rsidRDefault="00202141" w:rsidP="004E5934">
      <w:pPr>
        <w:spacing w:line="360" w:lineRule="auto"/>
        <w:ind w:firstLineChars="200" w:firstLine="480"/>
        <w:jc w:val="both"/>
      </w:pP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rheumatoid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arthritis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under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years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tendency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preparations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preparations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owing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convenience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0</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Similarly,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Switzerland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also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choice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specific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influenced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convenience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time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(34%),</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frequency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scientific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evidence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fear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syringes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reasons,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rather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injection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choosing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1</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p>
    <w:p w14:paraId="67FB49F7" w14:textId="1BABDBF0" w:rsidR="00A77B3E" w:rsidRPr="009A3C92" w:rsidRDefault="00202141" w:rsidP="004E5934">
      <w:pPr>
        <w:spacing w:line="360" w:lineRule="auto"/>
        <w:ind w:firstLineChars="200" w:firstLine="480"/>
        <w:jc w:val="both"/>
      </w:pP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conducted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Korea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opposite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189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naïve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63.5%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36.5%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2</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contrast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Western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reason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choosing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route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route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reassurance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from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presence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doctors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(68.3%).</w:t>
      </w:r>
      <w:r w:rsidR="008E3348" w:rsidRPr="009A3C92">
        <w:rPr>
          <w:rFonts w:ascii="Book Antiqua" w:eastAsia="Book Antiqua" w:hAnsi="Book Antiqua" w:cs="Book Antiqua"/>
          <w:color w:val="000000"/>
        </w:rPr>
        <w:t xml:space="preserve"> </w:t>
      </w:r>
    </w:p>
    <w:p w14:paraId="2E518A48" w14:textId="063CD612" w:rsidR="00A77B3E" w:rsidRPr="009A3C92" w:rsidRDefault="00202141" w:rsidP="004E5934">
      <w:pPr>
        <w:spacing w:line="360" w:lineRule="auto"/>
        <w:ind w:firstLineChars="200" w:firstLine="480"/>
        <w:jc w:val="both"/>
      </w:pP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studies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seem</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Western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Eastern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countries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terms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culture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medical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environments.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Unlike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Western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countries,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Asia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cultural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context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interdependence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decision-making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process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3</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characteristics,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daily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life,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cultural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caregivers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considered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selecting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Clinicians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should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discuss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route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their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caregivers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prescribing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p>
    <w:p w14:paraId="0932C82C" w14:textId="77777777" w:rsidR="00A77B3E" w:rsidRPr="009A3C92" w:rsidRDefault="00A77B3E">
      <w:pPr>
        <w:spacing w:line="360" w:lineRule="auto"/>
        <w:jc w:val="both"/>
      </w:pPr>
    </w:p>
    <w:p w14:paraId="7C35F58E" w14:textId="12714CEB" w:rsidR="00A77B3E" w:rsidRPr="009A3C92" w:rsidRDefault="00202141">
      <w:pPr>
        <w:spacing w:line="360" w:lineRule="auto"/>
        <w:jc w:val="both"/>
      </w:pPr>
      <w:r w:rsidRPr="009A3C92">
        <w:rPr>
          <w:rFonts w:ascii="Book Antiqua" w:eastAsia="Book Antiqua" w:hAnsi="Book Antiqua" w:cs="Book Antiqua"/>
          <w:b/>
          <w:bCs/>
          <w:caps/>
          <w:color w:val="000000"/>
          <w:u w:val="single"/>
        </w:rPr>
        <w:t>Adherence</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to</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Anti-TNF</w:t>
      </w:r>
      <w:r w:rsidR="008E3348" w:rsidRPr="009A3C92">
        <w:rPr>
          <w:rFonts w:ascii="Book Antiqua" w:eastAsia="Book Antiqua" w:hAnsi="Book Antiqua" w:cs="Book Antiqua"/>
          <w:b/>
          <w:bCs/>
          <w:caps/>
          <w:color w:val="000000"/>
          <w:u w:val="single"/>
        </w:rPr>
        <w:t xml:space="preserve"> </w:t>
      </w:r>
      <w:r w:rsidRPr="009A3C92">
        <w:rPr>
          <w:rFonts w:ascii="Book Antiqua" w:eastAsia="Book Antiqua" w:hAnsi="Book Antiqua" w:cs="Book Antiqua"/>
          <w:b/>
          <w:bCs/>
          <w:caps/>
          <w:color w:val="000000"/>
          <w:u w:val="single"/>
        </w:rPr>
        <w:t>Agents</w:t>
      </w:r>
    </w:p>
    <w:p w14:paraId="3D1A43EB" w14:textId="23C516F8" w:rsidR="00A77B3E" w:rsidRPr="009A3C92" w:rsidRDefault="00202141">
      <w:pPr>
        <w:spacing w:line="360" w:lineRule="auto"/>
        <w:jc w:val="both"/>
      </w:pPr>
      <w:r w:rsidRPr="009A3C92">
        <w:rPr>
          <w:rFonts w:ascii="Book Antiqua" w:eastAsia="Book Antiqua" w:hAnsi="Book Antiqua" w:cs="Book Antiqua"/>
          <w:color w:val="000000"/>
        </w:rPr>
        <w:t>Low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compliance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delayed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highly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related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formation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adverse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loss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response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low</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TLs</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4</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5</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szCs w:val="30"/>
          <w:vertAlign w:val="superscript"/>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adherence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plays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improving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outcomes.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adherence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known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approximately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70%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adherence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adherence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rate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66</w:t>
      </w:r>
      <w:r w:rsidR="004E5934" w:rsidRPr="009A3C92">
        <w:rPr>
          <w:rFonts w:ascii="Book Antiqua" w:eastAsia="Book Antiqua" w:hAnsi="Book Antiqua" w:cs="Book Antiqua"/>
          <w:color w:val="000000"/>
        </w:rPr>
        <w:t>%-</w:t>
      </w:r>
      <w:r w:rsidRPr="009A3C92">
        <w:rPr>
          <w:rFonts w:ascii="Book Antiqua" w:eastAsia="Book Antiqua" w:hAnsi="Book Antiqua" w:cs="Book Antiqua"/>
          <w:color w:val="000000"/>
        </w:rPr>
        <w:t>85%,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55</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7</w:t>
      </w:r>
      <w:r w:rsidRPr="009A3C92">
        <w:rPr>
          <w:rFonts w:ascii="Book Antiqua" w:eastAsia="Book Antiqua" w:hAnsi="Book Antiqua" w:cs="Book Antiqua"/>
          <w:color w:val="000000"/>
          <w:vertAlign w:val="superscript"/>
        </w:rPr>
        <w:t>-</w:t>
      </w:r>
      <w:r w:rsidR="008E3348" w:rsidRPr="009A3C92">
        <w:rPr>
          <w:rFonts w:ascii="Book Antiqua" w:eastAsia="Book Antiqua" w:hAnsi="Book Antiqua" w:cs="Book Antiqua"/>
          <w:color w:val="000000"/>
          <w:vertAlign w:val="superscript"/>
        </w:rPr>
        <w:t>89</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0.76</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(95%CI</w:t>
      </w:r>
      <w:r w:rsidR="004E5934"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0.64</w:t>
      </w:r>
      <w:r w:rsidR="004E5934" w:rsidRPr="009A3C92">
        <w:rPr>
          <w:rFonts w:ascii="Book Antiqua" w:eastAsia="Book Antiqua" w:hAnsi="Book Antiqua" w:cs="Book Antiqua"/>
          <w:color w:val="000000"/>
        </w:rPr>
        <w:t>-</w:t>
      </w:r>
      <w:r w:rsidRPr="009A3C92">
        <w:rPr>
          <w:rFonts w:ascii="Book Antiqua" w:eastAsia="Book Antiqua" w:hAnsi="Book Antiqua" w:cs="Book Antiqua"/>
          <w:color w:val="000000"/>
        </w:rPr>
        <w:t>0.91)</w:t>
      </w:r>
      <w:r w:rsidRPr="009A3C92">
        <w:rPr>
          <w:rFonts w:ascii="Book Antiqua" w:eastAsia="Book Antiqua" w:hAnsi="Book Antiqua" w:cs="Book Antiqua"/>
          <w:color w:val="000000"/>
          <w:vertAlign w:val="superscript"/>
        </w:rPr>
        <w:t>[8</w:t>
      </w:r>
      <w:r w:rsidR="008E3348" w:rsidRPr="009A3C92">
        <w:rPr>
          <w:rFonts w:ascii="Book Antiqua" w:eastAsia="Book Antiqua" w:hAnsi="Book Antiqua" w:cs="Book Antiqua"/>
          <w:color w:val="000000"/>
          <w:vertAlign w:val="superscript"/>
        </w:rPr>
        <w:t>6</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p>
    <w:p w14:paraId="33AC6776" w14:textId="22DD665F" w:rsidR="00A77B3E" w:rsidRPr="009A3C92" w:rsidRDefault="00202141" w:rsidP="004E5934">
      <w:pPr>
        <w:spacing w:line="360" w:lineRule="auto"/>
        <w:ind w:firstLineChars="200" w:firstLine="480"/>
        <w:jc w:val="both"/>
      </w:pP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adherence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thought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caused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route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intervals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injection,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supervision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clinicians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injection.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Adherence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could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controlled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favour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because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administration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drugs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visits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outpatient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w:t>
      </w:r>
      <w:r w:rsidR="008E3348" w:rsidRPr="009A3C92">
        <w:rPr>
          <w:rFonts w:ascii="Book Antiqua" w:eastAsia="Book Antiqua" w:hAnsi="Book Antiqua" w:cs="Book Antiqua"/>
          <w:color w:val="000000"/>
        </w:rPr>
        <w:t xml:space="preserve"> </w:t>
      </w:r>
    </w:p>
    <w:p w14:paraId="7809F294" w14:textId="168A1D6F" w:rsidR="00A77B3E" w:rsidRPr="009A3C92" w:rsidRDefault="00202141" w:rsidP="004E5934">
      <w:pPr>
        <w:spacing w:line="360" w:lineRule="auto"/>
        <w:ind w:firstLineChars="200" w:firstLine="480"/>
        <w:jc w:val="both"/>
      </w:pP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special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circumstances,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coronavirus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2019</w:t>
      </w:r>
      <w:r w:rsidR="008E3348" w:rsidRPr="009A3C92">
        <w:rPr>
          <w:rFonts w:ascii="Book Antiqua" w:eastAsia="Book Antiqua" w:hAnsi="Book Antiqua" w:cs="Book Antiqua"/>
          <w:color w:val="000000"/>
        </w:rPr>
        <w:t xml:space="preserve"> </w:t>
      </w:r>
      <w:r w:rsidR="004E5934" w:rsidRPr="009A3C92">
        <w:rPr>
          <w:rFonts w:ascii="Book Antiqua" w:eastAsia="Book Antiqua" w:hAnsi="Book Antiqua" w:cs="Book Antiqua"/>
          <w:color w:val="000000"/>
        </w:rPr>
        <w:t>(COVID-19)</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lead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results.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2020,</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Porto</w:t>
      </w:r>
      <w:r w:rsidR="008E3348" w:rsidRPr="009A3C92">
        <w:rPr>
          <w:rFonts w:ascii="Book Antiqua" w:eastAsia="Book Antiqua" w:hAnsi="Book Antiqua" w:cs="Book Antiqua"/>
          <w:color w:val="000000"/>
        </w:rPr>
        <w:t xml:space="preserve"> </w:t>
      </w:r>
      <w:r w:rsidR="004E5934" w:rsidRPr="009A3C92">
        <w:rPr>
          <w:rFonts w:ascii="Book Antiqua" w:eastAsia="Book Antiqua" w:hAnsi="Book Antiqua" w:cs="Book Antiqua"/>
          <w:color w:val="000000"/>
        </w:rPr>
        <w:t>Group</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ESPGHAN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published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society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paper</w:t>
      </w:r>
      <w:r w:rsidRPr="009A3C92">
        <w:rPr>
          <w:rFonts w:ascii="Book Antiqua" w:eastAsia="Book Antiqua" w:hAnsi="Book Antiqua" w:cs="Book Antiqua"/>
          <w:color w:val="000000"/>
          <w:vertAlign w:val="superscript"/>
        </w:rPr>
        <w:t>[9</w:t>
      </w:r>
      <w:r w:rsidR="008E3348" w:rsidRPr="009A3C92">
        <w:rPr>
          <w:rFonts w:ascii="Book Antiqua" w:eastAsia="Book Antiqua" w:hAnsi="Book Antiqua" w:cs="Book Antiqua"/>
          <w:color w:val="000000"/>
          <w:vertAlign w:val="superscript"/>
        </w:rPr>
        <w:t>0</w:t>
      </w:r>
      <w:r w:rsidRPr="009A3C92">
        <w:rPr>
          <w:rFonts w:ascii="Book Antiqua" w:eastAsia="Book Antiqua" w:hAnsi="Book Antiqua" w:cs="Book Antiqua"/>
          <w:color w:val="000000"/>
          <w:vertAlign w:val="superscript"/>
        </w:rPr>
        <w:t>]</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investigating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experience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IBD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management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COVID-19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situation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China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South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Korea,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recommended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standard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stopped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delayed.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During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COVID-19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pandemic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period,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delays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28%</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cases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China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5%</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Korea,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exacerbation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among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delayers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reported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21%</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23%,</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respectively.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difference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delay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between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two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countries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contributed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some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extent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social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social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distancing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lockdown.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assumed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reason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that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self-injectable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not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available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China,</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only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which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outpatient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visit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IV</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infusion,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administered.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Therefore,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contagious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COVID-19</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spreading,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might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advantage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terms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adherence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IFX.</w:t>
      </w:r>
      <w:r w:rsidR="008E3348" w:rsidRPr="009A3C92">
        <w:rPr>
          <w:rFonts w:ascii="Book Antiqua" w:eastAsia="Book Antiqua" w:hAnsi="Book Antiqua" w:cs="Book Antiqua"/>
          <w:color w:val="000000"/>
        </w:rPr>
        <w:t xml:space="preserve"> </w:t>
      </w:r>
    </w:p>
    <w:p w14:paraId="30AC1A5E" w14:textId="77777777" w:rsidR="00A77B3E" w:rsidRPr="009A3C92" w:rsidRDefault="00A77B3E">
      <w:pPr>
        <w:spacing w:line="360" w:lineRule="auto"/>
        <w:jc w:val="both"/>
      </w:pPr>
    </w:p>
    <w:p w14:paraId="557C52B3" w14:textId="77777777" w:rsidR="00A77B3E" w:rsidRPr="009A3C92" w:rsidRDefault="00202141">
      <w:pPr>
        <w:spacing w:line="360" w:lineRule="auto"/>
        <w:jc w:val="both"/>
      </w:pPr>
      <w:r w:rsidRPr="009A3C92">
        <w:rPr>
          <w:rFonts w:ascii="Book Antiqua" w:eastAsia="Book Antiqua" w:hAnsi="Book Antiqua" w:cs="Book Antiqua"/>
          <w:b/>
          <w:caps/>
          <w:color w:val="000000"/>
          <w:u w:val="single"/>
        </w:rPr>
        <w:t>CONCLUSION</w:t>
      </w:r>
    </w:p>
    <w:p w14:paraId="1D7D92F8" w14:textId="0085D529" w:rsidR="00A77B3E" w:rsidRPr="009A3C92" w:rsidRDefault="00202141">
      <w:pPr>
        <w:spacing w:line="360" w:lineRule="auto"/>
        <w:jc w:val="both"/>
      </w:pP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have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proven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endoscopic,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biochemical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with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moderate-to-severe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However,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careful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therapy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required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because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limitations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biologics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approved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Careful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evaluation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indications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disease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behavior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essential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when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prescribing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anti-TNF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agents.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addition,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such</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the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efficacy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remission,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safety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profile,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immunogenicity,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preference,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lastRenderedPageBreak/>
        <w:t>compliance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play</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important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role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in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evaluating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selecting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options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(Figure</w:t>
      </w:r>
      <w:r w:rsidR="008E3348" w:rsidRPr="009A3C92">
        <w:rPr>
          <w:rFonts w:ascii="Book Antiqua" w:eastAsia="Book Antiqua" w:hAnsi="Book Antiqua" w:cs="Book Antiqua"/>
          <w:color w:val="000000"/>
        </w:rPr>
        <w:t xml:space="preserve"> </w:t>
      </w:r>
      <w:r w:rsidR="001F4C8F" w:rsidRPr="009A3C92">
        <w:rPr>
          <w:rFonts w:ascii="Book Antiqua" w:eastAsia="Book Antiqua" w:hAnsi="Book Antiqua" w:cs="Book Antiqua"/>
          <w:color w:val="000000"/>
        </w:rPr>
        <w:t>2</w:t>
      </w:r>
      <w:r w:rsidRPr="009A3C92">
        <w:rPr>
          <w:rFonts w:ascii="Book Antiqua" w:eastAsia="Book Antiqua" w:hAnsi="Book Antiqua" w:cs="Book Antiqua"/>
          <w:color w:val="000000"/>
        </w:rPr>
        <w:t>)</w:t>
      </w:r>
      <w:r w:rsidRPr="009A3C92">
        <w:rPr>
          <w:rFonts w:ascii="Book Antiqua" w:eastAsia="Book Antiqua" w:hAnsi="Book Antiqua" w:cs="Book Antiqua"/>
          <w:color w:val="000000"/>
          <w:vertAlign w:val="superscript"/>
        </w:rPr>
        <w:t>[20]</w:t>
      </w:r>
      <w:r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Larger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cohorts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clinical</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trials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comparing</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groups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based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risk</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stratification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needed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provide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more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effective</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and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personalised</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treatment</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strategies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pediatric</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patients.</w:t>
      </w:r>
    </w:p>
    <w:p w14:paraId="757BE3D2" w14:textId="77777777" w:rsidR="00A77B3E" w:rsidRPr="009A3C92" w:rsidRDefault="00A77B3E">
      <w:pPr>
        <w:spacing w:line="360" w:lineRule="auto"/>
        <w:jc w:val="both"/>
      </w:pPr>
    </w:p>
    <w:p w14:paraId="2CDFE42E" w14:textId="77777777" w:rsidR="00A77B3E" w:rsidRPr="009A3C92" w:rsidRDefault="00202141">
      <w:pPr>
        <w:spacing w:line="360" w:lineRule="auto"/>
        <w:jc w:val="both"/>
      </w:pPr>
      <w:r w:rsidRPr="009A3C92">
        <w:rPr>
          <w:rFonts w:ascii="Book Antiqua" w:eastAsia="Book Antiqua" w:hAnsi="Book Antiqua" w:cs="Book Antiqua"/>
          <w:b/>
          <w:caps/>
          <w:color w:val="000000"/>
          <w:u w:val="single"/>
        </w:rPr>
        <w:t>ACKNOWLEDGEMENTS</w:t>
      </w:r>
    </w:p>
    <w:p w14:paraId="244179FA" w14:textId="738F6AA0" w:rsidR="00A77B3E" w:rsidRPr="009A3C92" w:rsidRDefault="00202141">
      <w:pPr>
        <w:spacing w:line="360" w:lineRule="auto"/>
        <w:jc w:val="both"/>
      </w:pPr>
      <w:r w:rsidRPr="009A3C92">
        <w:rPr>
          <w:rFonts w:ascii="Book Antiqua" w:eastAsia="Book Antiqua" w:hAnsi="Book Antiqua" w:cs="Book Antiqua"/>
          <w:color w:val="000000"/>
          <w:shd w:val="clear" w:color="auto" w:fill="FFFFFF"/>
        </w:rPr>
        <w:t>There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are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no</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additional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acknowledgments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associated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with</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this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article.</w:t>
      </w:r>
      <w:r w:rsidR="008E3348" w:rsidRPr="009A3C92">
        <w:rPr>
          <w:rFonts w:ascii="Book Antiqua" w:eastAsia="Book Antiqua" w:hAnsi="Book Antiqua" w:cs="Book Antiqua"/>
          <w:color w:val="000000"/>
          <w:shd w:val="clear" w:color="auto" w:fill="FFFFFF"/>
        </w:rPr>
        <w:t xml:space="preserve"> </w:t>
      </w:r>
      <w:r w:rsidR="004E5934" w:rsidRPr="009A3C92">
        <w:rPr>
          <w:rFonts w:ascii="Book Antiqua" w:eastAsia="Book Antiqua" w:hAnsi="Book Antiqua" w:cs="Book Antiqua"/>
          <w:color w:val="000000"/>
          <w:shd w:val="clear" w:color="auto" w:fill="FFFFFF"/>
        </w:rPr>
        <w:t>All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authors</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approved</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final</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version</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of</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the</w:t>
      </w:r>
      <w:r w:rsidR="008E3348" w:rsidRPr="009A3C92">
        <w:rPr>
          <w:rFonts w:ascii="Book Antiqua" w:eastAsia="Book Antiqua" w:hAnsi="Book Antiqua" w:cs="Book Antiqua"/>
          <w:color w:val="000000"/>
          <w:shd w:val="clear" w:color="auto" w:fill="FFFFFF"/>
        </w:rPr>
        <w:t xml:space="preserve"> </w:t>
      </w:r>
      <w:r w:rsidRPr="009A3C92">
        <w:rPr>
          <w:rFonts w:ascii="Book Antiqua" w:eastAsia="Book Antiqua" w:hAnsi="Book Antiqua" w:cs="Book Antiqua"/>
          <w:color w:val="000000"/>
          <w:shd w:val="clear" w:color="auto" w:fill="FFFFFF"/>
        </w:rPr>
        <w:t>article.</w:t>
      </w:r>
    </w:p>
    <w:p w14:paraId="7EF1274F" w14:textId="77777777" w:rsidR="00A77B3E" w:rsidRPr="009A3C92" w:rsidRDefault="00A77B3E">
      <w:pPr>
        <w:spacing w:line="360" w:lineRule="auto"/>
        <w:jc w:val="both"/>
      </w:pPr>
    </w:p>
    <w:p w14:paraId="047E0A73" w14:textId="77777777" w:rsidR="00A77B3E" w:rsidRPr="009A3C92" w:rsidRDefault="00202141">
      <w:pPr>
        <w:spacing w:line="360" w:lineRule="auto"/>
        <w:jc w:val="both"/>
      </w:pPr>
      <w:r w:rsidRPr="009A3C92">
        <w:rPr>
          <w:rFonts w:ascii="Book Antiqua" w:eastAsia="Book Antiqua" w:hAnsi="Book Antiqua" w:cs="Book Antiqua"/>
          <w:b/>
          <w:color w:val="000000"/>
        </w:rPr>
        <w:t>REFERENCES</w:t>
      </w:r>
    </w:p>
    <w:p w14:paraId="75A3334D" w14:textId="2C918E43"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w:t>
      </w:r>
      <w:r w:rsidRPr="009A3C92">
        <w:rPr>
          <w:rStyle w:val="apple-converted-space"/>
          <w:rFonts w:ascii="Book Antiqua" w:hAnsi="Book Antiqua"/>
        </w:rPr>
        <w:t xml:space="preserve"> </w:t>
      </w:r>
      <w:r w:rsidRPr="009A3C92">
        <w:rPr>
          <w:rFonts w:ascii="Book Antiqua" w:hAnsi="Book Antiqua"/>
          <w:b/>
          <w:bCs/>
        </w:rPr>
        <w:t>Ng SC</w:t>
      </w:r>
      <w:r w:rsidRPr="009A3C92">
        <w:rPr>
          <w:rFonts w:ascii="Book Antiqua" w:hAnsi="Book Antiqua"/>
        </w:rPr>
        <w:t>, Shi HY, Hamidi N, Underwood FE, Tang W, Benchimol EI, Panaccione R, Ghosh S, Wu JCY, Chan FKL, Sung JJY, Kaplan GG. Worldwide incidence and prevalence of inflammatory bowel disease in the 21st century: a systematic review of population-based studies.</w:t>
      </w:r>
      <w:r w:rsidRPr="009A3C92">
        <w:rPr>
          <w:rStyle w:val="apple-converted-space"/>
          <w:rFonts w:ascii="Book Antiqua" w:hAnsi="Book Antiqua"/>
        </w:rPr>
        <w:t xml:space="preserve"> </w:t>
      </w:r>
      <w:r w:rsidRPr="009A3C92">
        <w:rPr>
          <w:rFonts w:ascii="Book Antiqua" w:hAnsi="Book Antiqua"/>
          <w:i/>
          <w:iCs/>
        </w:rPr>
        <w:t>Lancet</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390</w:t>
      </w:r>
      <w:r w:rsidRPr="009A3C92">
        <w:rPr>
          <w:rFonts w:ascii="Book Antiqua" w:hAnsi="Book Antiqua"/>
        </w:rPr>
        <w:t>: 2769-2778 [PMID: 29050646 DOI: 10.1016/S0140-6736(17)32448-0]</w:t>
      </w:r>
    </w:p>
    <w:p w14:paraId="10F410E1" w14:textId="4ADE52AA"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w:t>
      </w:r>
      <w:r w:rsidRPr="009A3C92">
        <w:rPr>
          <w:rStyle w:val="apple-converted-space"/>
          <w:rFonts w:ascii="Book Antiqua" w:hAnsi="Book Antiqua"/>
        </w:rPr>
        <w:t xml:space="preserve"> </w:t>
      </w:r>
      <w:r w:rsidRPr="009A3C92">
        <w:rPr>
          <w:rFonts w:ascii="Book Antiqua" w:hAnsi="Book Antiqua"/>
          <w:b/>
          <w:bCs/>
        </w:rPr>
        <w:t>Benchimol EI</w:t>
      </w:r>
      <w:r w:rsidRPr="009A3C92">
        <w:rPr>
          <w:rFonts w:ascii="Book Antiqua" w:hAnsi="Book Antiqua"/>
        </w:rPr>
        <w:t>, Fortinsky KJ, Gozdyra P, Van den Heuvel M, Van Limbergen J, Griffiths AM. Epidemiology of pediatric inflammatory bowel disease: a systematic review of international trends.</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2011;</w:t>
      </w:r>
      <w:r w:rsidRPr="009A3C92">
        <w:rPr>
          <w:rStyle w:val="apple-converted-space"/>
          <w:rFonts w:ascii="Book Antiqua" w:hAnsi="Book Antiqua"/>
        </w:rPr>
        <w:t xml:space="preserve"> </w:t>
      </w:r>
      <w:r w:rsidRPr="009A3C92">
        <w:rPr>
          <w:rFonts w:ascii="Book Antiqua" w:hAnsi="Book Antiqua"/>
          <w:b/>
          <w:bCs/>
        </w:rPr>
        <w:t>17</w:t>
      </w:r>
      <w:r w:rsidRPr="009A3C92">
        <w:rPr>
          <w:rFonts w:ascii="Book Antiqua" w:hAnsi="Book Antiqua"/>
        </w:rPr>
        <w:t>: 423-439 [PMID: 20564651 DOI: 10.1002/ibd.21349]</w:t>
      </w:r>
    </w:p>
    <w:p w14:paraId="7E383D9C" w14:textId="550336D7"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w:t>
      </w:r>
      <w:r w:rsidRPr="009A3C92">
        <w:rPr>
          <w:rStyle w:val="apple-converted-space"/>
          <w:rFonts w:ascii="Book Antiqua" w:hAnsi="Book Antiqua"/>
        </w:rPr>
        <w:t xml:space="preserve"> </w:t>
      </w:r>
      <w:r w:rsidRPr="009A3C92">
        <w:rPr>
          <w:rFonts w:ascii="Book Antiqua" w:hAnsi="Book Antiqua"/>
          <w:b/>
          <w:bCs/>
        </w:rPr>
        <w:t>Sýkora J</w:t>
      </w:r>
      <w:r w:rsidRPr="009A3C92">
        <w:rPr>
          <w:rFonts w:ascii="Book Antiqua" w:hAnsi="Book Antiqua"/>
        </w:rPr>
        <w:t>, Pomahačová R, Kreslová M, Cvalínová D, Štych P, Schwarz J. Current global trends in the incidence of pediatric-onset inflammatory bowel disease.</w:t>
      </w:r>
      <w:r w:rsidRPr="009A3C92">
        <w:rPr>
          <w:rStyle w:val="apple-converted-space"/>
          <w:rFonts w:ascii="Book Antiqua" w:hAnsi="Book Antiqua"/>
        </w:rPr>
        <w:t xml:space="preserve"> </w:t>
      </w:r>
      <w:r w:rsidRPr="009A3C92">
        <w:rPr>
          <w:rFonts w:ascii="Book Antiqua" w:hAnsi="Book Antiqua"/>
          <w:i/>
          <w:iCs/>
        </w:rPr>
        <w:t>World J Gastroenterol</w:t>
      </w:r>
      <w:r w:rsidRPr="009A3C92">
        <w:rPr>
          <w:rStyle w:val="apple-converted-space"/>
          <w:rFonts w:ascii="Book Antiqua" w:hAnsi="Book Antiqua"/>
        </w:rPr>
        <w:t xml:space="preserve"> </w:t>
      </w:r>
      <w:r w:rsidRPr="009A3C92">
        <w:rPr>
          <w:rFonts w:ascii="Book Antiqua" w:hAnsi="Book Antiqua"/>
        </w:rPr>
        <w:t>2018;</w:t>
      </w:r>
      <w:r w:rsidRPr="009A3C92">
        <w:rPr>
          <w:rStyle w:val="apple-converted-space"/>
          <w:rFonts w:ascii="Book Antiqua" w:hAnsi="Book Antiqua"/>
        </w:rPr>
        <w:t xml:space="preserve"> </w:t>
      </w:r>
      <w:r w:rsidRPr="009A3C92">
        <w:rPr>
          <w:rFonts w:ascii="Book Antiqua" w:hAnsi="Book Antiqua"/>
          <w:b/>
          <w:bCs/>
        </w:rPr>
        <w:t>24</w:t>
      </w:r>
      <w:r w:rsidRPr="009A3C92">
        <w:rPr>
          <w:rFonts w:ascii="Book Antiqua" w:hAnsi="Book Antiqua"/>
        </w:rPr>
        <w:t>: 2741-2763 [PMID: 29991879 DOI: 10.3748/wjg.v24.i25.2741]</w:t>
      </w:r>
    </w:p>
    <w:p w14:paraId="4EA07A83" w14:textId="3F28694A"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w:t>
      </w:r>
      <w:r w:rsidRPr="009A3C92">
        <w:rPr>
          <w:rStyle w:val="apple-converted-space"/>
          <w:rFonts w:ascii="Book Antiqua" w:hAnsi="Book Antiqua"/>
        </w:rPr>
        <w:t xml:space="preserve"> </w:t>
      </w:r>
      <w:r w:rsidRPr="009A3C92">
        <w:rPr>
          <w:rFonts w:ascii="Book Antiqua" w:hAnsi="Book Antiqua"/>
          <w:b/>
          <w:bCs/>
        </w:rPr>
        <w:t>Rosen MJ</w:t>
      </w:r>
      <w:r w:rsidRPr="009A3C92">
        <w:rPr>
          <w:rFonts w:ascii="Book Antiqua" w:hAnsi="Book Antiqua"/>
        </w:rPr>
        <w:t>, Dhawan A, Saeed SA. Inflammatory Bowel Disease in Children and Adolescents.</w:t>
      </w:r>
      <w:r w:rsidRPr="009A3C92">
        <w:rPr>
          <w:rStyle w:val="apple-converted-space"/>
          <w:rFonts w:ascii="Book Antiqua" w:hAnsi="Book Antiqua"/>
        </w:rPr>
        <w:t xml:space="preserve"> </w:t>
      </w:r>
      <w:r w:rsidRPr="009A3C92">
        <w:rPr>
          <w:rFonts w:ascii="Book Antiqua" w:hAnsi="Book Antiqua"/>
          <w:i/>
          <w:iCs/>
        </w:rPr>
        <w:t>JAMA Pediatr</w:t>
      </w:r>
      <w:r w:rsidRPr="009A3C92">
        <w:rPr>
          <w:rStyle w:val="apple-converted-space"/>
          <w:rFonts w:ascii="Book Antiqua" w:hAnsi="Book Antiqua"/>
        </w:rPr>
        <w:t xml:space="preserve"> </w:t>
      </w:r>
      <w:r w:rsidRPr="009A3C92">
        <w:rPr>
          <w:rFonts w:ascii="Book Antiqua" w:hAnsi="Book Antiqua"/>
        </w:rPr>
        <w:t>2015;</w:t>
      </w:r>
      <w:r w:rsidRPr="009A3C92">
        <w:rPr>
          <w:rStyle w:val="apple-converted-space"/>
          <w:rFonts w:ascii="Book Antiqua" w:hAnsi="Book Antiqua"/>
        </w:rPr>
        <w:t xml:space="preserve"> </w:t>
      </w:r>
      <w:r w:rsidRPr="009A3C92">
        <w:rPr>
          <w:rFonts w:ascii="Book Antiqua" w:hAnsi="Book Antiqua"/>
          <w:b/>
          <w:bCs/>
        </w:rPr>
        <w:t>169</w:t>
      </w:r>
      <w:r w:rsidRPr="009A3C92">
        <w:rPr>
          <w:rFonts w:ascii="Book Antiqua" w:hAnsi="Book Antiqua"/>
        </w:rPr>
        <w:t>: 1053-1060 [PMID: 26414706 DOI: 10.1001/jamapediatrics.2015.1982]</w:t>
      </w:r>
    </w:p>
    <w:p w14:paraId="7D88E28E" w14:textId="75CBBB99"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 US Department of Health &amp; Human Services. Drugs @ FDA-label and approval history. In: Food and Drug Administration. [cited 2022 December 28]. Available from: http://www.accessdata.fda.gov/scripts/cder/drugsatfda/index.cfm?fuseaction=Search.Label_ApprovalHistory#apphis/</w:t>
      </w:r>
    </w:p>
    <w:p w14:paraId="0768622B" w14:textId="12E9D6FC"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lastRenderedPageBreak/>
        <w:t>6</w:t>
      </w:r>
      <w:r w:rsidRPr="009A3C92">
        <w:rPr>
          <w:rStyle w:val="apple-converted-space"/>
          <w:rFonts w:ascii="Book Antiqua" w:hAnsi="Book Antiqua"/>
        </w:rPr>
        <w:t xml:space="preserve"> </w:t>
      </w:r>
      <w:r w:rsidRPr="009A3C92">
        <w:rPr>
          <w:rFonts w:ascii="Book Antiqua" w:hAnsi="Book Antiqua"/>
          <w:b/>
          <w:bCs/>
        </w:rPr>
        <w:t>Allen PB</w:t>
      </w:r>
      <w:r w:rsidRPr="009A3C92">
        <w:rPr>
          <w:rFonts w:ascii="Book Antiqua" w:hAnsi="Book Antiqua"/>
        </w:rPr>
        <w:t>, Bonovas S, Danese S, Peyrin-Biroulet L. Evolving primary and secondary endpoints in randomized controlled trials leading to approval of biologics and small molecules in IBD: an historical perspective.</w:t>
      </w:r>
      <w:r w:rsidRPr="009A3C92">
        <w:rPr>
          <w:rStyle w:val="apple-converted-space"/>
          <w:rFonts w:ascii="Book Antiqua" w:hAnsi="Book Antiqua"/>
        </w:rPr>
        <w:t xml:space="preserve"> </w:t>
      </w:r>
      <w:r w:rsidRPr="009A3C92">
        <w:rPr>
          <w:rFonts w:ascii="Book Antiqua" w:hAnsi="Book Antiqua"/>
          <w:i/>
          <w:iCs/>
        </w:rPr>
        <w:t>Expert Opin Biol Ther</w:t>
      </w:r>
      <w:r w:rsidRPr="009A3C92">
        <w:rPr>
          <w:rStyle w:val="apple-converted-space"/>
          <w:rFonts w:ascii="Book Antiqua" w:hAnsi="Book Antiqua"/>
        </w:rPr>
        <w:t xml:space="preserve"> </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20</w:t>
      </w:r>
      <w:r w:rsidRPr="009A3C92">
        <w:rPr>
          <w:rFonts w:ascii="Book Antiqua" w:hAnsi="Book Antiqua"/>
        </w:rPr>
        <w:t>: 151-161 [PMID: 31815548 DOI: 10.1080/14712598.2020.1702020]</w:t>
      </w:r>
    </w:p>
    <w:p w14:paraId="4A8AB368" w14:textId="3E4CD8F7"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w:t>
      </w:r>
      <w:r w:rsidRPr="009A3C92">
        <w:rPr>
          <w:rStyle w:val="apple-converted-space"/>
          <w:rFonts w:ascii="Book Antiqua" w:hAnsi="Book Antiqua"/>
        </w:rPr>
        <w:t xml:space="preserve"> </w:t>
      </w:r>
      <w:r w:rsidRPr="009A3C92">
        <w:rPr>
          <w:rFonts w:ascii="Book Antiqua" w:hAnsi="Book Antiqua"/>
          <w:b/>
          <w:bCs/>
        </w:rPr>
        <w:t>Nielsen OH</w:t>
      </w:r>
      <w:r w:rsidRPr="009A3C92">
        <w:rPr>
          <w:rFonts w:ascii="Book Antiqua" w:hAnsi="Book Antiqua"/>
        </w:rPr>
        <w:t>, Ainsworth MA. Tumor necrosis factor inhibitors for inflammatory bowel disease.</w:t>
      </w:r>
      <w:r w:rsidRPr="009A3C92">
        <w:rPr>
          <w:rStyle w:val="apple-converted-space"/>
          <w:rFonts w:ascii="Book Antiqua" w:hAnsi="Book Antiqua"/>
        </w:rPr>
        <w:t xml:space="preserve"> </w:t>
      </w:r>
      <w:r w:rsidRPr="009A3C92">
        <w:rPr>
          <w:rFonts w:ascii="Book Antiqua" w:hAnsi="Book Antiqua"/>
          <w:i/>
          <w:iCs/>
        </w:rPr>
        <w:t>N Engl J Med</w:t>
      </w:r>
      <w:r w:rsidRPr="009A3C92">
        <w:rPr>
          <w:rStyle w:val="apple-converted-space"/>
          <w:rFonts w:ascii="Book Antiqua" w:hAnsi="Book Antiqua"/>
        </w:rPr>
        <w:t xml:space="preserve"> </w:t>
      </w:r>
      <w:r w:rsidRPr="009A3C92">
        <w:rPr>
          <w:rFonts w:ascii="Book Antiqua" w:hAnsi="Book Antiqua"/>
        </w:rPr>
        <w:t>2013;</w:t>
      </w:r>
      <w:r w:rsidRPr="009A3C92">
        <w:rPr>
          <w:rStyle w:val="apple-converted-space"/>
          <w:rFonts w:ascii="Book Antiqua" w:hAnsi="Book Antiqua"/>
        </w:rPr>
        <w:t xml:space="preserve"> </w:t>
      </w:r>
      <w:r w:rsidRPr="009A3C92">
        <w:rPr>
          <w:rFonts w:ascii="Book Antiqua" w:hAnsi="Book Antiqua"/>
          <w:b/>
          <w:bCs/>
        </w:rPr>
        <w:t>369</w:t>
      </w:r>
      <w:r w:rsidRPr="009A3C92">
        <w:rPr>
          <w:rFonts w:ascii="Book Antiqua" w:hAnsi="Book Antiqua"/>
        </w:rPr>
        <w:t>: 754-762 [PMID: 23964937 DOI: 10.1056/NEJMct1209614]</w:t>
      </w:r>
    </w:p>
    <w:p w14:paraId="461187EE" w14:textId="41BAD89B"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w:t>
      </w:r>
      <w:r w:rsidRPr="009A3C92">
        <w:rPr>
          <w:rStyle w:val="apple-converted-space"/>
          <w:rFonts w:ascii="Book Antiqua" w:hAnsi="Book Antiqua"/>
        </w:rPr>
        <w:t xml:space="preserve"> </w:t>
      </w:r>
      <w:r w:rsidRPr="009A3C92">
        <w:rPr>
          <w:rFonts w:ascii="Book Antiqua" w:hAnsi="Book Antiqua"/>
          <w:b/>
          <w:bCs/>
        </w:rPr>
        <w:t>Kornbluth A</w:t>
      </w:r>
      <w:r w:rsidRPr="009A3C92">
        <w:rPr>
          <w:rFonts w:ascii="Book Antiqua" w:hAnsi="Book Antiqua"/>
        </w:rPr>
        <w:t>. Infliximab approved for use in Crohn's disease: a report on the FDA GI Advisory Committee conference.</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1998;</w:t>
      </w:r>
      <w:r w:rsidRPr="009A3C92">
        <w:rPr>
          <w:rStyle w:val="apple-converted-space"/>
          <w:rFonts w:ascii="Book Antiqua" w:hAnsi="Book Antiqua"/>
        </w:rPr>
        <w:t xml:space="preserve"> </w:t>
      </w:r>
      <w:r w:rsidRPr="009A3C92">
        <w:rPr>
          <w:rFonts w:ascii="Book Antiqua" w:hAnsi="Book Antiqua"/>
          <w:b/>
          <w:bCs/>
        </w:rPr>
        <w:t>4</w:t>
      </w:r>
      <w:r w:rsidRPr="009A3C92">
        <w:rPr>
          <w:rFonts w:ascii="Book Antiqua" w:hAnsi="Book Antiqua"/>
        </w:rPr>
        <w:t>: 328-329 [PMID: 9836088 DOI: 10.1002/ibd.3780040415]</w:t>
      </w:r>
    </w:p>
    <w:p w14:paraId="29988590" w14:textId="03B13CA8"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9</w:t>
      </w:r>
      <w:r w:rsidRPr="009A3C92">
        <w:rPr>
          <w:rStyle w:val="apple-converted-space"/>
          <w:rFonts w:ascii="Book Antiqua" w:hAnsi="Book Antiqua"/>
        </w:rPr>
        <w:t xml:space="preserve"> </w:t>
      </w:r>
      <w:r w:rsidRPr="009A3C92">
        <w:rPr>
          <w:rFonts w:ascii="Book Antiqua" w:hAnsi="Book Antiqua"/>
          <w:b/>
          <w:bCs/>
        </w:rPr>
        <w:t>Baker DE</w:t>
      </w:r>
      <w:r w:rsidRPr="009A3C92">
        <w:rPr>
          <w:rFonts w:ascii="Book Antiqua" w:hAnsi="Book Antiqua"/>
        </w:rPr>
        <w:t>. Adalimumab: human recombinant immunoglobulin g1 anti-tumor necrosis factor monoclonal antibody.</w:t>
      </w:r>
      <w:r w:rsidRPr="009A3C92">
        <w:rPr>
          <w:rStyle w:val="apple-converted-space"/>
          <w:rFonts w:ascii="Book Antiqua" w:hAnsi="Book Antiqua"/>
        </w:rPr>
        <w:t xml:space="preserve"> </w:t>
      </w:r>
      <w:r w:rsidRPr="009A3C92">
        <w:rPr>
          <w:rFonts w:ascii="Book Antiqua" w:hAnsi="Book Antiqua"/>
          <w:i/>
          <w:iCs/>
        </w:rPr>
        <w:t>Rev Gastroenterol Disord</w:t>
      </w:r>
      <w:r w:rsidRPr="009A3C92">
        <w:rPr>
          <w:rStyle w:val="apple-converted-space"/>
          <w:rFonts w:ascii="Book Antiqua" w:hAnsi="Book Antiqua"/>
        </w:rPr>
        <w:t xml:space="preserve"> </w:t>
      </w:r>
      <w:r w:rsidRPr="009A3C92">
        <w:rPr>
          <w:rFonts w:ascii="Book Antiqua" w:hAnsi="Book Antiqua"/>
        </w:rPr>
        <w:t>2004;</w:t>
      </w:r>
      <w:r w:rsidRPr="009A3C92">
        <w:rPr>
          <w:rStyle w:val="apple-converted-space"/>
          <w:rFonts w:ascii="Book Antiqua" w:hAnsi="Book Antiqua"/>
        </w:rPr>
        <w:t xml:space="preserve"> </w:t>
      </w:r>
      <w:r w:rsidRPr="009A3C92">
        <w:rPr>
          <w:rFonts w:ascii="Book Antiqua" w:hAnsi="Book Antiqua"/>
          <w:b/>
          <w:bCs/>
        </w:rPr>
        <w:t>4</w:t>
      </w:r>
      <w:r w:rsidRPr="009A3C92">
        <w:rPr>
          <w:rFonts w:ascii="Book Antiqua" w:hAnsi="Book Antiqua"/>
        </w:rPr>
        <w:t>: 196-210 [PMID: 15580154]</w:t>
      </w:r>
    </w:p>
    <w:p w14:paraId="5B489F75" w14:textId="46D5B74D"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10</w:t>
      </w:r>
      <w:r w:rsidRPr="009A3C92">
        <w:rPr>
          <w:rStyle w:val="apple-converted-space"/>
          <w:rFonts w:ascii="Book Antiqua" w:hAnsi="Book Antiqua"/>
        </w:rPr>
        <w:t xml:space="preserve"> </w:t>
      </w:r>
      <w:r w:rsidRPr="009A3C92">
        <w:rPr>
          <w:rFonts w:ascii="Book Antiqua" w:hAnsi="Book Antiqua"/>
          <w:b/>
          <w:bCs/>
        </w:rPr>
        <w:t>Ruemmele FM</w:t>
      </w:r>
      <w:r w:rsidRPr="009A3C92">
        <w:rPr>
          <w:rFonts w:ascii="Book Antiqua" w:hAnsi="Book Antiqua"/>
        </w:rPr>
        <w:t>, Veres G, Kolho KL, Griffiths A, Levine A, Escher JC, Amil Dias J, Barabino A, Braegger CP, Bronsky J, Buderus S, Martín-de-Carpi J, De Ridder L, Fagerberg UL, Hugot JP, Kierkus J, Kolacek S, Koletzko S, Lionetti P, Miele E, Navas López VM, Paerregaard A, Russell RK, Serban DE, Shaoul R, Van Rheenen P, Veereman G, Weiss B, Wilson D, Dignass A, Eliakim A, Winter H, Turner D; European Crohn's and Colitis Organisation; European Society of Pediatric Gastroenterology, Hepatology and Nutrition. Consensus guidelines of ECCO/ESPGHAN on the medical management of pediatric Crohn's disease.</w:t>
      </w:r>
      <w:r w:rsidRPr="009A3C92">
        <w:rPr>
          <w:rStyle w:val="apple-converted-space"/>
          <w:rFonts w:ascii="Book Antiqua" w:hAnsi="Book Antiqua"/>
        </w:rPr>
        <w:t xml:space="preserve"> </w:t>
      </w:r>
      <w:r w:rsidRPr="009A3C92">
        <w:rPr>
          <w:rFonts w:ascii="Book Antiqua" w:hAnsi="Book Antiqua"/>
          <w:i/>
          <w:iCs/>
        </w:rPr>
        <w:t>J Crohns Colitis</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8</w:t>
      </w:r>
      <w:r w:rsidRPr="009A3C92">
        <w:rPr>
          <w:rFonts w:ascii="Book Antiqua" w:hAnsi="Book Antiqua"/>
        </w:rPr>
        <w:t>: 1179-1207 [PMID: 24909831 DOI: 10.1016/j.crohns.2014.04.005]</w:t>
      </w:r>
    </w:p>
    <w:p w14:paraId="0C1A238C" w14:textId="3D9445CC"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11</w:t>
      </w:r>
      <w:r w:rsidRPr="009A3C92">
        <w:rPr>
          <w:rStyle w:val="apple-converted-space"/>
          <w:rFonts w:ascii="Book Antiqua" w:hAnsi="Book Antiqua"/>
        </w:rPr>
        <w:t xml:space="preserve"> </w:t>
      </w:r>
      <w:r w:rsidRPr="009A3C92">
        <w:rPr>
          <w:rFonts w:ascii="Book Antiqua" w:hAnsi="Book Antiqua"/>
          <w:b/>
          <w:bCs/>
        </w:rPr>
        <w:t>Mack DR</w:t>
      </w:r>
      <w:r w:rsidRPr="009A3C92">
        <w:rPr>
          <w:rFonts w:ascii="Book Antiqua" w:hAnsi="Book Antiqua"/>
        </w:rPr>
        <w:t>, Benchimol EI, Critch J, deBruyn J, Tse F, Moayyedi P, Church P, Deslandres C, El-Matary W, Huynh H, Jantchou P, Lawrence S, Otley A, Sherlock M, Walters T, Kappelman MD, Sadowski D, Marshall JK, Griffiths A. Canadian Association of Gastroenterology Clinical Practice Guideline for the Medical Management of Pediatric Luminal Crohn's Disease.</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157</w:t>
      </w:r>
      <w:r w:rsidRPr="009A3C92">
        <w:rPr>
          <w:rFonts w:ascii="Book Antiqua" w:hAnsi="Book Antiqua"/>
        </w:rPr>
        <w:t>: 320-348 [PMID: 31320109 DOI: 10.1053/j.gastro.2019.03.022]</w:t>
      </w:r>
    </w:p>
    <w:p w14:paraId="61D275BE" w14:textId="5F4B715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12</w:t>
      </w:r>
      <w:r w:rsidRPr="009A3C92">
        <w:rPr>
          <w:rStyle w:val="apple-converted-space"/>
          <w:rFonts w:ascii="Book Antiqua" w:hAnsi="Book Antiqua"/>
        </w:rPr>
        <w:t xml:space="preserve"> </w:t>
      </w:r>
      <w:r w:rsidRPr="009A3C92">
        <w:rPr>
          <w:rFonts w:ascii="Book Antiqua" w:hAnsi="Book Antiqua"/>
          <w:b/>
          <w:bCs/>
        </w:rPr>
        <w:t>Cholapranee A</w:t>
      </w:r>
      <w:r w:rsidRPr="009A3C92">
        <w:rPr>
          <w:rFonts w:ascii="Book Antiqua" w:hAnsi="Book Antiqua"/>
        </w:rPr>
        <w:t xml:space="preserve">, Hazlewood GS, Kaplan GG, Peyrin-Biroulet L, Ananthakrishnan AN. Systematic review with meta-analysis: comparative efficacy of biologics for induction and maintenance of mucosal healing in Crohn's disease and ulcerative colitis controlled </w:t>
      </w:r>
      <w:r w:rsidRPr="009A3C92">
        <w:rPr>
          <w:rFonts w:ascii="Book Antiqua" w:hAnsi="Book Antiqua"/>
        </w:rPr>
        <w:lastRenderedPageBreak/>
        <w:t>trials.</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45</w:t>
      </w:r>
      <w:r w:rsidRPr="009A3C92">
        <w:rPr>
          <w:rFonts w:ascii="Book Antiqua" w:hAnsi="Book Antiqua"/>
        </w:rPr>
        <w:t>: 1291-1302 [PMID: 28326566 DOI: 10.1111/apt.14030]</w:t>
      </w:r>
    </w:p>
    <w:p w14:paraId="61FBE997" w14:textId="6A6FBA23"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13</w:t>
      </w:r>
      <w:r w:rsidRPr="009A3C92">
        <w:rPr>
          <w:rStyle w:val="apple-converted-space"/>
          <w:rFonts w:ascii="Book Antiqua" w:hAnsi="Book Antiqua"/>
        </w:rPr>
        <w:t xml:space="preserve"> </w:t>
      </w:r>
      <w:r w:rsidRPr="009A3C92">
        <w:rPr>
          <w:rFonts w:ascii="Book Antiqua" w:hAnsi="Book Antiqua"/>
          <w:b/>
          <w:bCs/>
        </w:rPr>
        <w:t>Hazlewood GS</w:t>
      </w:r>
      <w:r w:rsidRPr="009A3C92">
        <w:rPr>
          <w:rFonts w:ascii="Book Antiqua" w:hAnsi="Book Antiqua"/>
        </w:rPr>
        <w:t>, Rezaie A, Borman M, Panaccione R, Ghosh S, Seow CH, Kuenzig E, Tomlinson G, Siegel CA, Melmed GY, Kaplan GG. Comparative effectiveness of immunosuppressants and biologics for inducing and maintaining remission in Crohn's disease: a network meta-analysis.</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2015;</w:t>
      </w:r>
      <w:r w:rsidRPr="009A3C92">
        <w:rPr>
          <w:rStyle w:val="apple-converted-space"/>
          <w:rFonts w:ascii="Book Antiqua" w:hAnsi="Book Antiqua"/>
        </w:rPr>
        <w:t xml:space="preserve"> </w:t>
      </w:r>
      <w:r w:rsidRPr="009A3C92">
        <w:rPr>
          <w:rFonts w:ascii="Book Antiqua" w:hAnsi="Book Antiqua"/>
          <w:b/>
          <w:bCs/>
        </w:rPr>
        <w:t>148</w:t>
      </w:r>
      <w:r w:rsidRPr="009A3C92">
        <w:rPr>
          <w:rFonts w:ascii="Book Antiqua" w:hAnsi="Book Antiqua"/>
        </w:rPr>
        <w:t>: 344-54.e5; quiz e14-5 [PMID: 25448924 DOI: 10.1053/j.gastro.2014.10.011]</w:t>
      </w:r>
    </w:p>
    <w:p w14:paraId="183D3175" w14:textId="45C17372"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14</w:t>
      </w:r>
      <w:r w:rsidRPr="009A3C92">
        <w:rPr>
          <w:rStyle w:val="apple-converted-space"/>
          <w:rFonts w:ascii="Book Antiqua" w:hAnsi="Book Antiqua"/>
        </w:rPr>
        <w:t xml:space="preserve"> </w:t>
      </w:r>
      <w:r w:rsidRPr="009A3C92">
        <w:rPr>
          <w:rFonts w:ascii="Book Antiqua" w:hAnsi="Book Antiqua"/>
          <w:b/>
          <w:bCs/>
        </w:rPr>
        <w:t>Targan SR</w:t>
      </w:r>
      <w:r w:rsidRPr="009A3C92">
        <w:rPr>
          <w:rFonts w:ascii="Book Antiqua" w:hAnsi="Book Antiqua"/>
        </w:rPr>
        <w:t>, Hanauer SB, van Deventer SJ, Mayer L, Present DH, Braakman T, DeWoody KL, Schaible TF, Rutgeerts PJ. A short-term study of chimeric monoclonal antibody cA2 to tumor necrosis factor alpha for Crohn's disease. Crohn's Disease cA2 Study Group.</w:t>
      </w:r>
      <w:r w:rsidRPr="009A3C92">
        <w:rPr>
          <w:rStyle w:val="apple-converted-space"/>
          <w:rFonts w:ascii="Book Antiqua" w:hAnsi="Book Antiqua"/>
        </w:rPr>
        <w:t xml:space="preserve"> </w:t>
      </w:r>
      <w:r w:rsidRPr="009A3C92">
        <w:rPr>
          <w:rFonts w:ascii="Book Antiqua" w:hAnsi="Book Antiqua"/>
          <w:i/>
          <w:iCs/>
        </w:rPr>
        <w:t>N Engl J Med</w:t>
      </w:r>
      <w:r w:rsidRPr="009A3C92">
        <w:rPr>
          <w:rStyle w:val="apple-converted-space"/>
          <w:rFonts w:ascii="Book Antiqua" w:hAnsi="Book Antiqua"/>
        </w:rPr>
        <w:t xml:space="preserve"> </w:t>
      </w:r>
      <w:r w:rsidRPr="009A3C92">
        <w:rPr>
          <w:rFonts w:ascii="Book Antiqua" w:hAnsi="Book Antiqua"/>
        </w:rPr>
        <w:t>1997;</w:t>
      </w:r>
      <w:r w:rsidRPr="009A3C92">
        <w:rPr>
          <w:rStyle w:val="apple-converted-space"/>
          <w:rFonts w:ascii="Book Antiqua" w:hAnsi="Book Antiqua"/>
        </w:rPr>
        <w:t xml:space="preserve"> </w:t>
      </w:r>
      <w:r w:rsidRPr="009A3C92">
        <w:rPr>
          <w:rFonts w:ascii="Book Antiqua" w:hAnsi="Book Antiqua"/>
          <w:b/>
          <w:bCs/>
        </w:rPr>
        <w:t>337</w:t>
      </w:r>
      <w:r w:rsidRPr="009A3C92">
        <w:rPr>
          <w:rFonts w:ascii="Book Antiqua" w:hAnsi="Book Antiqua"/>
        </w:rPr>
        <w:t>: 1029-1035 [PMID: 9321530 DOI: 10.1056/NEJM199710093371502]</w:t>
      </w:r>
    </w:p>
    <w:p w14:paraId="7E9F02AF" w14:textId="55ACFB6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15</w:t>
      </w:r>
      <w:r w:rsidRPr="009A3C92">
        <w:rPr>
          <w:rStyle w:val="apple-converted-space"/>
          <w:rFonts w:ascii="Book Antiqua" w:hAnsi="Book Antiqua"/>
        </w:rPr>
        <w:t xml:space="preserve"> </w:t>
      </w:r>
      <w:r w:rsidRPr="009A3C92">
        <w:rPr>
          <w:rFonts w:ascii="Book Antiqua" w:hAnsi="Book Antiqua"/>
          <w:b/>
          <w:bCs/>
        </w:rPr>
        <w:t>Hanauer SB</w:t>
      </w:r>
      <w:r w:rsidRPr="009A3C92">
        <w:rPr>
          <w:rFonts w:ascii="Book Antiqua" w:hAnsi="Book Antiqua"/>
        </w:rPr>
        <w:t>, Feagan BG, Lichtenstein GR, Mayer LF, Schreiber S, Colombel JF, Rachmilewitz D, Wolf DC, Olson A, Bao W, Rutgeerts P; ACCENT I Study Group. Maintenance infliximab for Crohn's disease: the ACCENT I randomised trial.</w:t>
      </w:r>
      <w:r w:rsidRPr="009A3C92">
        <w:rPr>
          <w:rStyle w:val="apple-converted-space"/>
          <w:rFonts w:ascii="Book Antiqua" w:hAnsi="Book Antiqua"/>
        </w:rPr>
        <w:t xml:space="preserve"> </w:t>
      </w:r>
      <w:r w:rsidRPr="009A3C92">
        <w:rPr>
          <w:rFonts w:ascii="Book Antiqua" w:hAnsi="Book Antiqua"/>
          <w:i/>
          <w:iCs/>
        </w:rPr>
        <w:t>Lancet</w:t>
      </w:r>
      <w:r w:rsidRPr="009A3C92">
        <w:rPr>
          <w:rStyle w:val="apple-converted-space"/>
          <w:rFonts w:ascii="Book Antiqua" w:hAnsi="Book Antiqua"/>
        </w:rPr>
        <w:t xml:space="preserve"> </w:t>
      </w:r>
      <w:r w:rsidRPr="009A3C92">
        <w:rPr>
          <w:rFonts w:ascii="Book Antiqua" w:hAnsi="Book Antiqua"/>
        </w:rPr>
        <w:t>2002;</w:t>
      </w:r>
      <w:r w:rsidRPr="009A3C92">
        <w:rPr>
          <w:rStyle w:val="apple-converted-space"/>
          <w:rFonts w:ascii="Book Antiqua" w:hAnsi="Book Antiqua"/>
        </w:rPr>
        <w:t xml:space="preserve"> </w:t>
      </w:r>
      <w:r w:rsidRPr="009A3C92">
        <w:rPr>
          <w:rFonts w:ascii="Book Antiqua" w:hAnsi="Book Antiqua"/>
          <w:b/>
          <w:bCs/>
        </w:rPr>
        <w:t>359</w:t>
      </w:r>
      <w:r w:rsidRPr="009A3C92">
        <w:rPr>
          <w:rFonts w:ascii="Book Antiqua" w:hAnsi="Book Antiqua"/>
        </w:rPr>
        <w:t>: 1541-1549 [PMID: 12047962 DOI: 10.1016/S0140-6736(02)08512-4]</w:t>
      </w:r>
    </w:p>
    <w:p w14:paraId="3536E1B8" w14:textId="43E3C29D"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16</w:t>
      </w:r>
      <w:r w:rsidRPr="009A3C92">
        <w:rPr>
          <w:rStyle w:val="apple-converted-space"/>
          <w:rFonts w:ascii="Book Antiqua" w:hAnsi="Book Antiqua"/>
        </w:rPr>
        <w:t xml:space="preserve"> </w:t>
      </w:r>
      <w:r w:rsidRPr="009A3C92">
        <w:rPr>
          <w:rFonts w:ascii="Book Antiqua" w:hAnsi="Book Antiqua"/>
          <w:b/>
          <w:bCs/>
        </w:rPr>
        <w:t>Hyams J</w:t>
      </w:r>
      <w:r w:rsidRPr="009A3C92">
        <w:rPr>
          <w:rFonts w:ascii="Book Antiqua" w:hAnsi="Book Antiqua"/>
        </w:rPr>
        <w:t>, Crandall W, Kugathasan S, Griffiths A, Olson A, Johanns J, Liu G, Travers S, Heuschkel R, Markowitz J, Cohen S, Winter H, Veereman-Wauters G, Ferry G, Baldassano R; REACH Study Group. Induction and maintenance infliximab therapy for the treatment of moderate-to-severe Crohn's disease in children.</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2007;</w:t>
      </w:r>
      <w:r w:rsidRPr="009A3C92">
        <w:rPr>
          <w:rStyle w:val="apple-converted-space"/>
          <w:rFonts w:ascii="Book Antiqua" w:hAnsi="Book Antiqua"/>
        </w:rPr>
        <w:t xml:space="preserve"> </w:t>
      </w:r>
      <w:r w:rsidRPr="009A3C92">
        <w:rPr>
          <w:rFonts w:ascii="Book Antiqua" w:hAnsi="Book Antiqua"/>
          <w:b/>
          <w:bCs/>
        </w:rPr>
        <w:t>132</w:t>
      </w:r>
      <w:r w:rsidRPr="009A3C92">
        <w:rPr>
          <w:rFonts w:ascii="Book Antiqua" w:hAnsi="Book Antiqua"/>
        </w:rPr>
        <w:t>: 863-73; quiz 1165-6 [PMID: 17324398 DOI: 10.1053/j.gastro.2006.12.003]</w:t>
      </w:r>
    </w:p>
    <w:p w14:paraId="157E2A23" w14:textId="7D67B149"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17</w:t>
      </w:r>
      <w:r w:rsidRPr="009A3C92">
        <w:rPr>
          <w:rStyle w:val="apple-converted-space"/>
          <w:rFonts w:ascii="Book Antiqua" w:hAnsi="Book Antiqua"/>
        </w:rPr>
        <w:t xml:space="preserve"> </w:t>
      </w:r>
      <w:r w:rsidRPr="009A3C92">
        <w:rPr>
          <w:rFonts w:ascii="Book Antiqua" w:hAnsi="Book Antiqua"/>
          <w:b/>
          <w:bCs/>
        </w:rPr>
        <w:t>Ruemmele FM</w:t>
      </w:r>
      <w:r w:rsidRPr="009A3C92">
        <w:rPr>
          <w:rFonts w:ascii="Book Antiqua" w:hAnsi="Book Antiqua"/>
        </w:rPr>
        <w:t>, Lachaux A, Cézard JP, Morali A, Maurage C, Giniès JL, Viola S, Goulet O, Lamireau T, Scaillon M, Breton A, Sarles J; Groupe Francophone d'Hépatologie, Gastroentérologie et Nutrition Pédiatrique. Efficacy of infliximab in pediatric Crohn's disease: a randomized multicenter open-label trial comparing scheduled to on demand maintenance therapy.</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2009;</w:t>
      </w:r>
      <w:r w:rsidRPr="009A3C92">
        <w:rPr>
          <w:rStyle w:val="apple-converted-space"/>
          <w:rFonts w:ascii="Book Antiqua" w:hAnsi="Book Antiqua"/>
        </w:rPr>
        <w:t xml:space="preserve"> </w:t>
      </w:r>
      <w:r w:rsidRPr="009A3C92">
        <w:rPr>
          <w:rFonts w:ascii="Book Antiqua" w:hAnsi="Book Antiqua"/>
          <w:b/>
          <w:bCs/>
        </w:rPr>
        <w:t>15</w:t>
      </w:r>
      <w:r w:rsidRPr="009A3C92">
        <w:rPr>
          <w:rFonts w:ascii="Book Antiqua" w:hAnsi="Book Antiqua"/>
        </w:rPr>
        <w:t>: 388-394 [PMID: 19023899 DOI: 10.1002/ibd.20788]</w:t>
      </w:r>
    </w:p>
    <w:p w14:paraId="24232F79" w14:textId="33F74563"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18</w:t>
      </w:r>
      <w:r w:rsidRPr="009A3C92">
        <w:rPr>
          <w:rStyle w:val="apple-converted-space"/>
          <w:rFonts w:ascii="Book Antiqua" w:hAnsi="Book Antiqua"/>
        </w:rPr>
        <w:t xml:space="preserve"> </w:t>
      </w:r>
      <w:r w:rsidRPr="009A3C92">
        <w:rPr>
          <w:rFonts w:ascii="Book Antiqua" w:hAnsi="Book Antiqua"/>
          <w:b/>
          <w:bCs/>
        </w:rPr>
        <w:t>Hyams JS</w:t>
      </w:r>
      <w:r w:rsidRPr="009A3C92">
        <w:rPr>
          <w:rFonts w:ascii="Book Antiqua" w:hAnsi="Book Antiqua"/>
        </w:rPr>
        <w:t xml:space="preserve">, Griffiths A, Markowitz J, Baldassano RN, Faubion WA Jr, Colletti RB, Dubinsky M, Kierkus J, Rosh J, Wang Y, Huang B, Bittle B, Marshall M, Lazar A. Safety </w:t>
      </w:r>
      <w:r w:rsidRPr="009A3C92">
        <w:rPr>
          <w:rFonts w:ascii="Book Antiqua" w:hAnsi="Book Antiqua"/>
        </w:rPr>
        <w:lastRenderedPageBreak/>
        <w:t>and efficacy of adalimumab for moderate to severe Crohn's disease in children.</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2012;</w:t>
      </w:r>
      <w:r w:rsidRPr="009A3C92">
        <w:rPr>
          <w:rStyle w:val="apple-converted-space"/>
          <w:rFonts w:ascii="Book Antiqua" w:hAnsi="Book Antiqua"/>
        </w:rPr>
        <w:t xml:space="preserve"> </w:t>
      </w:r>
      <w:r w:rsidRPr="009A3C92">
        <w:rPr>
          <w:rFonts w:ascii="Book Antiqua" w:hAnsi="Book Antiqua"/>
          <w:b/>
          <w:bCs/>
        </w:rPr>
        <w:t>143</w:t>
      </w:r>
      <w:r w:rsidRPr="009A3C92">
        <w:rPr>
          <w:rFonts w:ascii="Book Antiqua" w:hAnsi="Book Antiqua"/>
        </w:rPr>
        <w:t>: 365-74.e2 [PMID: 22562021 DOI: 10.1053/j.gastro.2012.04.046]</w:t>
      </w:r>
    </w:p>
    <w:p w14:paraId="74E0F59E" w14:textId="5F2081BE"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19</w:t>
      </w:r>
      <w:r w:rsidRPr="009A3C92">
        <w:rPr>
          <w:rStyle w:val="apple-converted-space"/>
          <w:rFonts w:ascii="Book Antiqua" w:hAnsi="Book Antiqua"/>
        </w:rPr>
        <w:t xml:space="preserve"> </w:t>
      </w:r>
      <w:r w:rsidRPr="009A3C92">
        <w:rPr>
          <w:rFonts w:ascii="Book Antiqua" w:hAnsi="Book Antiqua"/>
          <w:b/>
          <w:bCs/>
        </w:rPr>
        <w:t>Assa A</w:t>
      </w:r>
      <w:r w:rsidRPr="009A3C92">
        <w:rPr>
          <w:rFonts w:ascii="Book Antiqua" w:hAnsi="Book Antiqua"/>
        </w:rPr>
        <w:t>, Matar M, Turner D, Broide E, Weiss B, Ledder O, Guz-Mark A, Rinawi F, Cohen S, Topf-Olivestone C, Shaoul R, Yerushalmi B, Shamir R. Proactive Monitoring of Adalimumab Trough Concentration Associated With Increased Clinical Remission in Children With Crohn's Disease Compared With Reactive Monitoring.</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157</w:t>
      </w:r>
      <w:r w:rsidRPr="009A3C92">
        <w:rPr>
          <w:rFonts w:ascii="Book Antiqua" w:hAnsi="Book Antiqua"/>
        </w:rPr>
        <w:t>: 985-996.e2 [PMID: 31194979 DOI: 10.1053/j.gastro.2019.06.003]</w:t>
      </w:r>
    </w:p>
    <w:p w14:paraId="753BA53B" w14:textId="6A1C186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20</w:t>
      </w:r>
      <w:r w:rsidRPr="009A3C92">
        <w:rPr>
          <w:rStyle w:val="apple-converted-space"/>
          <w:rFonts w:ascii="Book Antiqua" w:hAnsi="Book Antiqua"/>
        </w:rPr>
        <w:t xml:space="preserve"> </w:t>
      </w:r>
      <w:r w:rsidRPr="009A3C92">
        <w:rPr>
          <w:rFonts w:ascii="Book Antiqua" w:hAnsi="Book Antiqua"/>
          <w:b/>
          <w:bCs/>
        </w:rPr>
        <w:t>van Rheenen PF</w:t>
      </w:r>
      <w:r w:rsidRPr="009A3C92">
        <w:rPr>
          <w:rFonts w:ascii="Book Antiqua" w:hAnsi="Book Antiqua"/>
        </w:rPr>
        <w:t>, Aloi M, Assa A, Bronsky J, Escher JC, Fagerberg UL, Gasparetto M, Gerasimidis K, Griffiths A, Henderson P, Koletzko S, Kolho KL, Levine A, van Limbergen J, Martin de Carpi FJ, Navas-López VM, Oliva S, de Ridder L, Russell RK, Shouval D, Spinelli A, Turner D, Wilson D, Wine E, Ruemmele FM. The Medical Management of Paediatric Crohn's Disease: an ECCO-ESPGHAN Guideline Update.</w:t>
      </w:r>
      <w:r w:rsidRPr="009A3C92">
        <w:rPr>
          <w:rStyle w:val="apple-converted-space"/>
          <w:rFonts w:ascii="Book Antiqua" w:hAnsi="Book Antiqua"/>
        </w:rPr>
        <w:t xml:space="preserve"> </w:t>
      </w:r>
      <w:r w:rsidRPr="009A3C92">
        <w:rPr>
          <w:rFonts w:ascii="Book Antiqua" w:hAnsi="Book Antiqua"/>
          <w:i/>
          <w:iCs/>
        </w:rPr>
        <w:t>J Crohns Colitis</w:t>
      </w:r>
      <w:r w:rsidRPr="009A3C92">
        <w:rPr>
          <w:rStyle w:val="apple-converted-space"/>
          <w:rFonts w:ascii="Book Antiqua" w:hAnsi="Book Antiqua"/>
        </w:rPr>
        <w:t xml:space="preserve"> </w:t>
      </w:r>
      <w:r w:rsidRPr="009A3C92">
        <w:rPr>
          <w:rFonts w:ascii="Book Antiqua" w:hAnsi="Book Antiqua"/>
        </w:rPr>
        <w:t>2020 [PMID: 33026087 DOI: 10.1093/ecco-jcc/jjaa161]</w:t>
      </w:r>
    </w:p>
    <w:p w14:paraId="0C3ECBC9" w14:textId="24571D7A"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21</w:t>
      </w:r>
      <w:r w:rsidRPr="009A3C92">
        <w:rPr>
          <w:rStyle w:val="apple-converted-space"/>
          <w:rFonts w:ascii="Book Antiqua" w:hAnsi="Book Antiqua"/>
        </w:rPr>
        <w:t xml:space="preserve"> </w:t>
      </w:r>
      <w:r w:rsidRPr="009A3C92">
        <w:rPr>
          <w:rFonts w:ascii="Book Antiqua" w:hAnsi="Book Antiqua"/>
          <w:b/>
          <w:bCs/>
        </w:rPr>
        <w:t>Walters TD</w:t>
      </w:r>
      <w:r w:rsidRPr="009A3C92">
        <w:rPr>
          <w:rFonts w:ascii="Book Antiqua" w:hAnsi="Book Antiqua"/>
        </w:rPr>
        <w:t>, Kim MO, Denson LA, Griffiths AM, Dubinsky M, Markowitz J, Baldassano R, Crandall W, Rosh J, Pfefferkorn M, Otley A, Heyman MB, LeLeiko N, Baker S, Guthery SL, Evans J, Ziring D, Kellermayer R, Stephens M, Mack D, Oliva-Hemker M, Patel AS, Kirschner B, Moulton D, Cohen S, Kim S, Liu C, Essers J, Kugathasan S, Hyams JS; PRO-KIIDS Research Group. Increased effectiveness of early therapy with anti-tumor necrosis factor-α vs an immunomodulator in children with Crohn's disease.</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146</w:t>
      </w:r>
      <w:r w:rsidRPr="009A3C92">
        <w:rPr>
          <w:rFonts w:ascii="Book Antiqua" w:hAnsi="Book Antiqua"/>
        </w:rPr>
        <w:t>: 383-391 [PMID: 24162032 DOI: 10.1053/j.gastro.2013.10.027]</w:t>
      </w:r>
    </w:p>
    <w:p w14:paraId="601CA187" w14:textId="10B15466"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22</w:t>
      </w:r>
      <w:r w:rsidRPr="009A3C92">
        <w:rPr>
          <w:rStyle w:val="apple-converted-space"/>
          <w:rFonts w:ascii="Book Antiqua" w:hAnsi="Book Antiqua"/>
        </w:rPr>
        <w:t xml:space="preserve"> </w:t>
      </w:r>
      <w:r w:rsidRPr="009A3C92">
        <w:rPr>
          <w:rFonts w:ascii="Book Antiqua" w:hAnsi="Book Antiqua"/>
          <w:b/>
          <w:bCs/>
        </w:rPr>
        <w:t>Kugathasan S</w:t>
      </w:r>
      <w:r w:rsidRPr="009A3C92">
        <w:rPr>
          <w:rFonts w:ascii="Book Antiqua" w:hAnsi="Book Antiqua"/>
        </w:rPr>
        <w:t>, Denson LA, Walters TD, Kim MO, Marigorta UM, Schirmer M, Mondal K, Liu C, Griffiths A, Noe JD, Crandall WV, Snapper S, Rabizadeh S, Rosh JR, Shapiro JM, Guthery S, Mack DR, Kellermayer R, Kappelman MD, Steiner S, Moulton DE, Keljo D, Cohen S, Oliva-Hemker M, Heyman MB, Otley AR, Baker SS, Evans JS, Kirschner BS, Patel AS, Ziring D, Trapnell BC, Sylvester FA, Stephens MC, Baldassano RN, Markowitz JF, Cho J, Xavier RJ, Huttenhower C, Aronow BJ, Gibson G, Hyams JS, Dubinsky MC. Prediction of complicated disease course for children newly diagnosed with Crohn's disease: a multicentre inception cohort study.</w:t>
      </w:r>
      <w:r w:rsidRPr="009A3C92">
        <w:rPr>
          <w:rStyle w:val="apple-converted-space"/>
          <w:rFonts w:ascii="Book Antiqua" w:hAnsi="Book Antiqua"/>
        </w:rPr>
        <w:t xml:space="preserve"> </w:t>
      </w:r>
      <w:r w:rsidRPr="009A3C92">
        <w:rPr>
          <w:rFonts w:ascii="Book Antiqua" w:hAnsi="Book Antiqua"/>
          <w:i/>
          <w:iCs/>
        </w:rPr>
        <w:t>Lancet</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389</w:t>
      </w:r>
      <w:r w:rsidRPr="009A3C92">
        <w:rPr>
          <w:rFonts w:ascii="Book Antiqua" w:hAnsi="Book Antiqua"/>
        </w:rPr>
        <w:t>: 1710-1718 [PMID: 28259484 DOI: 10.1016/S0140-6736(17)30317-3]</w:t>
      </w:r>
    </w:p>
    <w:p w14:paraId="456DAB22" w14:textId="1719BCC3"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lastRenderedPageBreak/>
        <w:t>23</w:t>
      </w:r>
      <w:r w:rsidRPr="009A3C92">
        <w:rPr>
          <w:rStyle w:val="apple-converted-space"/>
          <w:rFonts w:ascii="Book Antiqua" w:hAnsi="Book Antiqua"/>
        </w:rPr>
        <w:t xml:space="preserve"> </w:t>
      </w:r>
      <w:r w:rsidRPr="009A3C92">
        <w:rPr>
          <w:rFonts w:ascii="Book Antiqua" w:hAnsi="Book Antiqua"/>
          <w:b/>
          <w:bCs/>
        </w:rPr>
        <w:t>Kang B</w:t>
      </w:r>
      <w:r w:rsidRPr="009A3C92">
        <w:rPr>
          <w:rFonts w:ascii="Book Antiqua" w:hAnsi="Book Antiqua"/>
        </w:rPr>
        <w:t>, Choi SY, Kim HS, Kim K, Lee YM, Choe YH. Mucosal Healing in Paediatric Patients with Moderate-to-Severe Luminal Crohn's Disease Under Combined Immunosuppression: Escalation versus Early Treatment.</w:t>
      </w:r>
      <w:r w:rsidRPr="009A3C92">
        <w:rPr>
          <w:rStyle w:val="apple-converted-space"/>
          <w:rFonts w:ascii="Book Antiqua" w:hAnsi="Book Antiqua"/>
        </w:rPr>
        <w:t xml:space="preserve"> </w:t>
      </w:r>
      <w:r w:rsidRPr="009A3C92">
        <w:rPr>
          <w:rFonts w:ascii="Book Antiqua" w:hAnsi="Book Antiqua"/>
          <w:i/>
          <w:iCs/>
        </w:rPr>
        <w:t>J Crohns Colitis</w:t>
      </w:r>
      <w:r w:rsidRPr="009A3C92">
        <w:rPr>
          <w:rStyle w:val="apple-converted-space"/>
          <w:rFonts w:ascii="Book Antiqua" w:hAnsi="Book Antiqua"/>
        </w:rPr>
        <w:t xml:space="preserve"> </w:t>
      </w:r>
      <w:r w:rsidRPr="009A3C92">
        <w:rPr>
          <w:rFonts w:ascii="Book Antiqua" w:hAnsi="Book Antiqua"/>
        </w:rPr>
        <w:t>2016;</w:t>
      </w:r>
      <w:r w:rsidRPr="009A3C92">
        <w:rPr>
          <w:rStyle w:val="apple-converted-space"/>
          <w:rFonts w:ascii="Book Antiqua" w:hAnsi="Book Antiqua"/>
        </w:rPr>
        <w:t xml:space="preserve"> </w:t>
      </w:r>
      <w:r w:rsidRPr="009A3C92">
        <w:rPr>
          <w:rFonts w:ascii="Book Antiqua" w:hAnsi="Book Antiqua"/>
          <w:b/>
          <w:bCs/>
        </w:rPr>
        <w:t>10</w:t>
      </w:r>
      <w:r w:rsidRPr="009A3C92">
        <w:rPr>
          <w:rFonts w:ascii="Book Antiqua" w:hAnsi="Book Antiqua"/>
        </w:rPr>
        <w:t>: 1279-1286 [PMID: 27095752 DOI: 10.1093/ecco-jcc/jjw086]</w:t>
      </w:r>
    </w:p>
    <w:p w14:paraId="1B4B1131" w14:textId="6A17C8FB"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24</w:t>
      </w:r>
      <w:r w:rsidRPr="009A3C92">
        <w:rPr>
          <w:rStyle w:val="apple-converted-space"/>
          <w:rFonts w:ascii="Book Antiqua" w:hAnsi="Book Antiqua"/>
        </w:rPr>
        <w:t xml:space="preserve"> </w:t>
      </w:r>
      <w:r w:rsidRPr="009A3C92">
        <w:rPr>
          <w:rFonts w:ascii="Book Antiqua" w:hAnsi="Book Antiqua"/>
          <w:b/>
          <w:bCs/>
        </w:rPr>
        <w:t>Kang B</w:t>
      </w:r>
      <w:r w:rsidRPr="009A3C92">
        <w:rPr>
          <w:rFonts w:ascii="Book Antiqua" w:hAnsi="Book Antiqua"/>
        </w:rPr>
        <w:t>, Choe YH. Early Biologic Treatment in Pediatric Crohn's Disease: Catching the Therapeutic Window of Opportunity in Early Disease by Treat-to-Target.</w:t>
      </w:r>
      <w:r w:rsidRPr="009A3C92">
        <w:rPr>
          <w:rStyle w:val="apple-converted-space"/>
          <w:rFonts w:ascii="Book Antiqua" w:hAnsi="Book Antiqua"/>
        </w:rPr>
        <w:t xml:space="preserve"> </w:t>
      </w:r>
      <w:r w:rsidRPr="009A3C92">
        <w:rPr>
          <w:rFonts w:ascii="Book Antiqua" w:hAnsi="Book Antiqua"/>
          <w:i/>
          <w:iCs/>
        </w:rPr>
        <w:t>Pediatr Gastroenterol Hepatol Nutr</w:t>
      </w:r>
      <w:r w:rsidRPr="009A3C92">
        <w:rPr>
          <w:rStyle w:val="apple-converted-space"/>
          <w:rFonts w:ascii="Book Antiqua" w:hAnsi="Book Antiqua"/>
        </w:rPr>
        <w:t xml:space="preserve"> </w:t>
      </w:r>
      <w:r w:rsidRPr="009A3C92">
        <w:rPr>
          <w:rFonts w:ascii="Book Antiqua" w:hAnsi="Book Antiqua"/>
        </w:rPr>
        <w:t>2018;</w:t>
      </w:r>
      <w:r w:rsidRPr="009A3C92">
        <w:rPr>
          <w:rStyle w:val="apple-converted-space"/>
          <w:rFonts w:ascii="Book Antiqua" w:hAnsi="Book Antiqua"/>
        </w:rPr>
        <w:t xml:space="preserve"> </w:t>
      </w:r>
      <w:r w:rsidRPr="009A3C92">
        <w:rPr>
          <w:rFonts w:ascii="Book Antiqua" w:hAnsi="Book Antiqua"/>
          <w:b/>
          <w:bCs/>
        </w:rPr>
        <w:t>21</w:t>
      </w:r>
      <w:r w:rsidRPr="009A3C92">
        <w:rPr>
          <w:rFonts w:ascii="Book Antiqua" w:hAnsi="Book Antiqua"/>
        </w:rPr>
        <w:t>: 1-11 [PMID: 29383299 DOI: 10.5223/pghn.2018.21.1.1]</w:t>
      </w:r>
    </w:p>
    <w:p w14:paraId="29DF5679" w14:textId="2BD63359"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25</w:t>
      </w:r>
      <w:r w:rsidRPr="009A3C92">
        <w:rPr>
          <w:rStyle w:val="apple-converted-space"/>
          <w:rFonts w:ascii="Book Antiqua" w:hAnsi="Book Antiqua"/>
        </w:rPr>
        <w:t xml:space="preserve"> </w:t>
      </w:r>
      <w:r w:rsidRPr="009A3C92">
        <w:rPr>
          <w:rFonts w:ascii="Book Antiqua" w:hAnsi="Book Antiqua"/>
          <w:b/>
          <w:bCs/>
        </w:rPr>
        <w:t>Clarkston K</w:t>
      </w:r>
      <w:r w:rsidRPr="009A3C92">
        <w:rPr>
          <w:rFonts w:ascii="Book Antiqua" w:hAnsi="Book Antiqua"/>
        </w:rPr>
        <w:t>, Tsai YT, Jackson K, Rosen MJ, Denson LA, Minar P. Development of Infliximab Target Concentrations During Induction in Pediatric Crohn Disease Patients.</w:t>
      </w:r>
      <w:r w:rsidRPr="009A3C92">
        <w:rPr>
          <w:rStyle w:val="apple-converted-space"/>
          <w:rFonts w:ascii="Book Antiqua" w:hAnsi="Book Antiqua"/>
        </w:rPr>
        <w:t xml:space="preserve"> </w:t>
      </w:r>
      <w:r w:rsidRPr="009A3C92">
        <w:rPr>
          <w:rFonts w:ascii="Book Antiqua" w:hAnsi="Book Antiqua"/>
          <w:i/>
          <w:iCs/>
        </w:rPr>
        <w:t>J Pediatr Gastroenterol Nutr</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69</w:t>
      </w:r>
      <w:r w:rsidRPr="009A3C92">
        <w:rPr>
          <w:rFonts w:ascii="Book Antiqua" w:hAnsi="Book Antiqua"/>
        </w:rPr>
        <w:t>: 68-74 [PMID: 31232885 DOI: 10.1097/MPG.0000000000002304]</w:t>
      </w:r>
    </w:p>
    <w:p w14:paraId="78053958" w14:textId="56B6BB42"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26</w:t>
      </w:r>
      <w:r w:rsidRPr="009A3C92">
        <w:rPr>
          <w:rStyle w:val="apple-converted-space"/>
          <w:rFonts w:ascii="Book Antiqua" w:hAnsi="Book Antiqua"/>
        </w:rPr>
        <w:t xml:space="preserve"> </w:t>
      </w:r>
      <w:r w:rsidRPr="009A3C92">
        <w:rPr>
          <w:rFonts w:ascii="Book Antiqua" w:hAnsi="Book Antiqua"/>
          <w:b/>
          <w:bCs/>
        </w:rPr>
        <w:t>Armstrong K</w:t>
      </w:r>
      <w:r w:rsidRPr="009A3C92">
        <w:rPr>
          <w:rFonts w:ascii="Book Antiqua" w:hAnsi="Book Antiqua"/>
        </w:rPr>
        <w:t>. Methods in comparative effectiveness research.</w:t>
      </w:r>
      <w:r w:rsidRPr="009A3C92">
        <w:rPr>
          <w:rStyle w:val="apple-converted-space"/>
          <w:rFonts w:ascii="Book Antiqua" w:hAnsi="Book Antiqua"/>
        </w:rPr>
        <w:t xml:space="preserve"> </w:t>
      </w:r>
      <w:r w:rsidRPr="009A3C92">
        <w:rPr>
          <w:rFonts w:ascii="Book Antiqua" w:hAnsi="Book Antiqua"/>
          <w:i/>
          <w:iCs/>
        </w:rPr>
        <w:t>J Clin Oncol</w:t>
      </w:r>
      <w:r w:rsidRPr="009A3C92">
        <w:rPr>
          <w:rStyle w:val="apple-converted-space"/>
          <w:rFonts w:ascii="Book Antiqua" w:hAnsi="Book Antiqua"/>
        </w:rPr>
        <w:t xml:space="preserve"> </w:t>
      </w:r>
      <w:r w:rsidRPr="009A3C92">
        <w:rPr>
          <w:rFonts w:ascii="Book Antiqua" w:hAnsi="Book Antiqua"/>
        </w:rPr>
        <w:t>2012;</w:t>
      </w:r>
      <w:r w:rsidRPr="009A3C92">
        <w:rPr>
          <w:rStyle w:val="apple-converted-space"/>
          <w:rFonts w:ascii="Book Antiqua" w:hAnsi="Book Antiqua"/>
        </w:rPr>
        <w:t xml:space="preserve"> </w:t>
      </w:r>
      <w:r w:rsidRPr="009A3C92">
        <w:rPr>
          <w:rFonts w:ascii="Book Antiqua" w:hAnsi="Book Antiqua"/>
          <w:b/>
          <w:bCs/>
        </w:rPr>
        <w:t>30</w:t>
      </w:r>
      <w:r w:rsidRPr="009A3C92">
        <w:rPr>
          <w:rFonts w:ascii="Book Antiqua" w:hAnsi="Book Antiqua"/>
        </w:rPr>
        <w:t>: 4208-4214 [PMID: 23071240 DOI: 10.1200/JCO.2012.42.2659]</w:t>
      </w:r>
    </w:p>
    <w:p w14:paraId="7B75D98E" w14:textId="4BC53B3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27</w:t>
      </w:r>
      <w:r w:rsidRPr="009A3C92">
        <w:rPr>
          <w:rStyle w:val="apple-converted-space"/>
          <w:rFonts w:ascii="Book Antiqua" w:hAnsi="Book Antiqua"/>
        </w:rPr>
        <w:t xml:space="preserve"> </w:t>
      </w:r>
      <w:r w:rsidRPr="009A3C92">
        <w:rPr>
          <w:rFonts w:ascii="Book Antiqua" w:hAnsi="Book Antiqua"/>
          <w:b/>
          <w:bCs/>
        </w:rPr>
        <w:t>Singh S</w:t>
      </w:r>
      <w:r w:rsidRPr="009A3C92">
        <w:rPr>
          <w:rFonts w:ascii="Book Antiqua" w:hAnsi="Book Antiqua"/>
        </w:rPr>
        <w:t>, Fumery M, Sandborn WJ, Murad MH. Systematic review and network meta-analysis: first- and second-line biologic therapies for moderate-severe Crohn's disease.</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2018;</w:t>
      </w:r>
      <w:r w:rsidRPr="009A3C92">
        <w:rPr>
          <w:rStyle w:val="apple-converted-space"/>
          <w:rFonts w:ascii="Book Antiqua" w:hAnsi="Book Antiqua"/>
        </w:rPr>
        <w:t xml:space="preserve"> </w:t>
      </w:r>
      <w:r w:rsidRPr="009A3C92">
        <w:rPr>
          <w:rFonts w:ascii="Book Antiqua" w:hAnsi="Book Antiqua"/>
          <w:b/>
          <w:bCs/>
        </w:rPr>
        <w:t>48</w:t>
      </w:r>
      <w:r w:rsidRPr="009A3C92">
        <w:rPr>
          <w:rFonts w:ascii="Book Antiqua" w:hAnsi="Book Antiqua"/>
        </w:rPr>
        <w:t>: 394-409 [PMID: 29920733 DOI: 10.1111/apt.14852]</w:t>
      </w:r>
    </w:p>
    <w:p w14:paraId="73280EB3" w14:textId="63E42631"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28</w:t>
      </w:r>
      <w:r w:rsidRPr="009A3C92">
        <w:rPr>
          <w:rStyle w:val="apple-converted-space"/>
          <w:rFonts w:ascii="Book Antiqua" w:hAnsi="Book Antiqua"/>
        </w:rPr>
        <w:t xml:space="preserve"> </w:t>
      </w:r>
      <w:r w:rsidRPr="009A3C92">
        <w:rPr>
          <w:rFonts w:ascii="Book Antiqua" w:hAnsi="Book Antiqua"/>
          <w:b/>
          <w:bCs/>
        </w:rPr>
        <w:t>Singh S</w:t>
      </w:r>
      <w:r w:rsidRPr="009A3C92">
        <w:rPr>
          <w:rFonts w:ascii="Book Antiqua" w:hAnsi="Book Antiqua"/>
        </w:rPr>
        <w:t>. Network meta-analysis to inform positioning of biologics in patients with Crohn's disease: Promise and perils.</w:t>
      </w:r>
      <w:r w:rsidRPr="009A3C92">
        <w:rPr>
          <w:rStyle w:val="apple-converted-space"/>
          <w:rFonts w:ascii="Book Antiqua" w:hAnsi="Book Antiqua"/>
        </w:rPr>
        <w:t xml:space="preserve"> </w:t>
      </w:r>
      <w:r w:rsidRPr="009A3C92">
        <w:rPr>
          <w:rFonts w:ascii="Book Antiqua" w:hAnsi="Book Antiqua"/>
          <w:i/>
          <w:iCs/>
        </w:rPr>
        <w:t>Best Pract Res Clin Gastroenterol</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38-39</w:t>
      </w:r>
      <w:r w:rsidRPr="009A3C92">
        <w:rPr>
          <w:rFonts w:ascii="Book Antiqua" w:hAnsi="Book Antiqua"/>
        </w:rPr>
        <w:t>: 101614 [PMID: 31327401 DOI: 10.1016/j.bpg.2019.05.001]</w:t>
      </w:r>
    </w:p>
    <w:p w14:paraId="62C8DB71" w14:textId="45A3BE12"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29</w:t>
      </w:r>
      <w:r w:rsidRPr="009A3C92">
        <w:rPr>
          <w:rStyle w:val="apple-converted-space"/>
          <w:rFonts w:ascii="Book Antiqua" w:hAnsi="Book Antiqua"/>
        </w:rPr>
        <w:t xml:space="preserve"> </w:t>
      </w:r>
      <w:r w:rsidRPr="009A3C92">
        <w:rPr>
          <w:rFonts w:ascii="Book Antiqua" w:hAnsi="Book Antiqua"/>
          <w:b/>
          <w:bCs/>
        </w:rPr>
        <w:t>Nestorov I</w:t>
      </w:r>
      <w:r w:rsidRPr="009A3C92">
        <w:rPr>
          <w:rFonts w:ascii="Book Antiqua" w:hAnsi="Book Antiqua"/>
        </w:rPr>
        <w:t>. Clinical pharmacokinetics of tumor necrosis factor antagonists.</w:t>
      </w:r>
      <w:r w:rsidRPr="009A3C92">
        <w:rPr>
          <w:rStyle w:val="apple-converted-space"/>
          <w:rFonts w:ascii="Book Antiqua" w:hAnsi="Book Antiqua"/>
        </w:rPr>
        <w:t xml:space="preserve"> </w:t>
      </w:r>
      <w:r w:rsidRPr="009A3C92">
        <w:rPr>
          <w:rFonts w:ascii="Book Antiqua" w:hAnsi="Book Antiqua"/>
          <w:i/>
          <w:iCs/>
        </w:rPr>
        <w:t>J Rheumatol Suppl</w:t>
      </w:r>
      <w:r w:rsidRPr="009A3C92">
        <w:rPr>
          <w:rStyle w:val="apple-converted-space"/>
          <w:rFonts w:ascii="Book Antiqua" w:hAnsi="Book Antiqua"/>
        </w:rPr>
        <w:t xml:space="preserve"> </w:t>
      </w:r>
      <w:r w:rsidRPr="009A3C92">
        <w:rPr>
          <w:rFonts w:ascii="Book Antiqua" w:hAnsi="Book Antiqua"/>
        </w:rPr>
        <w:t>2005;</w:t>
      </w:r>
      <w:r w:rsidRPr="009A3C92">
        <w:rPr>
          <w:rStyle w:val="apple-converted-space"/>
          <w:rFonts w:ascii="Book Antiqua" w:hAnsi="Book Antiqua"/>
        </w:rPr>
        <w:t xml:space="preserve"> </w:t>
      </w:r>
      <w:r w:rsidRPr="009A3C92">
        <w:rPr>
          <w:rFonts w:ascii="Book Antiqua" w:hAnsi="Book Antiqua"/>
          <w:b/>
          <w:bCs/>
        </w:rPr>
        <w:t>74</w:t>
      </w:r>
      <w:r w:rsidRPr="009A3C92">
        <w:rPr>
          <w:rFonts w:ascii="Book Antiqua" w:hAnsi="Book Antiqua"/>
        </w:rPr>
        <w:t>: 13-18 [PMID: 15742459]</w:t>
      </w:r>
    </w:p>
    <w:p w14:paraId="4E9765FA" w14:textId="3E24CC0E"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30</w:t>
      </w:r>
      <w:r w:rsidRPr="009A3C92">
        <w:rPr>
          <w:rStyle w:val="apple-converted-space"/>
          <w:rFonts w:ascii="Book Antiqua" w:hAnsi="Book Antiqua"/>
        </w:rPr>
        <w:t xml:space="preserve"> </w:t>
      </w:r>
      <w:r w:rsidRPr="009A3C92">
        <w:rPr>
          <w:rFonts w:ascii="Book Antiqua" w:hAnsi="Book Antiqua"/>
          <w:b/>
          <w:bCs/>
        </w:rPr>
        <w:t>Vande Casteele N</w:t>
      </w:r>
      <w:r w:rsidRPr="009A3C92">
        <w:rPr>
          <w:rFonts w:ascii="Book Antiqua" w:hAnsi="Book Antiqua"/>
        </w:rPr>
        <w:t>, Gils A. Pharmacokinetics of anti-TNF monoclonal antibodies in inflammatory bowel disease: Adding value to current practice.</w:t>
      </w:r>
      <w:r w:rsidRPr="009A3C92">
        <w:rPr>
          <w:rStyle w:val="apple-converted-space"/>
          <w:rFonts w:ascii="Book Antiqua" w:hAnsi="Book Antiqua"/>
        </w:rPr>
        <w:t xml:space="preserve"> </w:t>
      </w:r>
      <w:r w:rsidRPr="009A3C92">
        <w:rPr>
          <w:rFonts w:ascii="Book Antiqua" w:hAnsi="Book Antiqua"/>
          <w:i/>
          <w:iCs/>
        </w:rPr>
        <w:t>J Clin Pharmacol</w:t>
      </w:r>
      <w:r w:rsidRPr="009A3C92">
        <w:rPr>
          <w:rStyle w:val="apple-converted-space"/>
          <w:rFonts w:ascii="Book Antiqua" w:hAnsi="Book Antiqua"/>
        </w:rPr>
        <w:t xml:space="preserve"> </w:t>
      </w:r>
      <w:r w:rsidRPr="009A3C92">
        <w:rPr>
          <w:rFonts w:ascii="Book Antiqua" w:hAnsi="Book Antiqua"/>
        </w:rPr>
        <w:t>2015;</w:t>
      </w:r>
      <w:r w:rsidRPr="009A3C92">
        <w:rPr>
          <w:rStyle w:val="apple-converted-space"/>
          <w:rFonts w:ascii="Book Antiqua" w:hAnsi="Book Antiqua"/>
        </w:rPr>
        <w:t xml:space="preserve"> </w:t>
      </w:r>
      <w:r w:rsidRPr="009A3C92">
        <w:rPr>
          <w:rFonts w:ascii="Book Antiqua" w:hAnsi="Book Antiqua"/>
          <w:b/>
          <w:bCs/>
        </w:rPr>
        <w:t>55 Suppl 3</w:t>
      </w:r>
      <w:r w:rsidRPr="009A3C92">
        <w:rPr>
          <w:rFonts w:ascii="Book Antiqua" w:hAnsi="Book Antiqua"/>
        </w:rPr>
        <w:t>: S39-S50 [PMID: 25707962 DOI: 10.1002/jcph.374]</w:t>
      </w:r>
    </w:p>
    <w:p w14:paraId="212FFF30" w14:textId="210B4D2E"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31</w:t>
      </w:r>
      <w:r w:rsidRPr="009A3C92">
        <w:rPr>
          <w:rStyle w:val="apple-converted-space"/>
          <w:rFonts w:ascii="Book Antiqua" w:hAnsi="Book Antiqua"/>
        </w:rPr>
        <w:t xml:space="preserve"> </w:t>
      </w:r>
      <w:r w:rsidRPr="009A3C92">
        <w:rPr>
          <w:rFonts w:ascii="Book Antiqua" w:hAnsi="Book Antiqua"/>
          <w:b/>
          <w:bCs/>
        </w:rPr>
        <w:t>Gibson DJ</w:t>
      </w:r>
      <w:r w:rsidRPr="009A3C92">
        <w:rPr>
          <w:rFonts w:ascii="Book Antiqua" w:hAnsi="Book Antiqua"/>
        </w:rPr>
        <w:t>, Ward MG, Rentsch C, Friedman AB, Taylor KM, Sparrow MP, Gibson PR. Review article: determination of the therapeutic range for therapeutic drug monitoring of adalimumab and infliximab in patients with inflammatory bowel disease.</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51</w:t>
      </w:r>
      <w:r w:rsidRPr="009A3C92">
        <w:rPr>
          <w:rFonts w:ascii="Book Antiqua" w:hAnsi="Book Antiqua"/>
        </w:rPr>
        <w:t>: 612-628 [PMID: 31961001 DOI: 10.1111/apt.15643]</w:t>
      </w:r>
    </w:p>
    <w:p w14:paraId="495DA655" w14:textId="120BA24F"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lastRenderedPageBreak/>
        <w:t>32</w:t>
      </w:r>
      <w:r w:rsidRPr="009A3C92">
        <w:rPr>
          <w:rStyle w:val="apple-converted-space"/>
          <w:rFonts w:ascii="Book Antiqua" w:hAnsi="Book Antiqua"/>
        </w:rPr>
        <w:t xml:space="preserve"> </w:t>
      </w:r>
      <w:r w:rsidRPr="009A3C92">
        <w:rPr>
          <w:rFonts w:ascii="Book Antiqua" w:hAnsi="Book Antiqua"/>
          <w:b/>
          <w:bCs/>
        </w:rPr>
        <w:t>Cornillie F</w:t>
      </w:r>
      <w:r w:rsidRPr="009A3C92">
        <w:rPr>
          <w:rFonts w:ascii="Book Antiqua" w:hAnsi="Book Antiqua"/>
        </w:rPr>
        <w:t>, Hanauer SB, Diamond RH, Wang J, Tang KL, Xu Z, Rutgeerts P, Vermeire S. Postinduction serum infliximab trough level and decrease of C-reactive protein level are associated with durable sustained response to infliximab: a retrospective analysis of the ACCENT I trial.</w:t>
      </w:r>
      <w:r w:rsidRPr="009A3C92">
        <w:rPr>
          <w:rStyle w:val="apple-converted-space"/>
          <w:rFonts w:ascii="Book Antiqua" w:hAnsi="Book Antiqua"/>
        </w:rPr>
        <w:t xml:space="preserve"> </w:t>
      </w:r>
      <w:r w:rsidRPr="009A3C92">
        <w:rPr>
          <w:rFonts w:ascii="Book Antiqua" w:hAnsi="Book Antiqua"/>
          <w:i/>
          <w:iCs/>
        </w:rPr>
        <w:t>Gut</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63</w:t>
      </w:r>
      <w:r w:rsidRPr="009A3C92">
        <w:rPr>
          <w:rFonts w:ascii="Book Antiqua" w:hAnsi="Book Antiqua"/>
        </w:rPr>
        <w:t>: 1721-1727 [PMID: 24474383 DOI: 10.1136/gutjnl-2012-304094]</w:t>
      </w:r>
    </w:p>
    <w:p w14:paraId="28C2F92D" w14:textId="31D9D530"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33</w:t>
      </w:r>
      <w:r w:rsidRPr="009A3C92">
        <w:rPr>
          <w:rStyle w:val="apple-converted-space"/>
          <w:rFonts w:ascii="Book Antiqua" w:hAnsi="Book Antiqua"/>
        </w:rPr>
        <w:t xml:space="preserve"> </w:t>
      </w:r>
      <w:r w:rsidRPr="009A3C92">
        <w:rPr>
          <w:rFonts w:ascii="Book Antiqua" w:hAnsi="Book Antiqua"/>
          <w:b/>
          <w:bCs/>
        </w:rPr>
        <w:t>Feng T</w:t>
      </w:r>
      <w:r w:rsidRPr="009A3C92">
        <w:rPr>
          <w:rFonts w:ascii="Book Antiqua" w:hAnsi="Book Antiqua"/>
        </w:rPr>
        <w:t>, Chen B, Ungar B, Qiu Y, Zhang S, He J, Lin S, He Y, Zeng Z, Ben-Horin S, Chen M, Mao R. Association of Infliximab Levels With Mucosal Healing Is Time-Dependent in Crohn's Disease: Higher Drug Exposure Is Required Postinduction Than During Maintenance Treatment.</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25</w:t>
      </w:r>
      <w:r w:rsidRPr="009A3C92">
        <w:rPr>
          <w:rFonts w:ascii="Book Antiqua" w:hAnsi="Book Antiqua"/>
        </w:rPr>
        <w:t>: 1813-1821 [PMID: 30934050 DOI: 10.1093/ibd/izz061]</w:t>
      </w:r>
    </w:p>
    <w:p w14:paraId="5ADDF535" w14:textId="20828D6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34</w:t>
      </w:r>
      <w:r w:rsidRPr="009A3C92">
        <w:rPr>
          <w:rStyle w:val="apple-converted-space"/>
          <w:rFonts w:ascii="Book Antiqua" w:hAnsi="Book Antiqua"/>
        </w:rPr>
        <w:t xml:space="preserve"> </w:t>
      </w:r>
      <w:r w:rsidRPr="009A3C92">
        <w:rPr>
          <w:rFonts w:ascii="Book Antiqua" w:hAnsi="Book Antiqua"/>
          <w:b/>
          <w:bCs/>
        </w:rPr>
        <w:t>van Hoeve K</w:t>
      </w:r>
      <w:r w:rsidRPr="009A3C92">
        <w:rPr>
          <w:rFonts w:ascii="Book Antiqua" w:hAnsi="Book Antiqua"/>
        </w:rPr>
        <w:t>, Dreesen E, Hoffman I, Van Assche G, Ferrante M, Gils A, Vermeire S. Adequate Infliximab Exposure During Induction Predicts Remission in Paediatric Patients With Inflammatory Bowel Disease.</w:t>
      </w:r>
      <w:r w:rsidRPr="009A3C92">
        <w:rPr>
          <w:rStyle w:val="apple-converted-space"/>
          <w:rFonts w:ascii="Book Antiqua" w:hAnsi="Book Antiqua"/>
        </w:rPr>
        <w:t xml:space="preserve"> </w:t>
      </w:r>
      <w:r w:rsidRPr="009A3C92">
        <w:rPr>
          <w:rFonts w:ascii="Book Antiqua" w:hAnsi="Book Antiqua"/>
          <w:i/>
          <w:iCs/>
        </w:rPr>
        <w:t>J Pediatr Gastroenterol Nutr</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68</w:t>
      </w:r>
      <w:r w:rsidRPr="009A3C92">
        <w:rPr>
          <w:rFonts w:ascii="Book Antiqua" w:hAnsi="Book Antiqua"/>
        </w:rPr>
        <w:t>: 847-853 [PMID: 30633108 DOI: 10.1097/MPG.0000000000002265]</w:t>
      </w:r>
    </w:p>
    <w:p w14:paraId="1014E57F" w14:textId="2653836F"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35</w:t>
      </w:r>
      <w:r w:rsidRPr="009A3C92">
        <w:rPr>
          <w:rStyle w:val="apple-converted-space"/>
          <w:rFonts w:ascii="Book Antiqua" w:hAnsi="Book Antiqua"/>
        </w:rPr>
        <w:t xml:space="preserve"> </w:t>
      </w:r>
      <w:r w:rsidRPr="009A3C92">
        <w:rPr>
          <w:rFonts w:ascii="Book Antiqua" w:hAnsi="Book Antiqua"/>
          <w:b/>
          <w:bCs/>
        </w:rPr>
        <w:t>Singh N</w:t>
      </w:r>
      <w:r w:rsidRPr="009A3C92">
        <w:rPr>
          <w:rFonts w:ascii="Book Antiqua" w:hAnsi="Book Antiqua"/>
        </w:rPr>
        <w:t>, Rosenthal CJ, Melmed GY, Mirocha J, Farrior S, Callejas S, Tripuraneni B, Rabizadeh S, Dubinsky MC. Early infliximab trough levels are associated with persistent remission in pediatric patients with inflammatory bowel disease.</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20</w:t>
      </w:r>
      <w:r w:rsidRPr="009A3C92">
        <w:rPr>
          <w:rFonts w:ascii="Book Antiqua" w:hAnsi="Book Antiqua"/>
        </w:rPr>
        <w:t>: 1708-1713 [PMID: 25153505 DOI: 10.1097/MIB.0000000000000137]</w:t>
      </w:r>
    </w:p>
    <w:p w14:paraId="0CB4FA8D" w14:textId="3D2C71C8"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36</w:t>
      </w:r>
      <w:r w:rsidRPr="009A3C92">
        <w:rPr>
          <w:rStyle w:val="apple-converted-space"/>
          <w:rFonts w:ascii="Book Antiqua" w:hAnsi="Book Antiqua"/>
        </w:rPr>
        <w:t xml:space="preserve"> </w:t>
      </w:r>
      <w:r w:rsidRPr="009A3C92">
        <w:rPr>
          <w:rFonts w:ascii="Book Antiqua" w:hAnsi="Book Antiqua"/>
          <w:b/>
          <w:bCs/>
        </w:rPr>
        <w:t>El-Matary W</w:t>
      </w:r>
      <w:r w:rsidRPr="009A3C92">
        <w:rPr>
          <w:rFonts w:ascii="Book Antiqua" w:hAnsi="Book Antiqua"/>
        </w:rPr>
        <w:t>, Walters TD, Huynh HQ, deBruyn J, Mack DR, Jacobson K, Sherlock ME, Church P, Wine E, Carroll MW, Benchimol EI, Lawrence S, Griffiths AM. Higher Postinduction Infliximab Serum Trough Levels Are Associated With Healing of Fistulizing Perianal Crohn's Disease in Children.</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25</w:t>
      </w:r>
      <w:r w:rsidRPr="009A3C92">
        <w:rPr>
          <w:rFonts w:ascii="Book Antiqua" w:hAnsi="Book Antiqua"/>
        </w:rPr>
        <w:t>: 150-155 [PMID: 29912413 DOI: 10.1093/ibd/izy217]</w:t>
      </w:r>
    </w:p>
    <w:p w14:paraId="15FCBCA8" w14:textId="3DE1FD3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37</w:t>
      </w:r>
      <w:r w:rsidRPr="009A3C92">
        <w:rPr>
          <w:rStyle w:val="apple-converted-space"/>
          <w:rFonts w:ascii="Book Antiqua" w:hAnsi="Book Antiqua"/>
        </w:rPr>
        <w:t xml:space="preserve"> </w:t>
      </w:r>
      <w:r w:rsidRPr="009A3C92">
        <w:rPr>
          <w:rFonts w:ascii="Book Antiqua" w:hAnsi="Book Antiqua"/>
          <w:b/>
          <w:bCs/>
        </w:rPr>
        <w:t>Zittan E</w:t>
      </w:r>
      <w:r w:rsidRPr="009A3C92">
        <w:rPr>
          <w:rFonts w:ascii="Book Antiqua" w:hAnsi="Book Antiqua"/>
        </w:rPr>
        <w:t>, Steinhart AH, Goldstein P, Milgrom R, Gralnek IM, Silverberg MS. Post-Induction High Adalimumab Drug Levels Predict Biological Remission at Week 24 in Patients With Crohn's Disease.</w:t>
      </w:r>
      <w:r w:rsidRPr="009A3C92">
        <w:rPr>
          <w:rStyle w:val="apple-converted-space"/>
          <w:rFonts w:ascii="Book Antiqua" w:hAnsi="Book Antiqua"/>
        </w:rPr>
        <w:t xml:space="preserve"> </w:t>
      </w:r>
      <w:r w:rsidRPr="009A3C92">
        <w:rPr>
          <w:rFonts w:ascii="Book Antiqua" w:hAnsi="Book Antiqua"/>
          <w:i/>
          <w:iCs/>
        </w:rPr>
        <w:t>Clin Transl Gastroenterol</w:t>
      </w:r>
      <w:r w:rsidRPr="009A3C92">
        <w:rPr>
          <w:rStyle w:val="apple-converted-space"/>
          <w:rFonts w:ascii="Book Antiqua" w:hAnsi="Book Antiqua"/>
        </w:rPr>
        <w:t xml:space="preserve"> </w:t>
      </w:r>
      <w:r w:rsidRPr="009A3C92">
        <w:rPr>
          <w:rFonts w:ascii="Book Antiqua" w:hAnsi="Book Antiqua"/>
        </w:rPr>
        <w:t>2021;</w:t>
      </w:r>
      <w:r w:rsidRPr="009A3C92">
        <w:rPr>
          <w:rStyle w:val="apple-converted-space"/>
          <w:rFonts w:ascii="Book Antiqua" w:hAnsi="Book Antiqua"/>
        </w:rPr>
        <w:t xml:space="preserve"> </w:t>
      </w:r>
      <w:r w:rsidRPr="009A3C92">
        <w:rPr>
          <w:rFonts w:ascii="Book Antiqua" w:hAnsi="Book Antiqua"/>
          <w:b/>
          <w:bCs/>
        </w:rPr>
        <w:t>12</w:t>
      </w:r>
      <w:r w:rsidRPr="009A3C92">
        <w:rPr>
          <w:rFonts w:ascii="Book Antiqua" w:hAnsi="Book Antiqua"/>
        </w:rPr>
        <w:t>: e00401 [PMID: 34613952 DOI: 10.14309/ctg.0000000000000401]</w:t>
      </w:r>
    </w:p>
    <w:p w14:paraId="1BDE2CCF" w14:textId="6B84564C"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38</w:t>
      </w:r>
      <w:r w:rsidRPr="009A3C92">
        <w:rPr>
          <w:rStyle w:val="apple-converted-space"/>
          <w:rFonts w:ascii="Book Antiqua" w:hAnsi="Book Antiqua"/>
        </w:rPr>
        <w:t xml:space="preserve"> </w:t>
      </w:r>
      <w:r w:rsidRPr="009A3C92">
        <w:rPr>
          <w:rFonts w:ascii="Book Antiqua" w:hAnsi="Book Antiqua"/>
          <w:b/>
          <w:bCs/>
        </w:rPr>
        <w:t>Rinawi F</w:t>
      </w:r>
      <w:r w:rsidRPr="009A3C92">
        <w:rPr>
          <w:rFonts w:ascii="Book Antiqua" w:hAnsi="Book Antiqua"/>
        </w:rPr>
        <w:t xml:space="preserve">, Ricciuto A, Church PC, Frost K, Crowley E, Walters TD, Griffiths AM. Association of Early Postinduction Adalimumab Exposure With Subsequent Clinical and </w:t>
      </w:r>
      <w:r w:rsidRPr="009A3C92">
        <w:rPr>
          <w:rFonts w:ascii="Book Antiqua" w:hAnsi="Book Antiqua"/>
        </w:rPr>
        <w:lastRenderedPageBreak/>
        <w:t>Biomarker Remission in Children with Crohn's Disease.</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2021;</w:t>
      </w:r>
      <w:r w:rsidRPr="009A3C92">
        <w:rPr>
          <w:rStyle w:val="apple-converted-space"/>
          <w:rFonts w:ascii="Book Antiqua" w:hAnsi="Book Antiqua"/>
        </w:rPr>
        <w:t xml:space="preserve"> </w:t>
      </w:r>
      <w:r w:rsidRPr="009A3C92">
        <w:rPr>
          <w:rFonts w:ascii="Book Antiqua" w:hAnsi="Book Antiqua"/>
          <w:b/>
          <w:bCs/>
        </w:rPr>
        <w:t>27</w:t>
      </w:r>
      <w:r w:rsidRPr="009A3C92">
        <w:rPr>
          <w:rFonts w:ascii="Book Antiqua" w:hAnsi="Book Antiqua"/>
        </w:rPr>
        <w:t>: 1079-1087 [PMID: 32978946 DOI: 10.1093/ibd/izaa247]</w:t>
      </w:r>
    </w:p>
    <w:p w14:paraId="3569C862" w14:textId="2795164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39</w:t>
      </w:r>
      <w:r w:rsidRPr="009A3C92">
        <w:rPr>
          <w:rStyle w:val="apple-converted-space"/>
          <w:rFonts w:ascii="Book Antiqua" w:hAnsi="Book Antiqua"/>
        </w:rPr>
        <w:t xml:space="preserve"> </w:t>
      </w:r>
      <w:r w:rsidRPr="009A3C92">
        <w:rPr>
          <w:rFonts w:ascii="Book Antiqua" w:hAnsi="Book Antiqua"/>
          <w:b/>
          <w:bCs/>
        </w:rPr>
        <w:t>Moore C</w:t>
      </w:r>
      <w:r w:rsidRPr="009A3C92">
        <w:rPr>
          <w:rFonts w:ascii="Book Antiqua" w:hAnsi="Book Antiqua"/>
        </w:rPr>
        <w:t>, Corbett G, Moss AC. Systematic Review and Meta-Analysis: Serum Infliximab Levels During Maintenance Therapy and Outcomes in Inflammatory Bowel Disease.</w:t>
      </w:r>
      <w:r w:rsidRPr="009A3C92">
        <w:rPr>
          <w:rStyle w:val="apple-converted-space"/>
          <w:rFonts w:ascii="Book Antiqua" w:hAnsi="Book Antiqua"/>
        </w:rPr>
        <w:t xml:space="preserve"> </w:t>
      </w:r>
      <w:r w:rsidRPr="009A3C92">
        <w:rPr>
          <w:rFonts w:ascii="Book Antiqua" w:hAnsi="Book Antiqua"/>
          <w:i/>
          <w:iCs/>
        </w:rPr>
        <w:t>J Crohns Colitis</w:t>
      </w:r>
      <w:r w:rsidRPr="009A3C92">
        <w:rPr>
          <w:rStyle w:val="apple-converted-space"/>
          <w:rFonts w:ascii="Book Antiqua" w:hAnsi="Book Antiqua"/>
        </w:rPr>
        <w:t xml:space="preserve"> </w:t>
      </w:r>
      <w:r w:rsidRPr="009A3C92">
        <w:rPr>
          <w:rFonts w:ascii="Book Antiqua" w:hAnsi="Book Antiqua"/>
        </w:rPr>
        <w:t>2016;</w:t>
      </w:r>
      <w:r w:rsidRPr="009A3C92">
        <w:rPr>
          <w:rStyle w:val="apple-converted-space"/>
          <w:rFonts w:ascii="Book Antiqua" w:hAnsi="Book Antiqua"/>
        </w:rPr>
        <w:t xml:space="preserve"> </w:t>
      </w:r>
      <w:r w:rsidRPr="009A3C92">
        <w:rPr>
          <w:rFonts w:ascii="Book Antiqua" w:hAnsi="Book Antiqua"/>
          <w:b/>
          <w:bCs/>
        </w:rPr>
        <w:t>10</w:t>
      </w:r>
      <w:r w:rsidRPr="009A3C92">
        <w:rPr>
          <w:rFonts w:ascii="Book Antiqua" w:hAnsi="Book Antiqua"/>
        </w:rPr>
        <w:t>: 619-625 [PMID: 26763722 DOI: 10.1093/ecco-jcc/jjw007]</w:t>
      </w:r>
    </w:p>
    <w:p w14:paraId="36392082" w14:textId="78A0683C"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40</w:t>
      </w:r>
      <w:r w:rsidRPr="009A3C92">
        <w:rPr>
          <w:rStyle w:val="apple-converted-space"/>
          <w:rFonts w:ascii="Book Antiqua" w:hAnsi="Book Antiqua"/>
        </w:rPr>
        <w:t xml:space="preserve"> </w:t>
      </w:r>
      <w:r w:rsidRPr="009A3C92">
        <w:rPr>
          <w:rFonts w:ascii="Book Antiqua" w:hAnsi="Book Antiqua"/>
          <w:b/>
          <w:bCs/>
        </w:rPr>
        <w:t>Paul S</w:t>
      </w:r>
      <w:r w:rsidRPr="009A3C92">
        <w:rPr>
          <w:rFonts w:ascii="Book Antiqua" w:hAnsi="Book Antiqua"/>
        </w:rPr>
        <w:t>, Del Tedesco E, Marotte H, Rinaudo-Gaujous M, Moreau A, Phelip JM, Genin C, Peyrin-Biroulet L, Roblin X. Therapeutic drug monitoring of infliximab and mucosal healing in inflammatory bowel disease: a prospective study.</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2013;</w:t>
      </w:r>
      <w:r w:rsidRPr="009A3C92">
        <w:rPr>
          <w:rStyle w:val="apple-converted-space"/>
          <w:rFonts w:ascii="Book Antiqua" w:hAnsi="Book Antiqua"/>
        </w:rPr>
        <w:t xml:space="preserve"> </w:t>
      </w:r>
      <w:r w:rsidRPr="009A3C92">
        <w:rPr>
          <w:rFonts w:ascii="Book Antiqua" w:hAnsi="Book Antiqua"/>
          <w:b/>
          <w:bCs/>
        </w:rPr>
        <w:t>19</w:t>
      </w:r>
      <w:r w:rsidRPr="009A3C92">
        <w:rPr>
          <w:rFonts w:ascii="Book Antiqua" w:hAnsi="Book Antiqua"/>
        </w:rPr>
        <w:t>: 2568-2576 [PMID: 24013361 DOI: 10.1097/MIB.0b013e3182a77b41]</w:t>
      </w:r>
    </w:p>
    <w:p w14:paraId="48A0EAF3" w14:textId="36FB6A8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41</w:t>
      </w:r>
      <w:r w:rsidRPr="009A3C92">
        <w:rPr>
          <w:rStyle w:val="apple-converted-space"/>
          <w:rFonts w:ascii="Book Antiqua" w:hAnsi="Book Antiqua"/>
        </w:rPr>
        <w:t xml:space="preserve"> </w:t>
      </w:r>
      <w:r w:rsidRPr="009A3C92">
        <w:rPr>
          <w:rFonts w:ascii="Book Antiqua" w:hAnsi="Book Antiqua"/>
          <w:b/>
          <w:bCs/>
        </w:rPr>
        <w:t>Yarur AJ</w:t>
      </w:r>
      <w:r w:rsidRPr="009A3C92">
        <w:rPr>
          <w:rFonts w:ascii="Book Antiqua" w:hAnsi="Book Antiqua"/>
        </w:rPr>
        <w:t>, Kanagala V, Stein DJ, Czul F, Quintero MA, Agrawal D, Patel A, Best K, Fox C, Idstein K, Abreu MT. Higher infliximab trough levels are associated with perianal fistula healing in patients with Crohn's disease.</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45</w:t>
      </w:r>
      <w:r w:rsidRPr="009A3C92">
        <w:rPr>
          <w:rFonts w:ascii="Book Antiqua" w:hAnsi="Book Antiqua"/>
        </w:rPr>
        <w:t>: 933-940 [PMID: 28211593 DOI: 10.1111/apt.13970]</w:t>
      </w:r>
    </w:p>
    <w:p w14:paraId="6062504E" w14:textId="62B6D713"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42</w:t>
      </w:r>
      <w:r w:rsidRPr="009A3C92">
        <w:rPr>
          <w:rStyle w:val="apple-converted-space"/>
          <w:rFonts w:ascii="Book Antiqua" w:hAnsi="Book Antiqua"/>
        </w:rPr>
        <w:t xml:space="preserve"> </w:t>
      </w:r>
      <w:r w:rsidRPr="009A3C92">
        <w:rPr>
          <w:rFonts w:ascii="Book Antiqua" w:hAnsi="Book Antiqua"/>
          <w:b/>
          <w:bCs/>
        </w:rPr>
        <w:t>Choi SY</w:t>
      </w:r>
      <w:r w:rsidRPr="009A3C92">
        <w:rPr>
          <w:rFonts w:ascii="Book Antiqua" w:hAnsi="Book Antiqua"/>
        </w:rPr>
        <w:t>, Kang B, Choe YH. Serum Infliximab Cutoff trough Level Values for Maintaining Hematological Remission in Pediatric Inflammatory Bowel Disease.</w:t>
      </w:r>
      <w:r w:rsidRPr="009A3C92">
        <w:rPr>
          <w:rStyle w:val="apple-converted-space"/>
          <w:rFonts w:ascii="Book Antiqua" w:hAnsi="Book Antiqua"/>
        </w:rPr>
        <w:t xml:space="preserve"> </w:t>
      </w:r>
      <w:r w:rsidRPr="009A3C92">
        <w:rPr>
          <w:rFonts w:ascii="Book Antiqua" w:hAnsi="Book Antiqua"/>
          <w:i/>
          <w:iCs/>
        </w:rPr>
        <w:t>Gut Liver</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13</w:t>
      </w:r>
      <w:r w:rsidRPr="009A3C92">
        <w:rPr>
          <w:rFonts w:ascii="Book Antiqua" w:hAnsi="Book Antiqua"/>
        </w:rPr>
        <w:t>: 541-548 [PMID: 30970435 DOI: 10.5009/gnl18129]</w:t>
      </w:r>
    </w:p>
    <w:p w14:paraId="36AFACFC" w14:textId="3323910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43</w:t>
      </w:r>
      <w:r w:rsidRPr="009A3C92">
        <w:rPr>
          <w:rStyle w:val="apple-converted-space"/>
          <w:rFonts w:ascii="Book Antiqua" w:hAnsi="Book Antiqua"/>
        </w:rPr>
        <w:t xml:space="preserve"> </w:t>
      </w:r>
      <w:r w:rsidRPr="009A3C92">
        <w:rPr>
          <w:rFonts w:ascii="Book Antiqua" w:hAnsi="Book Antiqua"/>
          <w:b/>
          <w:bCs/>
        </w:rPr>
        <w:t>Kang B</w:t>
      </w:r>
      <w:r w:rsidRPr="009A3C92">
        <w:rPr>
          <w:rFonts w:ascii="Book Antiqua" w:hAnsi="Book Antiqua"/>
        </w:rPr>
        <w:t>, Choi SY, Choi YO, Lee SY, Baek SY, Sohn I, Choe BH, Lee HJ, Choe YH. Infliximab Trough Levels Are Associated With Mucosal Healing During Maintenance Treatment With Infliximab in Paediatric Crohn's Disease.</w:t>
      </w:r>
      <w:r w:rsidRPr="009A3C92">
        <w:rPr>
          <w:rStyle w:val="apple-converted-space"/>
          <w:rFonts w:ascii="Book Antiqua" w:hAnsi="Book Antiqua"/>
        </w:rPr>
        <w:t xml:space="preserve"> </w:t>
      </w:r>
      <w:r w:rsidRPr="009A3C92">
        <w:rPr>
          <w:rFonts w:ascii="Book Antiqua" w:hAnsi="Book Antiqua"/>
          <w:i/>
          <w:iCs/>
        </w:rPr>
        <w:t>J Crohns Colitis</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13</w:t>
      </w:r>
      <w:r w:rsidRPr="009A3C92">
        <w:rPr>
          <w:rFonts w:ascii="Book Antiqua" w:hAnsi="Book Antiqua"/>
        </w:rPr>
        <w:t>: 189-197 [PMID: 30452616 DOI: 10.1093/ecco-jcc/jjy155]</w:t>
      </w:r>
    </w:p>
    <w:p w14:paraId="0C8C0190" w14:textId="2BAB4CDC"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44</w:t>
      </w:r>
      <w:r w:rsidRPr="009A3C92">
        <w:rPr>
          <w:rStyle w:val="apple-converted-space"/>
          <w:rFonts w:ascii="Book Antiqua" w:hAnsi="Book Antiqua"/>
        </w:rPr>
        <w:t xml:space="preserve"> </w:t>
      </w:r>
      <w:r w:rsidRPr="009A3C92">
        <w:rPr>
          <w:rFonts w:ascii="Book Antiqua" w:hAnsi="Book Antiqua"/>
          <w:b/>
          <w:bCs/>
        </w:rPr>
        <w:t>Mazor Y</w:t>
      </w:r>
      <w:r w:rsidRPr="009A3C92">
        <w:rPr>
          <w:rFonts w:ascii="Book Antiqua" w:hAnsi="Book Antiqua"/>
        </w:rPr>
        <w:t>, Almog R, Kopylov U, Ben Hur D, Blatt A, Dahan A, Waterman M, Ben-Horin S, Chowers Y. Adalimumab drug and antibody levels as predictors of clinical and laboratory response in patients with Crohn's disease.</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40</w:t>
      </w:r>
      <w:r w:rsidRPr="009A3C92">
        <w:rPr>
          <w:rFonts w:ascii="Book Antiqua" w:hAnsi="Book Antiqua"/>
        </w:rPr>
        <w:t>: 620-628 [PMID: 25039584 DOI: 10.1111/apt.12869]</w:t>
      </w:r>
    </w:p>
    <w:p w14:paraId="7224A5C2" w14:textId="3EFA682E"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45</w:t>
      </w:r>
      <w:r w:rsidRPr="009A3C92">
        <w:rPr>
          <w:rStyle w:val="apple-converted-space"/>
          <w:rFonts w:ascii="Book Antiqua" w:hAnsi="Book Antiqua"/>
        </w:rPr>
        <w:t xml:space="preserve"> </w:t>
      </w:r>
      <w:r w:rsidRPr="009A3C92">
        <w:rPr>
          <w:rFonts w:ascii="Book Antiqua" w:hAnsi="Book Antiqua"/>
          <w:b/>
          <w:bCs/>
        </w:rPr>
        <w:t>Zittan E</w:t>
      </w:r>
      <w:r w:rsidRPr="009A3C92">
        <w:rPr>
          <w:rFonts w:ascii="Book Antiqua" w:hAnsi="Book Antiqua"/>
        </w:rPr>
        <w:t>, Kabakchiev B, Milgrom R, Nguyen GC, Croitoru K, Steinhart AH, Silverberg MS. Higher Adalimumab Drug Levels are Associated with Mucosal Healing in Patients with Crohn's Disease.</w:t>
      </w:r>
      <w:r w:rsidRPr="009A3C92">
        <w:rPr>
          <w:rStyle w:val="apple-converted-space"/>
          <w:rFonts w:ascii="Book Antiqua" w:hAnsi="Book Antiqua"/>
        </w:rPr>
        <w:t xml:space="preserve"> </w:t>
      </w:r>
      <w:r w:rsidRPr="009A3C92">
        <w:rPr>
          <w:rFonts w:ascii="Book Antiqua" w:hAnsi="Book Antiqua"/>
          <w:i/>
          <w:iCs/>
        </w:rPr>
        <w:t>J Crohns Colitis</w:t>
      </w:r>
      <w:r w:rsidRPr="009A3C92">
        <w:rPr>
          <w:rStyle w:val="apple-converted-space"/>
          <w:rFonts w:ascii="Book Antiqua" w:hAnsi="Book Antiqua"/>
        </w:rPr>
        <w:t xml:space="preserve"> </w:t>
      </w:r>
      <w:r w:rsidRPr="009A3C92">
        <w:rPr>
          <w:rFonts w:ascii="Book Antiqua" w:hAnsi="Book Antiqua"/>
        </w:rPr>
        <w:t>2016;</w:t>
      </w:r>
      <w:r w:rsidRPr="009A3C92">
        <w:rPr>
          <w:rStyle w:val="apple-converted-space"/>
          <w:rFonts w:ascii="Book Antiqua" w:hAnsi="Book Antiqua"/>
        </w:rPr>
        <w:t xml:space="preserve"> </w:t>
      </w:r>
      <w:r w:rsidRPr="009A3C92">
        <w:rPr>
          <w:rFonts w:ascii="Book Antiqua" w:hAnsi="Book Antiqua"/>
          <w:b/>
          <w:bCs/>
        </w:rPr>
        <w:t>10</w:t>
      </w:r>
      <w:r w:rsidRPr="009A3C92">
        <w:rPr>
          <w:rFonts w:ascii="Book Antiqua" w:hAnsi="Book Antiqua"/>
        </w:rPr>
        <w:t>: 510-515 [PMID: 26783345 DOI: 10.1093/ecco-jcc/jjw014]</w:t>
      </w:r>
    </w:p>
    <w:p w14:paraId="02F80961" w14:textId="401944C3"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lastRenderedPageBreak/>
        <w:t>46</w:t>
      </w:r>
      <w:r w:rsidRPr="009A3C92">
        <w:rPr>
          <w:rStyle w:val="apple-converted-space"/>
          <w:rFonts w:ascii="Book Antiqua" w:hAnsi="Book Antiqua"/>
        </w:rPr>
        <w:t xml:space="preserve"> </w:t>
      </w:r>
      <w:r w:rsidRPr="009A3C92">
        <w:rPr>
          <w:rFonts w:ascii="Book Antiqua" w:hAnsi="Book Antiqua"/>
          <w:b/>
          <w:bCs/>
        </w:rPr>
        <w:t>Sharma S</w:t>
      </w:r>
      <w:r w:rsidRPr="009A3C92">
        <w:rPr>
          <w:rFonts w:ascii="Book Antiqua" w:hAnsi="Book Antiqua"/>
        </w:rPr>
        <w:t>, Eckert D, Hyams JS, Mensing S, Thakkar RB, Robinson AM, Rosh JR, Ruemmele FM, Awni WM. Pharmacokinetics and exposure-efficacy relationship of adalimumab in pediatric patients with moderate to severe Crohn's disease: results from a randomized, multicenter, phase-3 study.</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2015;</w:t>
      </w:r>
      <w:r w:rsidRPr="009A3C92">
        <w:rPr>
          <w:rStyle w:val="apple-converted-space"/>
          <w:rFonts w:ascii="Book Antiqua" w:hAnsi="Book Antiqua"/>
        </w:rPr>
        <w:t xml:space="preserve"> </w:t>
      </w:r>
      <w:r w:rsidRPr="009A3C92">
        <w:rPr>
          <w:rFonts w:ascii="Book Antiqua" w:hAnsi="Book Antiqua"/>
          <w:b/>
          <w:bCs/>
        </w:rPr>
        <w:t>21</w:t>
      </w:r>
      <w:r w:rsidRPr="009A3C92">
        <w:rPr>
          <w:rFonts w:ascii="Book Antiqua" w:hAnsi="Book Antiqua"/>
        </w:rPr>
        <w:t>: 783-792 [PMID: 25723614 DOI: 10.1097/MIB.0000000000000327]</w:t>
      </w:r>
    </w:p>
    <w:p w14:paraId="008C7222" w14:textId="0005509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47</w:t>
      </w:r>
      <w:r w:rsidRPr="009A3C92">
        <w:rPr>
          <w:rStyle w:val="apple-converted-space"/>
          <w:rFonts w:ascii="Book Antiqua" w:hAnsi="Book Antiqua"/>
        </w:rPr>
        <w:t xml:space="preserve"> </w:t>
      </w:r>
      <w:r w:rsidRPr="009A3C92">
        <w:rPr>
          <w:rFonts w:ascii="Book Antiqua" w:hAnsi="Book Antiqua"/>
          <w:b/>
          <w:bCs/>
        </w:rPr>
        <w:t>Choi SY</w:t>
      </w:r>
      <w:r w:rsidRPr="009A3C92">
        <w:rPr>
          <w:rFonts w:ascii="Book Antiqua" w:hAnsi="Book Antiqua"/>
        </w:rPr>
        <w:t>, Choi YO, Choe YH, Kang B. Potential Utility of Therapeutic Drug Monitoring of Adalimumab in Predicting Short-Term Mucosal Healing and Histologic Remission in Pediatric Crohn's Disease Patients.</w:t>
      </w:r>
      <w:r w:rsidRPr="009A3C92">
        <w:rPr>
          <w:rStyle w:val="apple-converted-space"/>
          <w:rFonts w:ascii="Book Antiqua" w:hAnsi="Book Antiqua"/>
        </w:rPr>
        <w:t xml:space="preserve"> </w:t>
      </w:r>
      <w:r w:rsidRPr="009A3C92">
        <w:rPr>
          <w:rFonts w:ascii="Book Antiqua" w:hAnsi="Book Antiqua"/>
          <w:i/>
          <w:iCs/>
        </w:rPr>
        <w:t>J Korean Med Sci</w:t>
      </w:r>
      <w:r w:rsidRPr="009A3C92">
        <w:rPr>
          <w:rStyle w:val="apple-converted-space"/>
          <w:rFonts w:ascii="Book Antiqua" w:hAnsi="Book Antiqua"/>
        </w:rPr>
        <w:t xml:space="preserve"> </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35</w:t>
      </w:r>
      <w:r w:rsidRPr="009A3C92">
        <w:rPr>
          <w:rFonts w:ascii="Book Antiqua" w:hAnsi="Book Antiqua"/>
        </w:rPr>
        <w:t>: e114 [PMID: 32329259 DOI: 10.3346/jkms.2020.35.e114]</w:t>
      </w:r>
    </w:p>
    <w:p w14:paraId="2703360E" w14:textId="3437AE98"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48</w:t>
      </w:r>
      <w:r w:rsidRPr="009A3C92">
        <w:rPr>
          <w:rStyle w:val="apple-converted-space"/>
          <w:rFonts w:ascii="Book Antiqua" w:hAnsi="Book Antiqua"/>
        </w:rPr>
        <w:t xml:space="preserve"> </w:t>
      </w:r>
      <w:r w:rsidRPr="009A3C92">
        <w:rPr>
          <w:rFonts w:ascii="Book Antiqua" w:hAnsi="Book Antiqua"/>
          <w:b/>
          <w:bCs/>
        </w:rPr>
        <w:t>De Bie CI</w:t>
      </w:r>
      <w:r w:rsidRPr="009A3C92">
        <w:rPr>
          <w:rFonts w:ascii="Book Antiqua" w:hAnsi="Book Antiqua"/>
        </w:rPr>
        <w:t>, Hummel TZ, Kindermann A, Kokke FT, Damen GM, Kneepkens CM, Van Rheenen PF, Schweizer JJ, Hoekstra JH, Norbruis OF, Tjon A Ten WE, Vreugdenhil AC, Deckers-Kocken JM, Gijsbers CF, Escher JC, De Ridder L. The duration of effect of infliximab maintenance treatment in paediatric Crohn's disease is limited.</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2011;</w:t>
      </w:r>
      <w:r w:rsidRPr="009A3C92">
        <w:rPr>
          <w:rStyle w:val="apple-converted-space"/>
          <w:rFonts w:ascii="Book Antiqua" w:hAnsi="Book Antiqua"/>
        </w:rPr>
        <w:t xml:space="preserve"> </w:t>
      </w:r>
      <w:r w:rsidRPr="009A3C92">
        <w:rPr>
          <w:rFonts w:ascii="Book Antiqua" w:hAnsi="Book Antiqua"/>
          <w:b/>
          <w:bCs/>
        </w:rPr>
        <w:t>33</w:t>
      </w:r>
      <w:r w:rsidRPr="009A3C92">
        <w:rPr>
          <w:rFonts w:ascii="Book Antiqua" w:hAnsi="Book Antiqua"/>
        </w:rPr>
        <w:t>: 243-250 [PMID: 21083595 DOI: 10.1111/j.1365-2036.2010.04507.x]</w:t>
      </w:r>
    </w:p>
    <w:p w14:paraId="413D8E4C" w14:textId="07AEB6C2"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49</w:t>
      </w:r>
      <w:r w:rsidRPr="009A3C92">
        <w:rPr>
          <w:rStyle w:val="apple-converted-space"/>
          <w:rFonts w:ascii="Book Antiqua" w:hAnsi="Book Antiqua"/>
        </w:rPr>
        <w:t xml:space="preserve"> </w:t>
      </w:r>
      <w:r w:rsidRPr="009A3C92">
        <w:rPr>
          <w:rFonts w:ascii="Book Antiqua" w:hAnsi="Book Antiqua"/>
          <w:b/>
          <w:bCs/>
        </w:rPr>
        <w:t>Ding NS</w:t>
      </w:r>
      <w:r w:rsidRPr="009A3C92">
        <w:rPr>
          <w:rFonts w:ascii="Book Antiqua" w:hAnsi="Book Antiqua"/>
        </w:rPr>
        <w:t>, Hart A, De Cruz P. Systematic review: predicting and optimising response to anti-TNF therapy in Crohn's disease - algorithm for practical management.</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2016;</w:t>
      </w:r>
      <w:r w:rsidRPr="009A3C92">
        <w:rPr>
          <w:rStyle w:val="apple-converted-space"/>
          <w:rFonts w:ascii="Book Antiqua" w:hAnsi="Book Antiqua"/>
        </w:rPr>
        <w:t xml:space="preserve"> </w:t>
      </w:r>
      <w:r w:rsidRPr="009A3C92">
        <w:rPr>
          <w:rFonts w:ascii="Book Antiqua" w:hAnsi="Book Antiqua"/>
          <w:b/>
          <w:bCs/>
        </w:rPr>
        <w:t>43</w:t>
      </w:r>
      <w:r w:rsidRPr="009A3C92">
        <w:rPr>
          <w:rFonts w:ascii="Book Antiqua" w:hAnsi="Book Antiqua"/>
        </w:rPr>
        <w:t>: 30-51 [PMID: 26515897 DOI: 10.1111/apt.13445]</w:t>
      </w:r>
    </w:p>
    <w:p w14:paraId="7188D0D3" w14:textId="5A9135C9"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50</w:t>
      </w:r>
      <w:r w:rsidRPr="009A3C92">
        <w:rPr>
          <w:rStyle w:val="apple-converted-space"/>
          <w:rFonts w:ascii="Book Antiqua" w:hAnsi="Book Antiqua"/>
        </w:rPr>
        <w:t xml:space="preserve"> </w:t>
      </w:r>
      <w:r w:rsidRPr="009A3C92">
        <w:rPr>
          <w:rFonts w:ascii="Book Antiqua" w:hAnsi="Book Antiqua"/>
          <w:b/>
          <w:bCs/>
        </w:rPr>
        <w:t>Moss AC</w:t>
      </w:r>
      <w:r w:rsidRPr="009A3C92">
        <w:rPr>
          <w:rFonts w:ascii="Book Antiqua" w:hAnsi="Book Antiqua"/>
        </w:rPr>
        <w:t>, Brinks V, Carpenter JF. Review article: immunogenicity of anti-TNF biologics in IBD - the role of patient, product and prescriber factors.</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2013;</w:t>
      </w:r>
      <w:r w:rsidRPr="009A3C92">
        <w:rPr>
          <w:rStyle w:val="apple-converted-space"/>
          <w:rFonts w:ascii="Book Antiqua" w:hAnsi="Book Antiqua"/>
        </w:rPr>
        <w:t xml:space="preserve"> </w:t>
      </w:r>
      <w:r w:rsidRPr="009A3C92">
        <w:rPr>
          <w:rFonts w:ascii="Book Antiqua" w:hAnsi="Book Antiqua"/>
          <w:b/>
          <w:bCs/>
        </w:rPr>
        <w:t>38</w:t>
      </w:r>
      <w:r w:rsidRPr="009A3C92">
        <w:rPr>
          <w:rFonts w:ascii="Book Antiqua" w:hAnsi="Book Antiqua"/>
        </w:rPr>
        <w:t>: 1188-1197 [PMID: 24118102 DOI: 10.1111/apt.12507]</w:t>
      </w:r>
    </w:p>
    <w:p w14:paraId="28C018FA" w14:textId="6E3E0908"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51</w:t>
      </w:r>
      <w:r w:rsidRPr="009A3C92">
        <w:rPr>
          <w:rStyle w:val="apple-converted-space"/>
          <w:rFonts w:ascii="Book Antiqua" w:hAnsi="Book Antiqua"/>
        </w:rPr>
        <w:t xml:space="preserve"> </w:t>
      </w:r>
      <w:r w:rsidRPr="009A3C92">
        <w:rPr>
          <w:rFonts w:ascii="Book Antiqua" w:hAnsi="Book Antiqua"/>
          <w:b/>
          <w:bCs/>
        </w:rPr>
        <w:t>Vermeire S</w:t>
      </w:r>
      <w:r w:rsidRPr="009A3C92">
        <w:rPr>
          <w:rFonts w:ascii="Book Antiqua" w:hAnsi="Book Antiqua"/>
        </w:rPr>
        <w:t>, Noman M, Van Assche G, Baert F, D'Haens G, Rutgeerts P. Effectiveness of concomitant immunosuppressive therapy in suppressing the formation of antibodies to infliximab in Crohn's disease.</w:t>
      </w:r>
      <w:r w:rsidRPr="009A3C92">
        <w:rPr>
          <w:rStyle w:val="apple-converted-space"/>
          <w:rFonts w:ascii="Book Antiqua" w:hAnsi="Book Antiqua"/>
        </w:rPr>
        <w:t xml:space="preserve"> </w:t>
      </w:r>
      <w:r w:rsidRPr="009A3C92">
        <w:rPr>
          <w:rFonts w:ascii="Book Antiqua" w:hAnsi="Book Antiqua"/>
          <w:i/>
          <w:iCs/>
        </w:rPr>
        <w:t>Gut</w:t>
      </w:r>
      <w:r w:rsidRPr="009A3C92">
        <w:rPr>
          <w:rStyle w:val="apple-converted-space"/>
          <w:rFonts w:ascii="Book Antiqua" w:hAnsi="Book Antiqua"/>
        </w:rPr>
        <w:t xml:space="preserve"> </w:t>
      </w:r>
      <w:r w:rsidRPr="009A3C92">
        <w:rPr>
          <w:rFonts w:ascii="Book Antiqua" w:hAnsi="Book Antiqua"/>
        </w:rPr>
        <w:t>2007;</w:t>
      </w:r>
      <w:r w:rsidRPr="009A3C92">
        <w:rPr>
          <w:rStyle w:val="apple-converted-space"/>
          <w:rFonts w:ascii="Book Antiqua" w:hAnsi="Book Antiqua"/>
        </w:rPr>
        <w:t xml:space="preserve"> </w:t>
      </w:r>
      <w:r w:rsidRPr="009A3C92">
        <w:rPr>
          <w:rFonts w:ascii="Book Antiqua" w:hAnsi="Book Antiqua"/>
          <w:b/>
          <w:bCs/>
        </w:rPr>
        <w:t>56</w:t>
      </w:r>
      <w:r w:rsidRPr="009A3C92">
        <w:rPr>
          <w:rFonts w:ascii="Book Antiqua" w:hAnsi="Book Antiqua"/>
        </w:rPr>
        <w:t>: 1226-1231 [PMID: 17229796 DOI: 10.1136/gut.2006.099978]</w:t>
      </w:r>
    </w:p>
    <w:p w14:paraId="6C8AFF11" w14:textId="194AED7D"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52</w:t>
      </w:r>
      <w:r w:rsidRPr="009A3C92">
        <w:rPr>
          <w:rStyle w:val="apple-converted-space"/>
          <w:rFonts w:ascii="Book Antiqua" w:hAnsi="Book Antiqua"/>
        </w:rPr>
        <w:t xml:space="preserve"> </w:t>
      </w:r>
      <w:r w:rsidRPr="009A3C92">
        <w:rPr>
          <w:rFonts w:ascii="Book Antiqua" w:hAnsi="Book Antiqua"/>
          <w:b/>
          <w:bCs/>
        </w:rPr>
        <w:t>Kim JY</w:t>
      </w:r>
      <w:r w:rsidRPr="009A3C92">
        <w:rPr>
          <w:rFonts w:ascii="Book Antiqua" w:hAnsi="Book Antiqua"/>
        </w:rPr>
        <w:t>, Lee Y, Choe BH, Kang B. Factors Associated with the Immunogenicity of Anti-Tumor Necrosis Factor Agents in Pediatric Patients with Inflammatory Bowel Disease.</w:t>
      </w:r>
      <w:r w:rsidRPr="009A3C92">
        <w:rPr>
          <w:rStyle w:val="apple-converted-space"/>
          <w:rFonts w:ascii="Book Antiqua" w:hAnsi="Book Antiqua"/>
        </w:rPr>
        <w:t xml:space="preserve"> </w:t>
      </w:r>
      <w:r w:rsidRPr="009A3C92">
        <w:rPr>
          <w:rFonts w:ascii="Book Antiqua" w:hAnsi="Book Antiqua"/>
          <w:i/>
          <w:iCs/>
        </w:rPr>
        <w:t>Gut Liver</w:t>
      </w:r>
      <w:r w:rsidRPr="009A3C92">
        <w:rPr>
          <w:rStyle w:val="apple-converted-space"/>
          <w:rFonts w:ascii="Book Antiqua" w:hAnsi="Book Antiqua"/>
        </w:rPr>
        <w:t xml:space="preserve"> </w:t>
      </w:r>
      <w:r w:rsidRPr="009A3C92">
        <w:rPr>
          <w:rFonts w:ascii="Book Antiqua" w:hAnsi="Book Antiqua"/>
        </w:rPr>
        <w:t>2021;</w:t>
      </w:r>
      <w:r w:rsidRPr="009A3C92">
        <w:rPr>
          <w:rStyle w:val="apple-converted-space"/>
          <w:rFonts w:ascii="Book Antiqua" w:hAnsi="Book Antiqua"/>
        </w:rPr>
        <w:t xml:space="preserve"> </w:t>
      </w:r>
      <w:r w:rsidRPr="009A3C92">
        <w:rPr>
          <w:rFonts w:ascii="Book Antiqua" w:hAnsi="Book Antiqua"/>
          <w:b/>
          <w:bCs/>
        </w:rPr>
        <w:t>15</w:t>
      </w:r>
      <w:r w:rsidRPr="009A3C92">
        <w:rPr>
          <w:rFonts w:ascii="Book Antiqua" w:hAnsi="Book Antiqua"/>
        </w:rPr>
        <w:t>: 588-598 [PMID: 33024062 DOI: 10.5009/gnl20134]</w:t>
      </w:r>
    </w:p>
    <w:p w14:paraId="2B681D9F" w14:textId="770AC908"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53</w:t>
      </w:r>
      <w:r w:rsidRPr="009A3C92">
        <w:rPr>
          <w:rStyle w:val="apple-converted-space"/>
          <w:rFonts w:ascii="Book Antiqua" w:hAnsi="Book Antiqua"/>
        </w:rPr>
        <w:t xml:space="preserve"> </w:t>
      </w:r>
      <w:r w:rsidRPr="009A3C92">
        <w:rPr>
          <w:rFonts w:ascii="Book Antiqua" w:hAnsi="Book Antiqua"/>
          <w:b/>
          <w:bCs/>
        </w:rPr>
        <w:t>Brandse JF</w:t>
      </w:r>
      <w:r w:rsidRPr="009A3C92">
        <w:rPr>
          <w:rFonts w:ascii="Book Antiqua" w:hAnsi="Book Antiqua"/>
        </w:rPr>
        <w:t>, Mould D, Smeekes O, Ashruf Y, Kuin S, Strik A, van den Brink GR, D</w:t>
      </w:r>
      <w:r w:rsidRPr="009A3C92">
        <w:rPr>
          <w:rFonts w:ascii="Times New Roman" w:hAnsi="Times New Roman" w:cs="Times New Roman"/>
        </w:rPr>
        <w:t>ʼ</w:t>
      </w:r>
      <w:r w:rsidRPr="009A3C92">
        <w:rPr>
          <w:rFonts w:ascii="Book Antiqua" w:hAnsi="Book Antiqua"/>
        </w:rPr>
        <w:t xml:space="preserve">Haens GR. A Real-life Population Pharmacokinetic Study Reveals Factors Associated </w:t>
      </w:r>
      <w:r w:rsidRPr="009A3C92">
        <w:rPr>
          <w:rFonts w:ascii="Book Antiqua" w:hAnsi="Book Antiqua"/>
        </w:rPr>
        <w:lastRenderedPageBreak/>
        <w:t>with Clearance and Immunogenicity of Infliximab in Inflammatory Bowel Disease.</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23</w:t>
      </w:r>
      <w:r w:rsidRPr="009A3C92">
        <w:rPr>
          <w:rFonts w:ascii="Book Antiqua" w:hAnsi="Book Antiqua"/>
        </w:rPr>
        <w:t>: 650-660 [PMID: 28195852 DOI: 10.1097/MIB.0000000000001043]</w:t>
      </w:r>
    </w:p>
    <w:p w14:paraId="54452C8F" w14:textId="4EF20DB0"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54</w:t>
      </w:r>
      <w:r w:rsidRPr="009A3C92">
        <w:rPr>
          <w:rStyle w:val="apple-converted-space"/>
          <w:rFonts w:ascii="Book Antiqua" w:hAnsi="Book Antiqua"/>
        </w:rPr>
        <w:t xml:space="preserve"> </w:t>
      </w:r>
      <w:r w:rsidRPr="009A3C92">
        <w:rPr>
          <w:rFonts w:ascii="Book Antiqua" w:hAnsi="Book Antiqua"/>
          <w:b/>
          <w:bCs/>
        </w:rPr>
        <w:t>Fasanmade AA</w:t>
      </w:r>
      <w:r w:rsidRPr="009A3C92">
        <w:rPr>
          <w:rFonts w:ascii="Book Antiqua" w:hAnsi="Book Antiqua"/>
        </w:rPr>
        <w:t>, Adedokun OJ, Blank M, Zhou H, Davis HM. Pharmacokinetic properties of infliximab in children and adults with Crohn's disease: a retrospective analysis of data from 2 phase III clinical trials.</w:t>
      </w:r>
      <w:r w:rsidRPr="009A3C92">
        <w:rPr>
          <w:rStyle w:val="apple-converted-space"/>
          <w:rFonts w:ascii="Book Antiqua" w:hAnsi="Book Antiqua"/>
        </w:rPr>
        <w:t xml:space="preserve"> </w:t>
      </w:r>
      <w:r w:rsidRPr="009A3C92">
        <w:rPr>
          <w:rFonts w:ascii="Book Antiqua" w:hAnsi="Book Antiqua"/>
          <w:i/>
          <w:iCs/>
        </w:rPr>
        <w:t>Clin Ther</w:t>
      </w:r>
      <w:r w:rsidRPr="009A3C92">
        <w:rPr>
          <w:rStyle w:val="apple-converted-space"/>
          <w:rFonts w:ascii="Book Antiqua" w:hAnsi="Book Antiqua"/>
        </w:rPr>
        <w:t xml:space="preserve"> </w:t>
      </w:r>
      <w:r w:rsidRPr="009A3C92">
        <w:rPr>
          <w:rFonts w:ascii="Book Antiqua" w:hAnsi="Book Antiqua"/>
        </w:rPr>
        <w:t>2011;</w:t>
      </w:r>
      <w:r w:rsidRPr="009A3C92">
        <w:rPr>
          <w:rStyle w:val="apple-converted-space"/>
          <w:rFonts w:ascii="Book Antiqua" w:hAnsi="Book Antiqua"/>
        </w:rPr>
        <w:t xml:space="preserve"> </w:t>
      </w:r>
      <w:r w:rsidRPr="009A3C92">
        <w:rPr>
          <w:rFonts w:ascii="Book Antiqua" w:hAnsi="Book Antiqua"/>
          <w:b/>
          <w:bCs/>
        </w:rPr>
        <w:t>33</w:t>
      </w:r>
      <w:r w:rsidRPr="009A3C92">
        <w:rPr>
          <w:rFonts w:ascii="Book Antiqua" w:hAnsi="Book Antiqua"/>
        </w:rPr>
        <w:t>: 946-964 [PMID: 21741088 DOI: 10.1016/j.clinthera.2011.06.002]</w:t>
      </w:r>
    </w:p>
    <w:p w14:paraId="7CCB54F2" w14:textId="711F61FE"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55</w:t>
      </w:r>
      <w:r w:rsidRPr="009A3C92">
        <w:rPr>
          <w:rStyle w:val="apple-converted-space"/>
          <w:rFonts w:ascii="Book Antiqua" w:hAnsi="Book Antiqua"/>
        </w:rPr>
        <w:t xml:space="preserve"> </w:t>
      </w:r>
      <w:r w:rsidRPr="009A3C92">
        <w:rPr>
          <w:rFonts w:ascii="Book Antiqua" w:hAnsi="Book Antiqua"/>
          <w:b/>
          <w:bCs/>
        </w:rPr>
        <w:t>Ternant D</w:t>
      </w:r>
      <w:r w:rsidRPr="009A3C92">
        <w:rPr>
          <w:rFonts w:ascii="Book Antiqua" w:hAnsi="Book Antiqua"/>
        </w:rPr>
        <w:t>, Aubourg A, Magdelaine-Beuzelin C, Degenne D, Watier H, Picon L, Paintaud G. Infliximab pharmacokinetics in inflammatory bowel disease patients.</w:t>
      </w:r>
      <w:r w:rsidRPr="009A3C92">
        <w:rPr>
          <w:rStyle w:val="apple-converted-space"/>
          <w:rFonts w:ascii="Book Antiqua" w:hAnsi="Book Antiqua"/>
        </w:rPr>
        <w:t xml:space="preserve"> </w:t>
      </w:r>
      <w:r w:rsidRPr="009A3C92">
        <w:rPr>
          <w:rFonts w:ascii="Book Antiqua" w:hAnsi="Book Antiqua"/>
          <w:i/>
          <w:iCs/>
        </w:rPr>
        <w:t>Ther Drug Monit</w:t>
      </w:r>
      <w:r w:rsidRPr="009A3C92">
        <w:rPr>
          <w:rStyle w:val="apple-converted-space"/>
          <w:rFonts w:ascii="Book Antiqua" w:hAnsi="Book Antiqua"/>
        </w:rPr>
        <w:t xml:space="preserve"> </w:t>
      </w:r>
      <w:r w:rsidRPr="009A3C92">
        <w:rPr>
          <w:rFonts w:ascii="Book Antiqua" w:hAnsi="Book Antiqua"/>
        </w:rPr>
        <w:t>2008;</w:t>
      </w:r>
      <w:r w:rsidRPr="009A3C92">
        <w:rPr>
          <w:rStyle w:val="apple-converted-space"/>
          <w:rFonts w:ascii="Book Antiqua" w:hAnsi="Book Antiqua"/>
        </w:rPr>
        <w:t xml:space="preserve"> </w:t>
      </w:r>
      <w:r w:rsidRPr="009A3C92">
        <w:rPr>
          <w:rFonts w:ascii="Book Antiqua" w:hAnsi="Book Antiqua"/>
          <w:b/>
          <w:bCs/>
        </w:rPr>
        <w:t>30</w:t>
      </w:r>
      <w:r w:rsidRPr="009A3C92">
        <w:rPr>
          <w:rFonts w:ascii="Book Antiqua" w:hAnsi="Book Antiqua"/>
        </w:rPr>
        <w:t>: 523-529 [PMID: 18641542 DOI: 10.1097/FTD.0b013e318180e300]</w:t>
      </w:r>
    </w:p>
    <w:p w14:paraId="1F86B071" w14:textId="399B9C2B"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56</w:t>
      </w:r>
      <w:r w:rsidRPr="009A3C92">
        <w:rPr>
          <w:rStyle w:val="apple-converted-space"/>
          <w:rFonts w:ascii="Book Antiqua" w:hAnsi="Book Antiqua"/>
        </w:rPr>
        <w:t xml:space="preserve"> </w:t>
      </w:r>
      <w:r w:rsidRPr="009A3C92">
        <w:rPr>
          <w:rFonts w:ascii="Book Antiqua" w:hAnsi="Book Antiqua"/>
          <w:b/>
          <w:bCs/>
        </w:rPr>
        <w:t>Dotan I</w:t>
      </w:r>
      <w:r w:rsidRPr="009A3C92">
        <w:rPr>
          <w:rFonts w:ascii="Book Antiqua" w:hAnsi="Book Antiqua"/>
        </w:rPr>
        <w:t>, Ron Y, Yanai H, Becker S, Fishman S, Yahav L, Ben Yehoyada M, Mould DR. Patient factors that increase infliximab clearance and shorten half-life in inflammatory bowel disease: a population pharmacokinetic study.</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20</w:t>
      </w:r>
      <w:r w:rsidRPr="009A3C92">
        <w:rPr>
          <w:rFonts w:ascii="Book Antiqua" w:hAnsi="Book Antiqua"/>
        </w:rPr>
        <w:t>: 2247-2259 [PMID: 25358062 DOI: 10.1097/MIB.0000000000000212]</w:t>
      </w:r>
    </w:p>
    <w:p w14:paraId="0D2BA184" w14:textId="403EA0EE"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57</w:t>
      </w:r>
      <w:r w:rsidRPr="009A3C92">
        <w:rPr>
          <w:rStyle w:val="apple-converted-space"/>
          <w:rFonts w:ascii="Book Antiqua" w:hAnsi="Book Antiqua"/>
        </w:rPr>
        <w:t xml:space="preserve"> </w:t>
      </w:r>
      <w:r w:rsidRPr="009A3C92">
        <w:rPr>
          <w:rFonts w:ascii="Book Antiqua" w:hAnsi="Book Antiqua"/>
          <w:b/>
          <w:bCs/>
        </w:rPr>
        <w:t>Vermeire S</w:t>
      </w:r>
      <w:r w:rsidRPr="009A3C92">
        <w:rPr>
          <w:rFonts w:ascii="Book Antiqua" w:hAnsi="Book Antiqua"/>
        </w:rPr>
        <w:t>, Gils A, Accossato P, Lula S, Marren A. Immunogenicity of biologics in inflammatory bowel disease.</w:t>
      </w:r>
      <w:r w:rsidRPr="009A3C92">
        <w:rPr>
          <w:rStyle w:val="apple-converted-space"/>
          <w:rFonts w:ascii="Book Antiqua" w:hAnsi="Book Antiqua"/>
        </w:rPr>
        <w:t xml:space="preserve"> </w:t>
      </w:r>
      <w:r w:rsidRPr="009A3C92">
        <w:rPr>
          <w:rFonts w:ascii="Book Antiqua" w:hAnsi="Book Antiqua"/>
          <w:i/>
          <w:iCs/>
        </w:rPr>
        <w:t>Therap Adv Gastroenterol</w:t>
      </w:r>
      <w:r w:rsidRPr="009A3C92">
        <w:rPr>
          <w:rStyle w:val="apple-converted-space"/>
          <w:rFonts w:ascii="Book Antiqua" w:hAnsi="Book Antiqua"/>
        </w:rPr>
        <w:t xml:space="preserve"> </w:t>
      </w:r>
      <w:r w:rsidRPr="009A3C92">
        <w:rPr>
          <w:rFonts w:ascii="Book Antiqua" w:hAnsi="Book Antiqua"/>
        </w:rPr>
        <w:t>2018;</w:t>
      </w:r>
      <w:r w:rsidRPr="009A3C92">
        <w:rPr>
          <w:rStyle w:val="apple-converted-space"/>
          <w:rFonts w:ascii="Book Antiqua" w:hAnsi="Book Antiqua"/>
        </w:rPr>
        <w:t xml:space="preserve"> </w:t>
      </w:r>
      <w:r w:rsidRPr="009A3C92">
        <w:rPr>
          <w:rFonts w:ascii="Book Antiqua" w:hAnsi="Book Antiqua"/>
          <w:b/>
          <w:bCs/>
        </w:rPr>
        <w:t>11</w:t>
      </w:r>
      <w:r w:rsidRPr="009A3C92">
        <w:rPr>
          <w:rFonts w:ascii="Book Antiqua" w:hAnsi="Book Antiqua"/>
        </w:rPr>
        <w:t>: 1756283X17750355 [PMID: 29383030 DOI: 10.1177/1756283X17750355]</w:t>
      </w:r>
    </w:p>
    <w:p w14:paraId="5DDFFCD9" w14:textId="4672985A"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58</w:t>
      </w:r>
      <w:r w:rsidRPr="009A3C92">
        <w:rPr>
          <w:rStyle w:val="apple-converted-space"/>
          <w:rFonts w:ascii="Book Antiqua" w:hAnsi="Book Antiqua"/>
        </w:rPr>
        <w:t xml:space="preserve"> </w:t>
      </w:r>
      <w:r w:rsidRPr="009A3C92">
        <w:rPr>
          <w:rFonts w:ascii="Book Antiqua" w:hAnsi="Book Antiqua"/>
          <w:b/>
          <w:bCs/>
        </w:rPr>
        <w:t>Turner D</w:t>
      </w:r>
      <w:r w:rsidRPr="009A3C92">
        <w:rPr>
          <w:rFonts w:ascii="Book Antiqua" w:hAnsi="Book Antiqua"/>
        </w:rPr>
        <w:t>,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2021;</w:t>
      </w:r>
      <w:r w:rsidRPr="009A3C92">
        <w:rPr>
          <w:rStyle w:val="apple-converted-space"/>
          <w:rFonts w:ascii="Book Antiqua" w:hAnsi="Book Antiqua"/>
        </w:rPr>
        <w:t xml:space="preserve"> </w:t>
      </w:r>
      <w:r w:rsidRPr="009A3C92">
        <w:rPr>
          <w:rFonts w:ascii="Book Antiqua" w:hAnsi="Book Antiqua"/>
          <w:b/>
          <w:bCs/>
        </w:rPr>
        <w:t>160</w:t>
      </w:r>
      <w:r w:rsidRPr="009A3C92">
        <w:rPr>
          <w:rFonts w:ascii="Book Antiqua" w:hAnsi="Book Antiqua"/>
        </w:rPr>
        <w:t>: 1570-1583 [PMID: 33359090 DOI: 10.1053/j.gastro.2020.12.031]</w:t>
      </w:r>
    </w:p>
    <w:p w14:paraId="74F3FE00" w14:textId="4DB7285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59</w:t>
      </w:r>
      <w:r w:rsidRPr="009A3C92">
        <w:rPr>
          <w:rStyle w:val="apple-converted-space"/>
          <w:rFonts w:ascii="Book Antiqua" w:hAnsi="Book Antiqua"/>
        </w:rPr>
        <w:t xml:space="preserve"> </w:t>
      </w:r>
      <w:r w:rsidRPr="009A3C92">
        <w:rPr>
          <w:rFonts w:ascii="Book Antiqua" w:hAnsi="Book Antiqua"/>
          <w:b/>
          <w:bCs/>
        </w:rPr>
        <w:t>Church PC</w:t>
      </w:r>
      <w:r w:rsidRPr="009A3C92">
        <w:rPr>
          <w:rFonts w:ascii="Book Antiqua" w:hAnsi="Book Antiqua"/>
        </w:rPr>
        <w:t>, Guan J, Walters TD, Frost K, Assa A, Muise AM, Griffiths AM. Infliximab maintains durable response and facilitates catch-up growth in luminal pediatric Crohn's disease.</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20</w:t>
      </w:r>
      <w:r w:rsidRPr="009A3C92">
        <w:rPr>
          <w:rFonts w:ascii="Book Antiqua" w:hAnsi="Book Antiqua"/>
        </w:rPr>
        <w:t>: 1177-1186 [PMID: 24865777 DOI: 10.1097/MIB.0000000000000083]</w:t>
      </w:r>
    </w:p>
    <w:p w14:paraId="4F6438CA" w14:textId="5100D1A1"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lastRenderedPageBreak/>
        <w:t>60</w:t>
      </w:r>
      <w:r w:rsidRPr="009A3C92">
        <w:rPr>
          <w:rStyle w:val="apple-converted-space"/>
          <w:rFonts w:ascii="Book Antiqua" w:hAnsi="Book Antiqua"/>
        </w:rPr>
        <w:t xml:space="preserve"> </w:t>
      </w:r>
      <w:r w:rsidRPr="009A3C92">
        <w:rPr>
          <w:rFonts w:ascii="Book Antiqua" w:hAnsi="Book Antiqua"/>
          <w:b/>
          <w:bCs/>
        </w:rPr>
        <w:t>Choi J</w:t>
      </w:r>
      <w:r w:rsidRPr="009A3C92">
        <w:rPr>
          <w:rFonts w:ascii="Book Antiqua" w:hAnsi="Book Antiqua"/>
        </w:rPr>
        <w:t>, Kang B, Kim MJ, Sohn I, Lee HJ, Choe YH. Early Infliximab Yields Superior Long-Term Effects on Linear Growth in Pediatric Crohn's Disease Patients.</w:t>
      </w:r>
      <w:r w:rsidRPr="009A3C92">
        <w:rPr>
          <w:rStyle w:val="apple-converted-space"/>
          <w:rFonts w:ascii="Book Antiqua" w:hAnsi="Book Antiqua"/>
        </w:rPr>
        <w:t xml:space="preserve"> </w:t>
      </w:r>
      <w:r w:rsidRPr="009A3C92">
        <w:rPr>
          <w:rFonts w:ascii="Book Antiqua" w:hAnsi="Book Antiqua"/>
          <w:i/>
          <w:iCs/>
        </w:rPr>
        <w:t>Gut Liver</w:t>
      </w:r>
      <w:r w:rsidRPr="009A3C92">
        <w:rPr>
          <w:rStyle w:val="apple-converted-space"/>
          <w:rFonts w:ascii="Book Antiqua" w:hAnsi="Book Antiqua"/>
        </w:rPr>
        <w:t xml:space="preserve"> </w:t>
      </w:r>
      <w:r w:rsidRPr="009A3C92">
        <w:rPr>
          <w:rFonts w:ascii="Book Antiqua" w:hAnsi="Book Antiqua"/>
        </w:rPr>
        <w:t>2018;</w:t>
      </w:r>
      <w:r w:rsidRPr="009A3C92">
        <w:rPr>
          <w:rStyle w:val="apple-converted-space"/>
          <w:rFonts w:ascii="Book Antiqua" w:hAnsi="Book Antiqua"/>
        </w:rPr>
        <w:t xml:space="preserve"> </w:t>
      </w:r>
      <w:r w:rsidRPr="009A3C92">
        <w:rPr>
          <w:rFonts w:ascii="Book Antiqua" w:hAnsi="Book Antiqua"/>
          <w:b/>
          <w:bCs/>
        </w:rPr>
        <w:t>12</w:t>
      </w:r>
      <w:r w:rsidRPr="009A3C92">
        <w:rPr>
          <w:rFonts w:ascii="Book Antiqua" w:hAnsi="Book Antiqua"/>
        </w:rPr>
        <w:t>: 255-262 [PMID: 29298460 DOI: 10.5009/gnl17290]</w:t>
      </w:r>
    </w:p>
    <w:p w14:paraId="52E381B6" w14:textId="0A305180"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61</w:t>
      </w:r>
      <w:r w:rsidRPr="009A3C92">
        <w:rPr>
          <w:rStyle w:val="apple-converted-space"/>
          <w:rFonts w:ascii="Book Antiqua" w:hAnsi="Book Antiqua"/>
        </w:rPr>
        <w:t xml:space="preserve"> </w:t>
      </w:r>
      <w:r w:rsidRPr="009A3C92">
        <w:rPr>
          <w:rFonts w:ascii="Book Antiqua" w:hAnsi="Book Antiqua"/>
          <w:b/>
          <w:bCs/>
        </w:rPr>
        <w:t>Walters TD</w:t>
      </w:r>
      <w:r w:rsidRPr="009A3C92">
        <w:rPr>
          <w:rFonts w:ascii="Book Antiqua" w:hAnsi="Book Antiqua"/>
        </w:rPr>
        <w:t>, Faubion WA, Griffiths AM, Baldassano RN, Escher J, Ruemmele FM, Hyams JS, Lazar A, Eichner S, Huang B, Li Y, Thakkar RB. Growth Improvement with Adalimumab Treatment in Children with Moderately to Severely Active Crohn's Disease.</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23</w:t>
      </w:r>
      <w:r w:rsidRPr="009A3C92">
        <w:rPr>
          <w:rFonts w:ascii="Book Antiqua" w:hAnsi="Book Antiqua"/>
        </w:rPr>
        <w:t>: 967-975 [PMID: 28301428 DOI: 10.1097/MIB.0000000000001075]</w:t>
      </w:r>
    </w:p>
    <w:p w14:paraId="7CF40545" w14:textId="0DAA0DD1"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62</w:t>
      </w:r>
      <w:r w:rsidRPr="009A3C92">
        <w:rPr>
          <w:rStyle w:val="apple-converted-space"/>
          <w:rFonts w:ascii="Book Antiqua" w:hAnsi="Book Antiqua"/>
        </w:rPr>
        <w:t xml:space="preserve"> </w:t>
      </w:r>
      <w:r w:rsidRPr="009A3C92">
        <w:rPr>
          <w:rFonts w:ascii="Book Antiqua" w:hAnsi="Book Antiqua"/>
          <w:b/>
          <w:bCs/>
        </w:rPr>
        <w:t>Matar M</w:t>
      </w:r>
      <w:r w:rsidRPr="009A3C92">
        <w:rPr>
          <w:rFonts w:ascii="Book Antiqua" w:hAnsi="Book Antiqua"/>
        </w:rPr>
        <w:t>, Shamir R, Lev-Zion R, Broide E, Weiss B, Ledder O, Guz-Mark A, Rinawi F, Cohen S, Topf-Olivestone C, Shaoul R, Yerushalmi B, Assa A. The Effect of Adalimumab Treatment on Linear Growth in Children With Crohn Disease: A Post-hoc Analysis of the PAILOT Randomized Control Trial.</w:t>
      </w:r>
      <w:r w:rsidRPr="009A3C92">
        <w:rPr>
          <w:rStyle w:val="apple-converted-space"/>
          <w:rFonts w:ascii="Book Antiqua" w:hAnsi="Book Antiqua"/>
        </w:rPr>
        <w:t xml:space="preserve"> </w:t>
      </w:r>
      <w:r w:rsidRPr="009A3C92">
        <w:rPr>
          <w:rFonts w:ascii="Book Antiqua" w:hAnsi="Book Antiqua"/>
          <w:i/>
          <w:iCs/>
        </w:rPr>
        <w:t>J Pediatr Gastroenterol Nutr</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71</w:t>
      </w:r>
      <w:r w:rsidRPr="009A3C92">
        <w:rPr>
          <w:rFonts w:ascii="Book Antiqua" w:hAnsi="Book Antiqua"/>
        </w:rPr>
        <w:t>: 237-242 [PMID: 32324651 DOI: 10.1097/MPG.0000000000002728]</w:t>
      </w:r>
    </w:p>
    <w:p w14:paraId="387B2652" w14:textId="1AB0C6B6"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63</w:t>
      </w:r>
      <w:r w:rsidRPr="009A3C92">
        <w:rPr>
          <w:rStyle w:val="apple-converted-space"/>
          <w:rFonts w:ascii="Book Antiqua" w:hAnsi="Book Antiqua"/>
        </w:rPr>
        <w:t xml:space="preserve"> </w:t>
      </w:r>
      <w:r w:rsidRPr="009A3C92">
        <w:rPr>
          <w:rFonts w:ascii="Book Antiqua" w:hAnsi="Book Antiqua"/>
          <w:b/>
          <w:bCs/>
        </w:rPr>
        <w:t>Raychaudhuri SP</w:t>
      </w:r>
      <w:r w:rsidRPr="009A3C92">
        <w:rPr>
          <w:rFonts w:ascii="Book Antiqua" w:hAnsi="Book Antiqua"/>
        </w:rPr>
        <w:t>, Nguyen CT, Raychaudhuri SK, Gershwin ME. Incidence and nature of infectious disease in patients treated with anti-TNF agents.</w:t>
      </w:r>
      <w:r w:rsidRPr="009A3C92">
        <w:rPr>
          <w:rStyle w:val="apple-converted-space"/>
          <w:rFonts w:ascii="Book Antiqua" w:hAnsi="Book Antiqua"/>
        </w:rPr>
        <w:t xml:space="preserve"> </w:t>
      </w:r>
      <w:r w:rsidRPr="009A3C92">
        <w:rPr>
          <w:rFonts w:ascii="Book Antiqua" w:hAnsi="Book Antiqua"/>
          <w:i/>
          <w:iCs/>
        </w:rPr>
        <w:t>Autoimmun Rev</w:t>
      </w:r>
      <w:r w:rsidRPr="009A3C92">
        <w:rPr>
          <w:rStyle w:val="apple-converted-space"/>
          <w:rFonts w:ascii="Book Antiqua" w:hAnsi="Book Antiqua"/>
        </w:rPr>
        <w:t xml:space="preserve"> </w:t>
      </w:r>
      <w:r w:rsidRPr="009A3C92">
        <w:rPr>
          <w:rFonts w:ascii="Book Antiqua" w:hAnsi="Book Antiqua"/>
        </w:rPr>
        <w:t>2009;</w:t>
      </w:r>
      <w:r w:rsidRPr="009A3C92">
        <w:rPr>
          <w:rStyle w:val="apple-converted-space"/>
          <w:rFonts w:ascii="Book Antiqua" w:hAnsi="Book Antiqua"/>
        </w:rPr>
        <w:t xml:space="preserve"> </w:t>
      </w:r>
      <w:r w:rsidRPr="009A3C92">
        <w:rPr>
          <w:rFonts w:ascii="Book Antiqua" w:hAnsi="Book Antiqua"/>
          <w:b/>
          <w:bCs/>
        </w:rPr>
        <w:t>9</w:t>
      </w:r>
      <w:r w:rsidRPr="009A3C92">
        <w:rPr>
          <w:rFonts w:ascii="Book Antiqua" w:hAnsi="Book Antiqua"/>
        </w:rPr>
        <w:t>: 67-81 [PMID: 19716440 DOI: 10.1016/j.autrev.2009.08.006]</w:t>
      </w:r>
    </w:p>
    <w:p w14:paraId="6779F42C" w14:textId="3FDF0DCB"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64</w:t>
      </w:r>
      <w:r w:rsidRPr="009A3C92">
        <w:rPr>
          <w:rStyle w:val="apple-converted-space"/>
          <w:rFonts w:ascii="Book Antiqua" w:hAnsi="Book Antiqua"/>
        </w:rPr>
        <w:t xml:space="preserve"> </w:t>
      </w:r>
      <w:r w:rsidRPr="009A3C92">
        <w:rPr>
          <w:rFonts w:ascii="Book Antiqua" w:hAnsi="Book Antiqua"/>
          <w:b/>
          <w:bCs/>
        </w:rPr>
        <w:t>Dulai PS</w:t>
      </w:r>
      <w:r w:rsidRPr="009A3C92">
        <w:rPr>
          <w:rFonts w:ascii="Book Antiqua" w:hAnsi="Book Antiqua"/>
        </w:rPr>
        <w:t>, Thompson KD, Blunt HB, Dubinsky MC, Siegel CA. Risks of serious infection or lymphoma with anti-tumor necrosis factor therapy for pediatric inflammatory bowel disease: a systematic review.</w:t>
      </w:r>
      <w:r w:rsidRPr="009A3C92">
        <w:rPr>
          <w:rStyle w:val="apple-converted-space"/>
          <w:rFonts w:ascii="Book Antiqua" w:hAnsi="Book Antiqua"/>
        </w:rPr>
        <w:t xml:space="preserve"> </w:t>
      </w:r>
      <w:r w:rsidRPr="009A3C92">
        <w:rPr>
          <w:rFonts w:ascii="Book Antiqua" w:hAnsi="Book Antiqua"/>
          <w:i/>
          <w:iCs/>
        </w:rPr>
        <w:t>Clin Gastroenterol Hepatol</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12</w:t>
      </w:r>
      <w:r w:rsidRPr="009A3C92">
        <w:rPr>
          <w:rFonts w:ascii="Book Antiqua" w:hAnsi="Book Antiqua"/>
        </w:rPr>
        <w:t>: 1443-51; quiz e88-9 [PMID: 24462626 DOI: 10.1016/j.cgh.2014.01.021]</w:t>
      </w:r>
    </w:p>
    <w:p w14:paraId="4C993AC3" w14:textId="4BE5A996"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65</w:t>
      </w:r>
      <w:r w:rsidRPr="009A3C92">
        <w:rPr>
          <w:rStyle w:val="apple-converted-space"/>
          <w:rFonts w:ascii="Book Antiqua" w:hAnsi="Book Antiqua"/>
        </w:rPr>
        <w:t xml:space="preserve"> </w:t>
      </w:r>
      <w:r w:rsidRPr="009A3C92">
        <w:rPr>
          <w:rFonts w:ascii="Book Antiqua" w:hAnsi="Book Antiqua"/>
          <w:b/>
          <w:bCs/>
        </w:rPr>
        <w:t>Singh S</w:t>
      </w:r>
      <w:r w:rsidRPr="009A3C92">
        <w:rPr>
          <w:rFonts w:ascii="Book Antiqua" w:hAnsi="Book Antiqua"/>
        </w:rPr>
        <w:t>, Facciorusso A, Dulai PS, Jairath V, Sandborn WJ. Comparative Risk of Serious Infections With Biologic and/or Immunosuppressive Therapy in Patients With Inflammatory Bowel Diseases: A Systematic Review and Meta-Analysis.</w:t>
      </w:r>
      <w:r w:rsidRPr="009A3C92">
        <w:rPr>
          <w:rStyle w:val="apple-converted-space"/>
          <w:rFonts w:ascii="Book Antiqua" w:hAnsi="Book Antiqua"/>
        </w:rPr>
        <w:t xml:space="preserve"> </w:t>
      </w:r>
      <w:r w:rsidRPr="009A3C92">
        <w:rPr>
          <w:rFonts w:ascii="Book Antiqua" w:hAnsi="Book Antiqua"/>
          <w:i/>
          <w:iCs/>
        </w:rPr>
        <w:t>Clin Gastroenterol Hepatol</w:t>
      </w:r>
      <w:r w:rsidRPr="009A3C92">
        <w:rPr>
          <w:rStyle w:val="apple-converted-space"/>
          <w:rFonts w:ascii="Book Antiqua" w:hAnsi="Book Antiqua"/>
        </w:rPr>
        <w:t xml:space="preserve"> </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18</w:t>
      </w:r>
      <w:r w:rsidRPr="009A3C92">
        <w:rPr>
          <w:rFonts w:ascii="Book Antiqua" w:hAnsi="Book Antiqua"/>
        </w:rPr>
        <w:t>: 69-81.e3 [PMID: 30876964 DOI: 10.1016/j.cgh.2019.02.044]</w:t>
      </w:r>
    </w:p>
    <w:p w14:paraId="2D703191" w14:textId="655CA49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66</w:t>
      </w:r>
      <w:r w:rsidRPr="009A3C92">
        <w:rPr>
          <w:rStyle w:val="apple-converted-space"/>
          <w:rFonts w:ascii="Book Antiqua" w:hAnsi="Book Antiqua"/>
        </w:rPr>
        <w:t xml:space="preserve"> </w:t>
      </w:r>
      <w:r w:rsidRPr="009A3C92">
        <w:rPr>
          <w:rFonts w:ascii="Book Antiqua" w:hAnsi="Book Antiqua"/>
          <w:b/>
          <w:bCs/>
        </w:rPr>
        <w:t>Bonovas S</w:t>
      </w:r>
      <w:r w:rsidRPr="009A3C92">
        <w:rPr>
          <w:rFonts w:ascii="Book Antiqua" w:hAnsi="Book Antiqua"/>
        </w:rPr>
        <w:t>, Fiorino G, Allocca M, Lytras T, Nikolopoulos GK, Peyrin-Biroulet L, Danese S. Biologic Therapies and Risk of Infection and Malignancy in Patients With Inflammatory Bowel Disease: A Systematic Review and Network Meta-analysis.</w:t>
      </w:r>
      <w:r w:rsidRPr="009A3C92">
        <w:rPr>
          <w:rStyle w:val="apple-converted-space"/>
          <w:rFonts w:ascii="Book Antiqua" w:hAnsi="Book Antiqua"/>
        </w:rPr>
        <w:t xml:space="preserve"> </w:t>
      </w:r>
      <w:r w:rsidRPr="009A3C92">
        <w:rPr>
          <w:rFonts w:ascii="Book Antiqua" w:hAnsi="Book Antiqua"/>
          <w:i/>
          <w:iCs/>
        </w:rPr>
        <w:t>Clin Gastroenterol Hepatol</w:t>
      </w:r>
      <w:r w:rsidRPr="009A3C92">
        <w:rPr>
          <w:rStyle w:val="apple-converted-space"/>
          <w:rFonts w:ascii="Book Antiqua" w:hAnsi="Book Antiqua"/>
        </w:rPr>
        <w:t xml:space="preserve"> </w:t>
      </w:r>
      <w:r w:rsidRPr="009A3C92">
        <w:rPr>
          <w:rFonts w:ascii="Book Antiqua" w:hAnsi="Book Antiqua"/>
        </w:rPr>
        <w:t>2016;</w:t>
      </w:r>
      <w:r w:rsidRPr="009A3C92">
        <w:rPr>
          <w:rStyle w:val="apple-converted-space"/>
          <w:rFonts w:ascii="Book Antiqua" w:hAnsi="Book Antiqua"/>
        </w:rPr>
        <w:t xml:space="preserve"> </w:t>
      </w:r>
      <w:r w:rsidRPr="009A3C92">
        <w:rPr>
          <w:rFonts w:ascii="Book Antiqua" w:hAnsi="Book Antiqua"/>
          <w:b/>
          <w:bCs/>
        </w:rPr>
        <w:t>14</w:t>
      </w:r>
      <w:r w:rsidRPr="009A3C92">
        <w:rPr>
          <w:rFonts w:ascii="Book Antiqua" w:hAnsi="Book Antiqua"/>
        </w:rPr>
        <w:t>: 1385-1397.e10 [PMID: 27189910 DOI: 10.1016/j.cgh.2016.04.039]</w:t>
      </w:r>
    </w:p>
    <w:p w14:paraId="442A62A4" w14:textId="6DC516DE"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lastRenderedPageBreak/>
        <w:t>67</w:t>
      </w:r>
      <w:r w:rsidRPr="009A3C92">
        <w:rPr>
          <w:rStyle w:val="apple-converted-space"/>
          <w:rFonts w:ascii="Book Antiqua" w:hAnsi="Book Antiqua"/>
        </w:rPr>
        <w:t xml:space="preserve"> </w:t>
      </w:r>
      <w:r w:rsidRPr="009A3C92">
        <w:rPr>
          <w:rFonts w:ascii="Book Antiqua" w:hAnsi="Book Antiqua"/>
          <w:b/>
          <w:bCs/>
        </w:rPr>
        <w:t>Hyams JS</w:t>
      </w:r>
      <w:r w:rsidRPr="009A3C92">
        <w:rPr>
          <w:rFonts w:ascii="Book Antiqua" w:hAnsi="Book Antiqua"/>
        </w:rPr>
        <w:t>, Dubinsky MC, Baldassano RN, Colletti RB, Cucchiara S, Escher J, Faubion W, Fell J, Gold BD, Griffiths A, Koletzko S, Kugathasan S, Markowitz J, Ruemmele FM, Veereman G, Winter H, Masel N, Shin CR, Tang KL, Thayu M. Infliximab Is Not Associated With Increased Risk of Malignancy or Hemophagocytic Lymphohistiocytosis in Pediatric Patients With Inflammatory Bowel Disease.</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152</w:t>
      </w:r>
      <w:r w:rsidRPr="009A3C92">
        <w:rPr>
          <w:rFonts w:ascii="Book Antiqua" w:hAnsi="Book Antiqua"/>
        </w:rPr>
        <w:t>: 1901-1914.e3 [PMID: 28193515 DOI: 10.1053/j.gastro.2017.02.004]</w:t>
      </w:r>
    </w:p>
    <w:p w14:paraId="2916F4B0" w14:textId="19F7CAB6"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68</w:t>
      </w:r>
      <w:r w:rsidRPr="009A3C92">
        <w:rPr>
          <w:rStyle w:val="apple-converted-space"/>
          <w:rFonts w:ascii="Book Antiqua" w:hAnsi="Book Antiqua"/>
        </w:rPr>
        <w:t xml:space="preserve"> </w:t>
      </w:r>
      <w:r w:rsidRPr="009A3C92">
        <w:rPr>
          <w:rFonts w:ascii="Book Antiqua" w:hAnsi="Book Antiqua"/>
          <w:b/>
          <w:bCs/>
        </w:rPr>
        <w:t>Fréling E</w:t>
      </w:r>
      <w:r w:rsidRPr="009A3C92">
        <w:rPr>
          <w:rFonts w:ascii="Book Antiqua" w:hAnsi="Book Antiqua"/>
        </w:rPr>
        <w:t>, Baumann C, Cuny JF, Bigard MA, Schmutz JL, Barbaud A, Peyrin-Biroulet L. Cumulative incidence of, risk factors for, and outcome of dermatological complications of anti-TNF therapy in inflammatory bowel disease: a 14-year experience.</w:t>
      </w:r>
      <w:r w:rsidRPr="009A3C92">
        <w:rPr>
          <w:rStyle w:val="apple-converted-space"/>
          <w:rFonts w:ascii="Book Antiqua" w:hAnsi="Book Antiqua"/>
        </w:rPr>
        <w:t xml:space="preserve"> </w:t>
      </w:r>
      <w:r w:rsidRPr="009A3C92">
        <w:rPr>
          <w:rFonts w:ascii="Book Antiqua" w:hAnsi="Book Antiqua"/>
          <w:i/>
          <w:iCs/>
        </w:rPr>
        <w:t>Am J Gastroenterol</w:t>
      </w:r>
      <w:r w:rsidRPr="009A3C92">
        <w:rPr>
          <w:rStyle w:val="apple-converted-space"/>
          <w:rFonts w:ascii="Book Antiqua" w:hAnsi="Book Antiqua"/>
        </w:rPr>
        <w:t xml:space="preserve"> </w:t>
      </w:r>
      <w:r w:rsidRPr="009A3C92">
        <w:rPr>
          <w:rFonts w:ascii="Book Antiqua" w:hAnsi="Book Antiqua"/>
        </w:rPr>
        <w:t>2015;</w:t>
      </w:r>
      <w:r w:rsidRPr="009A3C92">
        <w:rPr>
          <w:rStyle w:val="apple-converted-space"/>
          <w:rFonts w:ascii="Book Antiqua" w:hAnsi="Book Antiqua"/>
        </w:rPr>
        <w:t xml:space="preserve"> </w:t>
      </w:r>
      <w:r w:rsidRPr="009A3C92">
        <w:rPr>
          <w:rFonts w:ascii="Book Antiqua" w:hAnsi="Book Antiqua"/>
          <w:b/>
          <w:bCs/>
        </w:rPr>
        <w:t>110</w:t>
      </w:r>
      <w:r w:rsidRPr="009A3C92">
        <w:rPr>
          <w:rFonts w:ascii="Book Antiqua" w:hAnsi="Book Antiqua"/>
        </w:rPr>
        <w:t>: 1186-1196 [PMID: 26195181 DOI: 10.1038/ajg.2015.205]</w:t>
      </w:r>
    </w:p>
    <w:p w14:paraId="70B5C5DF" w14:textId="369D135B"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69</w:t>
      </w:r>
      <w:r w:rsidRPr="009A3C92">
        <w:rPr>
          <w:rStyle w:val="apple-converted-space"/>
          <w:rFonts w:ascii="Book Antiqua" w:hAnsi="Book Antiqua"/>
        </w:rPr>
        <w:t xml:space="preserve"> </w:t>
      </w:r>
      <w:r w:rsidRPr="009A3C92">
        <w:rPr>
          <w:rFonts w:ascii="Book Antiqua" w:hAnsi="Book Antiqua"/>
          <w:b/>
          <w:bCs/>
        </w:rPr>
        <w:t>Sridhar S</w:t>
      </w:r>
      <w:r w:rsidRPr="009A3C92">
        <w:rPr>
          <w:rFonts w:ascii="Book Antiqua" w:hAnsi="Book Antiqua"/>
        </w:rPr>
        <w:t>, Maltz RM, Boyle B, Kim SC. Dermatological Manifestations in Pediatric Patients with Inflammatory Bowel Diseases on Anti-TNF Therapy.</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2018;</w:t>
      </w:r>
      <w:r w:rsidRPr="009A3C92">
        <w:rPr>
          <w:rStyle w:val="apple-converted-space"/>
          <w:rFonts w:ascii="Book Antiqua" w:hAnsi="Book Antiqua"/>
        </w:rPr>
        <w:t xml:space="preserve"> </w:t>
      </w:r>
      <w:r w:rsidRPr="009A3C92">
        <w:rPr>
          <w:rFonts w:ascii="Book Antiqua" w:hAnsi="Book Antiqua"/>
          <w:b/>
          <w:bCs/>
        </w:rPr>
        <w:t>24</w:t>
      </w:r>
      <w:r w:rsidRPr="009A3C92">
        <w:rPr>
          <w:rFonts w:ascii="Book Antiqua" w:hAnsi="Book Antiqua"/>
        </w:rPr>
        <w:t>: 2086-2092 [PMID: 29718343 DOI: 10.1093/ibd/izy112]</w:t>
      </w:r>
    </w:p>
    <w:p w14:paraId="0874F639" w14:textId="771D02E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70</w:t>
      </w:r>
      <w:r w:rsidRPr="009A3C92">
        <w:rPr>
          <w:rStyle w:val="apple-converted-space"/>
          <w:rFonts w:ascii="Book Antiqua" w:hAnsi="Book Antiqua"/>
        </w:rPr>
        <w:t xml:space="preserve"> </w:t>
      </w:r>
      <w:r w:rsidRPr="009A3C92">
        <w:rPr>
          <w:rFonts w:ascii="Book Antiqua" w:hAnsi="Book Antiqua"/>
          <w:b/>
          <w:bCs/>
        </w:rPr>
        <w:t>Hradsky O</w:t>
      </w:r>
      <w:r w:rsidRPr="009A3C92">
        <w:rPr>
          <w:rFonts w:ascii="Book Antiqua" w:hAnsi="Book Antiqua"/>
        </w:rPr>
        <w:t>, Kazeka D, Copova I, Lerchova T, Mitrova K, Pospisilova K, Sulovcova M, Zarubova K, Bronsky J. Risk factors for dermatological complications of anti-TNF therapy in a cohort of children with Crohn's disease.</w:t>
      </w:r>
      <w:r w:rsidRPr="009A3C92">
        <w:rPr>
          <w:rStyle w:val="apple-converted-space"/>
          <w:rFonts w:ascii="Book Antiqua" w:hAnsi="Book Antiqua"/>
        </w:rPr>
        <w:t xml:space="preserve"> </w:t>
      </w:r>
      <w:r w:rsidRPr="009A3C92">
        <w:rPr>
          <w:rFonts w:ascii="Book Antiqua" w:hAnsi="Book Antiqua"/>
          <w:i/>
          <w:iCs/>
        </w:rPr>
        <w:t>Eur J Pediatr</w:t>
      </w:r>
      <w:r w:rsidRPr="009A3C92">
        <w:rPr>
          <w:rStyle w:val="apple-converted-space"/>
          <w:rFonts w:ascii="Book Antiqua" w:hAnsi="Book Antiqua"/>
        </w:rPr>
        <w:t xml:space="preserve"> </w:t>
      </w:r>
      <w:r w:rsidRPr="009A3C92">
        <w:rPr>
          <w:rFonts w:ascii="Book Antiqua" w:hAnsi="Book Antiqua"/>
        </w:rPr>
        <w:t>2021;</w:t>
      </w:r>
      <w:r w:rsidRPr="009A3C92">
        <w:rPr>
          <w:rStyle w:val="apple-converted-space"/>
          <w:rFonts w:ascii="Book Antiqua" w:hAnsi="Book Antiqua"/>
        </w:rPr>
        <w:t xml:space="preserve"> </w:t>
      </w:r>
      <w:r w:rsidRPr="009A3C92">
        <w:rPr>
          <w:rFonts w:ascii="Book Antiqua" w:hAnsi="Book Antiqua"/>
          <w:b/>
          <w:bCs/>
        </w:rPr>
        <w:t>180</w:t>
      </w:r>
      <w:r w:rsidRPr="009A3C92">
        <w:rPr>
          <w:rFonts w:ascii="Book Antiqua" w:hAnsi="Book Antiqua"/>
        </w:rPr>
        <w:t>: 3001-3008 [PMID: 33876264 DOI: 10.1007/s00431-021-04077-0]</w:t>
      </w:r>
    </w:p>
    <w:p w14:paraId="0A16A614" w14:textId="5777369F"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71</w:t>
      </w:r>
      <w:r w:rsidRPr="009A3C92">
        <w:rPr>
          <w:rStyle w:val="apple-converted-space"/>
          <w:rFonts w:ascii="Book Antiqua" w:hAnsi="Book Antiqua"/>
        </w:rPr>
        <w:t xml:space="preserve"> </w:t>
      </w:r>
      <w:r w:rsidRPr="009A3C92">
        <w:rPr>
          <w:rFonts w:ascii="Book Antiqua" w:hAnsi="Book Antiqua"/>
          <w:b/>
          <w:bCs/>
        </w:rPr>
        <w:t>Colombel JF</w:t>
      </w:r>
      <w:r w:rsidRPr="009A3C92">
        <w:rPr>
          <w:rFonts w:ascii="Book Antiqua" w:hAnsi="Book Antiqua"/>
        </w:rPr>
        <w:t>, Sandborn WJ, Reinisch W, Mantzaris GJ, Kornbluth A, Rachmilewitz D, Lichtiger S, D'Haens G, Diamond RH, Broussard DL, Tang KL, van der Woude CJ, Rutgeerts P; SONIC Study Group. Infliximab, azathioprine, or combination therapy for Crohn's disease.</w:t>
      </w:r>
      <w:r w:rsidRPr="009A3C92">
        <w:rPr>
          <w:rStyle w:val="apple-converted-space"/>
          <w:rFonts w:ascii="Book Antiqua" w:hAnsi="Book Antiqua"/>
        </w:rPr>
        <w:t xml:space="preserve"> </w:t>
      </w:r>
      <w:r w:rsidRPr="009A3C92">
        <w:rPr>
          <w:rFonts w:ascii="Book Antiqua" w:hAnsi="Book Antiqua"/>
          <w:i/>
          <w:iCs/>
        </w:rPr>
        <w:t>N Engl J Med</w:t>
      </w:r>
      <w:r w:rsidRPr="009A3C92">
        <w:rPr>
          <w:rStyle w:val="apple-converted-space"/>
          <w:rFonts w:ascii="Book Antiqua" w:hAnsi="Book Antiqua"/>
        </w:rPr>
        <w:t xml:space="preserve"> </w:t>
      </w:r>
      <w:r w:rsidRPr="009A3C92">
        <w:rPr>
          <w:rFonts w:ascii="Book Antiqua" w:hAnsi="Book Antiqua"/>
        </w:rPr>
        <w:t>2010;</w:t>
      </w:r>
      <w:r w:rsidRPr="009A3C92">
        <w:rPr>
          <w:rStyle w:val="apple-converted-space"/>
          <w:rFonts w:ascii="Book Antiqua" w:hAnsi="Book Antiqua"/>
        </w:rPr>
        <w:t xml:space="preserve"> </w:t>
      </w:r>
      <w:r w:rsidRPr="009A3C92">
        <w:rPr>
          <w:rFonts w:ascii="Book Antiqua" w:hAnsi="Book Antiqua"/>
          <w:b/>
          <w:bCs/>
        </w:rPr>
        <w:t>362</w:t>
      </w:r>
      <w:r w:rsidRPr="009A3C92">
        <w:rPr>
          <w:rFonts w:ascii="Book Antiqua" w:hAnsi="Book Antiqua"/>
        </w:rPr>
        <w:t>: 1383-1395 [PMID: 20393175 DOI: 10.1056/NEJMoa0904492]</w:t>
      </w:r>
    </w:p>
    <w:p w14:paraId="21EDF7AD" w14:textId="49D8AE7F"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72</w:t>
      </w:r>
      <w:r w:rsidRPr="009A3C92">
        <w:rPr>
          <w:rStyle w:val="apple-converted-space"/>
          <w:rFonts w:ascii="Book Antiqua" w:hAnsi="Book Antiqua"/>
        </w:rPr>
        <w:t xml:space="preserve"> </w:t>
      </w:r>
      <w:r w:rsidRPr="009A3C92">
        <w:rPr>
          <w:rFonts w:ascii="Book Antiqua" w:hAnsi="Book Antiqua"/>
          <w:b/>
          <w:bCs/>
        </w:rPr>
        <w:t>Feagan BG</w:t>
      </w:r>
      <w:r w:rsidRPr="009A3C92">
        <w:rPr>
          <w:rFonts w:ascii="Book Antiqua" w:hAnsi="Book Antiqua"/>
        </w:rPr>
        <w:t>, McDonald JW, Panaccione R, Enns RA, Bernstein CN, Ponich TP, Bourdages R, Macintosh DG, Dallaire C, Cohen A, Fedorak RN, Paré P, Bitton A, Saibil F, Anderson F, Donner A, Wong CJ, Zou G, Vandervoort MK, Hopkins M, Greenberg GR. Methotrexate in combination with infliximab is no more effective than infliximab alone in patients with Crohn's disease.</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146</w:t>
      </w:r>
      <w:r w:rsidRPr="009A3C92">
        <w:rPr>
          <w:rFonts w:ascii="Book Antiqua" w:hAnsi="Book Antiqua"/>
        </w:rPr>
        <w:t>: 681-688.e1 [PMID: 24269926 DOI: 10.1053/j.gastro.2013.11.024]</w:t>
      </w:r>
    </w:p>
    <w:p w14:paraId="41437A58" w14:textId="30A0E79A"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lastRenderedPageBreak/>
        <w:t>73</w:t>
      </w:r>
      <w:r w:rsidRPr="009A3C92">
        <w:rPr>
          <w:rStyle w:val="apple-converted-space"/>
          <w:rFonts w:ascii="Book Antiqua" w:hAnsi="Book Antiqua"/>
        </w:rPr>
        <w:t xml:space="preserve"> </w:t>
      </w:r>
      <w:r w:rsidRPr="009A3C92">
        <w:rPr>
          <w:rFonts w:ascii="Book Antiqua" w:hAnsi="Book Antiqua"/>
          <w:b/>
          <w:bCs/>
        </w:rPr>
        <w:t>Kansen HM</w:t>
      </w:r>
      <w:r w:rsidRPr="009A3C92">
        <w:rPr>
          <w:rFonts w:ascii="Book Antiqua" w:hAnsi="Book Antiqua"/>
        </w:rPr>
        <w:t>, van Rheenen PF, Houwen RHJ, Tjon A Ten W, Damen GM, Kindermann A, Escher JC, Wolters VM; Kids with Crohn</w:t>
      </w:r>
      <w:r w:rsidRPr="009A3C92">
        <w:rPr>
          <w:rFonts w:ascii="Times New Roman" w:hAnsi="Times New Roman" w:cs="Times New Roman"/>
        </w:rPr>
        <w:t>ʼ</w:t>
      </w:r>
      <w:r w:rsidRPr="009A3C92">
        <w:rPr>
          <w:rFonts w:ascii="Book Antiqua" w:hAnsi="Book Antiqua"/>
        </w:rPr>
        <w:t>s, Colitis (KiCC) Working Group for Collaborative Paediatric IBD Research in the Netherlands. Less Anti-infliximab Antibody Formation in Paediatric Crohn Patients on Concomitant Immunomodulators.</w:t>
      </w:r>
      <w:r w:rsidRPr="009A3C92">
        <w:rPr>
          <w:rStyle w:val="apple-converted-space"/>
          <w:rFonts w:ascii="Book Antiqua" w:hAnsi="Book Antiqua"/>
        </w:rPr>
        <w:t xml:space="preserve"> </w:t>
      </w:r>
      <w:r w:rsidRPr="009A3C92">
        <w:rPr>
          <w:rFonts w:ascii="Book Antiqua" w:hAnsi="Book Antiqua"/>
          <w:i/>
          <w:iCs/>
        </w:rPr>
        <w:t>J Pediatr Gastroenterol Nutr</w:t>
      </w:r>
      <w:r w:rsidRPr="009A3C92">
        <w:rPr>
          <w:rStyle w:val="apple-converted-space"/>
          <w:rFonts w:ascii="Book Antiqua" w:hAnsi="Book Antiqua"/>
        </w:rPr>
        <w:t xml:space="preserve"> </w:t>
      </w:r>
      <w:r w:rsidRPr="009A3C92">
        <w:rPr>
          <w:rFonts w:ascii="Book Antiqua" w:hAnsi="Book Antiqua"/>
        </w:rPr>
        <w:t>2017;</w:t>
      </w:r>
      <w:r w:rsidRPr="009A3C92">
        <w:rPr>
          <w:rStyle w:val="apple-converted-space"/>
          <w:rFonts w:ascii="Book Antiqua" w:hAnsi="Book Antiqua"/>
        </w:rPr>
        <w:t xml:space="preserve"> </w:t>
      </w:r>
      <w:r w:rsidRPr="009A3C92">
        <w:rPr>
          <w:rFonts w:ascii="Book Antiqua" w:hAnsi="Book Antiqua"/>
          <w:b/>
          <w:bCs/>
        </w:rPr>
        <w:t>65</w:t>
      </w:r>
      <w:r w:rsidRPr="009A3C92">
        <w:rPr>
          <w:rFonts w:ascii="Book Antiqua" w:hAnsi="Book Antiqua"/>
        </w:rPr>
        <w:t>: 425-429 [PMID: 28945207 DOI: 10.1097/MPG.0000000000001551]</w:t>
      </w:r>
    </w:p>
    <w:p w14:paraId="54B95B48" w14:textId="201C40CD"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74</w:t>
      </w:r>
      <w:r w:rsidRPr="009A3C92">
        <w:rPr>
          <w:rStyle w:val="apple-converted-space"/>
          <w:rFonts w:ascii="Book Antiqua" w:hAnsi="Book Antiqua"/>
        </w:rPr>
        <w:t xml:space="preserve"> </w:t>
      </w:r>
      <w:r w:rsidRPr="009A3C92">
        <w:rPr>
          <w:rFonts w:ascii="Book Antiqua" w:hAnsi="Book Antiqua"/>
          <w:b/>
          <w:bCs/>
        </w:rPr>
        <w:t>Grossi V</w:t>
      </w:r>
      <w:r w:rsidRPr="009A3C92">
        <w:rPr>
          <w:rFonts w:ascii="Book Antiqua" w:hAnsi="Book Antiqua"/>
        </w:rPr>
        <w:t>, Lerer T, Griffiths A, LeLeiko N, Cabrera J, Otley A, Rick J, Mack D, Bousvaros A, Rosh J, Grossman A, Saeed S, Kay M, Boyle B, Oliva-Hemker M, Keljo D, Pfefferkorn M, Faubion W, Kappelman MD, Sudel B, Markowitz J, Hyams JS. Concomitant Use of Immunomodulators Affects the Durability of Infliximab Therapy in Children With Crohn's Disease.</w:t>
      </w:r>
      <w:r w:rsidRPr="009A3C92">
        <w:rPr>
          <w:rStyle w:val="apple-converted-space"/>
          <w:rFonts w:ascii="Book Antiqua" w:hAnsi="Book Antiqua"/>
        </w:rPr>
        <w:t xml:space="preserve"> </w:t>
      </w:r>
      <w:r w:rsidRPr="009A3C92">
        <w:rPr>
          <w:rFonts w:ascii="Book Antiqua" w:hAnsi="Book Antiqua"/>
          <w:i/>
          <w:iCs/>
        </w:rPr>
        <w:t>Clin Gastroenterol Hepatol</w:t>
      </w:r>
      <w:r w:rsidRPr="009A3C92">
        <w:rPr>
          <w:rStyle w:val="apple-converted-space"/>
          <w:rFonts w:ascii="Book Antiqua" w:hAnsi="Book Antiqua"/>
        </w:rPr>
        <w:t xml:space="preserve"> </w:t>
      </w:r>
      <w:r w:rsidRPr="009A3C92">
        <w:rPr>
          <w:rFonts w:ascii="Book Antiqua" w:hAnsi="Book Antiqua"/>
        </w:rPr>
        <w:t>2015;</w:t>
      </w:r>
      <w:r w:rsidRPr="009A3C92">
        <w:rPr>
          <w:rStyle w:val="apple-converted-space"/>
          <w:rFonts w:ascii="Book Antiqua" w:hAnsi="Book Antiqua"/>
        </w:rPr>
        <w:t xml:space="preserve"> </w:t>
      </w:r>
      <w:r w:rsidRPr="009A3C92">
        <w:rPr>
          <w:rFonts w:ascii="Book Antiqua" w:hAnsi="Book Antiqua"/>
          <w:b/>
          <w:bCs/>
        </w:rPr>
        <w:t>13</w:t>
      </w:r>
      <w:r w:rsidRPr="009A3C92">
        <w:rPr>
          <w:rFonts w:ascii="Book Antiqua" w:hAnsi="Book Antiqua"/>
        </w:rPr>
        <w:t>: 1748-1756 [PMID: 25911120 DOI: 10.1016/j.cgh.2015.04.010]</w:t>
      </w:r>
    </w:p>
    <w:p w14:paraId="65EFC6C6" w14:textId="3E4E23B0"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75</w:t>
      </w:r>
      <w:r w:rsidRPr="009A3C92">
        <w:rPr>
          <w:rStyle w:val="apple-converted-space"/>
          <w:rFonts w:ascii="Book Antiqua" w:hAnsi="Book Antiqua"/>
        </w:rPr>
        <w:t xml:space="preserve"> </w:t>
      </w:r>
      <w:r w:rsidRPr="009A3C92">
        <w:rPr>
          <w:rFonts w:ascii="Book Antiqua" w:hAnsi="Book Antiqua"/>
          <w:b/>
          <w:bCs/>
        </w:rPr>
        <w:t>van Rheenen H</w:t>
      </w:r>
      <w:r w:rsidRPr="009A3C92">
        <w:rPr>
          <w:rFonts w:ascii="Book Antiqua" w:hAnsi="Book Antiqua"/>
        </w:rPr>
        <w:t>, van Rheenen PF. Long-Term Efficacy of Anti-Tumor Necrosis Factor Agents in Pediatric Luminal Crohn's Disease: A Systematic Review of Real-World Evidence Studies.</w:t>
      </w:r>
      <w:r w:rsidRPr="009A3C92">
        <w:rPr>
          <w:rStyle w:val="apple-converted-space"/>
          <w:rFonts w:ascii="Book Antiqua" w:hAnsi="Book Antiqua"/>
        </w:rPr>
        <w:t xml:space="preserve"> </w:t>
      </w:r>
      <w:r w:rsidRPr="009A3C92">
        <w:rPr>
          <w:rFonts w:ascii="Book Antiqua" w:hAnsi="Book Antiqua"/>
          <w:i/>
          <w:iCs/>
        </w:rPr>
        <w:t>Pediatr Gastroenterol Hepatol Nutr</w:t>
      </w:r>
      <w:r w:rsidRPr="009A3C92">
        <w:rPr>
          <w:rStyle w:val="apple-converted-space"/>
          <w:rFonts w:ascii="Book Antiqua" w:hAnsi="Book Antiqua"/>
        </w:rPr>
        <w:t xml:space="preserve"> </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23</w:t>
      </w:r>
      <w:r w:rsidRPr="009A3C92">
        <w:rPr>
          <w:rFonts w:ascii="Book Antiqua" w:hAnsi="Book Antiqua"/>
        </w:rPr>
        <w:t>: 121-131 [PMID: 32206624 DOI: 10.5223/pghn.2020.23.2.121]</w:t>
      </w:r>
    </w:p>
    <w:p w14:paraId="3AA9902B" w14:textId="1C09D903"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76</w:t>
      </w:r>
      <w:r w:rsidRPr="009A3C92">
        <w:rPr>
          <w:rStyle w:val="apple-converted-space"/>
          <w:rFonts w:ascii="Book Antiqua" w:hAnsi="Book Antiqua"/>
        </w:rPr>
        <w:t xml:space="preserve"> </w:t>
      </w:r>
      <w:r w:rsidRPr="009A3C92">
        <w:rPr>
          <w:rFonts w:ascii="Book Antiqua" w:hAnsi="Book Antiqua"/>
          <w:b/>
          <w:bCs/>
        </w:rPr>
        <w:t>Kopylov U</w:t>
      </w:r>
      <w:r w:rsidRPr="009A3C92">
        <w:rPr>
          <w:rFonts w:ascii="Book Antiqua" w:hAnsi="Book Antiqua"/>
        </w:rPr>
        <w:t>, Al-Taweel T, Yaghoobi M, Nauche B, Bitton A, Lakatos PL, Ben-Horin S, Afif W, Seidman EG. Adalimumab monotherapy versus combination therapy with immunomodulators in patients with Crohn's disease: a systematic review and meta-analysis.</w:t>
      </w:r>
      <w:r w:rsidRPr="009A3C92">
        <w:rPr>
          <w:rStyle w:val="apple-converted-space"/>
          <w:rFonts w:ascii="Book Antiqua" w:hAnsi="Book Antiqua"/>
        </w:rPr>
        <w:t xml:space="preserve"> </w:t>
      </w:r>
      <w:r w:rsidRPr="009A3C92">
        <w:rPr>
          <w:rFonts w:ascii="Book Antiqua" w:hAnsi="Book Antiqua"/>
          <w:i/>
          <w:iCs/>
        </w:rPr>
        <w:t>J Crohns Colitis</w:t>
      </w:r>
      <w:r w:rsidRPr="009A3C92">
        <w:rPr>
          <w:rStyle w:val="apple-converted-space"/>
          <w:rFonts w:ascii="Book Antiqua" w:hAnsi="Book Antiqua"/>
        </w:rPr>
        <w:t xml:space="preserve"> </w:t>
      </w:r>
      <w:r w:rsidRPr="009A3C92">
        <w:rPr>
          <w:rFonts w:ascii="Book Antiqua" w:hAnsi="Book Antiqua"/>
        </w:rPr>
        <w:t>2014;</w:t>
      </w:r>
      <w:r w:rsidRPr="009A3C92">
        <w:rPr>
          <w:rStyle w:val="apple-converted-space"/>
          <w:rFonts w:ascii="Book Antiqua" w:hAnsi="Book Antiqua"/>
        </w:rPr>
        <w:t xml:space="preserve"> </w:t>
      </w:r>
      <w:r w:rsidRPr="009A3C92">
        <w:rPr>
          <w:rFonts w:ascii="Book Antiqua" w:hAnsi="Book Antiqua"/>
          <w:b/>
          <w:bCs/>
        </w:rPr>
        <w:t>8</w:t>
      </w:r>
      <w:r w:rsidRPr="009A3C92">
        <w:rPr>
          <w:rFonts w:ascii="Book Antiqua" w:hAnsi="Book Antiqua"/>
        </w:rPr>
        <w:t>: 1632-1641 [PMID: 25067824 DOI: 10.1016/j.crohns.2014.07.003]</w:t>
      </w:r>
    </w:p>
    <w:p w14:paraId="160C8D3A" w14:textId="67345A8F"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77</w:t>
      </w:r>
      <w:r w:rsidRPr="009A3C92">
        <w:rPr>
          <w:rStyle w:val="apple-converted-space"/>
          <w:rFonts w:ascii="Book Antiqua" w:hAnsi="Book Antiqua"/>
        </w:rPr>
        <w:t xml:space="preserve"> </w:t>
      </w:r>
      <w:r w:rsidRPr="009A3C92">
        <w:rPr>
          <w:rFonts w:ascii="Book Antiqua" w:hAnsi="Book Antiqua"/>
          <w:b/>
          <w:bCs/>
        </w:rPr>
        <w:t>Hyams JS</w:t>
      </w:r>
      <w:r w:rsidRPr="009A3C92">
        <w:rPr>
          <w:rFonts w:ascii="Book Antiqua" w:hAnsi="Book Antiqua"/>
        </w:rPr>
        <w:t>, Dubinsky M, Rosh J, Ruemmele FM, Eichner SF, Maa JF, Lazar A, Alperovich G, Mostafa NM, Robinson AM. The effects of concomitant immunomodulators on the pharmacokinetics, efficacy and safety of adalimumab in paediatric patients with Crohn's disease: a post hoc analysis.</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2019;</w:t>
      </w:r>
      <w:r w:rsidRPr="009A3C92">
        <w:rPr>
          <w:rStyle w:val="apple-converted-space"/>
          <w:rFonts w:ascii="Book Antiqua" w:hAnsi="Book Antiqua"/>
        </w:rPr>
        <w:t xml:space="preserve"> </w:t>
      </w:r>
      <w:r w:rsidRPr="009A3C92">
        <w:rPr>
          <w:rFonts w:ascii="Book Antiqua" w:hAnsi="Book Antiqua"/>
          <w:b/>
          <w:bCs/>
        </w:rPr>
        <w:t>49</w:t>
      </w:r>
      <w:r w:rsidRPr="009A3C92">
        <w:rPr>
          <w:rFonts w:ascii="Book Antiqua" w:hAnsi="Book Antiqua"/>
        </w:rPr>
        <w:t>: 155-164 [PMID: 30506693 DOI: 10.1111/apt.15054]</w:t>
      </w:r>
    </w:p>
    <w:p w14:paraId="7A92A81C" w14:textId="4226AB25"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78</w:t>
      </w:r>
      <w:r w:rsidRPr="009A3C92">
        <w:rPr>
          <w:rStyle w:val="apple-converted-space"/>
          <w:rFonts w:ascii="Book Antiqua" w:hAnsi="Book Antiqua"/>
        </w:rPr>
        <w:t xml:space="preserve"> </w:t>
      </w:r>
      <w:r w:rsidRPr="009A3C92">
        <w:rPr>
          <w:rFonts w:ascii="Book Antiqua" w:hAnsi="Book Antiqua"/>
          <w:b/>
          <w:bCs/>
        </w:rPr>
        <w:t>Matar M</w:t>
      </w:r>
      <w:r w:rsidRPr="009A3C92">
        <w:rPr>
          <w:rFonts w:ascii="Book Antiqua" w:hAnsi="Book Antiqua"/>
        </w:rPr>
        <w:t xml:space="preserve">, Shamir R, Turner D, Broide E, Weiss B, Ledder O, Guz-Mark A, Rinawi F, Cohen S, Topf-Olivestone C, Shaoul R, Yerushalmi B, Ben-Horin S, Assa A. Combination Therapy of Adalimumab With an Immunomodulator Is Not More Effective Than </w:t>
      </w:r>
      <w:r w:rsidRPr="009A3C92">
        <w:rPr>
          <w:rFonts w:ascii="Book Antiqua" w:hAnsi="Book Antiqua"/>
        </w:rPr>
        <w:lastRenderedPageBreak/>
        <w:t>Adalimumab Monotherapy in Children With Crohn's Disease: A Post Hoc Analysis of the PAILOT Randomized Controlled Trial.</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26</w:t>
      </w:r>
      <w:r w:rsidRPr="009A3C92">
        <w:rPr>
          <w:rFonts w:ascii="Book Antiqua" w:hAnsi="Book Antiqua"/>
        </w:rPr>
        <w:t>: 1627-1635 [PMID: 31793630 DOI: 10.1093/ibd/izz294]</w:t>
      </w:r>
    </w:p>
    <w:p w14:paraId="6748234B" w14:textId="1C6E087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79</w:t>
      </w:r>
      <w:r w:rsidRPr="009A3C92">
        <w:rPr>
          <w:rStyle w:val="apple-converted-space"/>
          <w:rFonts w:ascii="Book Antiqua" w:hAnsi="Book Antiqua"/>
        </w:rPr>
        <w:t xml:space="preserve"> </w:t>
      </w:r>
      <w:r w:rsidRPr="009A3C92">
        <w:rPr>
          <w:rFonts w:ascii="Book Antiqua" w:hAnsi="Book Antiqua"/>
          <w:b/>
          <w:bCs/>
        </w:rPr>
        <w:t>Bittner B</w:t>
      </w:r>
      <w:r w:rsidRPr="009A3C92">
        <w:rPr>
          <w:rFonts w:ascii="Book Antiqua" w:hAnsi="Book Antiqua"/>
        </w:rPr>
        <w:t>, Richter W, Schmidt J. Subcutaneous Administration of Biotherapeutics: An Overview of Current Challenges and Opportunities.</w:t>
      </w:r>
      <w:r w:rsidRPr="009A3C92">
        <w:rPr>
          <w:rStyle w:val="apple-converted-space"/>
          <w:rFonts w:ascii="Book Antiqua" w:hAnsi="Book Antiqua"/>
        </w:rPr>
        <w:t xml:space="preserve"> </w:t>
      </w:r>
      <w:r w:rsidRPr="009A3C92">
        <w:rPr>
          <w:rFonts w:ascii="Book Antiqua" w:hAnsi="Book Antiqua"/>
          <w:i/>
          <w:iCs/>
        </w:rPr>
        <w:t>BioDrugs</w:t>
      </w:r>
      <w:r w:rsidRPr="009A3C92">
        <w:rPr>
          <w:rStyle w:val="apple-converted-space"/>
          <w:rFonts w:ascii="Book Antiqua" w:hAnsi="Book Antiqua"/>
        </w:rPr>
        <w:t xml:space="preserve"> </w:t>
      </w:r>
      <w:r w:rsidRPr="009A3C92">
        <w:rPr>
          <w:rFonts w:ascii="Book Antiqua" w:hAnsi="Book Antiqua"/>
        </w:rPr>
        <w:t>2018;</w:t>
      </w:r>
      <w:r w:rsidRPr="009A3C92">
        <w:rPr>
          <w:rStyle w:val="apple-converted-space"/>
          <w:rFonts w:ascii="Book Antiqua" w:hAnsi="Book Antiqua"/>
        </w:rPr>
        <w:t xml:space="preserve"> </w:t>
      </w:r>
      <w:r w:rsidRPr="009A3C92">
        <w:rPr>
          <w:rFonts w:ascii="Book Antiqua" w:hAnsi="Book Antiqua"/>
          <w:b/>
          <w:bCs/>
        </w:rPr>
        <w:t>32</w:t>
      </w:r>
      <w:r w:rsidRPr="009A3C92">
        <w:rPr>
          <w:rFonts w:ascii="Book Antiqua" w:hAnsi="Book Antiqua"/>
        </w:rPr>
        <w:t>: 425-440 [PMID: 30043229 DOI: 10.1007/s40259-018-0295-0]</w:t>
      </w:r>
    </w:p>
    <w:p w14:paraId="557EEE74" w14:textId="143990C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80</w:t>
      </w:r>
      <w:r w:rsidRPr="009A3C92">
        <w:rPr>
          <w:rStyle w:val="apple-converted-space"/>
          <w:rFonts w:ascii="Book Antiqua" w:hAnsi="Book Antiqua"/>
        </w:rPr>
        <w:t xml:space="preserve"> </w:t>
      </w:r>
      <w:r w:rsidRPr="009A3C92">
        <w:rPr>
          <w:rFonts w:ascii="Book Antiqua" w:hAnsi="Book Antiqua"/>
          <w:b/>
          <w:bCs/>
        </w:rPr>
        <w:t>Chilton F</w:t>
      </w:r>
      <w:r w:rsidRPr="009A3C92">
        <w:rPr>
          <w:rFonts w:ascii="Book Antiqua" w:hAnsi="Book Antiqua"/>
        </w:rPr>
        <w:t>, Collett RA. Treatment choices, preferences and decision-making by patients with rheumatoid arthritis.</w:t>
      </w:r>
      <w:r w:rsidRPr="009A3C92">
        <w:rPr>
          <w:rStyle w:val="apple-converted-space"/>
          <w:rFonts w:ascii="Book Antiqua" w:hAnsi="Book Antiqua"/>
        </w:rPr>
        <w:t xml:space="preserve"> </w:t>
      </w:r>
      <w:r w:rsidRPr="009A3C92">
        <w:rPr>
          <w:rFonts w:ascii="Book Antiqua" w:hAnsi="Book Antiqua"/>
          <w:i/>
          <w:iCs/>
        </w:rPr>
        <w:t>Musculoskeletal Care</w:t>
      </w:r>
      <w:r w:rsidRPr="009A3C92">
        <w:rPr>
          <w:rStyle w:val="apple-converted-space"/>
          <w:rFonts w:ascii="Book Antiqua" w:hAnsi="Book Antiqua"/>
        </w:rPr>
        <w:t xml:space="preserve"> </w:t>
      </w:r>
      <w:r w:rsidRPr="009A3C92">
        <w:rPr>
          <w:rFonts w:ascii="Book Antiqua" w:hAnsi="Book Antiqua"/>
        </w:rPr>
        <w:t>2008;</w:t>
      </w:r>
      <w:r w:rsidRPr="009A3C92">
        <w:rPr>
          <w:rStyle w:val="apple-converted-space"/>
          <w:rFonts w:ascii="Book Antiqua" w:hAnsi="Book Antiqua"/>
        </w:rPr>
        <w:t xml:space="preserve"> </w:t>
      </w:r>
      <w:r w:rsidRPr="009A3C92">
        <w:rPr>
          <w:rFonts w:ascii="Book Antiqua" w:hAnsi="Book Antiqua"/>
          <w:b/>
          <w:bCs/>
        </w:rPr>
        <w:t>6</w:t>
      </w:r>
      <w:r w:rsidRPr="009A3C92">
        <w:rPr>
          <w:rFonts w:ascii="Book Antiqua" w:hAnsi="Book Antiqua"/>
        </w:rPr>
        <w:t>: 1-14 [PMID: 17726671 DOI: 10.1002/msc.110]</w:t>
      </w:r>
    </w:p>
    <w:p w14:paraId="018EBBCD" w14:textId="093C6F87"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81</w:t>
      </w:r>
      <w:r w:rsidRPr="009A3C92">
        <w:rPr>
          <w:rStyle w:val="apple-converted-space"/>
          <w:rFonts w:ascii="Book Antiqua" w:hAnsi="Book Antiqua"/>
        </w:rPr>
        <w:t xml:space="preserve"> </w:t>
      </w:r>
      <w:r w:rsidRPr="009A3C92">
        <w:rPr>
          <w:rFonts w:ascii="Book Antiqua" w:hAnsi="Book Antiqua"/>
          <w:b/>
          <w:bCs/>
        </w:rPr>
        <w:t>Vavricka SR</w:t>
      </w:r>
      <w:r w:rsidRPr="009A3C92">
        <w:rPr>
          <w:rFonts w:ascii="Book Antiqua" w:hAnsi="Book Antiqua"/>
        </w:rPr>
        <w:t>, Bentele N, Scharl M, Rogler G, Zeitz J, Frei P, Straumann A, Binek J, Schoepfer AM, Fried M; Swiss IBDnet and Swiss IBD Cohort Study Group. Systematic assessment of factors influencing preferences of Crohn's disease patients in selecting an anti-tumor necrosis factor agent (CHOOSE TNF TRIAL).</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2012;</w:t>
      </w:r>
      <w:r w:rsidRPr="009A3C92">
        <w:rPr>
          <w:rStyle w:val="apple-converted-space"/>
          <w:rFonts w:ascii="Book Antiqua" w:hAnsi="Book Antiqua"/>
        </w:rPr>
        <w:t xml:space="preserve"> </w:t>
      </w:r>
      <w:r w:rsidRPr="009A3C92">
        <w:rPr>
          <w:rFonts w:ascii="Book Antiqua" w:hAnsi="Book Antiqua"/>
          <w:b/>
          <w:bCs/>
        </w:rPr>
        <w:t>18</w:t>
      </w:r>
      <w:r w:rsidRPr="009A3C92">
        <w:rPr>
          <w:rFonts w:ascii="Book Antiqua" w:hAnsi="Book Antiqua"/>
        </w:rPr>
        <w:t>: 1523-1530 [PMID: 21987429 DOI: 10.1002/ibd.21888]</w:t>
      </w:r>
    </w:p>
    <w:p w14:paraId="5BC74AEA" w14:textId="540513D7"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82</w:t>
      </w:r>
      <w:r w:rsidRPr="009A3C92">
        <w:rPr>
          <w:rStyle w:val="apple-converted-space"/>
          <w:rFonts w:ascii="Book Antiqua" w:hAnsi="Book Antiqua"/>
        </w:rPr>
        <w:t xml:space="preserve"> </w:t>
      </w:r>
      <w:r w:rsidRPr="009A3C92">
        <w:rPr>
          <w:rFonts w:ascii="Book Antiqua" w:hAnsi="Book Antiqua"/>
          <w:b/>
          <w:bCs/>
        </w:rPr>
        <w:t>Kim ES</w:t>
      </w:r>
      <w:r w:rsidRPr="009A3C92">
        <w:rPr>
          <w:rFonts w:ascii="Book Antiqua" w:hAnsi="Book Antiqua"/>
        </w:rPr>
        <w:t>, Kim KO, Jang BI, Lee CK, Kim HJ, Lee KM, Kim YS, Eun CS, Jung SA, Yang SK, Lee J, Kim TO, Jung Y, Seo GS, Yoon SM; IBD Study Group of the Korean Association for the Study of the Intestinal Diseases (KASID). Factors Contributing to the Preference of Korean Patients with Crohn's Disease When Selecting an Anti-Tumor Necrosis Factor Agent (CHOICE Study).</w:t>
      </w:r>
      <w:r w:rsidRPr="009A3C92">
        <w:rPr>
          <w:rStyle w:val="apple-converted-space"/>
          <w:rFonts w:ascii="Book Antiqua" w:hAnsi="Book Antiqua"/>
        </w:rPr>
        <w:t xml:space="preserve"> </w:t>
      </w:r>
      <w:r w:rsidRPr="009A3C92">
        <w:rPr>
          <w:rFonts w:ascii="Book Antiqua" w:hAnsi="Book Antiqua"/>
          <w:i/>
          <w:iCs/>
        </w:rPr>
        <w:t>Gut Liver</w:t>
      </w:r>
      <w:r w:rsidRPr="009A3C92">
        <w:rPr>
          <w:rStyle w:val="apple-converted-space"/>
          <w:rFonts w:ascii="Book Antiqua" w:hAnsi="Book Antiqua"/>
        </w:rPr>
        <w:t xml:space="preserve"> </w:t>
      </w:r>
      <w:r w:rsidRPr="009A3C92">
        <w:rPr>
          <w:rFonts w:ascii="Book Antiqua" w:hAnsi="Book Antiqua"/>
        </w:rPr>
        <w:t>2016;</w:t>
      </w:r>
      <w:r w:rsidRPr="009A3C92">
        <w:rPr>
          <w:rStyle w:val="apple-converted-space"/>
          <w:rFonts w:ascii="Book Antiqua" w:hAnsi="Book Antiqua"/>
        </w:rPr>
        <w:t xml:space="preserve"> </w:t>
      </w:r>
      <w:r w:rsidRPr="009A3C92">
        <w:rPr>
          <w:rFonts w:ascii="Book Antiqua" w:hAnsi="Book Antiqua"/>
          <w:b/>
          <w:bCs/>
        </w:rPr>
        <w:t>10</w:t>
      </w:r>
      <w:r w:rsidRPr="009A3C92">
        <w:rPr>
          <w:rFonts w:ascii="Book Antiqua" w:hAnsi="Book Antiqua"/>
        </w:rPr>
        <w:t>: 391-398 [PMID: 26347512 DOI: 10.5009/gnl15126]</w:t>
      </w:r>
    </w:p>
    <w:p w14:paraId="0791C9A1" w14:textId="09F55ADC"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83</w:t>
      </w:r>
      <w:r w:rsidRPr="009A3C92">
        <w:rPr>
          <w:rStyle w:val="apple-converted-space"/>
          <w:rFonts w:ascii="Book Antiqua" w:hAnsi="Book Antiqua"/>
        </w:rPr>
        <w:t xml:space="preserve"> </w:t>
      </w:r>
      <w:r w:rsidRPr="009A3C92">
        <w:rPr>
          <w:rFonts w:ascii="Book Antiqua" w:hAnsi="Book Antiqua"/>
          <w:b/>
          <w:bCs/>
        </w:rPr>
        <w:t>Alden DL</w:t>
      </w:r>
      <w:r w:rsidRPr="009A3C92">
        <w:rPr>
          <w:rFonts w:ascii="Book Antiqua" w:hAnsi="Book Antiqua"/>
        </w:rPr>
        <w:t>, Friend JM, Lee AY, de Vries M, Osawa R, Chen Q. Culture and medical decision making: Healthcare consumer perspectives in Japan and the United States.</w:t>
      </w:r>
      <w:r w:rsidRPr="009A3C92">
        <w:rPr>
          <w:rStyle w:val="apple-converted-space"/>
          <w:rFonts w:ascii="Book Antiqua" w:hAnsi="Book Antiqua"/>
        </w:rPr>
        <w:t xml:space="preserve"> </w:t>
      </w:r>
      <w:r w:rsidRPr="009A3C92">
        <w:rPr>
          <w:rFonts w:ascii="Book Antiqua" w:hAnsi="Book Antiqua"/>
          <w:i/>
          <w:iCs/>
        </w:rPr>
        <w:t>Health Psychol</w:t>
      </w:r>
      <w:r w:rsidRPr="009A3C92">
        <w:rPr>
          <w:rStyle w:val="apple-converted-space"/>
          <w:rFonts w:ascii="Book Antiqua" w:hAnsi="Book Antiqua"/>
        </w:rPr>
        <w:t xml:space="preserve"> </w:t>
      </w:r>
      <w:r w:rsidRPr="009A3C92">
        <w:rPr>
          <w:rFonts w:ascii="Book Antiqua" w:hAnsi="Book Antiqua"/>
        </w:rPr>
        <w:t>2015;</w:t>
      </w:r>
      <w:r w:rsidRPr="009A3C92">
        <w:rPr>
          <w:rStyle w:val="apple-converted-space"/>
          <w:rFonts w:ascii="Book Antiqua" w:hAnsi="Book Antiqua"/>
        </w:rPr>
        <w:t xml:space="preserve"> </w:t>
      </w:r>
      <w:r w:rsidRPr="009A3C92">
        <w:rPr>
          <w:rFonts w:ascii="Book Antiqua" w:hAnsi="Book Antiqua"/>
          <w:b/>
          <w:bCs/>
        </w:rPr>
        <w:t>34</w:t>
      </w:r>
      <w:r w:rsidRPr="009A3C92">
        <w:rPr>
          <w:rFonts w:ascii="Book Antiqua" w:hAnsi="Book Antiqua"/>
        </w:rPr>
        <w:t>: 1133-1144 [PMID: 26076003 DOI: 10.1037/hea0000229]</w:t>
      </w:r>
    </w:p>
    <w:p w14:paraId="7EF0E387" w14:textId="6B70C2F9"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84</w:t>
      </w:r>
      <w:r w:rsidRPr="009A3C92">
        <w:rPr>
          <w:rStyle w:val="apple-converted-space"/>
          <w:rFonts w:ascii="Book Antiqua" w:hAnsi="Book Antiqua"/>
        </w:rPr>
        <w:t xml:space="preserve"> </w:t>
      </w:r>
      <w:r w:rsidRPr="009A3C92">
        <w:rPr>
          <w:rFonts w:ascii="Book Antiqua" w:hAnsi="Book Antiqua"/>
          <w:b/>
          <w:bCs/>
        </w:rPr>
        <w:t>Baert F</w:t>
      </w:r>
      <w:r w:rsidRPr="009A3C92">
        <w:rPr>
          <w:rFonts w:ascii="Book Antiqua" w:hAnsi="Book Antiqua"/>
        </w:rPr>
        <w:t>, Noman M, Vermeire S, Van Assche G, D' Haens G, Carbonez A, Rutgeerts P. Influence of immunogenicity on the long-term efficacy of infliximab in Crohn's disease.</w:t>
      </w:r>
      <w:r w:rsidRPr="009A3C92">
        <w:rPr>
          <w:rStyle w:val="apple-converted-space"/>
          <w:rFonts w:ascii="Book Antiqua" w:hAnsi="Book Antiqua"/>
        </w:rPr>
        <w:t xml:space="preserve"> </w:t>
      </w:r>
      <w:r w:rsidRPr="009A3C92">
        <w:rPr>
          <w:rFonts w:ascii="Book Antiqua" w:hAnsi="Book Antiqua"/>
          <w:i/>
          <w:iCs/>
        </w:rPr>
        <w:t>N Engl J Med</w:t>
      </w:r>
      <w:r w:rsidRPr="009A3C92">
        <w:rPr>
          <w:rStyle w:val="apple-converted-space"/>
          <w:rFonts w:ascii="Book Antiqua" w:hAnsi="Book Antiqua"/>
        </w:rPr>
        <w:t xml:space="preserve"> </w:t>
      </w:r>
      <w:r w:rsidRPr="009A3C92">
        <w:rPr>
          <w:rFonts w:ascii="Book Antiqua" w:hAnsi="Book Antiqua"/>
        </w:rPr>
        <w:t>2003;</w:t>
      </w:r>
      <w:r w:rsidRPr="009A3C92">
        <w:rPr>
          <w:rStyle w:val="apple-converted-space"/>
          <w:rFonts w:ascii="Book Antiqua" w:hAnsi="Book Antiqua"/>
        </w:rPr>
        <w:t xml:space="preserve"> </w:t>
      </w:r>
      <w:r w:rsidRPr="009A3C92">
        <w:rPr>
          <w:rFonts w:ascii="Book Antiqua" w:hAnsi="Book Antiqua"/>
          <w:b/>
          <w:bCs/>
        </w:rPr>
        <w:t>348</w:t>
      </w:r>
      <w:r w:rsidRPr="009A3C92">
        <w:rPr>
          <w:rFonts w:ascii="Book Antiqua" w:hAnsi="Book Antiqua"/>
        </w:rPr>
        <w:t>: 601-608 [PMID: 12584368 DOI: 10.1056/NEJMoa020888]</w:t>
      </w:r>
    </w:p>
    <w:p w14:paraId="7A559B2A" w14:textId="19390DCF"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85</w:t>
      </w:r>
      <w:r w:rsidRPr="009A3C92">
        <w:rPr>
          <w:rStyle w:val="apple-converted-space"/>
          <w:rFonts w:ascii="Book Antiqua" w:hAnsi="Book Antiqua"/>
        </w:rPr>
        <w:t xml:space="preserve"> </w:t>
      </w:r>
      <w:r w:rsidRPr="009A3C92">
        <w:rPr>
          <w:rFonts w:ascii="Book Antiqua" w:hAnsi="Book Antiqua"/>
          <w:b/>
          <w:bCs/>
        </w:rPr>
        <w:t>Karmiris K</w:t>
      </w:r>
      <w:r w:rsidRPr="009A3C92">
        <w:rPr>
          <w:rFonts w:ascii="Book Antiqua" w:hAnsi="Book Antiqua"/>
        </w:rPr>
        <w:t xml:space="preserve">, Paintaud G, Noman M, Magdelaine-Beuzelin C, Ferrante M, Degenne D, Claes K, Coopman T, Van Schuerbeek N, Van Assche G, Vermeire S, Rutgeerts P. Influence of trough serum levels and immunogenicity on long-term outcome of </w:t>
      </w:r>
      <w:r w:rsidRPr="009A3C92">
        <w:rPr>
          <w:rFonts w:ascii="Book Antiqua" w:hAnsi="Book Antiqua"/>
        </w:rPr>
        <w:lastRenderedPageBreak/>
        <w:t>adalimumab therapy in Crohn's disease.</w:t>
      </w:r>
      <w:r w:rsidRPr="009A3C92">
        <w:rPr>
          <w:rStyle w:val="apple-converted-space"/>
          <w:rFonts w:ascii="Book Antiqua" w:hAnsi="Book Antiqua"/>
        </w:rPr>
        <w:t xml:space="preserve"> </w:t>
      </w:r>
      <w:r w:rsidRPr="009A3C92">
        <w:rPr>
          <w:rFonts w:ascii="Book Antiqua" w:hAnsi="Book Antiqua"/>
          <w:i/>
          <w:iCs/>
        </w:rPr>
        <w:t>Gastroenterology</w:t>
      </w:r>
      <w:r w:rsidRPr="009A3C92">
        <w:rPr>
          <w:rStyle w:val="apple-converted-space"/>
          <w:rFonts w:ascii="Book Antiqua" w:hAnsi="Book Antiqua"/>
        </w:rPr>
        <w:t xml:space="preserve"> </w:t>
      </w:r>
      <w:r w:rsidRPr="009A3C92">
        <w:rPr>
          <w:rFonts w:ascii="Book Antiqua" w:hAnsi="Book Antiqua"/>
        </w:rPr>
        <w:t>2009;</w:t>
      </w:r>
      <w:r w:rsidRPr="009A3C92">
        <w:rPr>
          <w:rStyle w:val="apple-converted-space"/>
          <w:rFonts w:ascii="Book Antiqua" w:hAnsi="Book Antiqua"/>
        </w:rPr>
        <w:t xml:space="preserve"> </w:t>
      </w:r>
      <w:r w:rsidRPr="009A3C92">
        <w:rPr>
          <w:rFonts w:ascii="Book Antiqua" w:hAnsi="Book Antiqua"/>
          <w:b/>
          <w:bCs/>
        </w:rPr>
        <w:t>137</w:t>
      </w:r>
      <w:r w:rsidRPr="009A3C92">
        <w:rPr>
          <w:rFonts w:ascii="Book Antiqua" w:hAnsi="Book Antiqua"/>
        </w:rPr>
        <w:t>: 1628-1640 [PMID: 19664627 DOI: 10.1053/j.gastro.2009.07.062]</w:t>
      </w:r>
    </w:p>
    <w:p w14:paraId="412E9477" w14:textId="54EF2894"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86</w:t>
      </w:r>
      <w:r w:rsidRPr="009A3C92">
        <w:rPr>
          <w:rStyle w:val="apple-converted-space"/>
          <w:rFonts w:ascii="Book Antiqua" w:hAnsi="Book Antiqua"/>
        </w:rPr>
        <w:t xml:space="preserve"> </w:t>
      </w:r>
      <w:r w:rsidRPr="009A3C92">
        <w:rPr>
          <w:rFonts w:ascii="Book Antiqua" w:hAnsi="Book Antiqua"/>
          <w:b/>
          <w:bCs/>
        </w:rPr>
        <w:t>Fidder HH</w:t>
      </w:r>
      <w:r w:rsidRPr="009A3C92">
        <w:rPr>
          <w:rFonts w:ascii="Book Antiqua" w:hAnsi="Book Antiqua"/>
        </w:rPr>
        <w:t>, Singendonk MM, van der Have M, Oldenburg B, van Oijen MG. Low rates of adherence for tumor necrosis factor-α inhibitors in Crohn's disease and rheumatoid arthritis: results of a systematic review.</w:t>
      </w:r>
      <w:r w:rsidRPr="009A3C92">
        <w:rPr>
          <w:rStyle w:val="apple-converted-space"/>
          <w:rFonts w:ascii="Book Antiqua" w:hAnsi="Book Antiqua"/>
        </w:rPr>
        <w:t xml:space="preserve"> </w:t>
      </w:r>
      <w:r w:rsidRPr="009A3C92">
        <w:rPr>
          <w:rFonts w:ascii="Book Antiqua" w:hAnsi="Book Antiqua"/>
          <w:i/>
          <w:iCs/>
        </w:rPr>
        <w:t>World J Gastroenterol</w:t>
      </w:r>
      <w:r w:rsidRPr="009A3C92">
        <w:rPr>
          <w:rStyle w:val="apple-converted-space"/>
          <w:rFonts w:ascii="Book Antiqua" w:hAnsi="Book Antiqua"/>
        </w:rPr>
        <w:t xml:space="preserve"> </w:t>
      </w:r>
      <w:r w:rsidRPr="009A3C92">
        <w:rPr>
          <w:rFonts w:ascii="Book Antiqua" w:hAnsi="Book Antiqua"/>
        </w:rPr>
        <w:t>2013;</w:t>
      </w:r>
      <w:r w:rsidRPr="009A3C92">
        <w:rPr>
          <w:rStyle w:val="apple-converted-space"/>
          <w:rFonts w:ascii="Book Antiqua" w:hAnsi="Book Antiqua"/>
        </w:rPr>
        <w:t xml:space="preserve"> </w:t>
      </w:r>
      <w:r w:rsidRPr="009A3C92">
        <w:rPr>
          <w:rFonts w:ascii="Book Antiqua" w:hAnsi="Book Antiqua"/>
          <w:b/>
          <w:bCs/>
        </w:rPr>
        <w:t>19</w:t>
      </w:r>
      <w:r w:rsidRPr="009A3C92">
        <w:rPr>
          <w:rFonts w:ascii="Book Antiqua" w:hAnsi="Book Antiqua"/>
        </w:rPr>
        <w:t>: 4344-4350 [PMID: 23885145 DOI: 10.3748/wjg.v19.i27.4344]</w:t>
      </w:r>
    </w:p>
    <w:p w14:paraId="33027CF6" w14:textId="115E4050"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87</w:t>
      </w:r>
      <w:r w:rsidRPr="009A3C92">
        <w:rPr>
          <w:rStyle w:val="apple-converted-space"/>
          <w:rFonts w:ascii="Book Antiqua" w:hAnsi="Book Antiqua"/>
        </w:rPr>
        <w:t xml:space="preserve"> </w:t>
      </w:r>
      <w:r w:rsidRPr="009A3C92">
        <w:rPr>
          <w:rFonts w:ascii="Book Antiqua" w:hAnsi="Book Antiqua"/>
          <w:b/>
          <w:bCs/>
        </w:rPr>
        <w:t>Kane SV</w:t>
      </w:r>
      <w:r w:rsidRPr="009A3C92">
        <w:rPr>
          <w:rFonts w:ascii="Book Antiqua" w:hAnsi="Book Antiqua"/>
        </w:rPr>
        <w:t>, Chao J, Mulani PM. Adherence to infliximab maintenance therapy and health care utilization and costs by Crohn's disease patients.</w:t>
      </w:r>
      <w:r w:rsidRPr="009A3C92">
        <w:rPr>
          <w:rStyle w:val="apple-converted-space"/>
          <w:rFonts w:ascii="Book Antiqua" w:hAnsi="Book Antiqua"/>
        </w:rPr>
        <w:t xml:space="preserve"> </w:t>
      </w:r>
      <w:r w:rsidRPr="009A3C92">
        <w:rPr>
          <w:rFonts w:ascii="Book Antiqua" w:hAnsi="Book Antiqua"/>
          <w:i/>
          <w:iCs/>
        </w:rPr>
        <w:t>Adv Ther</w:t>
      </w:r>
      <w:r w:rsidRPr="009A3C92">
        <w:rPr>
          <w:rStyle w:val="apple-converted-space"/>
          <w:rFonts w:ascii="Book Antiqua" w:hAnsi="Book Antiqua"/>
        </w:rPr>
        <w:t xml:space="preserve"> </w:t>
      </w:r>
      <w:r w:rsidRPr="009A3C92">
        <w:rPr>
          <w:rFonts w:ascii="Book Antiqua" w:hAnsi="Book Antiqua"/>
        </w:rPr>
        <w:t>2009;</w:t>
      </w:r>
      <w:r w:rsidRPr="009A3C92">
        <w:rPr>
          <w:rStyle w:val="apple-converted-space"/>
          <w:rFonts w:ascii="Book Antiqua" w:hAnsi="Book Antiqua"/>
        </w:rPr>
        <w:t xml:space="preserve"> </w:t>
      </w:r>
      <w:r w:rsidRPr="009A3C92">
        <w:rPr>
          <w:rFonts w:ascii="Book Antiqua" w:hAnsi="Book Antiqua"/>
          <w:b/>
          <w:bCs/>
        </w:rPr>
        <w:t>26</w:t>
      </w:r>
      <w:r w:rsidRPr="009A3C92">
        <w:rPr>
          <w:rFonts w:ascii="Book Antiqua" w:hAnsi="Book Antiqua"/>
        </w:rPr>
        <w:t>: 936-946 [PMID: 19838649 DOI: 10.1007/s12325-009-0069-7]</w:t>
      </w:r>
    </w:p>
    <w:p w14:paraId="0180BA25" w14:textId="3DCF137B"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88</w:t>
      </w:r>
      <w:r w:rsidRPr="009A3C92">
        <w:rPr>
          <w:rStyle w:val="apple-converted-space"/>
          <w:rFonts w:ascii="Book Antiqua" w:hAnsi="Book Antiqua"/>
        </w:rPr>
        <w:t xml:space="preserve"> </w:t>
      </w:r>
      <w:r w:rsidRPr="009A3C92">
        <w:rPr>
          <w:rFonts w:ascii="Book Antiqua" w:hAnsi="Book Antiqua"/>
          <w:b/>
          <w:bCs/>
        </w:rPr>
        <w:t>Kane S</w:t>
      </w:r>
      <w:r w:rsidRPr="009A3C92">
        <w:rPr>
          <w:rFonts w:ascii="Book Antiqua" w:hAnsi="Book Antiqua"/>
        </w:rPr>
        <w:t>, Dixon L. Adherence rates with infliximab therapy in Crohn's disease.</w:t>
      </w:r>
      <w:r w:rsidRPr="009A3C92">
        <w:rPr>
          <w:rStyle w:val="apple-converted-space"/>
          <w:rFonts w:ascii="Book Antiqua" w:hAnsi="Book Antiqua"/>
        </w:rPr>
        <w:t xml:space="preserve"> </w:t>
      </w:r>
      <w:r w:rsidRPr="009A3C92">
        <w:rPr>
          <w:rFonts w:ascii="Book Antiqua" w:hAnsi="Book Antiqua"/>
          <w:i/>
          <w:iCs/>
        </w:rPr>
        <w:t>Aliment Pharmacol Ther</w:t>
      </w:r>
      <w:r w:rsidRPr="009A3C92">
        <w:rPr>
          <w:rStyle w:val="apple-converted-space"/>
          <w:rFonts w:ascii="Book Antiqua" w:hAnsi="Book Antiqua"/>
        </w:rPr>
        <w:t xml:space="preserve"> </w:t>
      </w:r>
      <w:r w:rsidRPr="009A3C92">
        <w:rPr>
          <w:rFonts w:ascii="Book Antiqua" w:hAnsi="Book Antiqua"/>
        </w:rPr>
        <w:t>2006;</w:t>
      </w:r>
      <w:r w:rsidRPr="009A3C92">
        <w:rPr>
          <w:rStyle w:val="apple-converted-space"/>
          <w:rFonts w:ascii="Book Antiqua" w:hAnsi="Book Antiqua"/>
        </w:rPr>
        <w:t xml:space="preserve"> </w:t>
      </w:r>
      <w:r w:rsidRPr="009A3C92">
        <w:rPr>
          <w:rFonts w:ascii="Book Antiqua" w:hAnsi="Book Antiqua"/>
          <w:b/>
          <w:bCs/>
        </w:rPr>
        <w:t>24</w:t>
      </w:r>
      <w:r w:rsidRPr="009A3C92">
        <w:rPr>
          <w:rFonts w:ascii="Book Antiqua" w:hAnsi="Book Antiqua"/>
        </w:rPr>
        <w:t>: 1099-1103 [PMID: 16984504 DOI: 10.1111/j.1365-2036.2006.03092.x]</w:t>
      </w:r>
    </w:p>
    <w:p w14:paraId="4271C993" w14:textId="5D4DA07F"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89</w:t>
      </w:r>
      <w:r w:rsidRPr="009A3C92">
        <w:rPr>
          <w:rStyle w:val="apple-converted-space"/>
          <w:rFonts w:ascii="Book Antiqua" w:hAnsi="Book Antiqua"/>
        </w:rPr>
        <w:t xml:space="preserve"> </w:t>
      </w:r>
      <w:r w:rsidRPr="009A3C92">
        <w:rPr>
          <w:rFonts w:ascii="Book Antiqua" w:hAnsi="Book Antiqua"/>
          <w:b/>
          <w:bCs/>
        </w:rPr>
        <w:t>Billioud V</w:t>
      </w:r>
      <w:r w:rsidRPr="009A3C92">
        <w:rPr>
          <w:rFonts w:ascii="Book Antiqua" w:hAnsi="Book Antiqua"/>
        </w:rPr>
        <w:t>, Laharie D, Filippi J, Roblin X, Oussalah A, Chevaux JB, Hébuterne X, Bigard MA, Peyrin-Biroulet L. Adherence to adalimumab therapy in Crohn's disease: a French multicenter experience.</w:t>
      </w:r>
      <w:r w:rsidRPr="009A3C92">
        <w:rPr>
          <w:rStyle w:val="apple-converted-space"/>
          <w:rFonts w:ascii="Book Antiqua" w:hAnsi="Book Antiqua"/>
        </w:rPr>
        <w:t xml:space="preserve"> </w:t>
      </w:r>
      <w:r w:rsidRPr="009A3C92">
        <w:rPr>
          <w:rFonts w:ascii="Book Antiqua" w:hAnsi="Book Antiqua"/>
          <w:i/>
          <w:iCs/>
        </w:rPr>
        <w:t>Inflamm Bowel Dis</w:t>
      </w:r>
      <w:r w:rsidRPr="009A3C92">
        <w:rPr>
          <w:rStyle w:val="apple-converted-space"/>
          <w:rFonts w:ascii="Book Antiqua" w:hAnsi="Book Antiqua"/>
        </w:rPr>
        <w:t xml:space="preserve"> </w:t>
      </w:r>
      <w:r w:rsidRPr="009A3C92">
        <w:rPr>
          <w:rFonts w:ascii="Book Antiqua" w:hAnsi="Book Antiqua"/>
        </w:rPr>
        <w:t>2011;</w:t>
      </w:r>
      <w:r w:rsidRPr="009A3C92">
        <w:rPr>
          <w:rStyle w:val="apple-converted-space"/>
          <w:rFonts w:ascii="Book Antiqua" w:hAnsi="Book Antiqua"/>
        </w:rPr>
        <w:t xml:space="preserve"> </w:t>
      </w:r>
      <w:r w:rsidRPr="009A3C92">
        <w:rPr>
          <w:rFonts w:ascii="Book Antiqua" w:hAnsi="Book Antiqua"/>
          <w:b/>
          <w:bCs/>
        </w:rPr>
        <w:t>17</w:t>
      </w:r>
      <w:r w:rsidRPr="009A3C92">
        <w:rPr>
          <w:rFonts w:ascii="Book Antiqua" w:hAnsi="Book Antiqua"/>
        </w:rPr>
        <w:t>: 152-159 [PMID: 21061388 DOI: 10.1002/ibd.21491]</w:t>
      </w:r>
    </w:p>
    <w:p w14:paraId="224EE5B8" w14:textId="43FA85F1" w:rsidR="008E3348" w:rsidRPr="009A3C92" w:rsidRDefault="008E3348" w:rsidP="008E3348">
      <w:pPr>
        <w:pStyle w:val="a3"/>
        <w:adjustRightInd w:val="0"/>
        <w:snapToGrid w:val="0"/>
        <w:spacing w:before="0" w:beforeAutospacing="0" w:after="0" w:afterAutospacing="0" w:line="360" w:lineRule="auto"/>
        <w:jc w:val="both"/>
        <w:rPr>
          <w:rFonts w:ascii="Book Antiqua" w:hAnsi="Book Antiqua"/>
        </w:rPr>
      </w:pPr>
      <w:r w:rsidRPr="009A3C92">
        <w:rPr>
          <w:rFonts w:ascii="Book Antiqua" w:hAnsi="Book Antiqua"/>
        </w:rPr>
        <w:t>90</w:t>
      </w:r>
      <w:r w:rsidRPr="009A3C92">
        <w:rPr>
          <w:rStyle w:val="apple-converted-space"/>
          <w:rFonts w:ascii="Book Antiqua" w:hAnsi="Book Antiqua"/>
        </w:rPr>
        <w:t xml:space="preserve"> </w:t>
      </w:r>
      <w:r w:rsidRPr="009A3C92">
        <w:rPr>
          <w:rFonts w:ascii="Book Antiqua" w:hAnsi="Book Antiqua"/>
          <w:b/>
          <w:bCs/>
        </w:rPr>
        <w:t>Turner D</w:t>
      </w:r>
      <w:r w:rsidRPr="009A3C92">
        <w:rPr>
          <w:rFonts w:ascii="Book Antiqua" w:hAnsi="Book Antiqua"/>
        </w:rPr>
        <w:t>, Huang Y, Martín-de-Carpi J, Aloi M, Focht G, Kang B, Zhou Y, Sanchez C, Kappelman MD, Uhlig HH, Pujol-Muncunill G, Ledder O, Lionetti P, Dias JA, Ruemmele FM, Russell RK; Paediatric IBD Porto group of ESPGHAN. Corona Virus Disease 2019 and Paediatric Inflammatory Bowel Diseases: Global Experience and Provisional Guidance (March 2020) from the Paediatric IBD Porto Group of European Society of Paediatric Gastroenterology, Hepatology, and Nutrition.</w:t>
      </w:r>
      <w:r w:rsidRPr="009A3C92">
        <w:rPr>
          <w:rStyle w:val="apple-converted-space"/>
          <w:rFonts w:ascii="Book Antiqua" w:hAnsi="Book Antiqua"/>
        </w:rPr>
        <w:t xml:space="preserve"> </w:t>
      </w:r>
      <w:r w:rsidRPr="009A3C92">
        <w:rPr>
          <w:rFonts w:ascii="Book Antiqua" w:hAnsi="Book Antiqua"/>
          <w:i/>
          <w:iCs/>
        </w:rPr>
        <w:t>J Pediatr Gastroenterol Nutr</w:t>
      </w:r>
      <w:r w:rsidRPr="009A3C92">
        <w:rPr>
          <w:rStyle w:val="apple-converted-space"/>
          <w:rFonts w:ascii="Book Antiqua" w:hAnsi="Book Antiqua"/>
        </w:rPr>
        <w:t xml:space="preserve"> </w:t>
      </w:r>
      <w:r w:rsidRPr="009A3C92">
        <w:rPr>
          <w:rFonts w:ascii="Book Antiqua" w:hAnsi="Book Antiqua"/>
        </w:rPr>
        <w:t>2020;</w:t>
      </w:r>
      <w:r w:rsidRPr="009A3C92">
        <w:rPr>
          <w:rStyle w:val="apple-converted-space"/>
          <w:rFonts w:ascii="Book Antiqua" w:hAnsi="Book Antiqua"/>
        </w:rPr>
        <w:t xml:space="preserve"> </w:t>
      </w:r>
      <w:r w:rsidRPr="009A3C92">
        <w:rPr>
          <w:rFonts w:ascii="Book Antiqua" w:hAnsi="Book Antiqua"/>
          <w:b/>
          <w:bCs/>
        </w:rPr>
        <w:t>70</w:t>
      </w:r>
      <w:r w:rsidRPr="009A3C92">
        <w:rPr>
          <w:rFonts w:ascii="Book Antiqua" w:hAnsi="Book Antiqua"/>
        </w:rPr>
        <w:t>: 727-733 [PMID: 32443020 DOI: 10.1097/MPG.0000000000002729]</w:t>
      </w:r>
    </w:p>
    <w:p w14:paraId="56C34FF7" w14:textId="1FEA2BE8" w:rsidR="00860BAF" w:rsidRPr="009A3C92" w:rsidRDefault="00860BAF" w:rsidP="00860BAF">
      <w:pPr>
        <w:pStyle w:val="a3"/>
        <w:adjustRightInd w:val="0"/>
        <w:snapToGrid w:val="0"/>
        <w:spacing w:before="0" w:beforeAutospacing="0" w:after="0" w:afterAutospacing="0" w:line="360" w:lineRule="auto"/>
        <w:jc w:val="both"/>
        <w:rPr>
          <w:rFonts w:ascii="Book Antiqua" w:hAnsi="Book Antiqua"/>
          <w:color w:val="000000" w:themeColor="text1"/>
        </w:rPr>
      </w:pPr>
    </w:p>
    <w:p w14:paraId="08E47D76" w14:textId="77777777" w:rsidR="00A77B3E" w:rsidRPr="009A3C92" w:rsidRDefault="00A77B3E">
      <w:pPr>
        <w:spacing w:line="360" w:lineRule="auto"/>
        <w:jc w:val="both"/>
        <w:sectPr w:rsidR="00A77B3E" w:rsidRPr="009A3C92">
          <w:pgSz w:w="12240" w:h="15840"/>
          <w:pgMar w:top="1440" w:right="1440" w:bottom="1440" w:left="1440" w:header="720" w:footer="720" w:gutter="0"/>
          <w:cols w:space="720"/>
          <w:docGrid w:linePitch="360"/>
        </w:sectPr>
      </w:pPr>
    </w:p>
    <w:p w14:paraId="40ADC4AD" w14:textId="77777777" w:rsidR="00A77B3E" w:rsidRPr="009A3C92" w:rsidRDefault="00202141">
      <w:pPr>
        <w:spacing w:line="360" w:lineRule="auto"/>
        <w:jc w:val="both"/>
      </w:pPr>
      <w:r w:rsidRPr="009A3C92">
        <w:rPr>
          <w:rFonts w:ascii="Book Antiqua" w:eastAsia="Book Antiqua" w:hAnsi="Book Antiqua" w:cs="Book Antiqua"/>
          <w:b/>
          <w:color w:val="000000"/>
        </w:rPr>
        <w:lastRenderedPageBreak/>
        <w:t>Footnotes</w:t>
      </w:r>
    </w:p>
    <w:p w14:paraId="655EEC26" w14:textId="3985F58B" w:rsidR="00A77B3E" w:rsidRPr="009A3C92" w:rsidRDefault="00202141">
      <w:pPr>
        <w:spacing w:line="360" w:lineRule="auto"/>
        <w:jc w:val="both"/>
      </w:pPr>
      <w:r w:rsidRPr="009A3C92">
        <w:rPr>
          <w:rFonts w:ascii="Book Antiqua" w:eastAsia="Book Antiqua" w:hAnsi="Book Antiqua" w:cs="Book Antiqua"/>
          <w:b/>
          <w:bCs/>
        </w:rPr>
        <w:t>Conflict-of-interest</w:t>
      </w:r>
      <w:r w:rsidR="008E3348" w:rsidRPr="009A3C92">
        <w:rPr>
          <w:rFonts w:ascii="Book Antiqua" w:eastAsia="Book Antiqua" w:hAnsi="Book Antiqua" w:cs="Book Antiqua"/>
          <w:b/>
          <w:bCs/>
        </w:rPr>
        <w:t xml:space="preserve"> </w:t>
      </w:r>
      <w:r w:rsidRPr="009A3C92">
        <w:rPr>
          <w:rFonts w:ascii="Book Antiqua" w:eastAsia="Book Antiqua" w:hAnsi="Book Antiqua" w:cs="Book Antiqua"/>
          <w:b/>
          <w:bCs/>
        </w:rPr>
        <w:t>statement:</w:t>
      </w:r>
      <w:r w:rsidR="008E3348" w:rsidRPr="009A3C92">
        <w:rPr>
          <w:rFonts w:ascii="Book Antiqua" w:eastAsia="Book Antiqua" w:hAnsi="Book Antiqua" w:cs="Book Antiqua"/>
          <w:b/>
          <w:bCs/>
        </w:rPr>
        <w:t xml:space="preserve"> </w:t>
      </w:r>
      <w:r w:rsidRPr="009A3C92">
        <w:rPr>
          <w:rFonts w:ascii="Book Antiqua" w:eastAsia="Book Antiqua" w:hAnsi="Book Antiqua" w:cs="Book Antiqua"/>
        </w:rPr>
        <w:t>All</w:t>
      </w:r>
      <w:r w:rsidR="008E3348" w:rsidRPr="009A3C92">
        <w:rPr>
          <w:rFonts w:ascii="Book Antiqua" w:eastAsia="Book Antiqua" w:hAnsi="Book Antiqua" w:cs="Book Antiqua"/>
        </w:rPr>
        <w:t xml:space="preserve"> </w:t>
      </w:r>
      <w:r w:rsidRPr="009A3C92">
        <w:rPr>
          <w:rFonts w:ascii="Book Antiqua" w:eastAsia="Book Antiqua" w:hAnsi="Book Antiqua" w:cs="Book Antiqua"/>
        </w:rPr>
        <w:t>authors</w:t>
      </w:r>
      <w:r w:rsidR="008E3348" w:rsidRPr="009A3C92">
        <w:rPr>
          <w:rFonts w:ascii="Book Antiqua" w:eastAsia="Book Antiqua" w:hAnsi="Book Antiqua" w:cs="Book Antiqua"/>
        </w:rPr>
        <w:t xml:space="preserve"> </w:t>
      </w:r>
      <w:r w:rsidRPr="009A3C92">
        <w:rPr>
          <w:rFonts w:ascii="Book Antiqua" w:eastAsia="Book Antiqua" w:hAnsi="Book Antiqua" w:cs="Book Antiqua"/>
        </w:rPr>
        <w:t>have</w:t>
      </w:r>
      <w:r w:rsidR="008E3348" w:rsidRPr="009A3C92">
        <w:rPr>
          <w:rFonts w:ascii="Book Antiqua" w:eastAsia="Book Antiqua" w:hAnsi="Book Antiqua" w:cs="Book Antiqua"/>
        </w:rPr>
        <w:t xml:space="preserve"> </w:t>
      </w:r>
      <w:r w:rsidRPr="009A3C92">
        <w:rPr>
          <w:rFonts w:ascii="Book Antiqua" w:eastAsia="Book Antiqua" w:hAnsi="Book Antiqua" w:cs="Book Antiqua"/>
        </w:rPr>
        <w:t>no</w:t>
      </w:r>
      <w:r w:rsidR="008E3348" w:rsidRPr="009A3C92">
        <w:rPr>
          <w:rFonts w:ascii="Book Antiqua" w:eastAsia="Book Antiqua" w:hAnsi="Book Antiqua" w:cs="Book Antiqua"/>
        </w:rPr>
        <w:t xml:space="preserve"> </w:t>
      </w:r>
      <w:r w:rsidRPr="009A3C92">
        <w:rPr>
          <w:rFonts w:ascii="Book Antiqua" w:eastAsia="Book Antiqua" w:hAnsi="Book Antiqua" w:cs="Book Antiqua"/>
        </w:rPr>
        <w:t>conflicts</w:t>
      </w:r>
      <w:r w:rsidR="008E3348" w:rsidRPr="009A3C92">
        <w:rPr>
          <w:rFonts w:ascii="Book Antiqua" w:eastAsia="Book Antiqua" w:hAnsi="Book Antiqua" w:cs="Book Antiqua"/>
        </w:rPr>
        <w:t xml:space="preserve"> </w:t>
      </w:r>
      <w:r w:rsidRPr="009A3C92">
        <w:rPr>
          <w:rFonts w:ascii="Book Antiqua" w:eastAsia="Book Antiqua" w:hAnsi="Book Antiqua" w:cs="Book Antiqua"/>
        </w:rPr>
        <w:t>of</w:t>
      </w:r>
      <w:r w:rsidR="008E3348" w:rsidRPr="009A3C92">
        <w:rPr>
          <w:rFonts w:ascii="Book Antiqua" w:eastAsia="Book Antiqua" w:hAnsi="Book Antiqua" w:cs="Book Antiqua"/>
        </w:rPr>
        <w:t xml:space="preserve"> </w:t>
      </w:r>
      <w:r w:rsidRPr="009A3C92">
        <w:rPr>
          <w:rFonts w:ascii="Book Antiqua" w:eastAsia="Book Antiqua" w:hAnsi="Book Antiqua" w:cs="Book Antiqua"/>
        </w:rPr>
        <w:t>interest</w:t>
      </w:r>
      <w:r w:rsidR="008E3348" w:rsidRPr="009A3C92">
        <w:rPr>
          <w:rFonts w:ascii="Book Antiqua" w:eastAsia="Book Antiqua" w:hAnsi="Book Antiqua" w:cs="Book Antiqua"/>
        </w:rPr>
        <w:t xml:space="preserve"> </w:t>
      </w:r>
      <w:r w:rsidRPr="009A3C92">
        <w:rPr>
          <w:rFonts w:ascii="Book Antiqua" w:eastAsia="Book Antiqua" w:hAnsi="Book Antiqua" w:cs="Book Antiqua"/>
        </w:rPr>
        <w:t>to</w:t>
      </w:r>
      <w:r w:rsidR="008E3348" w:rsidRPr="009A3C92">
        <w:rPr>
          <w:rFonts w:ascii="Book Antiqua" w:eastAsia="Book Antiqua" w:hAnsi="Book Antiqua" w:cs="Book Antiqua"/>
        </w:rPr>
        <w:t xml:space="preserve"> </w:t>
      </w:r>
      <w:r w:rsidRPr="009A3C92">
        <w:rPr>
          <w:rFonts w:ascii="Book Antiqua" w:eastAsia="Book Antiqua" w:hAnsi="Book Antiqua" w:cs="Book Antiqua"/>
        </w:rPr>
        <w:t>declare.</w:t>
      </w:r>
    </w:p>
    <w:p w14:paraId="05965CB4" w14:textId="77777777" w:rsidR="00A77B3E" w:rsidRPr="009A3C92" w:rsidRDefault="00A77B3E">
      <w:pPr>
        <w:spacing w:line="360" w:lineRule="auto"/>
        <w:jc w:val="both"/>
      </w:pPr>
    </w:p>
    <w:p w14:paraId="746F1245" w14:textId="31CFF6AB" w:rsidR="00A77B3E" w:rsidRPr="009A3C92" w:rsidRDefault="00202141">
      <w:pPr>
        <w:spacing w:line="360" w:lineRule="auto"/>
        <w:jc w:val="both"/>
      </w:pPr>
      <w:r w:rsidRPr="009A3C92">
        <w:rPr>
          <w:rFonts w:ascii="Book Antiqua" w:eastAsia="Book Antiqua" w:hAnsi="Book Antiqua" w:cs="Book Antiqua"/>
          <w:b/>
          <w:bCs/>
        </w:rPr>
        <w:t>Open-Access:</w:t>
      </w:r>
      <w:r w:rsidR="008E3348" w:rsidRPr="009A3C92">
        <w:rPr>
          <w:rFonts w:ascii="Book Antiqua" w:eastAsia="Book Antiqua" w:hAnsi="Book Antiqua" w:cs="Book Antiqua"/>
          <w:b/>
          <w:bCs/>
        </w:rPr>
        <w:t xml:space="preserve"> </w:t>
      </w:r>
      <w:r w:rsidRPr="009A3C92">
        <w:rPr>
          <w:rFonts w:ascii="Book Antiqua" w:eastAsia="Book Antiqua" w:hAnsi="Book Antiqua" w:cs="Book Antiqua"/>
        </w:rPr>
        <w:t>This</w:t>
      </w:r>
      <w:r w:rsidR="008E3348" w:rsidRPr="009A3C92">
        <w:rPr>
          <w:rFonts w:ascii="Book Antiqua" w:eastAsia="Book Antiqua" w:hAnsi="Book Antiqua" w:cs="Book Antiqua"/>
        </w:rPr>
        <w:t xml:space="preserve"> </w:t>
      </w:r>
      <w:r w:rsidRPr="009A3C92">
        <w:rPr>
          <w:rFonts w:ascii="Book Antiqua" w:eastAsia="Book Antiqua" w:hAnsi="Book Antiqua" w:cs="Book Antiqua"/>
        </w:rPr>
        <w:t>article</w:t>
      </w:r>
      <w:r w:rsidR="008E3348" w:rsidRPr="009A3C92">
        <w:rPr>
          <w:rFonts w:ascii="Book Antiqua" w:eastAsia="Book Antiqua" w:hAnsi="Book Antiqua" w:cs="Book Antiqua"/>
        </w:rPr>
        <w:t xml:space="preserve"> </w:t>
      </w:r>
      <w:r w:rsidRPr="009A3C92">
        <w:rPr>
          <w:rFonts w:ascii="Book Antiqua" w:eastAsia="Book Antiqua" w:hAnsi="Book Antiqua" w:cs="Book Antiqua"/>
        </w:rPr>
        <w:t>is</w:t>
      </w:r>
      <w:r w:rsidR="008E3348" w:rsidRPr="009A3C92">
        <w:rPr>
          <w:rFonts w:ascii="Book Antiqua" w:eastAsia="Book Antiqua" w:hAnsi="Book Antiqua" w:cs="Book Antiqua"/>
        </w:rPr>
        <w:t xml:space="preserve"> </w:t>
      </w:r>
      <w:r w:rsidRPr="009A3C92">
        <w:rPr>
          <w:rFonts w:ascii="Book Antiqua" w:eastAsia="Book Antiqua" w:hAnsi="Book Antiqua" w:cs="Book Antiqua"/>
        </w:rPr>
        <w:t>an</w:t>
      </w:r>
      <w:r w:rsidR="008E3348" w:rsidRPr="009A3C92">
        <w:rPr>
          <w:rFonts w:ascii="Book Antiqua" w:eastAsia="Book Antiqua" w:hAnsi="Book Antiqua" w:cs="Book Antiqua"/>
        </w:rPr>
        <w:t xml:space="preserve"> </w:t>
      </w:r>
      <w:r w:rsidRPr="009A3C92">
        <w:rPr>
          <w:rFonts w:ascii="Book Antiqua" w:eastAsia="Book Antiqua" w:hAnsi="Book Antiqua" w:cs="Book Antiqua"/>
        </w:rPr>
        <w:t>open-access</w:t>
      </w:r>
      <w:r w:rsidR="008E3348" w:rsidRPr="009A3C92">
        <w:rPr>
          <w:rFonts w:ascii="Book Antiqua" w:eastAsia="Book Antiqua" w:hAnsi="Book Antiqua" w:cs="Book Antiqua"/>
        </w:rPr>
        <w:t xml:space="preserve"> </w:t>
      </w:r>
      <w:r w:rsidRPr="009A3C92">
        <w:rPr>
          <w:rFonts w:ascii="Book Antiqua" w:eastAsia="Book Antiqua" w:hAnsi="Book Antiqua" w:cs="Book Antiqua"/>
        </w:rPr>
        <w:t>article</w:t>
      </w:r>
      <w:r w:rsidR="008E3348" w:rsidRPr="009A3C92">
        <w:rPr>
          <w:rFonts w:ascii="Book Antiqua" w:eastAsia="Book Antiqua" w:hAnsi="Book Antiqua" w:cs="Book Antiqua"/>
        </w:rPr>
        <w:t xml:space="preserve"> </w:t>
      </w:r>
      <w:r w:rsidRPr="009A3C92">
        <w:rPr>
          <w:rFonts w:ascii="Book Antiqua" w:eastAsia="Book Antiqua" w:hAnsi="Book Antiqua" w:cs="Book Antiqua"/>
        </w:rPr>
        <w:t>that</w:t>
      </w:r>
      <w:r w:rsidR="008E3348" w:rsidRPr="009A3C92">
        <w:rPr>
          <w:rFonts w:ascii="Book Antiqua" w:eastAsia="Book Antiqua" w:hAnsi="Book Antiqua" w:cs="Book Antiqua"/>
        </w:rPr>
        <w:t xml:space="preserve"> </w:t>
      </w:r>
      <w:r w:rsidRPr="009A3C92">
        <w:rPr>
          <w:rFonts w:ascii="Book Antiqua" w:eastAsia="Book Antiqua" w:hAnsi="Book Antiqua" w:cs="Book Antiqua"/>
        </w:rPr>
        <w:t>was</w:t>
      </w:r>
      <w:r w:rsidR="008E3348" w:rsidRPr="009A3C92">
        <w:rPr>
          <w:rFonts w:ascii="Book Antiqua" w:eastAsia="Book Antiqua" w:hAnsi="Book Antiqua" w:cs="Book Antiqua"/>
        </w:rPr>
        <w:t xml:space="preserve"> </w:t>
      </w:r>
      <w:r w:rsidRPr="009A3C92">
        <w:rPr>
          <w:rFonts w:ascii="Book Antiqua" w:eastAsia="Book Antiqua" w:hAnsi="Book Antiqua" w:cs="Book Antiqua"/>
        </w:rPr>
        <w:t>selected</w:t>
      </w:r>
      <w:r w:rsidR="008E3348" w:rsidRPr="009A3C92">
        <w:rPr>
          <w:rFonts w:ascii="Book Antiqua" w:eastAsia="Book Antiqua" w:hAnsi="Book Antiqua" w:cs="Book Antiqua"/>
        </w:rPr>
        <w:t xml:space="preserve"> </w:t>
      </w:r>
      <w:r w:rsidRPr="009A3C92">
        <w:rPr>
          <w:rFonts w:ascii="Book Antiqua" w:eastAsia="Book Antiqua" w:hAnsi="Book Antiqua" w:cs="Book Antiqua"/>
        </w:rPr>
        <w:t>by</w:t>
      </w:r>
      <w:r w:rsidR="008E3348" w:rsidRPr="009A3C92">
        <w:rPr>
          <w:rFonts w:ascii="Book Antiqua" w:eastAsia="Book Antiqua" w:hAnsi="Book Antiqua" w:cs="Book Antiqua"/>
        </w:rPr>
        <w:t xml:space="preserve"> </w:t>
      </w:r>
      <w:r w:rsidRPr="009A3C92">
        <w:rPr>
          <w:rFonts w:ascii="Book Antiqua" w:eastAsia="Book Antiqua" w:hAnsi="Book Antiqua" w:cs="Book Antiqua"/>
        </w:rPr>
        <w:t>an</w:t>
      </w:r>
      <w:r w:rsidR="008E3348" w:rsidRPr="009A3C92">
        <w:rPr>
          <w:rFonts w:ascii="Book Antiqua" w:eastAsia="Book Antiqua" w:hAnsi="Book Antiqua" w:cs="Book Antiqua"/>
        </w:rPr>
        <w:t xml:space="preserve"> </w:t>
      </w:r>
      <w:r w:rsidRPr="009A3C92">
        <w:rPr>
          <w:rFonts w:ascii="Book Antiqua" w:eastAsia="Book Antiqua" w:hAnsi="Book Antiqua" w:cs="Book Antiqua"/>
        </w:rPr>
        <w:t>in-house</w:t>
      </w:r>
      <w:r w:rsidR="008E3348" w:rsidRPr="009A3C92">
        <w:rPr>
          <w:rFonts w:ascii="Book Antiqua" w:eastAsia="Book Antiqua" w:hAnsi="Book Antiqua" w:cs="Book Antiqua"/>
        </w:rPr>
        <w:t xml:space="preserve"> </w:t>
      </w:r>
      <w:r w:rsidRPr="009A3C92">
        <w:rPr>
          <w:rFonts w:ascii="Book Antiqua" w:eastAsia="Book Antiqua" w:hAnsi="Book Antiqua" w:cs="Book Antiqua"/>
        </w:rPr>
        <w:t>editor</w:t>
      </w:r>
      <w:r w:rsidR="008E3348" w:rsidRPr="009A3C92">
        <w:rPr>
          <w:rFonts w:ascii="Book Antiqua" w:eastAsia="Book Antiqua" w:hAnsi="Book Antiqua" w:cs="Book Antiqua"/>
        </w:rPr>
        <w:t xml:space="preserve"> </w:t>
      </w:r>
      <w:r w:rsidRPr="009A3C92">
        <w:rPr>
          <w:rFonts w:ascii="Book Antiqua" w:eastAsia="Book Antiqua" w:hAnsi="Book Antiqua" w:cs="Book Antiqua"/>
        </w:rPr>
        <w:t>and</w:t>
      </w:r>
      <w:r w:rsidR="008E3348" w:rsidRPr="009A3C92">
        <w:rPr>
          <w:rFonts w:ascii="Book Antiqua" w:eastAsia="Book Antiqua" w:hAnsi="Book Antiqua" w:cs="Book Antiqua"/>
        </w:rPr>
        <w:t xml:space="preserve"> </w:t>
      </w:r>
      <w:r w:rsidRPr="009A3C92">
        <w:rPr>
          <w:rFonts w:ascii="Book Antiqua" w:eastAsia="Book Antiqua" w:hAnsi="Book Antiqua" w:cs="Book Antiqua"/>
        </w:rPr>
        <w:t>fully</w:t>
      </w:r>
      <w:r w:rsidR="008E3348" w:rsidRPr="009A3C92">
        <w:rPr>
          <w:rFonts w:ascii="Book Antiqua" w:eastAsia="Book Antiqua" w:hAnsi="Book Antiqua" w:cs="Book Antiqua"/>
        </w:rPr>
        <w:t xml:space="preserve"> </w:t>
      </w:r>
      <w:r w:rsidRPr="009A3C92">
        <w:rPr>
          <w:rFonts w:ascii="Book Antiqua" w:eastAsia="Book Antiqua" w:hAnsi="Book Antiqua" w:cs="Book Antiqua"/>
        </w:rPr>
        <w:t>peer-reviewed</w:t>
      </w:r>
      <w:r w:rsidR="008E3348" w:rsidRPr="009A3C92">
        <w:rPr>
          <w:rFonts w:ascii="Book Antiqua" w:eastAsia="Book Antiqua" w:hAnsi="Book Antiqua" w:cs="Book Antiqua"/>
        </w:rPr>
        <w:t xml:space="preserve"> </w:t>
      </w:r>
      <w:r w:rsidRPr="009A3C92">
        <w:rPr>
          <w:rFonts w:ascii="Book Antiqua" w:eastAsia="Book Antiqua" w:hAnsi="Book Antiqua" w:cs="Book Antiqua"/>
        </w:rPr>
        <w:t>by</w:t>
      </w:r>
      <w:r w:rsidR="008E3348" w:rsidRPr="009A3C92">
        <w:rPr>
          <w:rFonts w:ascii="Book Antiqua" w:eastAsia="Book Antiqua" w:hAnsi="Book Antiqua" w:cs="Book Antiqua"/>
        </w:rPr>
        <w:t xml:space="preserve"> </w:t>
      </w:r>
      <w:r w:rsidRPr="009A3C92">
        <w:rPr>
          <w:rFonts w:ascii="Book Antiqua" w:eastAsia="Book Antiqua" w:hAnsi="Book Antiqua" w:cs="Book Antiqua"/>
        </w:rPr>
        <w:t>external</w:t>
      </w:r>
      <w:r w:rsidR="008E3348" w:rsidRPr="009A3C92">
        <w:rPr>
          <w:rFonts w:ascii="Book Antiqua" w:eastAsia="Book Antiqua" w:hAnsi="Book Antiqua" w:cs="Book Antiqua"/>
        </w:rPr>
        <w:t xml:space="preserve"> </w:t>
      </w:r>
      <w:r w:rsidRPr="009A3C92">
        <w:rPr>
          <w:rFonts w:ascii="Book Antiqua" w:eastAsia="Book Antiqua" w:hAnsi="Book Antiqua" w:cs="Book Antiqua"/>
        </w:rPr>
        <w:t>reviewers.</w:t>
      </w:r>
      <w:r w:rsidR="008E3348" w:rsidRPr="009A3C92">
        <w:rPr>
          <w:rFonts w:ascii="Book Antiqua" w:eastAsia="Book Antiqua" w:hAnsi="Book Antiqua" w:cs="Book Antiqua"/>
        </w:rPr>
        <w:t xml:space="preserve"> </w:t>
      </w:r>
      <w:r w:rsidRPr="009A3C92">
        <w:rPr>
          <w:rFonts w:ascii="Book Antiqua" w:eastAsia="Book Antiqua" w:hAnsi="Book Antiqua" w:cs="Book Antiqua"/>
        </w:rPr>
        <w:t>It</w:t>
      </w:r>
      <w:r w:rsidR="008E3348" w:rsidRPr="009A3C92">
        <w:rPr>
          <w:rFonts w:ascii="Book Antiqua" w:eastAsia="Book Antiqua" w:hAnsi="Book Antiqua" w:cs="Book Antiqua"/>
        </w:rPr>
        <w:t xml:space="preserve"> </w:t>
      </w:r>
      <w:r w:rsidRPr="009A3C92">
        <w:rPr>
          <w:rFonts w:ascii="Book Antiqua" w:eastAsia="Book Antiqua" w:hAnsi="Book Antiqua" w:cs="Book Antiqua"/>
        </w:rPr>
        <w:t>is</w:t>
      </w:r>
      <w:r w:rsidR="008E3348" w:rsidRPr="009A3C92">
        <w:rPr>
          <w:rFonts w:ascii="Book Antiqua" w:eastAsia="Book Antiqua" w:hAnsi="Book Antiqua" w:cs="Book Antiqua"/>
        </w:rPr>
        <w:t xml:space="preserve"> </w:t>
      </w:r>
      <w:r w:rsidRPr="009A3C92">
        <w:rPr>
          <w:rFonts w:ascii="Book Antiqua" w:eastAsia="Book Antiqua" w:hAnsi="Book Antiqua" w:cs="Book Antiqua"/>
        </w:rPr>
        <w:t>distributed</w:t>
      </w:r>
      <w:r w:rsidR="008E3348" w:rsidRPr="009A3C92">
        <w:rPr>
          <w:rFonts w:ascii="Book Antiqua" w:eastAsia="Book Antiqua" w:hAnsi="Book Antiqua" w:cs="Book Antiqua"/>
        </w:rPr>
        <w:t xml:space="preserve"> </w:t>
      </w:r>
      <w:r w:rsidRPr="009A3C92">
        <w:rPr>
          <w:rFonts w:ascii="Book Antiqua" w:eastAsia="Book Antiqua" w:hAnsi="Book Antiqua" w:cs="Book Antiqua"/>
        </w:rPr>
        <w:t>in</w:t>
      </w:r>
      <w:r w:rsidR="008E3348" w:rsidRPr="009A3C92">
        <w:rPr>
          <w:rFonts w:ascii="Book Antiqua" w:eastAsia="Book Antiqua" w:hAnsi="Book Antiqua" w:cs="Book Antiqua"/>
        </w:rPr>
        <w:t xml:space="preserve"> </w:t>
      </w:r>
      <w:r w:rsidRPr="009A3C92">
        <w:rPr>
          <w:rFonts w:ascii="Book Antiqua" w:eastAsia="Book Antiqua" w:hAnsi="Book Antiqua" w:cs="Book Antiqua"/>
        </w:rPr>
        <w:t>accordance</w:t>
      </w:r>
      <w:r w:rsidR="008E3348" w:rsidRPr="009A3C92">
        <w:rPr>
          <w:rFonts w:ascii="Book Antiqua" w:eastAsia="Book Antiqua" w:hAnsi="Book Antiqua" w:cs="Book Antiqua"/>
        </w:rPr>
        <w:t xml:space="preserve"> </w:t>
      </w:r>
      <w:r w:rsidRPr="009A3C92">
        <w:rPr>
          <w:rFonts w:ascii="Book Antiqua" w:eastAsia="Book Antiqua" w:hAnsi="Book Antiqua" w:cs="Book Antiqua"/>
        </w:rPr>
        <w:t>with</w:t>
      </w:r>
      <w:r w:rsidR="008E3348" w:rsidRPr="009A3C92">
        <w:rPr>
          <w:rFonts w:ascii="Book Antiqua" w:eastAsia="Book Antiqua" w:hAnsi="Book Antiqua" w:cs="Book Antiqua"/>
        </w:rPr>
        <w:t xml:space="preserve"> </w:t>
      </w:r>
      <w:r w:rsidRPr="009A3C92">
        <w:rPr>
          <w:rFonts w:ascii="Book Antiqua" w:eastAsia="Book Antiqua" w:hAnsi="Book Antiqua" w:cs="Book Antiqua"/>
        </w:rPr>
        <w:t>the</w:t>
      </w:r>
      <w:r w:rsidR="008E3348" w:rsidRPr="009A3C92">
        <w:rPr>
          <w:rFonts w:ascii="Book Antiqua" w:eastAsia="Book Antiqua" w:hAnsi="Book Antiqua" w:cs="Book Antiqua"/>
        </w:rPr>
        <w:t xml:space="preserve"> </w:t>
      </w:r>
      <w:r w:rsidRPr="009A3C92">
        <w:rPr>
          <w:rFonts w:ascii="Book Antiqua" w:eastAsia="Book Antiqua" w:hAnsi="Book Antiqua" w:cs="Book Antiqua"/>
        </w:rPr>
        <w:t>Creative</w:t>
      </w:r>
      <w:r w:rsidR="008E3348" w:rsidRPr="009A3C92">
        <w:rPr>
          <w:rFonts w:ascii="Book Antiqua" w:eastAsia="Book Antiqua" w:hAnsi="Book Antiqua" w:cs="Book Antiqua"/>
        </w:rPr>
        <w:t xml:space="preserve"> </w:t>
      </w:r>
      <w:r w:rsidRPr="009A3C92">
        <w:rPr>
          <w:rFonts w:ascii="Book Antiqua" w:eastAsia="Book Antiqua" w:hAnsi="Book Antiqua" w:cs="Book Antiqua"/>
        </w:rPr>
        <w:t>Commons</w:t>
      </w:r>
      <w:r w:rsidR="008E3348" w:rsidRPr="009A3C92">
        <w:rPr>
          <w:rFonts w:ascii="Book Antiqua" w:eastAsia="Book Antiqua" w:hAnsi="Book Antiqua" w:cs="Book Antiqua"/>
        </w:rPr>
        <w:t xml:space="preserve"> </w:t>
      </w:r>
      <w:r w:rsidRPr="009A3C92">
        <w:rPr>
          <w:rFonts w:ascii="Book Antiqua" w:eastAsia="Book Antiqua" w:hAnsi="Book Antiqua" w:cs="Book Antiqua"/>
        </w:rPr>
        <w:t>Attribution</w:t>
      </w:r>
      <w:r w:rsidR="008E3348" w:rsidRPr="009A3C92">
        <w:rPr>
          <w:rFonts w:ascii="Book Antiqua" w:eastAsia="Book Antiqua" w:hAnsi="Book Antiqua" w:cs="Book Antiqua"/>
        </w:rPr>
        <w:t xml:space="preserve"> </w:t>
      </w:r>
      <w:r w:rsidRPr="009A3C92">
        <w:rPr>
          <w:rFonts w:ascii="Book Antiqua" w:eastAsia="Book Antiqua" w:hAnsi="Book Antiqua" w:cs="Book Antiqua"/>
        </w:rPr>
        <w:t>NonCommercial</w:t>
      </w:r>
      <w:r w:rsidR="008E3348" w:rsidRPr="009A3C92">
        <w:rPr>
          <w:rFonts w:ascii="Book Antiqua" w:eastAsia="Book Antiqua" w:hAnsi="Book Antiqua" w:cs="Book Antiqua"/>
        </w:rPr>
        <w:t xml:space="preserve"> </w:t>
      </w:r>
      <w:r w:rsidRPr="009A3C92">
        <w:rPr>
          <w:rFonts w:ascii="Book Antiqua" w:eastAsia="Book Antiqua" w:hAnsi="Book Antiqua" w:cs="Book Antiqua"/>
        </w:rPr>
        <w:t>(CC</w:t>
      </w:r>
      <w:r w:rsidR="008E3348" w:rsidRPr="009A3C92">
        <w:rPr>
          <w:rFonts w:ascii="Book Antiqua" w:eastAsia="Book Antiqua" w:hAnsi="Book Antiqua" w:cs="Book Antiqua"/>
        </w:rPr>
        <w:t xml:space="preserve"> </w:t>
      </w:r>
      <w:r w:rsidRPr="009A3C92">
        <w:rPr>
          <w:rFonts w:ascii="Book Antiqua" w:eastAsia="Book Antiqua" w:hAnsi="Book Antiqua" w:cs="Book Antiqua"/>
        </w:rPr>
        <w:t>BY-NC</w:t>
      </w:r>
      <w:r w:rsidR="008E3348" w:rsidRPr="009A3C92">
        <w:rPr>
          <w:rFonts w:ascii="Book Antiqua" w:eastAsia="Book Antiqua" w:hAnsi="Book Antiqua" w:cs="Book Antiqua"/>
        </w:rPr>
        <w:t xml:space="preserve"> </w:t>
      </w:r>
      <w:r w:rsidRPr="009A3C92">
        <w:rPr>
          <w:rFonts w:ascii="Book Antiqua" w:eastAsia="Book Antiqua" w:hAnsi="Book Antiqua" w:cs="Book Antiqua"/>
        </w:rPr>
        <w:t>4.0)</w:t>
      </w:r>
      <w:r w:rsidR="008E3348" w:rsidRPr="009A3C92">
        <w:rPr>
          <w:rFonts w:ascii="Book Antiqua" w:eastAsia="Book Antiqua" w:hAnsi="Book Antiqua" w:cs="Book Antiqua"/>
        </w:rPr>
        <w:t xml:space="preserve"> </w:t>
      </w:r>
      <w:r w:rsidRPr="009A3C92">
        <w:rPr>
          <w:rFonts w:ascii="Book Antiqua" w:eastAsia="Book Antiqua" w:hAnsi="Book Antiqua" w:cs="Book Antiqua"/>
        </w:rPr>
        <w:t>license,</w:t>
      </w:r>
      <w:r w:rsidR="008E3348" w:rsidRPr="009A3C92">
        <w:rPr>
          <w:rFonts w:ascii="Book Antiqua" w:eastAsia="Book Antiqua" w:hAnsi="Book Antiqua" w:cs="Book Antiqua"/>
        </w:rPr>
        <w:t xml:space="preserve"> </w:t>
      </w:r>
      <w:r w:rsidRPr="009A3C92">
        <w:rPr>
          <w:rFonts w:ascii="Book Antiqua" w:eastAsia="Book Antiqua" w:hAnsi="Book Antiqua" w:cs="Book Antiqua"/>
        </w:rPr>
        <w:t>which</w:t>
      </w:r>
      <w:r w:rsidR="008E3348" w:rsidRPr="009A3C92">
        <w:rPr>
          <w:rFonts w:ascii="Book Antiqua" w:eastAsia="Book Antiqua" w:hAnsi="Book Antiqua" w:cs="Book Antiqua"/>
        </w:rPr>
        <w:t xml:space="preserve"> </w:t>
      </w:r>
      <w:r w:rsidRPr="009A3C92">
        <w:rPr>
          <w:rFonts w:ascii="Book Antiqua" w:eastAsia="Book Antiqua" w:hAnsi="Book Antiqua" w:cs="Book Antiqua"/>
        </w:rPr>
        <w:t>permits</w:t>
      </w:r>
      <w:r w:rsidR="008E3348" w:rsidRPr="009A3C92">
        <w:rPr>
          <w:rFonts w:ascii="Book Antiqua" w:eastAsia="Book Antiqua" w:hAnsi="Book Antiqua" w:cs="Book Antiqua"/>
        </w:rPr>
        <w:t xml:space="preserve"> </w:t>
      </w:r>
      <w:r w:rsidRPr="009A3C92">
        <w:rPr>
          <w:rFonts w:ascii="Book Antiqua" w:eastAsia="Book Antiqua" w:hAnsi="Book Antiqua" w:cs="Book Antiqua"/>
        </w:rPr>
        <w:t>others</w:t>
      </w:r>
      <w:r w:rsidR="008E3348" w:rsidRPr="009A3C92">
        <w:rPr>
          <w:rFonts w:ascii="Book Antiqua" w:eastAsia="Book Antiqua" w:hAnsi="Book Antiqua" w:cs="Book Antiqua"/>
        </w:rPr>
        <w:t xml:space="preserve"> </w:t>
      </w:r>
      <w:r w:rsidRPr="009A3C92">
        <w:rPr>
          <w:rFonts w:ascii="Book Antiqua" w:eastAsia="Book Antiqua" w:hAnsi="Book Antiqua" w:cs="Book Antiqua"/>
        </w:rPr>
        <w:t>to</w:t>
      </w:r>
      <w:r w:rsidR="008E3348" w:rsidRPr="009A3C92">
        <w:rPr>
          <w:rFonts w:ascii="Book Antiqua" w:eastAsia="Book Antiqua" w:hAnsi="Book Antiqua" w:cs="Book Antiqua"/>
        </w:rPr>
        <w:t xml:space="preserve"> </w:t>
      </w:r>
      <w:r w:rsidRPr="009A3C92">
        <w:rPr>
          <w:rFonts w:ascii="Book Antiqua" w:eastAsia="Book Antiqua" w:hAnsi="Book Antiqua" w:cs="Book Antiqua"/>
        </w:rPr>
        <w:t>distribute,</w:t>
      </w:r>
      <w:r w:rsidR="008E3348" w:rsidRPr="009A3C92">
        <w:rPr>
          <w:rFonts w:ascii="Book Antiqua" w:eastAsia="Book Antiqua" w:hAnsi="Book Antiqua" w:cs="Book Antiqua"/>
        </w:rPr>
        <w:t xml:space="preserve"> </w:t>
      </w:r>
      <w:r w:rsidRPr="009A3C92">
        <w:rPr>
          <w:rFonts w:ascii="Book Antiqua" w:eastAsia="Book Antiqua" w:hAnsi="Book Antiqua" w:cs="Book Antiqua"/>
        </w:rPr>
        <w:t>remix,</w:t>
      </w:r>
      <w:r w:rsidR="008E3348" w:rsidRPr="009A3C92">
        <w:rPr>
          <w:rFonts w:ascii="Book Antiqua" w:eastAsia="Book Antiqua" w:hAnsi="Book Antiqua" w:cs="Book Antiqua"/>
        </w:rPr>
        <w:t xml:space="preserve"> </w:t>
      </w:r>
      <w:r w:rsidRPr="009A3C92">
        <w:rPr>
          <w:rFonts w:ascii="Book Antiqua" w:eastAsia="Book Antiqua" w:hAnsi="Book Antiqua" w:cs="Book Antiqua"/>
        </w:rPr>
        <w:t>adapt,</w:t>
      </w:r>
      <w:r w:rsidR="008E3348" w:rsidRPr="009A3C92">
        <w:rPr>
          <w:rFonts w:ascii="Book Antiqua" w:eastAsia="Book Antiqua" w:hAnsi="Book Antiqua" w:cs="Book Antiqua"/>
        </w:rPr>
        <w:t xml:space="preserve"> </w:t>
      </w:r>
      <w:r w:rsidRPr="009A3C92">
        <w:rPr>
          <w:rFonts w:ascii="Book Antiqua" w:eastAsia="Book Antiqua" w:hAnsi="Book Antiqua" w:cs="Book Antiqua"/>
        </w:rPr>
        <w:t>build</w:t>
      </w:r>
      <w:r w:rsidR="008E3348" w:rsidRPr="009A3C92">
        <w:rPr>
          <w:rFonts w:ascii="Book Antiqua" w:eastAsia="Book Antiqua" w:hAnsi="Book Antiqua" w:cs="Book Antiqua"/>
        </w:rPr>
        <w:t xml:space="preserve"> </w:t>
      </w:r>
      <w:r w:rsidRPr="009A3C92">
        <w:rPr>
          <w:rFonts w:ascii="Book Antiqua" w:eastAsia="Book Antiqua" w:hAnsi="Book Antiqua" w:cs="Book Antiqua"/>
        </w:rPr>
        <w:t>upon</w:t>
      </w:r>
      <w:r w:rsidR="008E3348" w:rsidRPr="009A3C92">
        <w:rPr>
          <w:rFonts w:ascii="Book Antiqua" w:eastAsia="Book Antiqua" w:hAnsi="Book Antiqua" w:cs="Book Antiqua"/>
        </w:rPr>
        <w:t xml:space="preserve"> </w:t>
      </w:r>
      <w:r w:rsidRPr="009A3C92">
        <w:rPr>
          <w:rFonts w:ascii="Book Antiqua" w:eastAsia="Book Antiqua" w:hAnsi="Book Antiqua" w:cs="Book Antiqua"/>
        </w:rPr>
        <w:t>this</w:t>
      </w:r>
      <w:r w:rsidR="008E3348" w:rsidRPr="009A3C92">
        <w:rPr>
          <w:rFonts w:ascii="Book Antiqua" w:eastAsia="Book Antiqua" w:hAnsi="Book Antiqua" w:cs="Book Antiqua"/>
        </w:rPr>
        <w:t xml:space="preserve"> </w:t>
      </w:r>
      <w:r w:rsidRPr="009A3C92">
        <w:rPr>
          <w:rFonts w:ascii="Book Antiqua" w:eastAsia="Book Antiqua" w:hAnsi="Book Antiqua" w:cs="Book Antiqua"/>
        </w:rPr>
        <w:t>work</w:t>
      </w:r>
      <w:r w:rsidR="008E3348" w:rsidRPr="009A3C92">
        <w:rPr>
          <w:rFonts w:ascii="Book Antiqua" w:eastAsia="Book Antiqua" w:hAnsi="Book Antiqua" w:cs="Book Antiqua"/>
        </w:rPr>
        <w:t xml:space="preserve"> </w:t>
      </w:r>
      <w:r w:rsidRPr="009A3C92">
        <w:rPr>
          <w:rFonts w:ascii="Book Antiqua" w:eastAsia="Book Antiqua" w:hAnsi="Book Antiqua" w:cs="Book Antiqua"/>
        </w:rPr>
        <w:t>non-commercially,</w:t>
      </w:r>
      <w:r w:rsidR="008E3348" w:rsidRPr="009A3C92">
        <w:rPr>
          <w:rFonts w:ascii="Book Antiqua" w:eastAsia="Book Antiqua" w:hAnsi="Book Antiqua" w:cs="Book Antiqua"/>
        </w:rPr>
        <w:t xml:space="preserve"> </w:t>
      </w:r>
      <w:r w:rsidRPr="009A3C92">
        <w:rPr>
          <w:rFonts w:ascii="Book Antiqua" w:eastAsia="Book Antiqua" w:hAnsi="Book Antiqua" w:cs="Book Antiqua"/>
        </w:rPr>
        <w:t>and</w:t>
      </w:r>
      <w:r w:rsidR="008E3348" w:rsidRPr="009A3C92">
        <w:rPr>
          <w:rFonts w:ascii="Book Antiqua" w:eastAsia="Book Antiqua" w:hAnsi="Book Antiqua" w:cs="Book Antiqua"/>
        </w:rPr>
        <w:t xml:space="preserve"> </w:t>
      </w:r>
      <w:r w:rsidRPr="009A3C92">
        <w:rPr>
          <w:rFonts w:ascii="Book Antiqua" w:eastAsia="Book Antiqua" w:hAnsi="Book Antiqua" w:cs="Book Antiqua"/>
        </w:rPr>
        <w:t>license</w:t>
      </w:r>
      <w:r w:rsidR="008E3348" w:rsidRPr="009A3C92">
        <w:rPr>
          <w:rFonts w:ascii="Book Antiqua" w:eastAsia="Book Antiqua" w:hAnsi="Book Antiqua" w:cs="Book Antiqua"/>
        </w:rPr>
        <w:t xml:space="preserve"> </w:t>
      </w:r>
      <w:r w:rsidRPr="009A3C92">
        <w:rPr>
          <w:rFonts w:ascii="Book Antiqua" w:eastAsia="Book Antiqua" w:hAnsi="Book Antiqua" w:cs="Book Antiqua"/>
        </w:rPr>
        <w:t>their</w:t>
      </w:r>
      <w:r w:rsidR="008E3348" w:rsidRPr="009A3C92">
        <w:rPr>
          <w:rFonts w:ascii="Book Antiqua" w:eastAsia="Book Antiqua" w:hAnsi="Book Antiqua" w:cs="Book Antiqua"/>
        </w:rPr>
        <w:t xml:space="preserve"> </w:t>
      </w:r>
      <w:r w:rsidRPr="009A3C92">
        <w:rPr>
          <w:rFonts w:ascii="Book Antiqua" w:eastAsia="Book Antiqua" w:hAnsi="Book Antiqua" w:cs="Book Antiqua"/>
        </w:rPr>
        <w:t>derivative</w:t>
      </w:r>
      <w:r w:rsidR="008E3348" w:rsidRPr="009A3C92">
        <w:rPr>
          <w:rFonts w:ascii="Book Antiqua" w:eastAsia="Book Antiqua" w:hAnsi="Book Antiqua" w:cs="Book Antiqua"/>
        </w:rPr>
        <w:t xml:space="preserve"> </w:t>
      </w:r>
      <w:r w:rsidRPr="009A3C92">
        <w:rPr>
          <w:rFonts w:ascii="Book Antiqua" w:eastAsia="Book Antiqua" w:hAnsi="Book Antiqua" w:cs="Book Antiqua"/>
        </w:rPr>
        <w:t>works</w:t>
      </w:r>
      <w:r w:rsidR="008E3348" w:rsidRPr="009A3C92">
        <w:rPr>
          <w:rFonts w:ascii="Book Antiqua" w:eastAsia="Book Antiqua" w:hAnsi="Book Antiqua" w:cs="Book Antiqua"/>
        </w:rPr>
        <w:t xml:space="preserve"> </w:t>
      </w:r>
      <w:r w:rsidRPr="009A3C92">
        <w:rPr>
          <w:rFonts w:ascii="Book Antiqua" w:eastAsia="Book Antiqua" w:hAnsi="Book Antiqua" w:cs="Book Antiqua"/>
        </w:rPr>
        <w:t>on</w:t>
      </w:r>
      <w:r w:rsidR="008E3348" w:rsidRPr="009A3C92">
        <w:rPr>
          <w:rFonts w:ascii="Book Antiqua" w:eastAsia="Book Antiqua" w:hAnsi="Book Antiqua" w:cs="Book Antiqua"/>
        </w:rPr>
        <w:t xml:space="preserve"> </w:t>
      </w:r>
      <w:r w:rsidRPr="009A3C92">
        <w:rPr>
          <w:rFonts w:ascii="Book Antiqua" w:eastAsia="Book Antiqua" w:hAnsi="Book Antiqua" w:cs="Book Antiqua"/>
        </w:rPr>
        <w:t>different</w:t>
      </w:r>
      <w:r w:rsidR="008E3348" w:rsidRPr="009A3C92">
        <w:rPr>
          <w:rFonts w:ascii="Book Antiqua" w:eastAsia="Book Antiqua" w:hAnsi="Book Antiqua" w:cs="Book Antiqua"/>
        </w:rPr>
        <w:t xml:space="preserve"> </w:t>
      </w:r>
      <w:r w:rsidRPr="009A3C92">
        <w:rPr>
          <w:rFonts w:ascii="Book Antiqua" w:eastAsia="Book Antiqua" w:hAnsi="Book Antiqua" w:cs="Book Antiqua"/>
        </w:rPr>
        <w:t>terms,</w:t>
      </w:r>
      <w:r w:rsidR="008E3348" w:rsidRPr="009A3C92">
        <w:rPr>
          <w:rFonts w:ascii="Book Antiqua" w:eastAsia="Book Antiqua" w:hAnsi="Book Antiqua" w:cs="Book Antiqua"/>
        </w:rPr>
        <w:t xml:space="preserve"> </w:t>
      </w:r>
      <w:r w:rsidRPr="009A3C92">
        <w:rPr>
          <w:rFonts w:ascii="Book Antiqua" w:eastAsia="Book Antiqua" w:hAnsi="Book Antiqua" w:cs="Book Antiqua"/>
        </w:rPr>
        <w:t>provided</w:t>
      </w:r>
      <w:r w:rsidR="008E3348" w:rsidRPr="009A3C92">
        <w:rPr>
          <w:rFonts w:ascii="Book Antiqua" w:eastAsia="Book Antiqua" w:hAnsi="Book Antiqua" w:cs="Book Antiqua"/>
        </w:rPr>
        <w:t xml:space="preserve"> </w:t>
      </w:r>
      <w:r w:rsidRPr="009A3C92">
        <w:rPr>
          <w:rFonts w:ascii="Book Antiqua" w:eastAsia="Book Antiqua" w:hAnsi="Book Antiqua" w:cs="Book Antiqua"/>
        </w:rPr>
        <w:t>the</w:t>
      </w:r>
      <w:r w:rsidR="008E3348" w:rsidRPr="009A3C92">
        <w:rPr>
          <w:rFonts w:ascii="Book Antiqua" w:eastAsia="Book Antiqua" w:hAnsi="Book Antiqua" w:cs="Book Antiqua"/>
        </w:rPr>
        <w:t xml:space="preserve"> </w:t>
      </w:r>
      <w:r w:rsidRPr="009A3C92">
        <w:rPr>
          <w:rFonts w:ascii="Book Antiqua" w:eastAsia="Book Antiqua" w:hAnsi="Book Antiqua" w:cs="Book Antiqua"/>
        </w:rPr>
        <w:t>original</w:t>
      </w:r>
      <w:r w:rsidR="008E3348" w:rsidRPr="009A3C92">
        <w:rPr>
          <w:rFonts w:ascii="Book Antiqua" w:eastAsia="Book Antiqua" w:hAnsi="Book Antiqua" w:cs="Book Antiqua"/>
        </w:rPr>
        <w:t xml:space="preserve"> </w:t>
      </w:r>
      <w:r w:rsidRPr="009A3C92">
        <w:rPr>
          <w:rFonts w:ascii="Book Antiqua" w:eastAsia="Book Antiqua" w:hAnsi="Book Antiqua" w:cs="Book Antiqua"/>
        </w:rPr>
        <w:t>work</w:t>
      </w:r>
      <w:r w:rsidR="008E3348" w:rsidRPr="009A3C92">
        <w:rPr>
          <w:rFonts w:ascii="Book Antiqua" w:eastAsia="Book Antiqua" w:hAnsi="Book Antiqua" w:cs="Book Antiqua"/>
        </w:rPr>
        <w:t xml:space="preserve"> </w:t>
      </w:r>
      <w:r w:rsidRPr="009A3C92">
        <w:rPr>
          <w:rFonts w:ascii="Book Antiqua" w:eastAsia="Book Antiqua" w:hAnsi="Book Antiqua" w:cs="Book Antiqua"/>
        </w:rPr>
        <w:t>is</w:t>
      </w:r>
      <w:r w:rsidR="008E3348" w:rsidRPr="009A3C92">
        <w:rPr>
          <w:rFonts w:ascii="Book Antiqua" w:eastAsia="Book Antiqua" w:hAnsi="Book Antiqua" w:cs="Book Antiqua"/>
        </w:rPr>
        <w:t xml:space="preserve"> </w:t>
      </w:r>
      <w:r w:rsidRPr="009A3C92">
        <w:rPr>
          <w:rFonts w:ascii="Book Antiqua" w:eastAsia="Book Antiqua" w:hAnsi="Book Antiqua" w:cs="Book Antiqua"/>
        </w:rPr>
        <w:t>properly</w:t>
      </w:r>
      <w:r w:rsidR="008E3348" w:rsidRPr="009A3C92">
        <w:rPr>
          <w:rFonts w:ascii="Book Antiqua" w:eastAsia="Book Antiqua" w:hAnsi="Book Antiqua" w:cs="Book Antiqua"/>
        </w:rPr>
        <w:t xml:space="preserve"> </w:t>
      </w:r>
      <w:r w:rsidRPr="009A3C92">
        <w:rPr>
          <w:rFonts w:ascii="Book Antiqua" w:eastAsia="Book Antiqua" w:hAnsi="Book Antiqua" w:cs="Book Antiqua"/>
        </w:rPr>
        <w:t>cited</w:t>
      </w:r>
      <w:r w:rsidR="008E3348" w:rsidRPr="009A3C92">
        <w:rPr>
          <w:rFonts w:ascii="Book Antiqua" w:eastAsia="Book Antiqua" w:hAnsi="Book Antiqua" w:cs="Book Antiqua"/>
        </w:rPr>
        <w:t xml:space="preserve"> </w:t>
      </w:r>
      <w:r w:rsidRPr="009A3C92">
        <w:rPr>
          <w:rFonts w:ascii="Book Antiqua" w:eastAsia="Book Antiqua" w:hAnsi="Book Antiqua" w:cs="Book Antiqua"/>
        </w:rPr>
        <w:t>and</w:t>
      </w:r>
      <w:r w:rsidR="008E3348" w:rsidRPr="009A3C92">
        <w:rPr>
          <w:rFonts w:ascii="Book Antiqua" w:eastAsia="Book Antiqua" w:hAnsi="Book Antiqua" w:cs="Book Antiqua"/>
        </w:rPr>
        <w:t xml:space="preserve"> </w:t>
      </w:r>
      <w:r w:rsidRPr="009A3C92">
        <w:rPr>
          <w:rFonts w:ascii="Book Antiqua" w:eastAsia="Book Antiqua" w:hAnsi="Book Antiqua" w:cs="Book Antiqua"/>
        </w:rPr>
        <w:t>the</w:t>
      </w:r>
      <w:r w:rsidR="008E3348" w:rsidRPr="009A3C92">
        <w:rPr>
          <w:rFonts w:ascii="Book Antiqua" w:eastAsia="Book Antiqua" w:hAnsi="Book Antiqua" w:cs="Book Antiqua"/>
        </w:rPr>
        <w:t xml:space="preserve"> </w:t>
      </w:r>
      <w:r w:rsidRPr="009A3C92">
        <w:rPr>
          <w:rFonts w:ascii="Book Antiqua" w:eastAsia="Book Antiqua" w:hAnsi="Book Antiqua" w:cs="Book Antiqua"/>
        </w:rPr>
        <w:t>use</w:t>
      </w:r>
      <w:r w:rsidR="008E3348" w:rsidRPr="009A3C92">
        <w:rPr>
          <w:rFonts w:ascii="Book Antiqua" w:eastAsia="Book Antiqua" w:hAnsi="Book Antiqua" w:cs="Book Antiqua"/>
        </w:rPr>
        <w:t xml:space="preserve"> </w:t>
      </w:r>
      <w:r w:rsidRPr="009A3C92">
        <w:rPr>
          <w:rFonts w:ascii="Book Antiqua" w:eastAsia="Book Antiqua" w:hAnsi="Book Antiqua" w:cs="Book Antiqua"/>
        </w:rPr>
        <w:t>is</w:t>
      </w:r>
      <w:r w:rsidR="008E3348" w:rsidRPr="009A3C92">
        <w:rPr>
          <w:rFonts w:ascii="Book Antiqua" w:eastAsia="Book Antiqua" w:hAnsi="Book Antiqua" w:cs="Book Antiqua"/>
        </w:rPr>
        <w:t xml:space="preserve"> </w:t>
      </w:r>
      <w:r w:rsidRPr="009A3C92">
        <w:rPr>
          <w:rFonts w:ascii="Book Antiqua" w:eastAsia="Book Antiqua" w:hAnsi="Book Antiqua" w:cs="Book Antiqua"/>
        </w:rPr>
        <w:t>non-commercial.</w:t>
      </w:r>
      <w:r w:rsidR="008E3348" w:rsidRPr="009A3C92">
        <w:rPr>
          <w:rFonts w:ascii="Book Antiqua" w:eastAsia="Book Antiqua" w:hAnsi="Book Antiqua" w:cs="Book Antiqua"/>
        </w:rPr>
        <w:t xml:space="preserve"> </w:t>
      </w:r>
      <w:r w:rsidRPr="009A3C92">
        <w:rPr>
          <w:rFonts w:ascii="Book Antiqua" w:eastAsia="Book Antiqua" w:hAnsi="Book Antiqua" w:cs="Book Antiqua"/>
        </w:rPr>
        <w:t>See:</w:t>
      </w:r>
      <w:r w:rsidR="008E3348" w:rsidRPr="009A3C92">
        <w:rPr>
          <w:rFonts w:ascii="Book Antiqua" w:eastAsia="Book Antiqua" w:hAnsi="Book Antiqua" w:cs="Book Antiqua"/>
        </w:rPr>
        <w:t xml:space="preserve"> </w:t>
      </w:r>
      <w:r w:rsidRPr="009A3C92">
        <w:rPr>
          <w:rFonts w:ascii="Book Antiqua" w:eastAsia="Book Antiqua" w:hAnsi="Book Antiqua" w:cs="Book Antiqua"/>
        </w:rPr>
        <w:t>https://creativecommons.org/Licenses/by-nc/4.0/</w:t>
      </w:r>
    </w:p>
    <w:p w14:paraId="641CD9B3" w14:textId="77777777" w:rsidR="00A77B3E" w:rsidRPr="009A3C92" w:rsidRDefault="00A77B3E">
      <w:pPr>
        <w:spacing w:line="360" w:lineRule="auto"/>
        <w:jc w:val="both"/>
      </w:pPr>
    </w:p>
    <w:p w14:paraId="41D892CD" w14:textId="348146DD" w:rsidR="00A77B3E" w:rsidRPr="009A3C92" w:rsidRDefault="00202141">
      <w:pPr>
        <w:spacing w:line="360" w:lineRule="auto"/>
        <w:jc w:val="both"/>
      </w:pPr>
      <w:r w:rsidRPr="009A3C92">
        <w:rPr>
          <w:rFonts w:ascii="Book Antiqua" w:eastAsia="Book Antiqua" w:hAnsi="Book Antiqua" w:cs="Book Antiqua"/>
          <w:b/>
          <w:color w:val="000000"/>
        </w:rPr>
        <w:t>Provenance</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and</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peer</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review:</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rPr>
        <w:t>Invited</w:t>
      </w:r>
      <w:r w:rsidR="008E3348" w:rsidRPr="009A3C92">
        <w:rPr>
          <w:rFonts w:ascii="Book Antiqua" w:eastAsia="Book Antiqua" w:hAnsi="Book Antiqua" w:cs="Book Antiqua"/>
        </w:rPr>
        <w:t xml:space="preserve"> </w:t>
      </w:r>
      <w:r w:rsidRPr="009A3C92">
        <w:rPr>
          <w:rFonts w:ascii="Book Antiqua" w:eastAsia="Book Antiqua" w:hAnsi="Book Antiqua" w:cs="Book Antiqua"/>
        </w:rPr>
        <w:t>article;</w:t>
      </w:r>
      <w:r w:rsidR="008E3348" w:rsidRPr="009A3C92">
        <w:rPr>
          <w:rFonts w:ascii="Book Antiqua" w:eastAsia="Book Antiqua" w:hAnsi="Book Antiqua" w:cs="Book Antiqua"/>
        </w:rPr>
        <w:t xml:space="preserve"> </w:t>
      </w:r>
      <w:r w:rsidRPr="009A3C92">
        <w:rPr>
          <w:rFonts w:ascii="Book Antiqua" w:eastAsia="Book Antiqua" w:hAnsi="Book Antiqua" w:cs="Book Antiqua"/>
        </w:rPr>
        <w:t>Externally</w:t>
      </w:r>
      <w:r w:rsidR="008E3348" w:rsidRPr="009A3C92">
        <w:rPr>
          <w:rFonts w:ascii="Book Antiqua" w:eastAsia="Book Antiqua" w:hAnsi="Book Antiqua" w:cs="Book Antiqua"/>
        </w:rPr>
        <w:t xml:space="preserve"> </w:t>
      </w:r>
      <w:r w:rsidRPr="009A3C92">
        <w:rPr>
          <w:rFonts w:ascii="Book Antiqua" w:eastAsia="Book Antiqua" w:hAnsi="Book Antiqua" w:cs="Book Antiqua"/>
        </w:rPr>
        <w:t>peer</w:t>
      </w:r>
      <w:r w:rsidR="008E3348" w:rsidRPr="009A3C92">
        <w:rPr>
          <w:rFonts w:ascii="Book Antiqua" w:eastAsia="Book Antiqua" w:hAnsi="Book Antiqua" w:cs="Book Antiqua"/>
        </w:rPr>
        <w:t xml:space="preserve"> </w:t>
      </w:r>
      <w:r w:rsidRPr="009A3C92">
        <w:rPr>
          <w:rFonts w:ascii="Book Antiqua" w:eastAsia="Book Antiqua" w:hAnsi="Book Antiqua" w:cs="Book Antiqua"/>
        </w:rPr>
        <w:t>reviewed.</w:t>
      </w:r>
    </w:p>
    <w:p w14:paraId="2C849618" w14:textId="2E7AF579" w:rsidR="00A77B3E" w:rsidRPr="009A3C92" w:rsidRDefault="00202141">
      <w:pPr>
        <w:spacing w:line="360" w:lineRule="auto"/>
        <w:jc w:val="both"/>
      </w:pPr>
      <w:r w:rsidRPr="009A3C92">
        <w:rPr>
          <w:rFonts w:ascii="Book Antiqua" w:eastAsia="Book Antiqua" w:hAnsi="Book Antiqua" w:cs="Book Antiqua"/>
          <w:b/>
          <w:color w:val="000000"/>
        </w:rPr>
        <w:t>Peer-review</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model:</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rPr>
        <w:t>Single</w:t>
      </w:r>
      <w:r w:rsidR="008E3348" w:rsidRPr="009A3C92">
        <w:rPr>
          <w:rFonts w:ascii="Book Antiqua" w:eastAsia="Book Antiqua" w:hAnsi="Book Antiqua" w:cs="Book Antiqua"/>
        </w:rPr>
        <w:t xml:space="preserve"> </w:t>
      </w:r>
      <w:r w:rsidRPr="009A3C92">
        <w:rPr>
          <w:rFonts w:ascii="Book Antiqua" w:eastAsia="Book Antiqua" w:hAnsi="Book Antiqua" w:cs="Book Antiqua"/>
        </w:rPr>
        <w:t>blind</w:t>
      </w:r>
    </w:p>
    <w:p w14:paraId="757EE577" w14:textId="77777777" w:rsidR="00A77B3E" w:rsidRPr="009A3C92" w:rsidRDefault="00A77B3E">
      <w:pPr>
        <w:spacing w:line="360" w:lineRule="auto"/>
        <w:jc w:val="both"/>
      </w:pPr>
    </w:p>
    <w:p w14:paraId="203602C3" w14:textId="773F77FA" w:rsidR="00A77B3E" w:rsidRPr="009A3C92" w:rsidRDefault="00202141">
      <w:pPr>
        <w:spacing w:line="360" w:lineRule="auto"/>
        <w:jc w:val="both"/>
      </w:pPr>
      <w:r w:rsidRPr="009A3C92">
        <w:rPr>
          <w:rFonts w:ascii="Book Antiqua" w:eastAsia="Book Antiqua" w:hAnsi="Book Antiqua" w:cs="Book Antiqua"/>
          <w:b/>
          <w:color w:val="000000"/>
        </w:rPr>
        <w:t>Peer-review</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started:</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rPr>
        <w:t>December</w:t>
      </w:r>
      <w:r w:rsidR="008E3348" w:rsidRPr="009A3C92">
        <w:rPr>
          <w:rFonts w:ascii="Book Antiqua" w:eastAsia="Book Antiqua" w:hAnsi="Book Antiqua" w:cs="Book Antiqua"/>
        </w:rPr>
        <w:t xml:space="preserve"> </w:t>
      </w:r>
      <w:r w:rsidRPr="009A3C92">
        <w:rPr>
          <w:rFonts w:ascii="Book Antiqua" w:eastAsia="Book Antiqua" w:hAnsi="Book Antiqua" w:cs="Book Antiqua"/>
        </w:rPr>
        <w:t>28,</w:t>
      </w:r>
      <w:r w:rsidR="008E3348" w:rsidRPr="009A3C92">
        <w:rPr>
          <w:rFonts w:ascii="Book Antiqua" w:eastAsia="Book Antiqua" w:hAnsi="Book Antiqua" w:cs="Book Antiqua"/>
        </w:rPr>
        <w:t xml:space="preserve"> </w:t>
      </w:r>
      <w:r w:rsidRPr="009A3C92">
        <w:rPr>
          <w:rFonts w:ascii="Book Antiqua" w:eastAsia="Book Antiqua" w:hAnsi="Book Antiqua" w:cs="Book Antiqua"/>
        </w:rPr>
        <w:t>2022</w:t>
      </w:r>
    </w:p>
    <w:p w14:paraId="5314C855" w14:textId="79B76346" w:rsidR="00A77B3E" w:rsidRPr="009A3C92" w:rsidRDefault="00202141">
      <w:pPr>
        <w:spacing w:line="360" w:lineRule="auto"/>
        <w:jc w:val="both"/>
      </w:pPr>
      <w:r w:rsidRPr="009A3C92">
        <w:rPr>
          <w:rFonts w:ascii="Book Antiqua" w:eastAsia="Book Antiqua" w:hAnsi="Book Antiqua" w:cs="Book Antiqua"/>
          <w:b/>
          <w:color w:val="000000"/>
        </w:rPr>
        <w:t>First</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decision:</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rPr>
        <w:t>March</w:t>
      </w:r>
      <w:r w:rsidR="008E3348" w:rsidRPr="009A3C92">
        <w:rPr>
          <w:rFonts w:ascii="Book Antiqua" w:eastAsia="Book Antiqua" w:hAnsi="Book Antiqua" w:cs="Book Antiqua"/>
        </w:rPr>
        <w:t xml:space="preserve"> </w:t>
      </w:r>
      <w:r w:rsidRPr="009A3C92">
        <w:rPr>
          <w:rFonts w:ascii="Book Antiqua" w:eastAsia="Book Antiqua" w:hAnsi="Book Antiqua" w:cs="Book Antiqua"/>
        </w:rPr>
        <w:t>8,</w:t>
      </w:r>
      <w:r w:rsidR="008E3348" w:rsidRPr="009A3C92">
        <w:rPr>
          <w:rFonts w:ascii="Book Antiqua" w:eastAsia="Book Antiqua" w:hAnsi="Book Antiqua" w:cs="Book Antiqua"/>
        </w:rPr>
        <w:t xml:space="preserve"> </w:t>
      </w:r>
      <w:r w:rsidRPr="009A3C92">
        <w:rPr>
          <w:rFonts w:ascii="Book Antiqua" w:eastAsia="Book Antiqua" w:hAnsi="Book Antiqua" w:cs="Book Antiqua"/>
        </w:rPr>
        <w:t>2023</w:t>
      </w:r>
    </w:p>
    <w:p w14:paraId="5F564862" w14:textId="4B328498" w:rsidR="00A77B3E" w:rsidRPr="009A3C92" w:rsidRDefault="00202141">
      <w:pPr>
        <w:spacing w:line="360" w:lineRule="auto"/>
        <w:jc w:val="both"/>
      </w:pPr>
      <w:r w:rsidRPr="009A3C92">
        <w:rPr>
          <w:rFonts w:ascii="Book Antiqua" w:eastAsia="Book Antiqua" w:hAnsi="Book Antiqua" w:cs="Book Antiqua"/>
          <w:b/>
          <w:color w:val="000000"/>
        </w:rPr>
        <w:t>Article</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in</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press:</w:t>
      </w:r>
      <w:r w:rsidR="008E3348" w:rsidRPr="009A3C92">
        <w:rPr>
          <w:rFonts w:ascii="Book Antiqua" w:eastAsia="Book Antiqua" w:hAnsi="Book Antiqua" w:cs="Book Antiqua"/>
          <w:b/>
          <w:color w:val="000000"/>
        </w:rPr>
        <w:t xml:space="preserve"> </w:t>
      </w:r>
      <w:r w:rsidR="000C16C7" w:rsidRPr="009A3C92">
        <w:rPr>
          <w:rFonts w:ascii="Book Antiqua" w:eastAsia="Book Antiqua" w:hAnsi="Book Antiqua" w:cs="Book Antiqua"/>
        </w:rPr>
        <w:t>April 17, 2023</w:t>
      </w:r>
    </w:p>
    <w:p w14:paraId="0C23B9D6" w14:textId="77777777" w:rsidR="00A77B3E" w:rsidRPr="009A3C92" w:rsidRDefault="00A77B3E">
      <w:pPr>
        <w:spacing w:line="360" w:lineRule="auto"/>
        <w:jc w:val="both"/>
      </w:pPr>
    </w:p>
    <w:p w14:paraId="519CFF3D" w14:textId="5ED6ACE5" w:rsidR="00A77B3E" w:rsidRPr="009A3C92" w:rsidRDefault="00202141">
      <w:pPr>
        <w:spacing w:line="360" w:lineRule="auto"/>
        <w:jc w:val="both"/>
      </w:pPr>
      <w:r w:rsidRPr="009A3C92">
        <w:rPr>
          <w:rFonts w:ascii="Book Antiqua" w:eastAsia="Book Antiqua" w:hAnsi="Book Antiqua" w:cs="Book Antiqua"/>
          <w:b/>
          <w:color w:val="000000"/>
        </w:rPr>
        <w:t>Specialty</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type:</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rPr>
        <w:t>Pediatrics</w:t>
      </w:r>
    </w:p>
    <w:p w14:paraId="0EF89F5B" w14:textId="08FA3CC4" w:rsidR="00A77B3E" w:rsidRPr="009A3C92" w:rsidRDefault="00202141">
      <w:pPr>
        <w:spacing w:line="360" w:lineRule="auto"/>
        <w:jc w:val="both"/>
      </w:pPr>
      <w:r w:rsidRPr="009A3C92">
        <w:rPr>
          <w:rFonts w:ascii="Book Antiqua" w:eastAsia="Book Antiqua" w:hAnsi="Book Antiqua" w:cs="Book Antiqua"/>
          <w:b/>
          <w:color w:val="000000"/>
        </w:rPr>
        <w:t>Country/Territory</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of</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origin:</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rPr>
        <w:t>South</w:t>
      </w:r>
      <w:r w:rsidR="008E3348" w:rsidRPr="009A3C92">
        <w:rPr>
          <w:rFonts w:ascii="Book Antiqua" w:eastAsia="Book Antiqua" w:hAnsi="Book Antiqua" w:cs="Book Antiqua"/>
        </w:rPr>
        <w:t xml:space="preserve"> </w:t>
      </w:r>
      <w:r w:rsidRPr="009A3C92">
        <w:rPr>
          <w:rFonts w:ascii="Book Antiqua" w:eastAsia="Book Antiqua" w:hAnsi="Book Antiqua" w:cs="Book Antiqua"/>
        </w:rPr>
        <w:t>Korea</w:t>
      </w:r>
    </w:p>
    <w:p w14:paraId="73061184" w14:textId="08FA21F8" w:rsidR="00A77B3E" w:rsidRPr="009A3C92" w:rsidRDefault="00202141">
      <w:pPr>
        <w:spacing w:line="360" w:lineRule="auto"/>
        <w:jc w:val="both"/>
      </w:pPr>
      <w:r w:rsidRPr="009A3C92">
        <w:rPr>
          <w:rFonts w:ascii="Book Antiqua" w:eastAsia="Book Antiqua" w:hAnsi="Book Antiqua" w:cs="Book Antiqua"/>
          <w:b/>
          <w:color w:val="000000"/>
        </w:rPr>
        <w:t>Peer-review</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report’s</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scientific</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quality</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classification</w:t>
      </w:r>
    </w:p>
    <w:p w14:paraId="4ADADC47" w14:textId="656CDD16" w:rsidR="00A77B3E" w:rsidRPr="009A3C92" w:rsidRDefault="00202141">
      <w:pPr>
        <w:spacing w:line="360" w:lineRule="auto"/>
        <w:jc w:val="both"/>
      </w:pPr>
      <w:r w:rsidRPr="009A3C92">
        <w:rPr>
          <w:rFonts w:ascii="Book Antiqua" w:eastAsia="Book Antiqua" w:hAnsi="Book Antiqua" w:cs="Book Antiqua"/>
        </w:rPr>
        <w:t>Grade</w:t>
      </w:r>
      <w:r w:rsidR="008E3348" w:rsidRPr="009A3C92">
        <w:rPr>
          <w:rFonts w:ascii="Book Antiqua" w:eastAsia="Book Antiqua" w:hAnsi="Book Antiqua" w:cs="Book Antiqua"/>
        </w:rPr>
        <w:t xml:space="preserve"> </w:t>
      </w:r>
      <w:r w:rsidRPr="009A3C92">
        <w:rPr>
          <w:rFonts w:ascii="Book Antiqua" w:eastAsia="Book Antiqua" w:hAnsi="Book Antiqua" w:cs="Book Antiqua"/>
        </w:rPr>
        <w:t>A</w:t>
      </w:r>
      <w:r w:rsidR="008E3348" w:rsidRPr="009A3C92">
        <w:rPr>
          <w:rFonts w:ascii="Book Antiqua" w:eastAsia="Book Antiqua" w:hAnsi="Book Antiqua" w:cs="Book Antiqua"/>
        </w:rPr>
        <w:t xml:space="preserve"> </w:t>
      </w:r>
      <w:r w:rsidRPr="009A3C92">
        <w:rPr>
          <w:rFonts w:ascii="Book Antiqua" w:eastAsia="Book Antiqua" w:hAnsi="Book Antiqua" w:cs="Book Antiqua"/>
        </w:rPr>
        <w:t>(Excellent):</w:t>
      </w:r>
      <w:r w:rsidR="008E3348" w:rsidRPr="009A3C92">
        <w:rPr>
          <w:rFonts w:ascii="Book Antiqua" w:eastAsia="Book Antiqua" w:hAnsi="Book Antiqua" w:cs="Book Antiqua"/>
        </w:rPr>
        <w:t xml:space="preserve"> </w:t>
      </w:r>
      <w:r w:rsidRPr="009A3C92">
        <w:rPr>
          <w:rFonts w:ascii="Book Antiqua" w:eastAsia="Book Antiqua" w:hAnsi="Book Antiqua" w:cs="Book Antiqua"/>
        </w:rPr>
        <w:t>0</w:t>
      </w:r>
    </w:p>
    <w:p w14:paraId="49417C37" w14:textId="6E4C60DE" w:rsidR="00A77B3E" w:rsidRPr="009A3C92" w:rsidRDefault="00202141">
      <w:pPr>
        <w:spacing w:line="360" w:lineRule="auto"/>
        <w:jc w:val="both"/>
      </w:pPr>
      <w:r w:rsidRPr="009A3C92">
        <w:rPr>
          <w:rFonts w:ascii="Book Antiqua" w:eastAsia="Book Antiqua" w:hAnsi="Book Antiqua" w:cs="Book Antiqua"/>
        </w:rPr>
        <w:t>Grade</w:t>
      </w:r>
      <w:r w:rsidR="008E3348" w:rsidRPr="009A3C92">
        <w:rPr>
          <w:rFonts w:ascii="Book Antiqua" w:eastAsia="Book Antiqua" w:hAnsi="Book Antiqua" w:cs="Book Antiqua"/>
        </w:rPr>
        <w:t xml:space="preserve"> </w:t>
      </w:r>
      <w:r w:rsidRPr="009A3C92">
        <w:rPr>
          <w:rFonts w:ascii="Book Antiqua" w:eastAsia="Book Antiqua" w:hAnsi="Book Antiqua" w:cs="Book Antiqua"/>
        </w:rPr>
        <w:t>B</w:t>
      </w:r>
      <w:r w:rsidR="008E3348" w:rsidRPr="009A3C92">
        <w:rPr>
          <w:rFonts w:ascii="Book Antiqua" w:eastAsia="Book Antiqua" w:hAnsi="Book Antiqua" w:cs="Book Antiqua"/>
        </w:rPr>
        <w:t xml:space="preserve"> </w:t>
      </w:r>
      <w:r w:rsidRPr="009A3C92">
        <w:rPr>
          <w:rFonts w:ascii="Book Antiqua" w:eastAsia="Book Antiqua" w:hAnsi="Book Antiqua" w:cs="Book Antiqua"/>
        </w:rPr>
        <w:t>(Very</w:t>
      </w:r>
      <w:r w:rsidR="008E3348" w:rsidRPr="009A3C92">
        <w:rPr>
          <w:rFonts w:ascii="Book Antiqua" w:eastAsia="Book Antiqua" w:hAnsi="Book Antiqua" w:cs="Book Antiqua"/>
        </w:rPr>
        <w:t xml:space="preserve"> </w:t>
      </w:r>
      <w:r w:rsidRPr="009A3C92">
        <w:rPr>
          <w:rFonts w:ascii="Book Antiqua" w:eastAsia="Book Antiqua" w:hAnsi="Book Antiqua" w:cs="Book Antiqua"/>
        </w:rPr>
        <w:t>good):</w:t>
      </w:r>
      <w:r w:rsidR="008E3348" w:rsidRPr="009A3C92">
        <w:rPr>
          <w:rFonts w:ascii="Book Antiqua" w:eastAsia="Book Antiqua" w:hAnsi="Book Antiqua" w:cs="Book Antiqua"/>
        </w:rPr>
        <w:t xml:space="preserve"> </w:t>
      </w:r>
      <w:r w:rsidRPr="009A3C92">
        <w:rPr>
          <w:rFonts w:ascii="Book Antiqua" w:eastAsia="Book Antiqua" w:hAnsi="Book Antiqua" w:cs="Book Antiqua"/>
        </w:rPr>
        <w:t>B,</w:t>
      </w:r>
      <w:r w:rsidR="008E3348" w:rsidRPr="009A3C92">
        <w:rPr>
          <w:rFonts w:ascii="Book Antiqua" w:eastAsia="Book Antiqua" w:hAnsi="Book Antiqua" w:cs="Book Antiqua"/>
        </w:rPr>
        <w:t xml:space="preserve"> </w:t>
      </w:r>
      <w:r w:rsidRPr="009A3C92">
        <w:rPr>
          <w:rFonts w:ascii="Book Antiqua" w:eastAsia="Book Antiqua" w:hAnsi="Book Antiqua" w:cs="Book Antiqua"/>
        </w:rPr>
        <w:t>B,</w:t>
      </w:r>
      <w:r w:rsidR="008E3348" w:rsidRPr="009A3C92">
        <w:rPr>
          <w:rFonts w:ascii="Book Antiqua" w:eastAsia="Book Antiqua" w:hAnsi="Book Antiqua" w:cs="Book Antiqua"/>
        </w:rPr>
        <w:t xml:space="preserve"> </w:t>
      </w:r>
      <w:r w:rsidRPr="009A3C92">
        <w:rPr>
          <w:rFonts w:ascii="Book Antiqua" w:eastAsia="Book Antiqua" w:hAnsi="Book Antiqua" w:cs="Book Antiqua"/>
        </w:rPr>
        <w:t>B</w:t>
      </w:r>
    </w:p>
    <w:p w14:paraId="70471D73" w14:textId="1D955D84" w:rsidR="00A77B3E" w:rsidRPr="009A3C92" w:rsidRDefault="00202141">
      <w:pPr>
        <w:spacing w:line="360" w:lineRule="auto"/>
        <w:jc w:val="both"/>
      </w:pPr>
      <w:r w:rsidRPr="009A3C92">
        <w:rPr>
          <w:rFonts w:ascii="Book Antiqua" w:eastAsia="Book Antiqua" w:hAnsi="Book Antiqua" w:cs="Book Antiqua"/>
        </w:rPr>
        <w:t>Grade</w:t>
      </w:r>
      <w:r w:rsidR="008E3348" w:rsidRPr="009A3C92">
        <w:rPr>
          <w:rFonts w:ascii="Book Antiqua" w:eastAsia="Book Antiqua" w:hAnsi="Book Antiqua" w:cs="Book Antiqua"/>
        </w:rPr>
        <w:t xml:space="preserve"> </w:t>
      </w:r>
      <w:r w:rsidRPr="009A3C92">
        <w:rPr>
          <w:rFonts w:ascii="Book Antiqua" w:eastAsia="Book Antiqua" w:hAnsi="Book Antiqua" w:cs="Book Antiqua"/>
        </w:rPr>
        <w:t>C</w:t>
      </w:r>
      <w:r w:rsidR="008E3348" w:rsidRPr="009A3C92">
        <w:rPr>
          <w:rFonts w:ascii="Book Antiqua" w:eastAsia="Book Antiqua" w:hAnsi="Book Antiqua" w:cs="Book Antiqua"/>
        </w:rPr>
        <w:t xml:space="preserve"> </w:t>
      </w:r>
      <w:r w:rsidRPr="009A3C92">
        <w:rPr>
          <w:rFonts w:ascii="Book Antiqua" w:eastAsia="Book Antiqua" w:hAnsi="Book Antiqua" w:cs="Book Antiqua"/>
        </w:rPr>
        <w:t>(Good):</w:t>
      </w:r>
      <w:r w:rsidR="008E3348" w:rsidRPr="009A3C92">
        <w:rPr>
          <w:rFonts w:ascii="Book Antiqua" w:eastAsia="Book Antiqua" w:hAnsi="Book Antiqua" w:cs="Book Antiqua"/>
        </w:rPr>
        <w:t xml:space="preserve"> </w:t>
      </w:r>
      <w:r w:rsidRPr="009A3C92">
        <w:rPr>
          <w:rFonts w:ascii="Book Antiqua" w:eastAsia="Book Antiqua" w:hAnsi="Book Antiqua" w:cs="Book Antiqua"/>
        </w:rPr>
        <w:t>0</w:t>
      </w:r>
    </w:p>
    <w:p w14:paraId="7341ABF3" w14:textId="6BDA6D73" w:rsidR="00A77B3E" w:rsidRPr="009A3C92" w:rsidRDefault="00202141">
      <w:pPr>
        <w:spacing w:line="360" w:lineRule="auto"/>
        <w:jc w:val="both"/>
      </w:pPr>
      <w:r w:rsidRPr="009A3C92">
        <w:rPr>
          <w:rFonts w:ascii="Book Antiqua" w:eastAsia="Book Antiqua" w:hAnsi="Book Antiqua" w:cs="Book Antiqua"/>
        </w:rPr>
        <w:t>Grade</w:t>
      </w:r>
      <w:r w:rsidR="008E3348" w:rsidRPr="009A3C92">
        <w:rPr>
          <w:rFonts w:ascii="Book Antiqua" w:eastAsia="Book Antiqua" w:hAnsi="Book Antiqua" w:cs="Book Antiqua"/>
        </w:rPr>
        <w:t xml:space="preserve"> </w:t>
      </w:r>
      <w:r w:rsidRPr="009A3C92">
        <w:rPr>
          <w:rFonts w:ascii="Book Antiqua" w:eastAsia="Book Antiqua" w:hAnsi="Book Antiqua" w:cs="Book Antiqua"/>
        </w:rPr>
        <w:t>D</w:t>
      </w:r>
      <w:r w:rsidR="008E3348" w:rsidRPr="009A3C92">
        <w:rPr>
          <w:rFonts w:ascii="Book Antiqua" w:eastAsia="Book Antiqua" w:hAnsi="Book Antiqua" w:cs="Book Antiqua"/>
        </w:rPr>
        <w:t xml:space="preserve"> </w:t>
      </w:r>
      <w:r w:rsidRPr="009A3C92">
        <w:rPr>
          <w:rFonts w:ascii="Book Antiqua" w:eastAsia="Book Antiqua" w:hAnsi="Book Antiqua" w:cs="Book Antiqua"/>
        </w:rPr>
        <w:t>(Fair):</w:t>
      </w:r>
      <w:r w:rsidR="008E3348" w:rsidRPr="009A3C92">
        <w:rPr>
          <w:rFonts w:ascii="Book Antiqua" w:eastAsia="Book Antiqua" w:hAnsi="Book Antiqua" w:cs="Book Antiqua"/>
        </w:rPr>
        <w:t xml:space="preserve"> </w:t>
      </w:r>
      <w:r w:rsidRPr="009A3C92">
        <w:rPr>
          <w:rFonts w:ascii="Book Antiqua" w:eastAsia="Book Antiqua" w:hAnsi="Book Antiqua" w:cs="Book Antiqua"/>
        </w:rPr>
        <w:t>0</w:t>
      </w:r>
    </w:p>
    <w:p w14:paraId="396E8E20" w14:textId="17E3C1F0" w:rsidR="00A77B3E" w:rsidRPr="009A3C92" w:rsidRDefault="00202141">
      <w:pPr>
        <w:spacing w:line="360" w:lineRule="auto"/>
        <w:jc w:val="both"/>
      </w:pPr>
      <w:r w:rsidRPr="009A3C92">
        <w:rPr>
          <w:rFonts w:ascii="Book Antiqua" w:eastAsia="Book Antiqua" w:hAnsi="Book Antiqua" w:cs="Book Antiqua"/>
        </w:rPr>
        <w:t>Grade</w:t>
      </w:r>
      <w:r w:rsidR="008E3348" w:rsidRPr="009A3C92">
        <w:rPr>
          <w:rFonts w:ascii="Book Antiqua" w:eastAsia="Book Antiqua" w:hAnsi="Book Antiqua" w:cs="Book Antiqua"/>
        </w:rPr>
        <w:t xml:space="preserve"> </w:t>
      </w:r>
      <w:r w:rsidRPr="009A3C92">
        <w:rPr>
          <w:rFonts w:ascii="Book Antiqua" w:eastAsia="Book Antiqua" w:hAnsi="Book Antiqua" w:cs="Book Antiqua"/>
        </w:rPr>
        <w:t>E</w:t>
      </w:r>
      <w:r w:rsidR="008E3348" w:rsidRPr="009A3C92">
        <w:rPr>
          <w:rFonts w:ascii="Book Antiqua" w:eastAsia="Book Antiqua" w:hAnsi="Book Antiqua" w:cs="Book Antiqua"/>
        </w:rPr>
        <w:t xml:space="preserve"> </w:t>
      </w:r>
      <w:r w:rsidRPr="009A3C92">
        <w:rPr>
          <w:rFonts w:ascii="Book Antiqua" w:eastAsia="Book Antiqua" w:hAnsi="Book Antiqua" w:cs="Book Antiqua"/>
        </w:rPr>
        <w:t>(Poor):</w:t>
      </w:r>
      <w:r w:rsidR="008E3348" w:rsidRPr="009A3C92">
        <w:rPr>
          <w:rFonts w:ascii="Book Antiqua" w:eastAsia="Book Antiqua" w:hAnsi="Book Antiqua" w:cs="Book Antiqua"/>
        </w:rPr>
        <w:t xml:space="preserve"> </w:t>
      </w:r>
      <w:r w:rsidRPr="009A3C92">
        <w:rPr>
          <w:rFonts w:ascii="Book Antiqua" w:eastAsia="Book Antiqua" w:hAnsi="Book Antiqua" w:cs="Book Antiqua"/>
        </w:rPr>
        <w:t>0</w:t>
      </w:r>
    </w:p>
    <w:p w14:paraId="614F3D69" w14:textId="77777777" w:rsidR="00A77B3E" w:rsidRPr="009A3C92" w:rsidRDefault="00A77B3E">
      <w:pPr>
        <w:spacing w:line="360" w:lineRule="auto"/>
        <w:jc w:val="both"/>
      </w:pPr>
    </w:p>
    <w:p w14:paraId="2C8A29F9" w14:textId="6F68B445" w:rsidR="00105A6F" w:rsidRPr="009A3C92" w:rsidRDefault="00202141">
      <w:pPr>
        <w:spacing w:line="360" w:lineRule="auto"/>
        <w:jc w:val="both"/>
        <w:rPr>
          <w:rFonts w:ascii="Book Antiqua" w:eastAsia="Book Antiqua" w:hAnsi="Book Antiqua" w:cs="Book Antiqua"/>
          <w:b/>
          <w:color w:val="000000"/>
        </w:rPr>
      </w:pPr>
      <w:r w:rsidRPr="009A3C92">
        <w:rPr>
          <w:rFonts w:ascii="Book Antiqua" w:eastAsia="Book Antiqua" w:hAnsi="Book Antiqua" w:cs="Book Antiqua"/>
          <w:b/>
          <w:color w:val="000000"/>
        </w:rPr>
        <w:t>P-Reviewer:</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rPr>
        <w:t>Govindarajan</w:t>
      </w:r>
      <w:r w:rsidR="008E3348" w:rsidRPr="009A3C92">
        <w:rPr>
          <w:rFonts w:ascii="Book Antiqua" w:eastAsia="Book Antiqua" w:hAnsi="Book Antiqua" w:cs="Book Antiqua"/>
        </w:rPr>
        <w:t xml:space="preserve"> </w:t>
      </w:r>
      <w:r w:rsidRPr="009A3C92">
        <w:rPr>
          <w:rFonts w:ascii="Book Antiqua" w:eastAsia="Book Antiqua" w:hAnsi="Book Antiqua" w:cs="Book Antiqua"/>
        </w:rPr>
        <w:t>KK,</w:t>
      </w:r>
      <w:r w:rsidR="008E3348" w:rsidRPr="009A3C92">
        <w:rPr>
          <w:rFonts w:ascii="Book Antiqua" w:eastAsia="Book Antiqua" w:hAnsi="Book Antiqua" w:cs="Book Antiqua"/>
        </w:rPr>
        <w:t xml:space="preserve"> </w:t>
      </w:r>
      <w:r w:rsidRPr="009A3C92">
        <w:rPr>
          <w:rFonts w:ascii="Book Antiqua" w:eastAsia="Book Antiqua" w:hAnsi="Book Antiqua" w:cs="Book Antiqua"/>
        </w:rPr>
        <w:t>India;</w:t>
      </w:r>
      <w:r w:rsidR="008E3348" w:rsidRPr="009A3C92">
        <w:rPr>
          <w:rFonts w:ascii="Book Antiqua" w:eastAsia="Book Antiqua" w:hAnsi="Book Antiqua" w:cs="Book Antiqua"/>
        </w:rPr>
        <w:t xml:space="preserve"> </w:t>
      </w:r>
      <w:r w:rsidRPr="009A3C92">
        <w:rPr>
          <w:rFonts w:ascii="Book Antiqua" w:eastAsia="Book Antiqua" w:hAnsi="Book Antiqua" w:cs="Book Antiqua"/>
        </w:rPr>
        <w:t>Gravina</w:t>
      </w:r>
      <w:r w:rsidR="008E3348" w:rsidRPr="009A3C92">
        <w:rPr>
          <w:rFonts w:ascii="Book Antiqua" w:eastAsia="Book Antiqua" w:hAnsi="Book Antiqua" w:cs="Book Antiqua"/>
        </w:rPr>
        <w:t xml:space="preserve"> </w:t>
      </w:r>
      <w:r w:rsidRPr="009A3C92">
        <w:rPr>
          <w:rFonts w:ascii="Book Antiqua" w:eastAsia="Book Antiqua" w:hAnsi="Book Antiqua" w:cs="Book Antiqua"/>
        </w:rPr>
        <w:t>AG,</w:t>
      </w:r>
      <w:r w:rsidR="008E3348" w:rsidRPr="009A3C92">
        <w:rPr>
          <w:rFonts w:ascii="Book Antiqua" w:eastAsia="Book Antiqua" w:hAnsi="Book Antiqua" w:cs="Book Antiqua"/>
        </w:rPr>
        <w:t xml:space="preserve"> </w:t>
      </w:r>
      <w:r w:rsidRPr="009A3C92">
        <w:rPr>
          <w:rFonts w:ascii="Book Antiqua" w:eastAsia="Book Antiqua" w:hAnsi="Book Antiqua" w:cs="Book Antiqua"/>
        </w:rPr>
        <w:t>Italy;</w:t>
      </w:r>
      <w:r w:rsidR="008E3348" w:rsidRPr="009A3C92">
        <w:rPr>
          <w:rFonts w:ascii="Book Antiqua" w:eastAsia="Book Antiqua" w:hAnsi="Book Antiqua" w:cs="Book Antiqua"/>
        </w:rPr>
        <w:t xml:space="preserve"> </w:t>
      </w:r>
      <w:r w:rsidRPr="009A3C92">
        <w:rPr>
          <w:rFonts w:ascii="Book Antiqua" w:eastAsia="Book Antiqua" w:hAnsi="Book Antiqua" w:cs="Book Antiqua"/>
        </w:rPr>
        <w:t>Moshref</w:t>
      </w:r>
      <w:r w:rsidR="008E3348" w:rsidRPr="009A3C92">
        <w:rPr>
          <w:rFonts w:ascii="Book Antiqua" w:eastAsia="Book Antiqua" w:hAnsi="Book Antiqua" w:cs="Book Antiqua"/>
        </w:rPr>
        <w:t xml:space="preserve"> </w:t>
      </w:r>
      <w:r w:rsidRPr="009A3C92">
        <w:rPr>
          <w:rFonts w:ascii="Book Antiqua" w:eastAsia="Book Antiqua" w:hAnsi="Book Antiqua" w:cs="Book Antiqua"/>
        </w:rPr>
        <w:t>RH,</w:t>
      </w:r>
      <w:r w:rsidR="008E3348" w:rsidRPr="009A3C92">
        <w:rPr>
          <w:rFonts w:ascii="Book Antiqua" w:eastAsia="Book Antiqua" w:hAnsi="Book Antiqua" w:cs="Book Antiqua"/>
        </w:rPr>
        <w:t xml:space="preserve"> </w:t>
      </w:r>
      <w:r w:rsidRPr="009A3C92">
        <w:rPr>
          <w:rFonts w:ascii="Book Antiqua" w:eastAsia="Book Antiqua" w:hAnsi="Book Antiqua" w:cs="Book Antiqua"/>
        </w:rPr>
        <w:t>Saudi</w:t>
      </w:r>
      <w:r w:rsidR="008E3348" w:rsidRPr="009A3C92">
        <w:rPr>
          <w:rFonts w:ascii="Book Antiqua" w:eastAsia="Book Antiqua" w:hAnsi="Book Antiqua" w:cs="Book Antiqua"/>
        </w:rPr>
        <w:t xml:space="preserve"> </w:t>
      </w:r>
      <w:r w:rsidRPr="009A3C92">
        <w:rPr>
          <w:rFonts w:ascii="Book Antiqua" w:eastAsia="Book Antiqua" w:hAnsi="Book Antiqua" w:cs="Book Antiqua"/>
        </w:rPr>
        <w:t>Arabia</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S-Editor:</w:t>
      </w:r>
      <w:r w:rsidR="008E3348" w:rsidRPr="009A3C92">
        <w:rPr>
          <w:rFonts w:ascii="Book Antiqua" w:eastAsia="Book Antiqua" w:hAnsi="Book Antiqua" w:cs="Book Antiqua"/>
          <w:b/>
          <w:color w:val="000000"/>
        </w:rPr>
        <w:t xml:space="preserve"> </w:t>
      </w:r>
      <w:r w:rsidR="00105A6F" w:rsidRPr="009A3C92">
        <w:rPr>
          <w:rFonts w:ascii="Book Antiqua" w:eastAsia="Book Antiqua" w:hAnsi="Book Antiqua" w:cs="Book Antiqua"/>
          <w:bCs/>
          <w:color w:val="000000"/>
        </w:rPr>
        <w:t>Zhang</w:t>
      </w:r>
      <w:r w:rsidR="008E3348" w:rsidRPr="009A3C92">
        <w:rPr>
          <w:rFonts w:ascii="Book Antiqua" w:eastAsia="Book Antiqua" w:hAnsi="Book Antiqua" w:cs="Book Antiqua"/>
          <w:bCs/>
          <w:color w:val="000000"/>
        </w:rPr>
        <w:t xml:space="preserve"> </w:t>
      </w:r>
      <w:r w:rsidR="00105A6F" w:rsidRPr="009A3C92">
        <w:rPr>
          <w:rFonts w:ascii="Book Antiqua" w:eastAsia="Book Antiqua" w:hAnsi="Book Antiqua" w:cs="Book Antiqua"/>
          <w:bCs/>
          <w:color w:val="000000"/>
        </w:rPr>
        <w:t>H</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L-Editor:</w:t>
      </w:r>
      <w:r w:rsidR="008E3348" w:rsidRPr="009A3C92">
        <w:rPr>
          <w:rFonts w:ascii="Book Antiqua" w:eastAsia="Book Antiqua" w:hAnsi="Book Antiqua" w:cs="Book Antiqua"/>
          <w:b/>
          <w:color w:val="000000"/>
        </w:rPr>
        <w:t xml:space="preserve"> </w:t>
      </w:r>
      <w:r w:rsidR="00105A6F" w:rsidRPr="009A3C92">
        <w:rPr>
          <w:rFonts w:ascii="Book Antiqua" w:eastAsia="Book Antiqua" w:hAnsi="Book Antiqua" w:cs="Book Antiqua"/>
          <w:bCs/>
          <w:color w:val="000000"/>
        </w:rPr>
        <w:t>A</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P-Editor:</w:t>
      </w:r>
      <w:r w:rsidR="000C16C7" w:rsidRPr="009A3C92">
        <w:rPr>
          <w:rFonts w:ascii="Book Antiqua" w:eastAsia="Book Antiqua" w:hAnsi="Book Antiqua" w:cs="Book Antiqua"/>
          <w:bCs/>
          <w:color w:val="000000"/>
        </w:rPr>
        <w:t xml:space="preserve"> Yu HG</w:t>
      </w:r>
    </w:p>
    <w:p w14:paraId="37F3D28A" w14:textId="4B791118" w:rsidR="00A77B3E" w:rsidRPr="009A3C92" w:rsidRDefault="00A77B3E">
      <w:pPr>
        <w:spacing w:line="360" w:lineRule="auto"/>
        <w:jc w:val="both"/>
        <w:sectPr w:rsidR="00A77B3E" w:rsidRPr="009A3C92">
          <w:pgSz w:w="12240" w:h="15840"/>
          <w:pgMar w:top="1440" w:right="1440" w:bottom="1440" w:left="1440" w:header="720" w:footer="720" w:gutter="0"/>
          <w:cols w:space="720"/>
          <w:docGrid w:linePitch="360"/>
        </w:sectPr>
      </w:pPr>
    </w:p>
    <w:p w14:paraId="1FE0D978" w14:textId="3B8EEA9E" w:rsidR="00A77B3E" w:rsidRPr="009A3C92" w:rsidRDefault="00202141">
      <w:pPr>
        <w:spacing w:line="360" w:lineRule="auto"/>
        <w:jc w:val="both"/>
      </w:pPr>
      <w:r w:rsidRPr="009A3C92">
        <w:rPr>
          <w:rFonts w:ascii="Book Antiqua" w:eastAsia="Book Antiqua" w:hAnsi="Book Antiqua" w:cs="Book Antiqua"/>
          <w:b/>
          <w:color w:val="000000"/>
        </w:rPr>
        <w:lastRenderedPageBreak/>
        <w:t>Figure</w:t>
      </w:r>
      <w:r w:rsidR="008E3348" w:rsidRPr="009A3C92">
        <w:rPr>
          <w:rFonts w:ascii="Book Antiqua" w:eastAsia="Book Antiqua" w:hAnsi="Book Antiqua" w:cs="Book Antiqua"/>
          <w:b/>
          <w:color w:val="000000"/>
        </w:rPr>
        <w:t xml:space="preserve"> </w:t>
      </w:r>
      <w:r w:rsidRPr="009A3C92">
        <w:rPr>
          <w:rFonts w:ascii="Book Antiqua" w:eastAsia="Book Antiqua" w:hAnsi="Book Antiqua" w:cs="Book Antiqua"/>
          <w:b/>
          <w:color w:val="000000"/>
        </w:rPr>
        <w:t>Legends</w:t>
      </w:r>
    </w:p>
    <w:p w14:paraId="48546AB2" w14:textId="0DBFF75B" w:rsidR="00864843" w:rsidRPr="009A3C92" w:rsidRDefault="00E62306">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4785BF08" wp14:editId="51A6F98A">
            <wp:extent cx="5943600" cy="1541780"/>
            <wp:effectExtent l="0" t="0" r="0" b="1270"/>
            <wp:docPr id="4896495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41780"/>
                    </a:xfrm>
                    <a:prstGeom prst="rect">
                      <a:avLst/>
                    </a:prstGeom>
                    <a:noFill/>
                    <a:ln>
                      <a:noFill/>
                    </a:ln>
                  </pic:spPr>
                </pic:pic>
              </a:graphicData>
            </a:graphic>
          </wp:inline>
        </w:drawing>
      </w:r>
    </w:p>
    <w:p w14:paraId="1881BE27" w14:textId="1A038A4C" w:rsidR="00593196" w:rsidRPr="009A3C92" w:rsidRDefault="00202141" w:rsidP="00593196">
      <w:pPr>
        <w:spacing w:line="360" w:lineRule="auto"/>
        <w:jc w:val="both"/>
        <w:rPr>
          <w:rFonts w:ascii="Book Antiqua" w:eastAsia="Book Antiqua" w:hAnsi="Book Antiqua" w:cs="Book Antiqua"/>
        </w:rPr>
      </w:pPr>
      <w:r w:rsidRPr="009A3C92">
        <w:rPr>
          <w:rFonts w:ascii="Book Antiqua" w:eastAsia="Book Antiqua" w:hAnsi="Book Antiqua" w:cs="Book Antiqua"/>
          <w:b/>
          <w:bCs/>
          <w:color w:val="000000"/>
        </w:rPr>
        <w:t>Figure</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1</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The</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pharmacokinetic</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profile</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of</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an</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intravenously</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or</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subcutaneously</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administered</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anti</w:t>
      </w:r>
      <w:r w:rsidR="00864843" w:rsidRPr="009A3C92">
        <w:rPr>
          <w:rFonts w:ascii="Book Antiqua" w:eastAsia="Book Antiqua" w:hAnsi="Book Antiqua" w:cs="Book Antiqua"/>
          <w:b/>
          <w:bCs/>
          <w:color w:val="000000"/>
        </w:rPr>
        <w:t>-tumor</w:t>
      </w:r>
      <w:r w:rsidR="008E3348" w:rsidRPr="009A3C92">
        <w:rPr>
          <w:rFonts w:ascii="Book Antiqua" w:eastAsia="Book Antiqua" w:hAnsi="Book Antiqua" w:cs="Book Antiqua"/>
          <w:b/>
          <w:bCs/>
          <w:color w:val="000000"/>
        </w:rPr>
        <w:t xml:space="preserve"> </w:t>
      </w:r>
      <w:r w:rsidR="00864843" w:rsidRPr="009A3C92">
        <w:rPr>
          <w:rFonts w:ascii="Book Antiqua" w:eastAsia="Book Antiqua" w:hAnsi="Book Antiqua" w:cs="Book Antiqua"/>
          <w:b/>
          <w:bCs/>
          <w:color w:val="000000"/>
        </w:rPr>
        <w:t>necrosis</w:t>
      </w:r>
      <w:r w:rsidR="008E3348" w:rsidRPr="009A3C92">
        <w:rPr>
          <w:rFonts w:ascii="Book Antiqua" w:eastAsia="Book Antiqua" w:hAnsi="Book Antiqua" w:cs="Book Antiqua"/>
          <w:b/>
          <w:bCs/>
          <w:color w:val="000000"/>
        </w:rPr>
        <w:t xml:space="preserve"> </w:t>
      </w:r>
      <w:r w:rsidR="00864843" w:rsidRPr="009A3C92">
        <w:rPr>
          <w:rFonts w:ascii="Book Antiqua" w:eastAsia="Book Antiqua" w:hAnsi="Book Antiqua" w:cs="Book Antiqua"/>
          <w:b/>
          <w:bCs/>
          <w:color w:val="000000"/>
        </w:rPr>
        <w:t>factor</w:t>
      </w:r>
      <w:r w:rsidR="008E3348" w:rsidRPr="009A3C92">
        <w:rPr>
          <w:rFonts w:ascii="Book Antiqua" w:eastAsia="Book Antiqua" w:hAnsi="Book Antiqua" w:cs="Book Antiqua"/>
          <w:b/>
          <w:bCs/>
          <w:color w:val="000000"/>
        </w:rPr>
        <w:t xml:space="preserve"> </w:t>
      </w:r>
      <w:r w:rsidRPr="009A3C92">
        <w:rPr>
          <w:rFonts w:ascii="Book Antiqua" w:eastAsia="Book Antiqua" w:hAnsi="Book Antiqua" w:cs="Book Antiqua"/>
          <w:b/>
          <w:bCs/>
          <w:color w:val="000000"/>
        </w:rPr>
        <w:t>agent.</w:t>
      </w:r>
      <w:r w:rsidR="008E3348" w:rsidRPr="009A3C92">
        <w:rPr>
          <w:rFonts w:ascii="Book Antiqua" w:eastAsia="Book Antiqua" w:hAnsi="Book Antiqua" w:cs="Book Antiqua"/>
          <w:b/>
          <w:bCs/>
          <w:color w:val="000000"/>
        </w:rPr>
        <w:t xml:space="preserve"> </w:t>
      </w:r>
      <w:r w:rsidR="00455332"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theoretical</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induction</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dosing</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regimen;</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B:</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According</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to</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a</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theoretical</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maintenance</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dosing</w:t>
      </w:r>
      <w:r w:rsidR="008E3348" w:rsidRPr="009A3C92">
        <w:rPr>
          <w:rFonts w:ascii="Book Antiqua" w:eastAsia="Book Antiqua" w:hAnsi="Book Antiqua" w:cs="Book Antiqua"/>
          <w:color w:val="000000"/>
        </w:rPr>
        <w:t xml:space="preserve"> </w:t>
      </w:r>
      <w:r w:rsidR="00455332" w:rsidRPr="009A3C92">
        <w:rPr>
          <w:rFonts w:ascii="Book Antiqua" w:eastAsia="Book Antiqua" w:hAnsi="Book Antiqua" w:cs="Book Antiqua"/>
          <w:color w:val="000000"/>
        </w:rPr>
        <w:t>regimen.</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TNF:</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tumor</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necrosis</w:t>
      </w:r>
      <w:r w:rsidR="008E3348" w:rsidRPr="009A3C92">
        <w:rPr>
          <w:rFonts w:ascii="Book Antiqua" w:eastAsia="Book Antiqua" w:hAnsi="Book Antiqua" w:cs="Book Antiqua"/>
          <w:color w:val="000000"/>
        </w:rPr>
        <w:t xml:space="preserve"> </w:t>
      </w:r>
      <w:r w:rsidRPr="009A3C92">
        <w:rPr>
          <w:rFonts w:ascii="Book Antiqua" w:eastAsia="Book Antiqua" w:hAnsi="Book Antiqua" w:cs="Book Antiqua"/>
          <w:color w:val="000000"/>
        </w:rPr>
        <w:t>factor</w:t>
      </w:r>
      <w:r w:rsidR="00864843" w:rsidRPr="009A3C92">
        <w:rPr>
          <w:rFonts w:ascii="Book Antiqua" w:eastAsia="Book Antiqua" w:hAnsi="Book Antiqua" w:cs="Book Antiqua"/>
          <w:color w:val="000000"/>
        </w:rPr>
        <w:t>.</w:t>
      </w:r>
      <w:r w:rsidR="008E3348" w:rsidRPr="009A3C92">
        <w:rPr>
          <w:rFonts w:ascii="Book Antiqua" w:eastAsia="Book Antiqua" w:hAnsi="Book Antiqua" w:cs="Book Antiqua"/>
          <w:color w:val="000000"/>
        </w:rPr>
        <w:t xml:space="preserve"> </w:t>
      </w:r>
      <w:r w:rsidR="00593196" w:rsidRPr="009A3C92">
        <w:rPr>
          <w:rFonts w:ascii="Book Antiqua" w:eastAsia="Book Antiqua" w:hAnsi="Book Antiqua" w:cs="Book Antiqua"/>
        </w:rPr>
        <w:t xml:space="preserve">Citation: </w:t>
      </w:r>
      <w:r w:rsidR="00593196" w:rsidRPr="009A3C92">
        <w:rPr>
          <w:rFonts w:ascii="Book Antiqua" w:hAnsi="Book Antiqua"/>
        </w:rPr>
        <w:t xml:space="preserve">Gibson DJ, Ward MG, Rentsch C, Friedman AB, Taylor KM, Sparrow MP, Gibson PR. Review article: determination of the therapeutic range for therapeutic drug monitoring of adalimumab and infliximab in patients with inflammatory bowel disease. </w:t>
      </w:r>
      <w:r w:rsidR="00593196" w:rsidRPr="009A3C92">
        <w:rPr>
          <w:rFonts w:ascii="Book Antiqua" w:hAnsi="Book Antiqua"/>
          <w:i/>
          <w:iCs/>
        </w:rPr>
        <w:t>Aliment Pharmacol Ther</w:t>
      </w:r>
      <w:r w:rsidR="00593196" w:rsidRPr="009A3C92">
        <w:rPr>
          <w:rFonts w:ascii="Book Antiqua" w:hAnsi="Book Antiqua"/>
        </w:rPr>
        <w:t xml:space="preserve"> 2020; 51: 612-628. Copyright </w:t>
      </w:r>
      <w:r w:rsidR="00593196" w:rsidRPr="009A3C92">
        <w:rPr>
          <w:rFonts w:ascii="Book Antiqua" w:hAnsi="Book Antiqua" w:hint="eastAsia"/>
        </w:rPr>
        <w:t>©</w:t>
      </w:r>
      <w:r w:rsidR="00593196" w:rsidRPr="009A3C92">
        <w:rPr>
          <w:rFonts w:ascii="Book Antiqua" w:hAnsi="Book Antiqua"/>
        </w:rPr>
        <w:t>John Wiley &amp; Sons Ltd. 2020. Published by John Wiley &amp; Sons</w:t>
      </w:r>
      <w:r w:rsidR="00593196" w:rsidRPr="009A3C92">
        <w:rPr>
          <w:rFonts w:ascii="Book Antiqua" w:hAnsi="Book Antiqua" w:hint="eastAsia"/>
          <w:vertAlign w:val="superscript"/>
          <w:lang w:eastAsia="zh-CN"/>
        </w:rPr>
        <w:t>[</w:t>
      </w:r>
      <w:r w:rsidR="00593196" w:rsidRPr="009A3C92">
        <w:rPr>
          <w:rFonts w:ascii="Book Antiqua" w:hAnsi="Book Antiqua"/>
          <w:vertAlign w:val="superscript"/>
          <w:lang w:eastAsia="zh-CN"/>
        </w:rPr>
        <w:t>31]</w:t>
      </w:r>
      <w:r w:rsidR="00593196" w:rsidRPr="009A3C92">
        <w:rPr>
          <w:rFonts w:ascii="Book Antiqua" w:hAnsi="Book Antiqua"/>
          <w:lang w:eastAsia="zh-CN"/>
        </w:rPr>
        <w:t>.</w:t>
      </w:r>
    </w:p>
    <w:p w14:paraId="71A69B71" w14:textId="143B1D0F" w:rsidR="00A77B3E" w:rsidRPr="009A3C92" w:rsidRDefault="00A77B3E">
      <w:pPr>
        <w:spacing w:line="360" w:lineRule="auto"/>
        <w:jc w:val="both"/>
        <w:rPr>
          <w:color w:val="000000" w:themeColor="text1"/>
        </w:rPr>
      </w:pPr>
    </w:p>
    <w:p w14:paraId="09D9E903" w14:textId="188117D5" w:rsidR="00A77B3E" w:rsidRDefault="00864843">
      <w:pPr>
        <w:spacing w:line="360" w:lineRule="auto"/>
        <w:jc w:val="both"/>
        <w:rPr>
          <w:rFonts w:ascii="Book Antiqua" w:eastAsia="Book Antiqua" w:hAnsi="Book Antiqua" w:cs="Book Antiqua"/>
          <w:noProof/>
          <w:color w:val="000000"/>
        </w:rPr>
      </w:pPr>
      <w:r w:rsidRPr="009A3C92">
        <w:rPr>
          <w:rFonts w:ascii="Book Antiqua" w:eastAsia="Book Antiqua" w:hAnsi="Book Antiqua" w:cs="Book Antiqua"/>
          <w:color w:val="000000"/>
        </w:rPr>
        <w:br w:type="page"/>
      </w:r>
    </w:p>
    <w:p w14:paraId="4E6F3541" w14:textId="795DA9A8" w:rsidR="00E62306" w:rsidRPr="009A3C92" w:rsidRDefault="00E62306">
      <w:pPr>
        <w:spacing w:line="360" w:lineRule="auto"/>
        <w:jc w:val="both"/>
      </w:pPr>
      <w:r>
        <w:rPr>
          <w:rFonts w:ascii="Book Antiqua" w:eastAsia="Book Antiqua" w:hAnsi="Book Antiqua" w:cs="Book Antiqua"/>
          <w:noProof/>
          <w:color w:val="000000"/>
        </w:rPr>
        <w:lastRenderedPageBreak/>
        <w:drawing>
          <wp:inline distT="0" distB="0" distL="0" distR="0" wp14:anchorId="6C1ECA9A" wp14:editId="6EB6E435">
            <wp:extent cx="5943600" cy="2955925"/>
            <wp:effectExtent l="0" t="0" r="0" b="0"/>
            <wp:docPr id="67080616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955925"/>
                    </a:xfrm>
                    <a:prstGeom prst="rect">
                      <a:avLst/>
                    </a:prstGeom>
                    <a:noFill/>
                    <a:ln>
                      <a:noFill/>
                    </a:ln>
                  </pic:spPr>
                </pic:pic>
              </a:graphicData>
            </a:graphic>
          </wp:inline>
        </w:drawing>
      </w:r>
    </w:p>
    <w:p w14:paraId="5AF7B9A8" w14:textId="399D1AC9" w:rsidR="00593196" w:rsidRPr="009A3C92" w:rsidRDefault="00202141" w:rsidP="00593196">
      <w:pPr>
        <w:spacing w:line="360" w:lineRule="auto"/>
        <w:rPr>
          <w:rFonts w:ascii="Book Antiqua" w:eastAsia="Book Antiqua" w:hAnsi="Book Antiqua" w:cs="Book Antiqua"/>
          <w:color w:val="000000" w:themeColor="text1"/>
        </w:rPr>
      </w:pPr>
      <w:r w:rsidRPr="009A3C92">
        <w:rPr>
          <w:rFonts w:ascii="Book Antiqua" w:eastAsia="Book Antiqua" w:hAnsi="Book Antiqua" w:cs="Book Antiqua"/>
          <w:b/>
          <w:bCs/>
          <w:color w:val="000000" w:themeColor="text1"/>
        </w:rPr>
        <w:t>Figure</w:t>
      </w:r>
      <w:r w:rsidR="008E3348" w:rsidRPr="009A3C92">
        <w:rPr>
          <w:rFonts w:ascii="Book Antiqua" w:eastAsia="Book Antiqua" w:hAnsi="Book Antiqua" w:cs="Book Antiqua"/>
          <w:b/>
          <w:bCs/>
          <w:color w:val="000000" w:themeColor="text1"/>
        </w:rPr>
        <w:t xml:space="preserve"> </w:t>
      </w:r>
      <w:r w:rsidR="001F4C8F" w:rsidRPr="009A3C92">
        <w:rPr>
          <w:rFonts w:ascii="Book Antiqua" w:eastAsia="Book Antiqua" w:hAnsi="Book Antiqua" w:cs="Book Antiqua"/>
          <w:b/>
          <w:bCs/>
          <w:color w:val="000000" w:themeColor="text1"/>
        </w:rPr>
        <w:t>2</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Summary</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flowchart</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of</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medical</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management</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of</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pediatric</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luminal</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Crohn’s</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disease</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and</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points</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to</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consider</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when</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selecting</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anti-</w:t>
      </w:r>
      <w:r w:rsidR="00864843" w:rsidRPr="009A3C92">
        <w:rPr>
          <w:rFonts w:ascii="Book Antiqua" w:eastAsia="Book Antiqua" w:hAnsi="Book Antiqua" w:cs="Book Antiqua"/>
          <w:b/>
          <w:bCs/>
          <w:color w:val="000000"/>
        </w:rPr>
        <w:t>tumor</w:t>
      </w:r>
      <w:r w:rsidR="008E3348" w:rsidRPr="009A3C92">
        <w:rPr>
          <w:rFonts w:ascii="Book Antiqua" w:eastAsia="Book Antiqua" w:hAnsi="Book Antiqua" w:cs="Book Antiqua"/>
          <w:b/>
          <w:bCs/>
          <w:color w:val="000000"/>
        </w:rPr>
        <w:t xml:space="preserve"> </w:t>
      </w:r>
      <w:r w:rsidR="00864843" w:rsidRPr="009A3C92">
        <w:rPr>
          <w:rFonts w:ascii="Book Antiqua" w:eastAsia="Book Antiqua" w:hAnsi="Book Antiqua" w:cs="Book Antiqua"/>
          <w:b/>
          <w:bCs/>
          <w:color w:val="000000"/>
        </w:rPr>
        <w:t>necrosis</w:t>
      </w:r>
      <w:r w:rsidR="008E3348" w:rsidRPr="009A3C92">
        <w:rPr>
          <w:rFonts w:ascii="Book Antiqua" w:eastAsia="Book Antiqua" w:hAnsi="Book Antiqua" w:cs="Book Antiqua"/>
          <w:b/>
          <w:bCs/>
          <w:color w:val="000000"/>
        </w:rPr>
        <w:t xml:space="preserve"> </w:t>
      </w:r>
      <w:r w:rsidR="00864843" w:rsidRPr="009A3C92">
        <w:rPr>
          <w:rFonts w:ascii="Book Antiqua" w:eastAsia="Book Antiqua" w:hAnsi="Book Antiqua" w:cs="Book Antiqua"/>
          <w:b/>
          <w:bCs/>
          <w:color w:val="000000"/>
        </w:rPr>
        <w:t>factor</w:t>
      </w:r>
      <w:r w:rsidR="008E3348" w:rsidRPr="009A3C92">
        <w:rPr>
          <w:rFonts w:ascii="Book Antiqua" w:eastAsia="Book Antiqua" w:hAnsi="Book Antiqua" w:cs="Book Antiqua"/>
          <w:b/>
          <w:bCs/>
          <w:color w:val="000000" w:themeColor="text1"/>
        </w:rPr>
        <w:t xml:space="preserve"> </w:t>
      </w:r>
      <w:r w:rsidRPr="009A3C92">
        <w:rPr>
          <w:rFonts w:ascii="Book Antiqua" w:eastAsia="Book Antiqua" w:hAnsi="Book Antiqua" w:cs="Book Antiqua"/>
          <w:b/>
          <w:bCs/>
          <w:color w:val="000000" w:themeColor="text1"/>
        </w:rPr>
        <w:t>agents.</w:t>
      </w:r>
      <w:r w:rsidR="008E3348" w:rsidRPr="009A3C92">
        <w:rPr>
          <w:rFonts w:hint="eastAsia"/>
          <w:color w:val="000000" w:themeColor="text1"/>
          <w:lang w:eastAsia="zh-CN"/>
        </w:rPr>
        <w:t xml:space="preserve"> </w:t>
      </w:r>
      <w:r w:rsidRPr="009A3C92">
        <w:rPr>
          <w:rFonts w:ascii="Book Antiqua" w:eastAsia="Book Antiqua" w:hAnsi="Book Antiqua" w:cs="Book Antiqua"/>
          <w:color w:val="000000" w:themeColor="text1"/>
        </w:rPr>
        <w:t>TNF:</w:t>
      </w:r>
      <w:r w:rsidR="008E3348" w:rsidRPr="009A3C92">
        <w:rPr>
          <w:rFonts w:ascii="Book Antiqua" w:eastAsia="Book Antiqua" w:hAnsi="Book Antiqua" w:cs="Book Antiqua"/>
          <w:color w:val="000000" w:themeColor="text1"/>
        </w:rPr>
        <w:t xml:space="preserve"> </w:t>
      </w:r>
      <w:r w:rsidR="00864843" w:rsidRPr="009A3C92">
        <w:rPr>
          <w:rFonts w:ascii="Book Antiqua" w:eastAsia="Book Antiqua" w:hAnsi="Book Antiqua" w:cs="Book Antiqua"/>
          <w:color w:val="000000" w:themeColor="text1"/>
        </w:rPr>
        <w:t>T</w:t>
      </w:r>
      <w:r w:rsidRPr="009A3C92">
        <w:rPr>
          <w:rFonts w:ascii="Book Antiqua" w:eastAsia="Book Antiqua" w:hAnsi="Book Antiqua" w:cs="Book Antiqua"/>
          <w:color w:val="000000" w:themeColor="text1"/>
        </w:rPr>
        <w:t>umor</w:t>
      </w:r>
      <w:r w:rsidR="008E3348" w:rsidRPr="009A3C92">
        <w:rPr>
          <w:rFonts w:ascii="Book Antiqua" w:eastAsia="Book Antiqua" w:hAnsi="Book Antiqua" w:cs="Book Antiqua"/>
          <w:color w:val="000000" w:themeColor="text1"/>
        </w:rPr>
        <w:t xml:space="preserve"> </w:t>
      </w:r>
      <w:r w:rsidRPr="009A3C92">
        <w:rPr>
          <w:rFonts w:ascii="Book Antiqua" w:eastAsia="Book Antiqua" w:hAnsi="Book Antiqua" w:cs="Book Antiqua"/>
          <w:color w:val="000000" w:themeColor="text1"/>
        </w:rPr>
        <w:t>necrosis</w:t>
      </w:r>
      <w:r w:rsidR="008E3348" w:rsidRPr="009A3C92">
        <w:rPr>
          <w:rFonts w:ascii="Book Antiqua" w:eastAsia="Book Antiqua" w:hAnsi="Book Antiqua" w:cs="Book Antiqua"/>
          <w:color w:val="000000" w:themeColor="text1"/>
        </w:rPr>
        <w:t xml:space="preserve"> </w:t>
      </w:r>
      <w:r w:rsidRPr="009A3C92">
        <w:rPr>
          <w:rFonts w:ascii="Book Antiqua" w:eastAsia="Book Antiqua" w:hAnsi="Book Antiqua" w:cs="Book Antiqua"/>
          <w:color w:val="000000" w:themeColor="text1"/>
        </w:rPr>
        <w:t>factor</w:t>
      </w:r>
      <w:r w:rsidR="00864843" w:rsidRPr="009A3C92">
        <w:rPr>
          <w:rFonts w:ascii="Book Antiqua" w:eastAsia="Book Antiqua" w:hAnsi="Book Antiqua" w:cs="Book Antiqua"/>
          <w:color w:val="000000" w:themeColor="text1"/>
        </w:rPr>
        <w:t>;</w:t>
      </w:r>
      <w:r w:rsidR="008E3348" w:rsidRPr="009A3C92">
        <w:rPr>
          <w:rFonts w:ascii="Book Antiqua" w:eastAsia="Book Antiqua" w:hAnsi="Book Antiqua" w:cs="Book Antiqua"/>
          <w:color w:val="000000" w:themeColor="text1"/>
        </w:rPr>
        <w:t xml:space="preserve"> </w:t>
      </w:r>
      <w:r w:rsidRPr="009A3C92">
        <w:rPr>
          <w:rFonts w:ascii="Book Antiqua" w:eastAsia="Book Antiqua" w:hAnsi="Book Antiqua" w:cs="Book Antiqua"/>
          <w:color w:val="000000" w:themeColor="text1"/>
        </w:rPr>
        <w:t>EEN:</w:t>
      </w:r>
      <w:r w:rsidR="008E3348" w:rsidRPr="009A3C92">
        <w:rPr>
          <w:rFonts w:ascii="Book Antiqua" w:eastAsia="Book Antiqua" w:hAnsi="Book Antiqua" w:cs="Book Antiqua"/>
          <w:color w:val="000000" w:themeColor="text1"/>
        </w:rPr>
        <w:t xml:space="preserve"> </w:t>
      </w:r>
      <w:r w:rsidR="00864843" w:rsidRPr="009A3C92">
        <w:rPr>
          <w:rFonts w:ascii="Book Antiqua" w:eastAsia="Book Antiqua" w:hAnsi="Book Antiqua" w:cs="Book Antiqua"/>
          <w:color w:val="000000" w:themeColor="text1"/>
        </w:rPr>
        <w:t>E</w:t>
      </w:r>
      <w:r w:rsidRPr="009A3C92">
        <w:rPr>
          <w:rFonts w:ascii="Book Antiqua" w:eastAsia="Book Antiqua" w:hAnsi="Book Antiqua" w:cs="Book Antiqua"/>
          <w:color w:val="000000" w:themeColor="text1"/>
        </w:rPr>
        <w:t>xclusive</w:t>
      </w:r>
      <w:r w:rsidR="008E3348" w:rsidRPr="009A3C92">
        <w:rPr>
          <w:rFonts w:ascii="Book Antiqua" w:eastAsia="Book Antiqua" w:hAnsi="Book Antiqua" w:cs="Book Antiqua"/>
          <w:color w:val="000000" w:themeColor="text1"/>
        </w:rPr>
        <w:t xml:space="preserve"> </w:t>
      </w:r>
      <w:r w:rsidRPr="009A3C92">
        <w:rPr>
          <w:rFonts w:ascii="Book Antiqua" w:eastAsia="Book Antiqua" w:hAnsi="Book Antiqua" w:cs="Book Antiqua"/>
          <w:color w:val="000000" w:themeColor="text1"/>
        </w:rPr>
        <w:t>enteral</w:t>
      </w:r>
      <w:r w:rsidR="008E3348" w:rsidRPr="009A3C92">
        <w:rPr>
          <w:rFonts w:ascii="Book Antiqua" w:eastAsia="Book Antiqua" w:hAnsi="Book Antiqua" w:cs="Book Antiqua"/>
          <w:color w:val="000000" w:themeColor="text1"/>
        </w:rPr>
        <w:t xml:space="preserve"> </w:t>
      </w:r>
      <w:r w:rsidRPr="009A3C92">
        <w:rPr>
          <w:rFonts w:ascii="Book Antiqua" w:eastAsia="Book Antiqua" w:hAnsi="Book Antiqua" w:cs="Book Antiqua"/>
          <w:color w:val="000000" w:themeColor="text1"/>
        </w:rPr>
        <w:t>nutrition</w:t>
      </w:r>
      <w:r w:rsidR="009A5F9A" w:rsidRPr="009A3C92">
        <w:rPr>
          <w:rFonts w:ascii="Book Antiqua" w:eastAsia="Book Antiqua" w:hAnsi="Book Antiqua" w:cs="Book Antiqua"/>
          <w:color w:val="000000" w:themeColor="text1"/>
        </w:rPr>
        <w:t>;</w:t>
      </w:r>
      <w:r w:rsidR="008E3348" w:rsidRPr="009A3C92">
        <w:rPr>
          <w:rFonts w:ascii="Book Antiqua" w:eastAsia="Book Antiqua" w:hAnsi="Book Antiqua" w:cs="Book Antiqua"/>
          <w:color w:val="000000" w:themeColor="text1"/>
        </w:rPr>
        <w:t xml:space="preserve"> </w:t>
      </w:r>
      <w:r w:rsidR="009A5F9A" w:rsidRPr="009A3C92">
        <w:rPr>
          <w:rFonts w:ascii="Book Antiqua" w:eastAsia="Book Antiqua" w:hAnsi="Book Antiqua" w:cs="Book Antiqua"/>
          <w:color w:val="000000" w:themeColor="text1"/>
        </w:rPr>
        <w:t>IMM:</w:t>
      </w:r>
      <w:r w:rsidR="008E3348" w:rsidRPr="009A3C92">
        <w:rPr>
          <w:rFonts w:ascii="Book Antiqua" w:eastAsia="Book Antiqua" w:hAnsi="Book Antiqua" w:cs="Book Antiqua"/>
          <w:color w:val="000000" w:themeColor="text1"/>
        </w:rPr>
        <w:t xml:space="preserve"> </w:t>
      </w:r>
      <w:r w:rsidR="009A5F9A" w:rsidRPr="009A3C92">
        <w:rPr>
          <w:rFonts w:ascii="Book Antiqua" w:eastAsia="Book Antiqua" w:hAnsi="Book Antiqua" w:cs="Book Antiqua"/>
          <w:color w:val="000000" w:themeColor="text1"/>
        </w:rPr>
        <w:t>Immunomodulators.</w:t>
      </w:r>
      <w:r w:rsidR="008E3348" w:rsidRPr="009A3C92">
        <w:rPr>
          <w:rFonts w:ascii="Book Antiqua" w:eastAsia="Book Antiqua" w:hAnsi="Book Antiqua" w:cs="Book Antiqua"/>
          <w:color w:val="000000" w:themeColor="text1"/>
        </w:rPr>
        <w:t xml:space="preserve"> </w:t>
      </w:r>
      <w:r w:rsidR="00593196" w:rsidRPr="009A3C92">
        <w:rPr>
          <w:rFonts w:ascii="Book Antiqua" w:eastAsia="Book Antiqua" w:hAnsi="Book Antiqua" w:cs="Book Antiqua"/>
          <w:color w:val="000000" w:themeColor="text1"/>
        </w:rPr>
        <w:t xml:space="preserve">Citation: </w:t>
      </w:r>
      <w:r w:rsidR="00593196" w:rsidRPr="009A3C92">
        <w:rPr>
          <w:rFonts w:ascii="Book Antiqua" w:hAnsi="Book Antiqua"/>
          <w:color w:val="000000" w:themeColor="text1"/>
        </w:rPr>
        <w:t>van Rheenen PF, Aloi M, Assa A, Bronsky J, Escher JC, Fagerberg UL, Gasparetto M, Gerasimidis K, Griffiths A, Henderson P, Koletzko S, Kolho KL, Levine A, van Limbergen J, Martin de Carpi FJ, Navas-López VM, Oliva S, de Ridder L, Russell RK, Shouval D, Spinelli A, Turner D, Wilson D, Wine E, Ruemmele FM. The Medical Management of Paediatric Crohn's Disease: an ECCO-ESPGHAN Guideline Update.</w:t>
      </w:r>
      <w:r w:rsidR="00593196" w:rsidRPr="009A3C92">
        <w:rPr>
          <w:rStyle w:val="apple-converted-space"/>
          <w:rFonts w:ascii="Book Antiqua" w:hAnsi="Book Antiqua"/>
          <w:color w:val="000000" w:themeColor="text1"/>
        </w:rPr>
        <w:t xml:space="preserve"> </w:t>
      </w:r>
      <w:r w:rsidR="00593196" w:rsidRPr="009A3C92">
        <w:rPr>
          <w:rFonts w:ascii="Book Antiqua" w:hAnsi="Book Antiqua"/>
          <w:i/>
          <w:iCs/>
          <w:color w:val="000000" w:themeColor="text1"/>
        </w:rPr>
        <w:t>J Crohns Colitis</w:t>
      </w:r>
      <w:r w:rsidR="00593196" w:rsidRPr="009A3C92">
        <w:rPr>
          <w:rStyle w:val="apple-converted-space"/>
          <w:rFonts w:ascii="Book Antiqua" w:hAnsi="Book Antiqua"/>
          <w:color w:val="000000" w:themeColor="text1"/>
        </w:rPr>
        <w:t xml:space="preserve"> </w:t>
      </w:r>
      <w:r w:rsidR="00593196" w:rsidRPr="009A3C92">
        <w:rPr>
          <w:rFonts w:ascii="Book Antiqua" w:hAnsi="Book Antiqua"/>
          <w:color w:val="000000" w:themeColor="text1"/>
        </w:rPr>
        <w:t xml:space="preserve">2020. Copyright </w:t>
      </w:r>
      <w:r w:rsidR="00593196" w:rsidRPr="009A3C92">
        <w:rPr>
          <w:rFonts w:ascii="Book Antiqua" w:hAnsi="Book Antiqua" w:hint="eastAsia"/>
          <w:color w:val="000000" w:themeColor="text1"/>
        </w:rPr>
        <w:t>©</w:t>
      </w:r>
      <w:r w:rsidR="00593196" w:rsidRPr="009A3C92">
        <w:rPr>
          <w:rFonts w:ascii="Book Antiqua" w:hAnsi="Book Antiqua"/>
          <w:color w:val="000000" w:themeColor="text1"/>
        </w:rPr>
        <w:t>Oxford University Press 2020. Published by Oxford University Press</w:t>
      </w:r>
      <w:r w:rsidR="00593196" w:rsidRPr="009A3C92">
        <w:rPr>
          <w:rFonts w:ascii="Book Antiqua" w:hAnsi="Book Antiqua" w:hint="eastAsia"/>
          <w:color w:val="000000" w:themeColor="text1"/>
          <w:vertAlign w:val="superscript"/>
          <w:lang w:eastAsia="zh-CN"/>
        </w:rPr>
        <w:t>[</w:t>
      </w:r>
      <w:r w:rsidR="00593196" w:rsidRPr="009A3C92">
        <w:rPr>
          <w:rFonts w:ascii="Book Antiqua" w:hAnsi="Book Antiqua"/>
          <w:color w:val="000000" w:themeColor="text1"/>
          <w:vertAlign w:val="superscript"/>
          <w:lang w:eastAsia="zh-CN"/>
        </w:rPr>
        <w:t>20]</w:t>
      </w:r>
      <w:r w:rsidR="00593196" w:rsidRPr="009A3C92">
        <w:rPr>
          <w:rFonts w:ascii="Book Antiqua" w:hAnsi="Book Antiqua"/>
          <w:color w:val="000000" w:themeColor="text1"/>
          <w:lang w:eastAsia="zh-CN"/>
        </w:rPr>
        <w:t>.</w:t>
      </w:r>
    </w:p>
    <w:p w14:paraId="5673ADCE" w14:textId="143E97C2" w:rsidR="006E257E" w:rsidRPr="009A3C92" w:rsidRDefault="006E257E">
      <w:pPr>
        <w:spacing w:line="360" w:lineRule="auto"/>
        <w:jc w:val="both"/>
        <w:rPr>
          <w:rFonts w:ascii="Book Antiqua" w:hAnsi="Book Antiqua"/>
          <w:color w:val="000000" w:themeColor="text1"/>
          <w:lang w:eastAsia="zh-CN"/>
        </w:rPr>
      </w:pPr>
    </w:p>
    <w:p w14:paraId="7A4A5A5B" w14:textId="7F47332C" w:rsidR="006E257E" w:rsidRPr="009A3C92" w:rsidRDefault="006E257E" w:rsidP="006E257E">
      <w:pPr>
        <w:adjustRightInd w:val="0"/>
        <w:snapToGrid w:val="0"/>
        <w:spacing w:line="360" w:lineRule="auto"/>
        <w:jc w:val="both"/>
        <w:rPr>
          <w:rFonts w:ascii="Book Antiqua" w:hAnsi="Book Antiqua"/>
        </w:rPr>
      </w:pPr>
      <w:r w:rsidRPr="009A3C92">
        <w:rPr>
          <w:rFonts w:ascii="Book Antiqua" w:hAnsi="Book Antiqua"/>
          <w:color w:val="000000" w:themeColor="text1"/>
          <w:lang w:eastAsia="zh-CN"/>
        </w:rPr>
        <w:br w:type="page"/>
      </w:r>
      <w:r w:rsidRPr="009A3C92">
        <w:rPr>
          <w:rFonts w:ascii="Book Antiqua" w:hAnsi="Book Antiqua"/>
          <w:b/>
        </w:rPr>
        <w:lastRenderedPageBreak/>
        <w:t>Table</w:t>
      </w:r>
      <w:r w:rsidR="008E3348" w:rsidRPr="009A3C92">
        <w:rPr>
          <w:rFonts w:ascii="Book Antiqua" w:hAnsi="Book Antiqua"/>
          <w:b/>
        </w:rPr>
        <w:t xml:space="preserve"> </w:t>
      </w:r>
      <w:r w:rsidRPr="009A3C92">
        <w:rPr>
          <w:rFonts w:ascii="Book Antiqua" w:hAnsi="Book Antiqua"/>
          <w:b/>
        </w:rPr>
        <w:t>1</w:t>
      </w:r>
      <w:r w:rsidR="008E3348" w:rsidRPr="009A3C92">
        <w:rPr>
          <w:rFonts w:ascii="Book Antiqua" w:hAnsi="Book Antiqua"/>
          <w:b/>
        </w:rPr>
        <w:t xml:space="preserve"> </w:t>
      </w:r>
      <w:r w:rsidRPr="009A3C92">
        <w:rPr>
          <w:rFonts w:ascii="Book Antiqua" w:hAnsi="Book Antiqua"/>
          <w:b/>
          <w:bCs/>
        </w:rPr>
        <w:t>Biologic</w:t>
      </w:r>
      <w:r w:rsidR="008E3348" w:rsidRPr="009A3C92">
        <w:rPr>
          <w:rFonts w:ascii="Book Antiqua" w:hAnsi="Book Antiqua"/>
          <w:b/>
          <w:bCs/>
        </w:rPr>
        <w:t xml:space="preserve"> </w:t>
      </w:r>
      <w:r w:rsidRPr="009A3C92">
        <w:rPr>
          <w:rFonts w:ascii="Book Antiqua" w:hAnsi="Book Antiqua"/>
          <w:b/>
          <w:bCs/>
        </w:rPr>
        <w:t>agents</w:t>
      </w:r>
      <w:r w:rsidR="008E3348" w:rsidRPr="009A3C92">
        <w:rPr>
          <w:rFonts w:ascii="Book Antiqua" w:hAnsi="Book Antiqua"/>
          <w:b/>
          <w:bCs/>
        </w:rPr>
        <w:t xml:space="preserve"> </w:t>
      </w:r>
      <w:r w:rsidRPr="009A3C92">
        <w:rPr>
          <w:rFonts w:ascii="Book Antiqua" w:hAnsi="Book Antiqua"/>
          <w:b/>
          <w:bCs/>
        </w:rPr>
        <w:t>currently</w:t>
      </w:r>
      <w:r w:rsidR="008E3348" w:rsidRPr="009A3C92">
        <w:rPr>
          <w:rFonts w:ascii="Book Antiqua" w:hAnsi="Book Antiqua"/>
          <w:b/>
          <w:bCs/>
        </w:rPr>
        <w:t xml:space="preserve"> </w:t>
      </w:r>
      <w:r w:rsidRPr="009A3C92">
        <w:rPr>
          <w:rFonts w:ascii="Book Antiqua" w:hAnsi="Book Antiqua"/>
          <w:b/>
          <w:bCs/>
        </w:rPr>
        <w:t>used</w:t>
      </w:r>
      <w:r w:rsidR="008E3348" w:rsidRPr="009A3C92">
        <w:rPr>
          <w:rFonts w:ascii="Book Antiqua" w:hAnsi="Book Antiqua"/>
          <w:b/>
          <w:bCs/>
        </w:rPr>
        <w:t xml:space="preserve"> </w:t>
      </w:r>
      <w:r w:rsidRPr="009A3C92">
        <w:rPr>
          <w:rFonts w:ascii="Book Antiqua" w:hAnsi="Book Antiqua"/>
          <w:b/>
          <w:bCs/>
        </w:rPr>
        <w:t>or</w:t>
      </w:r>
      <w:r w:rsidR="008E3348" w:rsidRPr="009A3C92">
        <w:rPr>
          <w:rFonts w:ascii="Book Antiqua" w:hAnsi="Book Antiqua"/>
          <w:b/>
          <w:bCs/>
        </w:rPr>
        <w:t xml:space="preserve"> </w:t>
      </w:r>
      <w:r w:rsidRPr="009A3C92">
        <w:rPr>
          <w:rFonts w:ascii="Book Antiqua" w:hAnsi="Book Antiqua"/>
          <w:b/>
          <w:bCs/>
        </w:rPr>
        <w:t>under</w:t>
      </w:r>
      <w:r w:rsidR="008E3348" w:rsidRPr="009A3C92">
        <w:rPr>
          <w:rFonts w:ascii="Book Antiqua" w:hAnsi="Book Antiqua"/>
          <w:b/>
          <w:bCs/>
        </w:rPr>
        <w:t xml:space="preserve"> </w:t>
      </w:r>
      <w:r w:rsidRPr="009A3C92">
        <w:rPr>
          <w:rFonts w:ascii="Book Antiqua" w:hAnsi="Book Antiqua"/>
          <w:b/>
          <w:bCs/>
        </w:rPr>
        <w:t>study</w:t>
      </w:r>
      <w:r w:rsidR="008E3348" w:rsidRPr="009A3C92">
        <w:rPr>
          <w:rFonts w:ascii="Book Antiqua" w:hAnsi="Book Antiqua"/>
          <w:b/>
          <w:bCs/>
        </w:rPr>
        <w:t xml:space="preserve"> </w:t>
      </w:r>
      <w:r w:rsidRPr="009A3C92">
        <w:rPr>
          <w:rFonts w:ascii="Book Antiqua" w:hAnsi="Book Antiqua"/>
          <w:b/>
          <w:bCs/>
        </w:rPr>
        <w:t>for</w:t>
      </w:r>
      <w:r w:rsidR="008E3348" w:rsidRPr="009A3C92">
        <w:rPr>
          <w:rFonts w:ascii="Book Antiqua" w:hAnsi="Book Antiqua"/>
          <w:b/>
          <w:bCs/>
        </w:rPr>
        <w:t xml:space="preserve"> </w:t>
      </w:r>
      <w:r w:rsidRPr="009A3C92">
        <w:rPr>
          <w:rFonts w:ascii="Book Antiqua" w:hAnsi="Book Antiqua"/>
          <w:b/>
          <w:bCs/>
        </w:rPr>
        <w:t>the</w:t>
      </w:r>
      <w:r w:rsidR="008E3348" w:rsidRPr="009A3C92">
        <w:rPr>
          <w:rFonts w:ascii="Book Antiqua" w:hAnsi="Book Antiqua"/>
          <w:b/>
          <w:bCs/>
        </w:rPr>
        <w:t xml:space="preserve"> </w:t>
      </w:r>
      <w:r w:rsidRPr="009A3C92">
        <w:rPr>
          <w:rFonts w:ascii="Book Antiqua" w:hAnsi="Book Antiqua"/>
          <w:b/>
          <w:bCs/>
        </w:rPr>
        <w:t>treatment</w:t>
      </w:r>
      <w:r w:rsidR="008E3348" w:rsidRPr="009A3C92">
        <w:rPr>
          <w:rFonts w:ascii="Book Antiqua" w:hAnsi="Book Antiqua"/>
          <w:b/>
          <w:bCs/>
        </w:rPr>
        <w:t xml:space="preserve"> </w:t>
      </w:r>
      <w:r w:rsidRPr="009A3C92">
        <w:rPr>
          <w:rFonts w:ascii="Book Antiqua" w:hAnsi="Book Antiqua"/>
          <w:b/>
          <w:bCs/>
        </w:rPr>
        <w:t>of</w:t>
      </w:r>
      <w:r w:rsidR="008E3348" w:rsidRPr="009A3C92">
        <w:rPr>
          <w:rFonts w:ascii="Book Antiqua" w:hAnsi="Book Antiqua"/>
          <w:b/>
          <w:bCs/>
        </w:rPr>
        <w:t xml:space="preserve"> </w:t>
      </w:r>
      <w:r w:rsidRPr="009A3C92">
        <w:rPr>
          <w:rFonts w:ascii="Book Antiqua" w:hAnsi="Book Antiqua"/>
          <w:b/>
          <w:bCs/>
        </w:rPr>
        <w:t>pediatric</w:t>
      </w:r>
      <w:r w:rsidR="008E3348" w:rsidRPr="009A3C92">
        <w:rPr>
          <w:rFonts w:ascii="Book Antiqua" w:hAnsi="Book Antiqua"/>
          <w:b/>
          <w:bCs/>
        </w:rPr>
        <w:t xml:space="preserve"> </w:t>
      </w:r>
      <w:r w:rsidR="00D11041" w:rsidRPr="009A3C92">
        <w:rPr>
          <w:rFonts w:ascii="Book Antiqua" w:eastAsia="Book Antiqua" w:hAnsi="Book Antiqua" w:cs="Book Antiqua"/>
          <w:b/>
          <w:bCs/>
          <w:color w:val="000000"/>
        </w:rPr>
        <w:t>Crohn’s</w:t>
      </w:r>
      <w:r w:rsidR="008E3348" w:rsidRPr="009A3C92">
        <w:rPr>
          <w:rFonts w:ascii="Book Antiqua" w:eastAsia="Book Antiqua" w:hAnsi="Book Antiqua" w:cs="Book Antiqua"/>
          <w:b/>
          <w:bCs/>
          <w:color w:val="000000"/>
        </w:rPr>
        <w:t xml:space="preserve"> </w:t>
      </w:r>
      <w:r w:rsidR="00D11041" w:rsidRPr="009A3C92">
        <w:rPr>
          <w:rFonts w:ascii="Book Antiqua" w:eastAsia="Book Antiqua" w:hAnsi="Book Antiqua" w:cs="Book Antiqua"/>
          <w:b/>
          <w:bCs/>
          <w:color w:val="000000"/>
        </w:rPr>
        <w:t>disease</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9"/>
        <w:gridCol w:w="1651"/>
        <w:gridCol w:w="1460"/>
        <w:gridCol w:w="4930"/>
      </w:tblGrid>
      <w:tr w:rsidR="00D11041" w:rsidRPr="009A3C92" w14:paraId="70F52445" w14:textId="77777777" w:rsidTr="002F2533">
        <w:tc>
          <w:tcPr>
            <w:tcW w:w="0" w:type="auto"/>
            <w:tcBorders>
              <w:top w:val="single" w:sz="4" w:space="0" w:color="auto"/>
              <w:bottom w:val="single" w:sz="4" w:space="0" w:color="auto"/>
            </w:tcBorders>
          </w:tcPr>
          <w:p w14:paraId="11794FF2" w14:textId="77777777" w:rsidR="006E257E" w:rsidRPr="009A3C92" w:rsidRDefault="006E257E" w:rsidP="00FB7357">
            <w:pPr>
              <w:adjustRightInd w:val="0"/>
              <w:snapToGrid w:val="0"/>
              <w:spacing w:line="360" w:lineRule="auto"/>
              <w:rPr>
                <w:rFonts w:ascii="Book Antiqua" w:hAnsi="Book Antiqua"/>
                <w:b/>
              </w:rPr>
            </w:pPr>
            <w:r w:rsidRPr="009A3C92">
              <w:rPr>
                <w:rFonts w:ascii="Book Antiqua" w:hAnsi="Book Antiqua"/>
                <w:b/>
              </w:rPr>
              <w:t>Class</w:t>
            </w:r>
          </w:p>
        </w:tc>
        <w:tc>
          <w:tcPr>
            <w:tcW w:w="0" w:type="auto"/>
            <w:tcBorders>
              <w:top w:val="single" w:sz="4" w:space="0" w:color="auto"/>
              <w:bottom w:val="single" w:sz="4" w:space="0" w:color="auto"/>
            </w:tcBorders>
          </w:tcPr>
          <w:p w14:paraId="75FCA631" w14:textId="77777777" w:rsidR="006E257E" w:rsidRPr="009A3C92" w:rsidRDefault="006E257E" w:rsidP="00FB7357">
            <w:pPr>
              <w:adjustRightInd w:val="0"/>
              <w:snapToGrid w:val="0"/>
              <w:spacing w:line="360" w:lineRule="auto"/>
              <w:rPr>
                <w:rFonts w:ascii="Book Antiqua" w:hAnsi="Book Antiqua"/>
                <w:b/>
              </w:rPr>
            </w:pPr>
            <w:r w:rsidRPr="009A3C92">
              <w:rPr>
                <w:rFonts w:ascii="Book Antiqua" w:hAnsi="Book Antiqua"/>
                <w:b/>
              </w:rPr>
              <w:t>Biologics</w:t>
            </w:r>
          </w:p>
        </w:tc>
        <w:tc>
          <w:tcPr>
            <w:tcW w:w="0" w:type="auto"/>
            <w:tcBorders>
              <w:top w:val="single" w:sz="4" w:space="0" w:color="auto"/>
              <w:bottom w:val="single" w:sz="4" w:space="0" w:color="auto"/>
            </w:tcBorders>
          </w:tcPr>
          <w:p w14:paraId="7880973D" w14:textId="190A699B" w:rsidR="006E257E" w:rsidRPr="009A3C92" w:rsidRDefault="006E257E" w:rsidP="00FB7357">
            <w:pPr>
              <w:adjustRightInd w:val="0"/>
              <w:snapToGrid w:val="0"/>
              <w:spacing w:line="360" w:lineRule="auto"/>
              <w:rPr>
                <w:rFonts w:ascii="Book Antiqua" w:hAnsi="Book Antiqua"/>
                <w:b/>
              </w:rPr>
            </w:pPr>
            <w:r w:rsidRPr="009A3C92">
              <w:rPr>
                <w:rFonts w:ascii="Book Antiqua" w:hAnsi="Book Antiqua"/>
                <w:b/>
              </w:rPr>
              <w:t>FDA</w:t>
            </w:r>
            <w:r w:rsidR="008E3348" w:rsidRPr="009A3C92">
              <w:rPr>
                <w:rFonts w:ascii="Book Antiqua" w:hAnsi="Book Antiqua"/>
                <w:b/>
              </w:rPr>
              <w:t xml:space="preserve"> </w:t>
            </w:r>
            <w:r w:rsidRPr="009A3C92">
              <w:rPr>
                <w:rFonts w:ascii="Book Antiqua" w:hAnsi="Book Antiqua"/>
                <w:b/>
              </w:rPr>
              <w:t>approval</w:t>
            </w:r>
            <w:r w:rsidR="008E3348" w:rsidRPr="009A3C92">
              <w:rPr>
                <w:rFonts w:ascii="Book Antiqua" w:hAnsi="Book Antiqua"/>
                <w:b/>
              </w:rPr>
              <w:t xml:space="preserve"> </w:t>
            </w:r>
            <w:r w:rsidRPr="009A3C92">
              <w:rPr>
                <w:rFonts w:ascii="Book Antiqua" w:hAnsi="Book Antiqua"/>
                <w:b/>
              </w:rPr>
              <w:t>for</w:t>
            </w:r>
            <w:r w:rsidR="008E3348" w:rsidRPr="009A3C92">
              <w:rPr>
                <w:rFonts w:ascii="Book Antiqua" w:hAnsi="Book Antiqua"/>
                <w:b/>
              </w:rPr>
              <w:t xml:space="preserve"> </w:t>
            </w:r>
            <w:r w:rsidRPr="009A3C92">
              <w:rPr>
                <w:rFonts w:ascii="Book Antiqua" w:hAnsi="Book Antiqua"/>
                <w:b/>
              </w:rPr>
              <w:t>CD</w:t>
            </w:r>
          </w:p>
        </w:tc>
        <w:tc>
          <w:tcPr>
            <w:tcW w:w="0" w:type="auto"/>
            <w:tcBorders>
              <w:top w:val="single" w:sz="4" w:space="0" w:color="auto"/>
              <w:bottom w:val="single" w:sz="4" w:space="0" w:color="auto"/>
            </w:tcBorders>
          </w:tcPr>
          <w:p w14:paraId="7836FF82" w14:textId="4F49A404" w:rsidR="006E257E" w:rsidRPr="009A3C92" w:rsidRDefault="006E257E" w:rsidP="00FB7357">
            <w:pPr>
              <w:adjustRightInd w:val="0"/>
              <w:snapToGrid w:val="0"/>
              <w:spacing w:line="360" w:lineRule="auto"/>
              <w:rPr>
                <w:rFonts w:ascii="Book Antiqua" w:hAnsi="Book Antiqua"/>
                <w:b/>
              </w:rPr>
            </w:pPr>
            <w:r w:rsidRPr="009A3C92">
              <w:rPr>
                <w:rFonts w:ascii="Book Antiqua" w:hAnsi="Book Antiqua"/>
                <w:b/>
              </w:rPr>
              <w:t>Pediatric</w:t>
            </w:r>
            <w:r w:rsidR="008E3348" w:rsidRPr="009A3C92">
              <w:rPr>
                <w:rFonts w:ascii="Book Antiqua" w:hAnsi="Book Antiqua"/>
                <w:b/>
              </w:rPr>
              <w:t xml:space="preserve"> </w:t>
            </w:r>
            <w:r w:rsidRPr="009A3C92">
              <w:rPr>
                <w:rFonts w:ascii="Book Antiqua" w:hAnsi="Book Antiqua"/>
                <w:b/>
              </w:rPr>
              <w:t>CD</w:t>
            </w:r>
            <w:r w:rsidR="008E3348" w:rsidRPr="009A3C92">
              <w:rPr>
                <w:rFonts w:ascii="Book Antiqua" w:hAnsi="Book Antiqua"/>
                <w:b/>
              </w:rPr>
              <w:t xml:space="preserve"> </w:t>
            </w:r>
            <w:r w:rsidRPr="009A3C92">
              <w:rPr>
                <w:rFonts w:ascii="Book Antiqua" w:hAnsi="Book Antiqua"/>
                <w:b/>
              </w:rPr>
              <w:t>indications</w:t>
            </w:r>
          </w:p>
        </w:tc>
      </w:tr>
      <w:tr w:rsidR="00D11041" w:rsidRPr="009A3C92" w14:paraId="3E3D00B5" w14:textId="77777777" w:rsidTr="002F2533">
        <w:tc>
          <w:tcPr>
            <w:tcW w:w="0" w:type="auto"/>
            <w:vMerge w:val="restart"/>
            <w:tcBorders>
              <w:top w:val="single" w:sz="4" w:space="0" w:color="auto"/>
            </w:tcBorders>
          </w:tcPr>
          <w:p w14:paraId="077D69A0" w14:textId="77777777"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Anti-TNF</w:t>
            </w:r>
          </w:p>
        </w:tc>
        <w:tc>
          <w:tcPr>
            <w:tcW w:w="0" w:type="auto"/>
            <w:tcBorders>
              <w:top w:val="single" w:sz="4" w:space="0" w:color="auto"/>
            </w:tcBorders>
          </w:tcPr>
          <w:p w14:paraId="7149CAA8" w14:textId="77777777"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Infliximab</w:t>
            </w:r>
          </w:p>
        </w:tc>
        <w:tc>
          <w:tcPr>
            <w:tcW w:w="0" w:type="auto"/>
            <w:tcBorders>
              <w:top w:val="single" w:sz="4" w:space="0" w:color="auto"/>
            </w:tcBorders>
          </w:tcPr>
          <w:p w14:paraId="4304C161" w14:textId="3B5BFE1B"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Adult:</w:t>
            </w:r>
            <w:r w:rsidR="008E3348" w:rsidRPr="009A3C92">
              <w:rPr>
                <w:rFonts w:ascii="Book Antiqua" w:hAnsi="Book Antiqua"/>
              </w:rPr>
              <w:t xml:space="preserve"> </w:t>
            </w:r>
            <w:r w:rsidRPr="009A3C92">
              <w:rPr>
                <w:rFonts w:ascii="Book Antiqua" w:hAnsi="Book Antiqua"/>
              </w:rPr>
              <w:t>1998</w:t>
            </w:r>
            <w:r w:rsidR="004B7884"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Pediatric:</w:t>
            </w:r>
            <w:r w:rsidR="008E3348" w:rsidRPr="009A3C92">
              <w:rPr>
                <w:rFonts w:ascii="Book Antiqua" w:hAnsi="Book Antiqua"/>
              </w:rPr>
              <w:t xml:space="preserve"> </w:t>
            </w:r>
            <w:r w:rsidRPr="009A3C92">
              <w:rPr>
                <w:rFonts w:ascii="Book Antiqua" w:hAnsi="Book Antiqua"/>
              </w:rPr>
              <w:t>2006</w:t>
            </w:r>
          </w:p>
        </w:tc>
        <w:tc>
          <w:tcPr>
            <w:tcW w:w="0" w:type="auto"/>
            <w:tcBorders>
              <w:top w:val="single" w:sz="4" w:space="0" w:color="auto"/>
            </w:tcBorders>
          </w:tcPr>
          <w:p w14:paraId="4F7E6030" w14:textId="7443372F" w:rsidR="006E257E" w:rsidRPr="009A3C92" w:rsidRDefault="006E257E" w:rsidP="00FB7357">
            <w:pPr>
              <w:adjustRightInd w:val="0"/>
              <w:snapToGrid w:val="0"/>
              <w:spacing w:line="360" w:lineRule="auto"/>
              <w:rPr>
                <w:rFonts w:ascii="Book Antiqua" w:eastAsia="Malgun Gothic" w:hAnsi="Book Antiqua"/>
              </w:rPr>
            </w:pPr>
            <w:r w:rsidRPr="009A3C92">
              <w:rPr>
                <w:rFonts w:ascii="Book Antiqua" w:hAnsi="Book Antiqua"/>
              </w:rPr>
              <w:t>Moderate</w:t>
            </w:r>
            <w:r w:rsidR="008E3348" w:rsidRPr="009A3C92">
              <w:rPr>
                <w:rFonts w:ascii="Book Antiqua" w:hAnsi="Book Antiqua"/>
              </w:rPr>
              <w:t xml:space="preserve"> </w:t>
            </w:r>
            <w:r w:rsidRPr="009A3C92">
              <w:rPr>
                <w:rFonts w:ascii="Book Antiqua" w:hAnsi="Book Antiqua"/>
              </w:rPr>
              <w:t>to</w:t>
            </w:r>
            <w:r w:rsidR="008E3348" w:rsidRPr="009A3C92">
              <w:rPr>
                <w:rFonts w:ascii="Book Antiqua" w:hAnsi="Book Antiqua"/>
              </w:rPr>
              <w:t xml:space="preserve"> </w:t>
            </w:r>
            <w:r w:rsidRPr="009A3C92">
              <w:rPr>
                <w:rFonts w:ascii="Book Antiqua" w:hAnsi="Book Antiqua"/>
              </w:rPr>
              <w:t>severe</w:t>
            </w:r>
            <w:r w:rsidR="008E3348" w:rsidRPr="009A3C92">
              <w:rPr>
                <w:rFonts w:ascii="Book Antiqua" w:hAnsi="Book Antiqua"/>
              </w:rPr>
              <w:t xml:space="preserve"> </w:t>
            </w:r>
            <w:r w:rsidRPr="009A3C92">
              <w:rPr>
                <w:rFonts w:ascii="Book Antiqua" w:hAnsi="Book Antiqua"/>
              </w:rPr>
              <w:t>diseases</w:t>
            </w:r>
            <w:r w:rsidR="008E3348" w:rsidRPr="009A3C92">
              <w:rPr>
                <w:rFonts w:ascii="Book Antiqua" w:hAnsi="Book Antiqua"/>
              </w:rPr>
              <w:t xml:space="preserve"> </w:t>
            </w:r>
            <w:r w:rsidRPr="009A3C92">
              <w:rPr>
                <w:rFonts w:ascii="Book Antiqua" w:hAnsi="Book Antiqua"/>
              </w:rPr>
              <w:t>refractory</w:t>
            </w:r>
            <w:r w:rsidR="008E3348" w:rsidRPr="009A3C92">
              <w:rPr>
                <w:rFonts w:ascii="Book Antiqua" w:hAnsi="Book Antiqua"/>
              </w:rPr>
              <w:t xml:space="preserve"> </w:t>
            </w:r>
            <w:r w:rsidRPr="009A3C92">
              <w:rPr>
                <w:rFonts w:ascii="Book Antiqua" w:hAnsi="Book Antiqua"/>
              </w:rPr>
              <w:t>to</w:t>
            </w:r>
            <w:r w:rsidR="008E3348" w:rsidRPr="009A3C92">
              <w:rPr>
                <w:rFonts w:ascii="Book Antiqua" w:hAnsi="Book Antiqua"/>
              </w:rPr>
              <w:t xml:space="preserve"> </w:t>
            </w:r>
            <w:r w:rsidRPr="009A3C92">
              <w:rPr>
                <w:rFonts w:ascii="Book Antiqua" w:hAnsi="Book Antiqua"/>
              </w:rPr>
              <w:t>conventional</w:t>
            </w:r>
            <w:r w:rsidR="008E3348" w:rsidRPr="009A3C92">
              <w:rPr>
                <w:rFonts w:ascii="Book Antiqua" w:hAnsi="Book Antiqua"/>
              </w:rPr>
              <w:t xml:space="preserve"> </w:t>
            </w:r>
            <w:r w:rsidRPr="009A3C92">
              <w:rPr>
                <w:rFonts w:ascii="Book Antiqua" w:hAnsi="Book Antiqua"/>
              </w:rPr>
              <w:t>therapy</w:t>
            </w:r>
            <w:r w:rsidRPr="009A3C92">
              <w:rPr>
                <w:rFonts w:ascii="Book Antiqua" w:hAnsi="Book Antiqua"/>
                <w:noProof/>
                <w:vertAlign w:val="superscript"/>
              </w:rPr>
              <w:t>[10]</w:t>
            </w:r>
          </w:p>
        </w:tc>
      </w:tr>
      <w:tr w:rsidR="00D11041" w:rsidRPr="009A3C92" w14:paraId="10015E5B" w14:textId="77777777" w:rsidTr="002F2533">
        <w:tc>
          <w:tcPr>
            <w:tcW w:w="0" w:type="auto"/>
            <w:vMerge/>
          </w:tcPr>
          <w:p w14:paraId="4550EF7A" w14:textId="77777777" w:rsidR="006E257E" w:rsidRPr="009A3C92" w:rsidRDefault="006E257E" w:rsidP="00FB7357">
            <w:pPr>
              <w:adjustRightInd w:val="0"/>
              <w:snapToGrid w:val="0"/>
              <w:spacing w:line="360" w:lineRule="auto"/>
              <w:rPr>
                <w:rFonts w:ascii="Book Antiqua" w:hAnsi="Book Antiqua"/>
              </w:rPr>
            </w:pPr>
          </w:p>
        </w:tc>
        <w:tc>
          <w:tcPr>
            <w:tcW w:w="0" w:type="auto"/>
          </w:tcPr>
          <w:p w14:paraId="4CFFFF59" w14:textId="77777777"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Adalimumab</w:t>
            </w:r>
          </w:p>
        </w:tc>
        <w:tc>
          <w:tcPr>
            <w:tcW w:w="0" w:type="auto"/>
          </w:tcPr>
          <w:p w14:paraId="0ECA9033" w14:textId="20B2D455"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Adult:</w:t>
            </w:r>
            <w:r w:rsidR="008E3348" w:rsidRPr="009A3C92">
              <w:rPr>
                <w:rFonts w:ascii="Book Antiqua" w:hAnsi="Book Antiqua"/>
              </w:rPr>
              <w:t xml:space="preserve"> </w:t>
            </w:r>
            <w:r w:rsidRPr="009A3C92">
              <w:rPr>
                <w:rFonts w:ascii="Book Antiqua" w:hAnsi="Book Antiqua"/>
              </w:rPr>
              <w:t>2007</w:t>
            </w:r>
            <w:r w:rsidR="00D11041"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Pediatric:</w:t>
            </w:r>
            <w:r w:rsidR="008E3348" w:rsidRPr="009A3C92">
              <w:rPr>
                <w:rFonts w:ascii="Book Antiqua" w:hAnsi="Book Antiqua"/>
              </w:rPr>
              <w:t xml:space="preserve"> </w:t>
            </w:r>
            <w:r w:rsidRPr="009A3C92">
              <w:rPr>
                <w:rFonts w:ascii="Book Antiqua" w:hAnsi="Book Antiqua"/>
              </w:rPr>
              <w:t>2012</w:t>
            </w:r>
          </w:p>
        </w:tc>
        <w:tc>
          <w:tcPr>
            <w:tcW w:w="0" w:type="auto"/>
          </w:tcPr>
          <w:p w14:paraId="0C0AA8FB" w14:textId="5C11DA52" w:rsidR="006E257E" w:rsidRPr="009A3C92" w:rsidRDefault="00D11041" w:rsidP="00D11041">
            <w:pPr>
              <w:adjustRightInd w:val="0"/>
              <w:snapToGrid w:val="0"/>
              <w:spacing w:line="360" w:lineRule="auto"/>
              <w:rPr>
                <w:rFonts w:ascii="Book Antiqua" w:hAnsi="Book Antiqua"/>
              </w:rPr>
            </w:pPr>
            <w:r w:rsidRPr="009A3C92">
              <w:rPr>
                <w:rFonts w:ascii="Book Antiqua" w:hAnsi="Book Antiqua"/>
              </w:rPr>
              <w:t>First-line</w:t>
            </w:r>
            <w:r w:rsidR="008E3348" w:rsidRPr="009A3C92">
              <w:rPr>
                <w:rFonts w:ascii="Book Antiqua" w:hAnsi="Book Antiqua"/>
              </w:rPr>
              <w:t xml:space="preserve"> </w:t>
            </w:r>
            <w:r w:rsidRPr="009A3C92">
              <w:rPr>
                <w:rFonts w:ascii="Book Antiqua" w:hAnsi="Book Antiqua"/>
              </w:rPr>
              <w:t>therapy</w:t>
            </w:r>
            <w:r w:rsidR="008E3348" w:rsidRPr="009A3C92">
              <w:rPr>
                <w:rFonts w:ascii="Book Antiqua" w:hAnsi="Book Antiqua"/>
              </w:rPr>
              <w:t xml:space="preserve"> </w:t>
            </w:r>
            <w:r w:rsidRPr="009A3C92">
              <w:rPr>
                <w:rFonts w:ascii="Book Antiqua" w:hAnsi="Book Antiqua"/>
              </w:rPr>
              <w:t>for</w:t>
            </w:r>
            <w:r w:rsidR="008E3348" w:rsidRPr="009A3C92">
              <w:rPr>
                <w:rFonts w:ascii="Book Antiqua" w:hAnsi="Book Antiqua"/>
              </w:rPr>
              <w:t xml:space="preserve"> </w:t>
            </w:r>
            <w:r w:rsidRPr="009A3C92">
              <w:rPr>
                <w:rFonts w:ascii="Book Antiqua" w:hAnsi="Book Antiqua"/>
              </w:rPr>
              <w:t>patients</w:t>
            </w:r>
            <w:r w:rsidR="008E3348" w:rsidRPr="009A3C92">
              <w:rPr>
                <w:rFonts w:ascii="Book Antiqua" w:hAnsi="Book Antiqua"/>
              </w:rPr>
              <w:t xml:space="preserve"> </w:t>
            </w:r>
            <w:r w:rsidRPr="009A3C92">
              <w:rPr>
                <w:rFonts w:ascii="Book Antiqua" w:hAnsi="Book Antiqua"/>
              </w:rPr>
              <w:t>with</w:t>
            </w:r>
            <w:r w:rsidR="008E3348" w:rsidRPr="009A3C92">
              <w:rPr>
                <w:rFonts w:ascii="Book Antiqua" w:hAnsi="Book Antiqua"/>
              </w:rPr>
              <w:t xml:space="preserve"> </w:t>
            </w:r>
            <w:r w:rsidRPr="009A3C92">
              <w:rPr>
                <w:rFonts w:ascii="Book Antiqua" w:hAnsi="Book Antiqua"/>
              </w:rPr>
              <w:t>CD</w:t>
            </w:r>
            <w:r w:rsidR="008E3348" w:rsidRPr="009A3C92">
              <w:rPr>
                <w:rFonts w:ascii="Book Antiqua" w:hAnsi="Book Antiqua"/>
              </w:rPr>
              <w:t xml:space="preserve"> </w:t>
            </w:r>
            <w:r w:rsidRPr="009A3C92">
              <w:rPr>
                <w:rFonts w:ascii="Book Antiqua" w:hAnsi="Book Antiqua"/>
              </w:rPr>
              <w:t>who</w:t>
            </w:r>
            <w:r w:rsidR="008E3348" w:rsidRPr="009A3C92">
              <w:rPr>
                <w:rFonts w:ascii="Book Antiqua" w:hAnsi="Book Antiqua"/>
              </w:rPr>
              <w:t xml:space="preserve"> </w:t>
            </w:r>
            <w:r w:rsidRPr="009A3C92">
              <w:rPr>
                <w:rFonts w:ascii="Book Antiqua" w:hAnsi="Book Antiqua"/>
              </w:rPr>
              <w:t>are</w:t>
            </w:r>
            <w:r w:rsidR="008E3348" w:rsidRPr="009A3C92">
              <w:rPr>
                <w:rFonts w:ascii="Book Antiqua" w:hAnsi="Book Antiqua"/>
              </w:rPr>
              <w:t xml:space="preserve"> </w:t>
            </w:r>
            <w:r w:rsidRPr="009A3C92">
              <w:rPr>
                <w:rFonts w:ascii="Book Antiqua" w:hAnsi="Book Antiqua"/>
              </w:rPr>
              <w:t>at</w:t>
            </w:r>
            <w:r w:rsidR="008E3348" w:rsidRPr="009A3C92">
              <w:rPr>
                <w:rFonts w:ascii="Book Antiqua" w:hAnsi="Book Antiqua"/>
              </w:rPr>
              <w:t xml:space="preserve"> </w:t>
            </w:r>
            <w:r w:rsidRPr="009A3C92">
              <w:rPr>
                <w:rFonts w:ascii="Book Antiqua" w:hAnsi="Book Antiqua"/>
              </w:rPr>
              <w:t>risk</w:t>
            </w:r>
            <w:r w:rsidR="008E3348" w:rsidRPr="009A3C92">
              <w:rPr>
                <w:rFonts w:ascii="Book Antiqua" w:hAnsi="Book Antiqua"/>
              </w:rPr>
              <w:t xml:space="preserve"> </w:t>
            </w:r>
            <w:r w:rsidRPr="009A3C92">
              <w:rPr>
                <w:rFonts w:ascii="Book Antiqua" w:hAnsi="Book Antiqua"/>
              </w:rPr>
              <w:t>for</w:t>
            </w:r>
            <w:r w:rsidR="008E3348" w:rsidRPr="009A3C92">
              <w:rPr>
                <w:rFonts w:ascii="Book Antiqua" w:hAnsi="Book Antiqua"/>
              </w:rPr>
              <w:t xml:space="preserve"> </w:t>
            </w:r>
            <w:r w:rsidRPr="009A3C92">
              <w:rPr>
                <w:rFonts w:ascii="Book Antiqua" w:hAnsi="Book Antiqua"/>
              </w:rPr>
              <w:t>progressive</w:t>
            </w:r>
            <w:r w:rsidR="008E3348" w:rsidRPr="009A3C92">
              <w:rPr>
                <w:rFonts w:ascii="Book Antiqua" w:hAnsi="Book Antiqua"/>
              </w:rPr>
              <w:t xml:space="preserve"> </w:t>
            </w:r>
            <w:r w:rsidRPr="009A3C92">
              <w:rPr>
                <w:rFonts w:ascii="Book Antiqua" w:hAnsi="Book Antiqua"/>
              </w:rPr>
              <w:t>disease</w:t>
            </w:r>
            <w:r w:rsidR="008E3348" w:rsidRPr="009A3C92">
              <w:rPr>
                <w:rFonts w:ascii="Book Antiqua" w:hAnsi="Book Antiqua"/>
              </w:rPr>
              <w:t xml:space="preserve"> </w:t>
            </w:r>
            <w:r w:rsidRPr="009A3C92">
              <w:rPr>
                <w:rFonts w:ascii="Book Antiqua" w:hAnsi="Book Antiqua"/>
              </w:rPr>
              <w:t>or</w:t>
            </w:r>
            <w:r w:rsidR="008E3348" w:rsidRPr="009A3C92">
              <w:rPr>
                <w:rFonts w:ascii="Book Antiqua" w:hAnsi="Book Antiqua"/>
              </w:rPr>
              <w:t xml:space="preserve"> </w:t>
            </w:r>
            <w:r w:rsidRPr="009A3C92">
              <w:rPr>
                <w:rFonts w:ascii="Book Antiqua" w:hAnsi="Book Antiqua"/>
              </w:rPr>
              <w:t>for</w:t>
            </w:r>
            <w:r w:rsidR="008E3348" w:rsidRPr="009A3C92">
              <w:rPr>
                <w:rFonts w:ascii="Book Antiqua" w:hAnsi="Book Antiqua"/>
              </w:rPr>
              <w:t xml:space="preserve"> </w:t>
            </w:r>
            <w:r w:rsidRPr="009A3C92">
              <w:rPr>
                <w:rFonts w:ascii="Book Antiqua" w:hAnsi="Book Antiqua"/>
              </w:rPr>
              <w:t>whom</w:t>
            </w:r>
            <w:r w:rsidR="008E3348" w:rsidRPr="009A3C92">
              <w:rPr>
                <w:rFonts w:ascii="Book Antiqua" w:hAnsi="Book Antiqua"/>
              </w:rPr>
              <w:t xml:space="preserve"> </w:t>
            </w:r>
            <w:r w:rsidRPr="009A3C92">
              <w:rPr>
                <w:rFonts w:ascii="Book Antiqua" w:hAnsi="Book Antiqua"/>
              </w:rPr>
              <w:t>corticosteroids</w:t>
            </w:r>
            <w:r w:rsidR="008E3348" w:rsidRPr="009A3C92">
              <w:rPr>
                <w:rFonts w:ascii="Book Antiqua" w:hAnsi="Book Antiqua"/>
              </w:rPr>
              <w:t xml:space="preserve"> </w:t>
            </w:r>
            <w:r w:rsidRPr="009A3C92">
              <w:rPr>
                <w:rFonts w:ascii="Book Antiqua" w:hAnsi="Book Antiqua"/>
              </w:rPr>
              <w:t>may</w:t>
            </w:r>
            <w:r w:rsidR="008E3348" w:rsidRPr="009A3C92">
              <w:rPr>
                <w:rFonts w:ascii="Book Antiqua" w:hAnsi="Book Antiqua"/>
              </w:rPr>
              <w:t xml:space="preserve"> </w:t>
            </w:r>
            <w:r w:rsidRPr="009A3C92">
              <w:rPr>
                <w:rFonts w:ascii="Book Antiqua" w:hAnsi="Book Antiqua"/>
              </w:rPr>
              <w:t>exacerbate</w:t>
            </w:r>
            <w:r w:rsidR="008E3348" w:rsidRPr="009A3C92">
              <w:rPr>
                <w:rFonts w:ascii="Book Antiqua" w:hAnsi="Book Antiqua"/>
              </w:rPr>
              <w:t xml:space="preserve"> </w:t>
            </w:r>
            <w:r w:rsidRPr="009A3C92">
              <w:rPr>
                <w:rFonts w:ascii="Book Antiqua" w:hAnsi="Book Antiqua"/>
              </w:rPr>
              <w:t>underlying</w:t>
            </w:r>
            <w:r w:rsidR="008E3348" w:rsidRPr="009A3C92">
              <w:rPr>
                <w:rFonts w:ascii="Book Antiqua" w:hAnsi="Book Antiqua"/>
              </w:rPr>
              <w:t xml:space="preserve"> </w:t>
            </w:r>
            <w:r w:rsidRPr="009A3C92">
              <w:rPr>
                <w:rFonts w:ascii="Book Antiqua" w:hAnsi="Book Antiqua"/>
              </w:rPr>
              <w:t>conditions</w:t>
            </w:r>
            <w:r w:rsidRPr="009A3C92">
              <w:rPr>
                <w:rFonts w:ascii="Book Antiqua" w:hAnsi="Book Antiqua"/>
                <w:noProof/>
                <w:vertAlign w:val="superscript"/>
              </w:rPr>
              <w:t>[10]</w:t>
            </w:r>
            <w:r w:rsidRPr="009A3C92">
              <w:rPr>
                <w:rFonts w:ascii="Book Antiqua" w:hAnsi="Book Antiqua"/>
                <w:noProof/>
              </w:rPr>
              <w:t>;</w:t>
            </w:r>
            <w:r w:rsidR="008E3348" w:rsidRPr="009A3C92">
              <w:rPr>
                <w:rFonts w:ascii="Book Antiqua" w:hAnsi="Book Antiqua"/>
                <w:noProof/>
              </w:rPr>
              <w:t xml:space="preserve"> </w:t>
            </w:r>
            <w:r w:rsidRPr="009A3C92">
              <w:rPr>
                <w:rFonts w:ascii="Book Antiqua" w:hAnsi="Book Antiqua"/>
              </w:rPr>
              <w:t>Prophylactic</w:t>
            </w:r>
            <w:r w:rsidR="008E3348" w:rsidRPr="009A3C92">
              <w:rPr>
                <w:rFonts w:ascii="Book Antiqua" w:hAnsi="Book Antiqua"/>
              </w:rPr>
              <w:t xml:space="preserve"> </w:t>
            </w:r>
            <w:r w:rsidRPr="009A3C92">
              <w:rPr>
                <w:rFonts w:ascii="Book Antiqua" w:hAnsi="Book Antiqua"/>
              </w:rPr>
              <w:t>therapy</w:t>
            </w:r>
            <w:r w:rsidR="008E3348" w:rsidRPr="009A3C92">
              <w:rPr>
                <w:rFonts w:ascii="Book Antiqua" w:hAnsi="Book Antiqua"/>
              </w:rPr>
              <w:t xml:space="preserve"> </w:t>
            </w:r>
            <w:r w:rsidRPr="009A3C92">
              <w:rPr>
                <w:rFonts w:ascii="Book Antiqua" w:hAnsi="Book Antiqua"/>
              </w:rPr>
              <w:t>for</w:t>
            </w:r>
            <w:r w:rsidR="008E3348" w:rsidRPr="009A3C92">
              <w:rPr>
                <w:rFonts w:ascii="Book Antiqua" w:hAnsi="Book Antiqua"/>
              </w:rPr>
              <w:t xml:space="preserve"> </w:t>
            </w:r>
            <w:r w:rsidRPr="009A3C92">
              <w:rPr>
                <w:rFonts w:ascii="Book Antiqua" w:hAnsi="Book Antiqua"/>
              </w:rPr>
              <w:t>preventing</w:t>
            </w:r>
            <w:r w:rsidR="008E3348" w:rsidRPr="009A3C92">
              <w:rPr>
                <w:rFonts w:ascii="Book Antiqua" w:hAnsi="Book Antiqua"/>
              </w:rPr>
              <w:t xml:space="preserve"> </w:t>
            </w:r>
            <w:r w:rsidRPr="009A3C92">
              <w:rPr>
                <w:rFonts w:ascii="Book Antiqua" w:hAnsi="Book Antiqua"/>
              </w:rPr>
              <w:t>postoperative</w:t>
            </w:r>
            <w:r w:rsidR="008E3348" w:rsidRPr="009A3C92">
              <w:rPr>
                <w:rFonts w:ascii="Book Antiqua" w:hAnsi="Book Antiqua"/>
              </w:rPr>
              <w:t xml:space="preserve"> </w:t>
            </w:r>
            <w:r w:rsidRPr="009A3C92">
              <w:rPr>
                <w:rFonts w:ascii="Book Antiqua" w:hAnsi="Book Antiqua"/>
              </w:rPr>
              <w:t>recurrence</w:t>
            </w:r>
            <w:r w:rsidR="008E3348" w:rsidRPr="009A3C92">
              <w:rPr>
                <w:rFonts w:ascii="Book Antiqua" w:hAnsi="Book Antiqua"/>
              </w:rPr>
              <w:t xml:space="preserve"> </w:t>
            </w:r>
            <w:r w:rsidRPr="009A3C92">
              <w:rPr>
                <w:rFonts w:ascii="Book Antiqua" w:hAnsi="Book Antiqua"/>
              </w:rPr>
              <w:t>in</w:t>
            </w:r>
            <w:r w:rsidR="008E3348" w:rsidRPr="009A3C92">
              <w:rPr>
                <w:rFonts w:ascii="Book Antiqua" w:hAnsi="Book Antiqua"/>
              </w:rPr>
              <w:t xml:space="preserve"> </w:t>
            </w:r>
            <w:r w:rsidRPr="009A3C92">
              <w:rPr>
                <w:rFonts w:ascii="Book Antiqua" w:hAnsi="Book Antiqua"/>
              </w:rPr>
              <w:t>high-risk</w:t>
            </w:r>
            <w:r w:rsidR="008E3348" w:rsidRPr="009A3C92">
              <w:rPr>
                <w:rFonts w:ascii="Book Antiqua" w:hAnsi="Book Antiqua"/>
              </w:rPr>
              <w:t xml:space="preserve"> </w:t>
            </w:r>
            <w:r w:rsidRPr="009A3C92">
              <w:rPr>
                <w:rFonts w:ascii="Book Antiqua" w:hAnsi="Book Antiqua"/>
              </w:rPr>
              <w:t>patients</w:t>
            </w:r>
            <w:r w:rsidRPr="009A3C92">
              <w:rPr>
                <w:rFonts w:ascii="Book Antiqua" w:hAnsi="Book Antiqua"/>
                <w:noProof/>
                <w:vertAlign w:val="superscript"/>
              </w:rPr>
              <w:t>[10]</w:t>
            </w:r>
          </w:p>
        </w:tc>
      </w:tr>
      <w:tr w:rsidR="00D11041" w:rsidRPr="009A3C92" w14:paraId="19F40C7E" w14:textId="77777777" w:rsidTr="002F2533">
        <w:tc>
          <w:tcPr>
            <w:tcW w:w="0" w:type="auto"/>
          </w:tcPr>
          <w:p w14:paraId="1F8D933D" w14:textId="4BBC9B2E"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Anti-α4β7</w:t>
            </w:r>
            <w:r w:rsidR="008E3348" w:rsidRPr="009A3C92">
              <w:rPr>
                <w:rFonts w:ascii="Book Antiqua" w:hAnsi="Book Antiqua"/>
              </w:rPr>
              <w:t xml:space="preserve"> </w:t>
            </w:r>
            <w:r w:rsidRPr="009A3C92">
              <w:rPr>
                <w:rFonts w:ascii="Book Antiqua" w:hAnsi="Book Antiqua"/>
              </w:rPr>
              <w:t>integrin</w:t>
            </w:r>
          </w:p>
        </w:tc>
        <w:tc>
          <w:tcPr>
            <w:tcW w:w="0" w:type="auto"/>
          </w:tcPr>
          <w:p w14:paraId="15565E42" w14:textId="77777777"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Vedolizumab</w:t>
            </w:r>
          </w:p>
        </w:tc>
        <w:tc>
          <w:tcPr>
            <w:tcW w:w="0" w:type="auto"/>
          </w:tcPr>
          <w:p w14:paraId="75799FB6" w14:textId="01DD0162"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Adult:</w:t>
            </w:r>
            <w:r w:rsidR="008E3348" w:rsidRPr="009A3C92">
              <w:rPr>
                <w:rFonts w:ascii="Book Antiqua" w:hAnsi="Book Antiqua"/>
              </w:rPr>
              <w:t xml:space="preserve"> </w:t>
            </w:r>
            <w:r w:rsidRPr="009A3C92">
              <w:rPr>
                <w:rFonts w:ascii="Book Antiqua" w:hAnsi="Book Antiqua"/>
              </w:rPr>
              <w:t>2014</w:t>
            </w:r>
            <w:r w:rsidR="004B7884"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Pediatric:</w:t>
            </w:r>
            <w:r w:rsidR="008E3348" w:rsidRPr="009A3C92">
              <w:rPr>
                <w:rFonts w:ascii="Book Antiqua" w:hAnsi="Book Antiqua"/>
              </w:rPr>
              <w:t xml:space="preserve"> </w:t>
            </w:r>
            <w:r w:rsidRPr="009A3C92">
              <w:rPr>
                <w:rFonts w:ascii="Book Antiqua" w:hAnsi="Book Antiqua"/>
              </w:rPr>
              <w:t>N/A</w:t>
            </w:r>
          </w:p>
        </w:tc>
        <w:tc>
          <w:tcPr>
            <w:tcW w:w="0" w:type="auto"/>
          </w:tcPr>
          <w:p w14:paraId="55F1025A" w14:textId="3B6199F8"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Guideline</w:t>
            </w:r>
            <w:r w:rsidR="008E3348" w:rsidRPr="009A3C92">
              <w:rPr>
                <w:rFonts w:ascii="Book Antiqua" w:hAnsi="Book Antiqua"/>
              </w:rPr>
              <w:t xml:space="preserve"> </w:t>
            </w:r>
            <w:r w:rsidRPr="009A3C92">
              <w:rPr>
                <w:rFonts w:ascii="Book Antiqua" w:hAnsi="Book Antiqua"/>
              </w:rPr>
              <w:t>recommendations</w:t>
            </w:r>
            <w:r w:rsidR="008E3348" w:rsidRPr="009A3C92">
              <w:rPr>
                <w:rFonts w:ascii="Book Antiqua" w:hAnsi="Book Antiqua"/>
              </w:rPr>
              <w:t xml:space="preserve"> </w:t>
            </w:r>
            <w:r w:rsidRPr="009A3C92">
              <w:rPr>
                <w:rFonts w:ascii="Book Antiqua" w:hAnsi="Book Antiqua"/>
              </w:rPr>
              <w:t>for</w:t>
            </w:r>
            <w:r w:rsidR="008E3348" w:rsidRPr="009A3C92">
              <w:rPr>
                <w:rFonts w:ascii="Book Antiqua" w:hAnsi="Book Antiqua"/>
              </w:rPr>
              <w:t xml:space="preserve"> </w:t>
            </w:r>
            <w:r w:rsidRPr="009A3C92">
              <w:rPr>
                <w:rFonts w:ascii="Book Antiqua" w:hAnsi="Book Antiqua"/>
              </w:rPr>
              <w:t>this</w:t>
            </w:r>
            <w:r w:rsidR="008E3348" w:rsidRPr="009A3C92">
              <w:rPr>
                <w:rFonts w:ascii="Book Antiqua" w:hAnsi="Book Antiqua"/>
              </w:rPr>
              <w:t xml:space="preserve"> </w:t>
            </w:r>
            <w:r w:rsidRPr="009A3C92">
              <w:rPr>
                <w:rFonts w:ascii="Book Antiqua" w:hAnsi="Book Antiqua"/>
              </w:rPr>
              <w:t>pediatric</w:t>
            </w:r>
            <w:r w:rsidR="008E3348" w:rsidRPr="009A3C92">
              <w:rPr>
                <w:rFonts w:ascii="Book Antiqua" w:hAnsi="Book Antiqua"/>
              </w:rPr>
              <w:t xml:space="preserve"> </w:t>
            </w:r>
            <w:r w:rsidRPr="009A3C92">
              <w:rPr>
                <w:rFonts w:ascii="Book Antiqua" w:hAnsi="Book Antiqua"/>
              </w:rPr>
              <w:t>indication</w:t>
            </w:r>
            <w:r w:rsidR="008E3348" w:rsidRPr="009A3C92">
              <w:rPr>
                <w:rFonts w:ascii="Book Antiqua" w:hAnsi="Book Antiqua"/>
              </w:rPr>
              <w:t xml:space="preserve"> </w:t>
            </w:r>
            <w:r w:rsidRPr="009A3C92">
              <w:rPr>
                <w:rFonts w:ascii="Book Antiqua" w:hAnsi="Book Antiqua"/>
              </w:rPr>
              <w:t>are</w:t>
            </w:r>
            <w:r w:rsidR="008E3348" w:rsidRPr="009A3C92">
              <w:rPr>
                <w:rFonts w:ascii="Book Antiqua" w:hAnsi="Book Antiqua"/>
              </w:rPr>
              <w:t xml:space="preserve"> </w:t>
            </w:r>
            <w:r w:rsidRPr="009A3C92">
              <w:rPr>
                <w:rFonts w:ascii="Book Antiqua" w:hAnsi="Book Antiqua"/>
              </w:rPr>
              <w:t>not</w:t>
            </w:r>
            <w:r w:rsidR="008E3348" w:rsidRPr="009A3C92">
              <w:rPr>
                <w:rFonts w:ascii="Book Antiqua" w:hAnsi="Book Antiqua"/>
              </w:rPr>
              <w:t xml:space="preserve"> </w:t>
            </w:r>
            <w:r w:rsidRPr="009A3C92">
              <w:rPr>
                <w:rFonts w:ascii="Book Antiqua" w:hAnsi="Book Antiqua"/>
              </w:rPr>
              <w:t>yet</w:t>
            </w:r>
            <w:r w:rsidR="008E3348" w:rsidRPr="009A3C92">
              <w:rPr>
                <w:rFonts w:ascii="Book Antiqua" w:hAnsi="Book Antiqua"/>
              </w:rPr>
              <w:t xml:space="preserve"> </w:t>
            </w:r>
            <w:r w:rsidRPr="009A3C92">
              <w:rPr>
                <w:rFonts w:ascii="Book Antiqua" w:hAnsi="Book Antiqua"/>
              </w:rPr>
              <w:t>available</w:t>
            </w:r>
          </w:p>
        </w:tc>
      </w:tr>
      <w:tr w:rsidR="00D11041" w:rsidRPr="009A3C92" w14:paraId="4EE46D48" w14:textId="77777777" w:rsidTr="002F2533">
        <w:tc>
          <w:tcPr>
            <w:tcW w:w="0" w:type="auto"/>
          </w:tcPr>
          <w:p w14:paraId="428FF06D" w14:textId="41FEF106"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I</w:t>
            </w:r>
            <w:r w:rsidR="004B7884" w:rsidRPr="009A3C92">
              <w:rPr>
                <w:rFonts w:ascii="Book Antiqua" w:hAnsi="Book Antiqua"/>
              </w:rPr>
              <w:t>L-</w:t>
            </w:r>
            <w:r w:rsidRPr="009A3C92">
              <w:rPr>
                <w:rFonts w:ascii="Book Antiqua" w:hAnsi="Book Antiqua"/>
              </w:rPr>
              <w:t>12/23</w:t>
            </w:r>
            <w:r w:rsidR="008E3348" w:rsidRPr="009A3C92">
              <w:rPr>
                <w:rFonts w:ascii="Book Antiqua" w:hAnsi="Book Antiqua"/>
              </w:rPr>
              <w:t xml:space="preserve"> </w:t>
            </w:r>
            <w:r w:rsidRPr="009A3C92">
              <w:rPr>
                <w:rFonts w:ascii="Book Antiqua" w:hAnsi="Book Antiqua"/>
              </w:rPr>
              <w:t>p40</w:t>
            </w:r>
            <w:r w:rsidR="008E3348" w:rsidRPr="009A3C92">
              <w:rPr>
                <w:rFonts w:ascii="Book Antiqua" w:hAnsi="Book Antiqua"/>
              </w:rPr>
              <w:t xml:space="preserve"> </w:t>
            </w:r>
            <w:r w:rsidRPr="009A3C92">
              <w:rPr>
                <w:rFonts w:ascii="Book Antiqua" w:hAnsi="Book Antiqua"/>
              </w:rPr>
              <w:t>inhibitor</w:t>
            </w:r>
          </w:p>
        </w:tc>
        <w:tc>
          <w:tcPr>
            <w:tcW w:w="0" w:type="auto"/>
          </w:tcPr>
          <w:p w14:paraId="27075759" w14:textId="77777777"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Ustekinumab</w:t>
            </w:r>
          </w:p>
        </w:tc>
        <w:tc>
          <w:tcPr>
            <w:tcW w:w="0" w:type="auto"/>
          </w:tcPr>
          <w:p w14:paraId="4AEF7F9F" w14:textId="34E71ECF"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Adult:</w:t>
            </w:r>
            <w:r w:rsidR="008E3348" w:rsidRPr="009A3C92">
              <w:rPr>
                <w:rFonts w:ascii="Book Antiqua" w:hAnsi="Book Antiqua"/>
              </w:rPr>
              <w:t xml:space="preserve"> </w:t>
            </w:r>
            <w:r w:rsidRPr="009A3C92">
              <w:rPr>
                <w:rFonts w:ascii="Book Antiqua" w:hAnsi="Book Antiqua"/>
              </w:rPr>
              <w:t>2016</w:t>
            </w:r>
            <w:r w:rsidR="004B7884"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Pediatric:</w:t>
            </w:r>
            <w:r w:rsidR="008E3348" w:rsidRPr="009A3C92">
              <w:rPr>
                <w:rFonts w:ascii="Book Antiqua" w:hAnsi="Book Antiqua"/>
              </w:rPr>
              <w:t xml:space="preserve"> </w:t>
            </w:r>
            <w:r w:rsidRPr="009A3C92">
              <w:rPr>
                <w:rFonts w:ascii="Book Antiqua" w:hAnsi="Book Antiqua"/>
              </w:rPr>
              <w:t>N/A</w:t>
            </w:r>
          </w:p>
        </w:tc>
        <w:tc>
          <w:tcPr>
            <w:tcW w:w="0" w:type="auto"/>
          </w:tcPr>
          <w:p w14:paraId="60FFC2E3" w14:textId="6F6C9493" w:rsidR="006E257E" w:rsidRPr="009A3C92" w:rsidRDefault="006E257E" w:rsidP="00FB7357">
            <w:pPr>
              <w:adjustRightInd w:val="0"/>
              <w:snapToGrid w:val="0"/>
              <w:spacing w:line="360" w:lineRule="auto"/>
              <w:rPr>
                <w:rFonts w:ascii="Book Antiqua" w:hAnsi="Book Antiqua"/>
              </w:rPr>
            </w:pPr>
            <w:r w:rsidRPr="009A3C92">
              <w:rPr>
                <w:rFonts w:ascii="Book Antiqua" w:hAnsi="Book Antiqua"/>
              </w:rPr>
              <w:t>Second-line</w:t>
            </w:r>
            <w:r w:rsidR="008E3348" w:rsidRPr="009A3C92">
              <w:rPr>
                <w:rFonts w:ascii="Book Antiqua" w:hAnsi="Book Antiqua"/>
              </w:rPr>
              <w:t xml:space="preserve"> </w:t>
            </w:r>
            <w:r w:rsidRPr="009A3C92">
              <w:rPr>
                <w:rFonts w:ascii="Book Antiqua" w:hAnsi="Book Antiqua"/>
              </w:rPr>
              <w:t>biologic</w:t>
            </w:r>
            <w:r w:rsidR="008E3348" w:rsidRPr="009A3C92">
              <w:rPr>
                <w:rFonts w:ascii="Book Antiqua" w:hAnsi="Book Antiqua"/>
              </w:rPr>
              <w:t xml:space="preserve"> </w:t>
            </w:r>
            <w:r w:rsidRPr="009A3C92">
              <w:rPr>
                <w:rFonts w:ascii="Book Antiqua" w:hAnsi="Book Antiqua"/>
              </w:rPr>
              <w:t>therapy</w:t>
            </w:r>
            <w:r w:rsidR="008E3348" w:rsidRPr="009A3C92">
              <w:rPr>
                <w:rFonts w:ascii="Book Antiqua" w:hAnsi="Book Antiqua"/>
              </w:rPr>
              <w:t xml:space="preserve"> </w:t>
            </w:r>
            <w:r w:rsidRPr="009A3C92">
              <w:rPr>
                <w:rFonts w:ascii="Book Antiqua" w:hAnsi="Book Antiqua"/>
              </w:rPr>
              <w:t>after</w:t>
            </w:r>
            <w:r w:rsidR="008E3348" w:rsidRPr="009A3C92">
              <w:rPr>
                <w:rFonts w:ascii="Book Antiqua" w:hAnsi="Book Antiqua"/>
              </w:rPr>
              <w:t xml:space="preserve"> </w:t>
            </w:r>
            <w:r w:rsidRPr="009A3C92">
              <w:rPr>
                <w:rFonts w:ascii="Book Antiqua" w:hAnsi="Book Antiqua"/>
              </w:rPr>
              <w:t>anti-TNF</w:t>
            </w:r>
            <w:r w:rsidR="008E3348" w:rsidRPr="009A3C92">
              <w:rPr>
                <w:rFonts w:ascii="Book Antiqua" w:hAnsi="Book Antiqua"/>
              </w:rPr>
              <w:t xml:space="preserve"> </w:t>
            </w:r>
            <w:r w:rsidRPr="009A3C92">
              <w:rPr>
                <w:rFonts w:ascii="Book Antiqua" w:hAnsi="Book Antiqua"/>
              </w:rPr>
              <w:t>agent</w:t>
            </w:r>
            <w:r w:rsidR="008E3348" w:rsidRPr="009A3C92">
              <w:rPr>
                <w:rFonts w:ascii="Book Antiqua" w:hAnsi="Book Antiqua"/>
              </w:rPr>
              <w:t xml:space="preserve"> </w:t>
            </w:r>
            <w:r w:rsidRPr="009A3C92">
              <w:rPr>
                <w:rFonts w:ascii="Book Antiqua" w:hAnsi="Book Antiqua"/>
              </w:rPr>
              <w:t>failure</w:t>
            </w:r>
            <w:r w:rsidRPr="009A3C92">
              <w:rPr>
                <w:rFonts w:ascii="Book Antiqua" w:hAnsi="Book Antiqua"/>
                <w:noProof/>
                <w:vertAlign w:val="superscript"/>
              </w:rPr>
              <w:t>[11]</w:t>
            </w:r>
          </w:p>
        </w:tc>
      </w:tr>
    </w:tbl>
    <w:p w14:paraId="2C4155CC" w14:textId="035591F2" w:rsidR="006E257E" w:rsidRPr="009A3C92" w:rsidRDefault="006E257E" w:rsidP="006E257E">
      <w:pPr>
        <w:adjustRightInd w:val="0"/>
        <w:snapToGrid w:val="0"/>
        <w:spacing w:line="360" w:lineRule="auto"/>
        <w:jc w:val="both"/>
        <w:rPr>
          <w:rFonts w:ascii="Book Antiqua" w:hAnsi="Book Antiqua"/>
        </w:rPr>
      </w:pPr>
      <w:r w:rsidRPr="009A3C92">
        <w:rPr>
          <w:rFonts w:ascii="Book Antiqua" w:hAnsi="Book Antiqua"/>
        </w:rPr>
        <w:t>FDA:</w:t>
      </w:r>
      <w:r w:rsidR="008E3348" w:rsidRPr="009A3C92">
        <w:rPr>
          <w:rFonts w:ascii="Book Antiqua" w:hAnsi="Book Antiqua"/>
        </w:rPr>
        <w:t xml:space="preserve"> </w:t>
      </w:r>
      <w:r w:rsidRPr="009A3C92">
        <w:rPr>
          <w:rFonts w:ascii="Book Antiqua" w:hAnsi="Book Antiqua"/>
        </w:rPr>
        <w:t>Food</w:t>
      </w:r>
      <w:r w:rsidR="008E3348" w:rsidRPr="009A3C92">
        <w:rPr>
          <w:rFonts w:ascii="Book Antiqua" w:hAnsi="Book Antiqua"/>
        </w:rPr>
        <w:t xml:space="preserve"> </w:t>
      </w:r>
      <w:r w:rsidRPr="009A3C92">
        <w:rPr>
          <w:rFonts w:ascii="Book Antiqua" w:hAnsi="Book Antiqua"/>
        </w:rPr>
        <w:t>and</w:t>
      </w:r>
      <w:r w:rsidR="008E3348" w:rsidRPr="009A3C92">
        <w:rPr>
          <w:rFonts w:ascii="Book Antiqua" w:hAnsi="Book Antiqua"/>
        </w:rPr>
        <w:t xml:space="preserve"> </w:t>
      </w:r>
      <w:r w:rsidRPr="009A3C92">
        <w:rPr>
          <w:rFonts w:ascii="Book Antiqua" w:hAnsi="Book Antiqua"/>
        </w:rPr>
        <w:t>Drug</w:t>
      </w:r>
      <w:r w:rsidR="008E3348" w:rsidRPr="009A3C92">
        <w:rPr>
          <w:rFonts w:ascii="Book Antiqua" w:hAnsi="Book Antiqua"/>
        </w:rPr>
        <w:t xml:space="preserve"> </w:t>
      </w:r>
      <w:r w:rsidRPr="009A3C92">
        <w:rPr>
          <w:rFonts w:ascii="Book Antiqua" w:hAnsi="Book Antiqua"/>
        </w:rPr>
        <w:t>Administration;</w:t>
      </w:r>
      <w:r w:rsidR="008E3348" w:rsidRPr="009A3C92">
        <w:rPr>
          <w:rFonts w:ascii="Book Antiqua" w:hAnsi="Book Antiqua"/>
        </w:rPr>
        <w:t xml:space="preserve"> </w:t>
      </w:r>
      <w:r w:rsidRPr="009A3C92">
        <w:rPr>
          <w:rFonts w:ascii="Book Antiqua" w:hAnsi="Book Antiqua"/>
        </w:rPr>
        <w:t>CD:</w:t>
      </w:r>
      <w:r w:rsidR="008E3348" w:rsidRPr="009A3C92">
        <w:rPr>
          <w:rFonts w:ascii="Book Antiqua" w:hAnsi="Book Antiqua"/>
        </w:rPr>
        <w:t xml:space="preserve"> </w:t>
      </w:r>
      <w:r w:rsidRPr="009A3C92">
        <w:rPr>
          <w:rFonts w:ascii="Book Antiqua" w:hAnsi="Book Antiqua"/>
        </w:rPr>
        <w:t>Crohn’s</w:t>
      </w:r>
      <w:r w:rsidR="008E3348" w:rsidRPr="009A3C92">
        <w:rPr>
          <w:rFonts w:ascii="Book Antiqua" w:hAnsi="Book Antiqua"/>
        </w:rPr>
        <w:t xml:space="preserve"> </w:t>
      </w:r>
      <w:r w:rsidRPr="009A3C92">
        <w:rPr>
          <w:rFonts w:ascii="Book Antiqua" w:hAnsi="Book Antiqua"/>
        </w:rPr>
        <w:t>disease;</w:t>
      </w:r>
      <w:r w:rsidR="008E3348" w:rsidRPr="009A3C92">
        <w:rPr>
          <w:rFonts w:ascii="Book Antiqua" w:hAnsi="Book Antiqua"/>
        </w:rPr>
        <w:t xml:space="preserve"> </w:t>
      </w:r>
      <w:r w:rsidRPr="009A3C92">
        <w:rPr>
          <w:rFonts w:ascii="Book Antiqua" w:hAnsi="Book Antiqua"/>
        </w:rPr>
        <w:t>TNF:</w:t>
      </w:r>
      <w:r w:rsidR="008E3348" w:rsidRPr="009A3C92">
        <w:rPr>
          <w:rFonts w:ascii="Book Antiqua" w:hAnsi="Book Antiqua"/>
        </w:rPr>
        <w:t xml:space="preserve"> </w:t>
      </w:r>
      <w:r w:rsidR="004B7884" w:rsidRPr="009A3C92">
        <w:rPr>
          <w:rFonts w:ascii="Book Antiqua" w:hAnsi="Book Antiqua"/>
        </w:rPr>
        <w:t>Tumor</w:t>
      </w:r>
      <w:r w:rsidR="008E3348" w:rsidRPr="009A3C92">
        <w:rPr>
          <w:rFonts w:ascii="Book Antiqua" w:hAnsi="Book Antiqua"/>
        </w:rPr>
        <w:t xml:space="preserve"> </w:t>
      </w:r>
      <w:r w:rsidRPr="009A3C92">
        <w:rPr>
          <w:rFonts w:ascii="Book Antiqua" w:hAnsi="Book Antiqua"/>
        </w:rPr>
        <w:t>necrosis</w:t>
      </w:r>
      <w:r w:rsidR="008E3348" w:rsidRPr="009A3C92">
        <w:rPr>
          <w:rFonts w:ascii="Book Antiqua" w:hAnsi="Book Antiqua"/>
        </w:rPr>
        <w:t xml:space="preserve"> </w:t>
      </w:r>
      <w:r w:rsidRPr="009A3C92">
        <w:rPr>
          <w:rFonts w:ascii="Book Antiqua" w:hAnsi="Book Antiqua"/>
        </w:rPr>
        <w:t>factor;</w:t>
      </w:r>
      <w:r w:rsidR="008E3348" w:rsidRPr="009A3C92">
        <w:rPr>
          <w:rFonts w:ascii="Book Antiqua" w:hAnsi="Book Antiqua"/>
        </w:rPr>
        <w:t xml:space="preserve"> </w:t>
      </w:r>
      <w:r w:rsidRPr="009A3C92">
        <w:rPr>
          <w:rFonts w:ascii="Book Antiqua" w:hAnsi="Book Antiqua"/>
        </w:rPr>
        <w:t>IL:</w:t>
      </w:r>
      <w:r w:rsidR="008E3348" w:rsidRPr="009A3C92">
        <w:rPr>
          <w:rFonts w:ascii="Book Antiqua" w:hAnsi="Book Antiqua"/>
        </w:rPr>
        <w:t xml:space="preserve"> </w:t>
      </w:r>
      <w:r w:rsidR="004B7884" w:rsidRPr="009A3C92">
        <w:rPr>
          <w:rFonts w:ascii="Book Antiqua" w:hAnsi="Book Antiqua"/>
        </w:rPr>
        <w:t>Interleukin</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N/A:</w:t>
      </w:r>
      <w:r w:rsidR="008E3348" w:rsidRPr="009A3C92">
        <w:rPr>
          <w:rFonts w:ascii="Book Antiqua" w:hAnsi="Book Antiqua"/>
        </w:rPr>
        <w:t xml:space="preserve"> </w:t>
      </w:r>
      <w:r w:rsidR="004B7884" w:rsidRPr="009A3C92">
        <w:rPr>
          <w:rFonts w:ascii="Book Antiqua" w:hAnsi="Book Antiqua"/>
        </w:rPr>
        <w:t>N</w:t>
      </w:r>
      <w:r w:rsidRPr="009A3C92">
        <w:rPr>
          <w:rFonts w:ascii="Book Antiqua" w:hAnsi="Book Antiqua"/>
        </w:rPr>
        <w:t>ot</w:t>
      </w:r>
      <w:r w:rsidR="008E3348" w:rsidRPr="009A3C92">
        <w:rPr>
          <w:rFonts w:ascii="Book Antiqua" w:hAnsi="Book Antiqua"/>
        </w:rPr>
        <w:t xml:space="preserve"> </w:t>
      </w:r>
      <w:r w:rsidRPr="009A3C92">
        <w:rPr>
          <w:rFonts w:ascii="Book Antiqua" w:hAnsi="Book Antiqua"/>
        </w:rPr>
        <w:t>applicable.</w:t>
      </w:r>
    </w:p>
    <w:p w14:paraId="1C031BC9" w14:textId="3E4DB281" w:rsidR="008B5C16" w:rsidRPr="009A3C92" w:rsidRDefault="008B5C16" w:rsidP="006E257E">
      <w:pPr>
        <w:adjustRightInd w:val="0"/>
        <w:snapToGrid w:val="0"/>
        <w:spacing w:line="360" w:lineRule="auto"/>
        <w:jc w:val="both"/>
        <w:rPr>
          <w:rFonts w:ascii="Book Antiqua" w:hAnsi="Book Antiqua"/>
        </w:rPr>
        <w:sectPr w:rsidR="008B5C16" w:rsidRPr="009A3C92">
          <w:pgSz w:w="12240" w:h="15840"/>
          <w:pgMar w:top="1440" w:right="1440" w:bottom="1440" w:left="1440" w:header="720" w:footer="720" w:gutter="0"/>
          <w:cols w:space="720"/>
          <w:docGrid w:linePitch="360"/>
        </w:sectPr>
      </w:pPr>
    </w:p>
    <w:p w14:paraId="51619DE6" w14:textId="49E52CDA" w:rsidR="006E257E" w:rsidRPr="009A3C92" w:rsidRDefault="006E257E" w:rsidP="006E257E">
      <w:pPr>
        <w:adjustRightInd w:val="0"/>
        <w:snapToGrid w:val="0"/>
        <w:spacing w:line="360" w:lineRule="auto"/>
        <w:jc w:val="both"/>
        <w:rPr>
          <w:rFonts w:ascii="Book Antiqua" w:hAnsi="Book Antiqua"/>
        </w:rPr>
      </w:pPr>
      <w:r w:rsidRPr="009A3C92">
        <w:rPr>
          <w:rFonts w:ascii="Book Antiqua" w:hAnsi="Book Antiqua"/>
          <w:b/>
        </w:rPr>
        <w:lastRenderedPageBreak/>
        <w:t>Table</w:t>
      </w:r>
      <w:r w:rsidR="008E3348" w:rsidRPr="009A3C92">
        <w:rPr>
          <w:rFonts w:ascii="Book Antiqua" w:hAnsi="Book Antiqua"/>
          <w:b/>
        </w:rPr>
        <w:t xml:space="preserve"> </w:t>
      </w:r>
      <w:r w:rsidRPr="009A3C92">
        <w:rPr>
          <w:rFonts w:ascii="Book Antiqua" w:hAnsi="Book Antiqua"/>
          <w:b/>
        </w:rPr>
        <w:t>2</w:t>
      </w:r>
      <w:r w:rsidR="008E3348" w:rsidRPr="009A3C92">
        <w:rPr>
          <w:rFonts w:ascii="Book Antiqua" w:hAnsi="Book Antiqua"/>
        </w:rPr>
        <w:t xml:space="preserve"> </w:t>
      </w:r>
      <w:r w:rsidRPr="009A3C92">
        <w:rPr>
          <w:rFonts w:ascii="Book Antiqua" w:hAnsi="Book Antiqua"/>
          <w:b/>
          <w:bCs/>
        </w:rPr>
        <w:t>Studies</w:t>
      </w:r>
      <w:r w:rsidR="008E3348" w:rsidRPr="009A3C92">
        <w:rPr>
          <w:rFonts w:ascii="Book Antiqua" w:hAnsi="Book Antiqua"/>
          <w:b/>
          <w:bCs/>
        </w:rPr>
        <w:t xml:space="preserve"> </w:t>
      </w:r>
      <w:r w:rsidRPr="009A3C92">
        <w:rPr>
          <w:rFonts w:ascii="Book Antiqua" w:hAnsi="Book Antiqua"/>
          <w:b/>
          <w:bCs/>
        </w:rPr>
        <w:t>evaluating</w:t>
      </w:r>
      <w:r w:rsidR="008E3348" w:rsidRPr="009A3C92">
        <w:rPr>
          <w:rFonts w:ascii="Book Antiqua" w:hAnsi="Book Antiqua"/>
          <w:b/>
          <w:bCs/>
        </w:rPr>
        <w:t xml:space="preserve"> </w:t>
      </w:r>
      <w:r w:rsidRPr="009A3C92">
        <w:rPr>
          <w:rFonts w:ascii="Book Antiqua" w:hAnsi="Book Antiqua"/>
          <w:b/>
          <w:bCs/>
        </w:rPr>
        <w:t>infliximab</w:t>
      </w:r>
      <w:r w:rsidR="008E3348" w:rsidRPr="009A3C92">
        <w:rPr>
          <w:rFonts w:ascii="Book Antiqua" w:hAnsi="Book Antiqua"/>
          <w:b/>
          <w:bCs/>
        </w:rPr>
        <w:t xml:space="preserve"> </w:t>
      </w:r>
      <w:r w:rsidRPr="009A3C92">
        <w:rPr>
          <w:rFonts w:ascii="Book Antiqua" w:hAnsi="Book Antiqua"/>
          <w:b/>
          <w:bCs/>
        </w:rPr>
        <w:t>efficacy</w:t>
      </w:r>
      <w:r w:rsidR="008E3348" w:rsidRPr="009A3C92">
        <w:rPr>
          <w:rFonts w:ascii="Book Antiqua" w:hAnsi="Book Antiqua"/>
          <w:b/>
          <w:bCs/>
        </w:rPr>
        <w:t xml:space="preserve"> </w:t>
      </w:r>
      <w:r w:rsidRPr="009A3C92">
        <w:rPr>
          <w:rFonts w:ascii="Book Antiqua" w:hAnsi="Book Antiqua"/>
          <w:b/>
          <w:bCs/>
        </w:rPr>
        <w:t>in</w:t>
      </w:r>
      <w:r w:rsidR="008E3348" w:rsidRPr="009A3C92">
        <w:rPr>
          <w:rFonts w:ascii="Book Antiqua" w:hAnsi="Book Antiqua"/>
          <w:b/>
          <w:bCs/>
        </w:rPr>
        <w:t xml:space="preserve"> </w:t>
      </w:r>
      <w:r w:rsidRPr="009A3C92">
        <w:rPr>
          <w:rFonts w:ascii="Book Antiqua" w:hAnsi="Book Antiqua"/>
          <w:b/>
          <w:bCs/>
        </w:rPr>
        <w:t>pediatric</w:t>
      </w:r>
      <w:r w:rsidR="008E3348" w:rsidRPr="009A3C92">
        <w:rPr>
          <w:rFonts w:ascii="Book Antiqua" w:hAnsi="Book Antiqua"/>
          <w:b/>
          <w:bCs/>
        </w:rPr>
        <w:t xml:space="preserve"> </w:t>
      </w:r>
      <w:r w:rsidR="00D11041" w:rsidRPr="009A3C92">
        <w:rPr>
          <w:rFonts w:ascii="Book Antiqua" w:hAnsi="Book Antiqua"/>
          <w:b/>
          <w:bCs/>
        </w:rPr>
        <w:t>Crohn’s</w:t>
      </w:r>
      <w:r w:rsidR="008E3348" w:rsidRPr="009A3C92">
        <w:rPr>
          <w:rFonts w:ascii="Book Antiqua" w:hAnsi="Book Antiqua"/>
          <w:b/>
          <w:bCs/>
        </w:rPr>
        <w:t xml:space="preserve"> </w:t>
      </w:r>
      <w:r w:rsidR="00D11041" w:rsidRPr="009A3C92">
        <w:rPr>
          <w:rFonts w:ascii="Book Antiqua" w:hAnsi="Book Antiqua"/>
          <w:b/>
          <w:bCs/>
        </w:rPr>
        <w:t>disease</w:t>
      </w:r>
      <w:r w:rsidR="008E3348" w:rsidRPr="009A3C92">
        <w:rPr>
          <w:rFonts w:ascii="Book Antiqua" w:hAnsi="Book Antiqua"/>
          <w:b/>
          <w:bCs/>
        </w:rPr>
        <w:t xml:space="preserve"> </w:t>
      </w:r>
      <w:r w:rsidRPr="009A3C92">
        <w:rPr>
          <w:rFonts w:ascii="Book Antiqua" w:hAnsi="Book Antiqua"/>
          <w:b/>
          <w:bCs/>
        </w:rPr>
        <w:t>in</w:t>
      </w:r>
      <w:r w:rsidR="008E3348" w:rsidRPr="009A3C92">
        <w:rPr>
          <w:rFonts w:ascii="Book Antiqua" w:hAnsi="Book Antiqua"/>
          <w:b/>
          <w:bCs/>
        </w:rPr>
        <w:t xml:space="preserve"> </w:t>
      </w:r>
      <w:r w:rsidRPr="009A3C92">
        <w:rPr>
          <w:rFonts w:ascii="Book Antiqua" w:hAnsi="Book Antiqua"/>
          <w:b/>
          <w:bCs/>
        </w:rPr>
        <w:t>the</w:t>
      </w:r>
      <w:r w:rsidR="008E3348" w:rsidRPr="009A3C92">
        <w:rPr>
          <w:rFonts w:ascii="Book Antiqua" w:hAnsi="Book Antiqua"/>
          <w:b/>
          <w:bCs/>
        </w:rPr>
        <w:t xml:space="preserve"> </w:t>
      </w:r>
      <w:r w:rsidRPr="009A3C92">
        <w:rPr>
          <w:rFonts w:ascii="Book Antiqua" w:hAnsi="Book Antiqua"/>
          <w:b/>
          <w:bCs/>
        </w:rPr>
        <w:t>induction</w:t>
      </w:r>
      <w:r w:rsidR="008E3348" w:rsidRPr="009A3C92">
        <w:rPr>
          <w:rFonts w:ascii="Book Antiqua" w:hAnsi="Book Antiqua"/>
          <w:b/>
          <w:bCs/>
        </w:rPr>
        <w:t xml:space="preserve"> </w:t>
      </w:r>
      <w:r w:rsidRPr="009A3C92">
        <w:rPr>
          <w:rFonts w:ascii="Book Antiqua" w:hAnsi="Book Antiqua"/>
          <w:b/>
          <w:bCs/>
        </w:rPr>
        <w:t>and</w:t>
      </w:r>
      <w:r w:rsidR="008E3348" w:rsidRPr="009A3C92">
        <w:rPr>
          <w:rFonts w:ascii="Book Antiqua" w:hAnsi="Book Antiqua"/>
          <w:b/>
          <w:bCs/>
        </w:rPr>
        <w:t xml:space="preserve"> </w:t>
      </w:r>
      <w:r w:rsidRPr="009A3C92">
        <w:rPr>
          <w:rFonts w:ascii="Book Antiqua" w:hAnsi="Book Antiqua"/>
          <w:b/>
          <w:bCs/>
        </w:rPr>
        <w:t>maintenance</w:t>
      </w:r>
      <w:r w:rsidR="008E3348" w:rsidRPr="009A3C92">
        <w:rPr>
          <w:rFonts w:ascii="Book Antiqua" w:hAnsi="Book Antiqua"/>
          <w:b/>
          <w:bCs/>
        </w:rPr>
        <w:t xml:space="preserve"> </w:t>
      </w:r>
      <w:r w:rsidRPr="009A3C92">
        <w:rPr>
          <w:rFonts w:ascii="Book Antiqua" w:hAnsi="Book Antiqua"/>
          <w:b/>
          <w:bCs/>
        </w:rPr>
        <w:t>phases</w:t>
      </w:r>
    </w:p>
    <w:tbl>
      <w:tblPr>
        <w:tblStyle w:val="a4"/>
        <w:tblW w:w="1329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1134"/>
        <w:gridCol w:w="850"/>
        <w:gridCol w:w="992"/>
        <w:gridCol w:w="1843"/>
        <w:gridCol w:w="1276"/>
        <w:gridCol w:w="1417"/>
        <w:gridCol w:w="993"/>
        <w:gridCol w:w="992"/>
        <w:gridCol w:w="1417"/>
        <w:gridCol w:w="1276"/>
      </w:tblGrid>
      <w:tr w:rsidR="00432003" w:rsidRPr="009A3C92" w14:paraId="43E85AFC" w14:textId="77777777" w:rsidTr="00432003">
        <w:tc>
          <w:tcPr>
            <w:tcW w:w="1101" w:type="dxa"/>
            <w:tcBorders>
              <w:top w:val="single" w:sz="4" w:space="0" w:color="auto"/>
              <w:bottom w:val="single" w:sz="4" w:space="0" w:color="auto"/>
            </w:tcBorders>
            <w:hideMark/>
          </w:tcPr>
          <w:p w14:paraId="28F357B3" w14:textId="4902CDF2"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Ref.</w:t>
            </w:r>
            <w:r w:rsidR="008E3348" w:rsidRPr="009A3C92">
              <w:rPr>
                <w:rFonts w:ascii="Book Antiqua" w:hAnsi="Book Antiqua"/>
                <w:b/>
              </w:rPr>
              <w:t xml:space="preserve"> </w:t>
            </w:r>
          </w:p>
        </w:tc>
        <w:tc>
          <w:tcPr>
            <w:tcW w:w="1134" w:type="dxa"/>
            <w:tcBorders>
              <w:top w:val="single" w:sz="4" w:space="0" w:color="auto"/>
              <w:bottom w:val="single" w:sz="4" w:space="0" w:color="auto"/>
            </w:tcBorders>
          </w:tcPr>
          <w:p w14:paraId="130060CA" w14:textId="2025A168"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Study</w:t>
            </w:r>
            <w:r w:rsidR="008E3348" w:rsidRPr="009A3C92">
              <w:rPr>
                <w:rFonts w:ascii="Book Antiqua" w:hAnsi="Book Antiqua"/>
                <w:b/>
              </w:rPr>
              <w:t xml:space="preserve"> </w:t>
            </w:r>
            <w:r w:rsidRPr="009A3C92">
              <w:rPr>
                <w:rFonts w:ascii="Book Antiqua" w:hAnsi="Book Antiqua"/>
                <w:b/>
              </w:rPr>
              <w:t>group</w:t>
            </w:r>
          </w:p>
        </w:tc>
        <w:tc>
          <w:tcPr>
            <w:tcW w:w="850" w:type="dxa"/>
            <w:tcBorders>
              <w:top w:val="single" w:sz="4" w:space="0" w:color="auto"/>
              <w:bottom w:val="single" w:sz="4" w:space="0" w:color="auto"/>
            </w:tcBorders>
            <w:hideMark/>
          </w:tcPr>
          <w:p w14:paraId="1A782B06" w14:textId="43D30F57"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Anti-TNF-α</w:t>
            </w:r>
          </w:p>
        </w:tc>
        <w:tc>
          <w:tcPr>
            <w:tcW w:w="992" w:type="dxa"/>
            <w:tcBorders>
              <w:top w:val="single" w:sz="4" w:space="0" w:color="auto"/>
              <w:bottom w:val="single" w:sz="4" w:space="0" w:color="auto"/>
            </w:tcBorders>
          </w:tcPr>
          <w:p w14:paraId="0F17331D" w14:textId="77777777"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Participants</w:t>
            </w:r>
          </w:p>
        </w:tc>
        <w:tc>
          <w:tcPr>
            <w:tcW w:w="1843" w:type="dxa"/>
            <w:tcBorders>
              <w:top w:val="single" w:sz="4" w:space="0" w:color="auto"/>
              <w:bottom w:val="single" w:sz="4" w:space="0" w:color="auto"/>
            </w:tcBorders>
            <w:hideMark/>
          </w:tcPr>
          <w:p w14:paraId="0810A047" w14:textId="63DEE6A0"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Study</w:t>
            </w:r>
            <w:r w:rsidR="008E3348" w:rsidRPr="009A3C92">
              <w:rPr>
                <w:rFonts w:ascii="Book Antiqua" w:hAnsi="Book Antiqua"/>
                <w:b/>
              </w:rPr>
              <w:t xml:space="preserve"> </w:t>
            </w:r>
            <w:r w:rsidRPr="009A3C92">
              <w:rPr>
                <w:rFonts w:ascii="Book Antiqua" w:hAnsi="Book Antiqua"/>
                <w:b/>
              </w:rPr>
              <w:t>design</w:t>
            </w:r>
            <w:r w:rsidR="008E3348" w:rsidRPr="009A3C92">
              <w:rPr>
                <w:rFonts w:ascii="Book Antiqua" w:hAnsi="Book Antiqua"/>
                <w:b/>
              </w:rPr>
              <w:t xml:space="preserve"> </w:t>
            </w:r>
            <w:r w:rsidRPr="009A3C92">
              <w:rPr>
                <w:rFonts w:ascii="Book Antiqua" w:hAnsi="Book Antiqua"/>
                <w:b/>
              </w:rPr>
              <w:t>and</w:t>
            </w:r>
            <w:r w:rsidR="008E3348" w:rsidRPr="009A3C92">
              <w:rPr>
                <w:rFonts w:ascii="Book Antiqua" w:hAnsi="Book Antiqua"/>
                <w:b/>
              </w:rPr>
              <w:t xml:space="preserve"> </w:t>
            </w:r>
            <w:r w:rsidRPr="009A3C92">
              <w:rPr>
                <w:rFonts w:ascii="Book Antiqua" w:hAnsi="Book Antiqua"/>
                <w:b/>
              </w:rPr>
              <w:t>aims</w:t>
            </w:r>
          </w:p>
        </w:tc>
        <w:tc>
          <w:tcPr>
            <w:tcW w:w="1276" w:type="dxa"/>
            <w:tcBorders>
              <w:top w:val="single" w:sz="4" w:space="0" w:color="auto"/>
              <w:bottom w:val="single" w:sz="4" w:space="0" w:color="auto"/>
            </w:tcBorders>
          </w:tcPr>
          <w:p w14:paraId="00E174E0" w14:textId="6A2DD601"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Definition</w:t>
            </w:r>
            <w:r w:rsidR="008E3348" w:rsidRPr="009A3C92">
              <w:rPr>
                <w:rFonts w:ascii="Book Antiqua" w:hAnsi="Book Antiqua"/>
                <w:b/>
              </w:rPr>
              <w:t xml:space="preserve"> </w:t>
            </w:r>
            <w:r w:rsidRPr="009A3C92">
              <w:rPr>
                <w:rFonts w:ascii="Book Antiqua" w:hAnsi="Book Antiqua"/>
                <w:b/>
              </w:rPr>
              <w:t>of</w:t>
            </w:r>
            <w:r w:rsidR="008E3348" w:rsidRPr="009A3C92">
              <w:rPr>
                <w:rFonts w:ascii="Book Antiqua" w:hAnsi="Book Antiqua"/>
                <w:b/>
              </w:rPr>
              <w:t xml:space="preserve"> </w:t>
            </w:r>
            <w:r w:rsidRPr="009A3C92">
              <w:rPr>
                <w:rFonts w:ascii="Book Antiqua" w:hAnsi="Book Antiqua"/>
                <w:b/>
              </w:rPr>
              <w:t>the</w:t>
            </w:r>
            <w:r w:rsidR="008E3348" w:rsidRPr="009A3C92">
              <w:rPr>
                <w:rFonts w:ascii="Book Antiqua" w:hAnsi="Book Antiqua"/>
                <w:b/>
              </w:rPr>
              <w:t xml:space="preserve"> </w:t>
            </w:r>
            <w:r w:rsidRPr="009A3C92">
              <w:rPr>
                <w:rFonts w:ascii="Book Antiqua" w:hAnsi="Book Antiqua"/>
                <w:b/>
              </w:rPr>
              <w:t>outcome</w:t>
            </w:r>
          </w:p>
        </w:tc>
        <w:tc>
          <w:tcPr>
            <w:tcW w:w="1417" w:type="dxa"/>
            <w:tcBorders>
              <w:top w:val="single" w:sz="4" w:space="0" w:color="auto"/>
              <w:bottom w:val="single" w:sz="4" w:space="0" w:color="auto"/>
            </w:tcBorders>
          </w:tcPr>
          <w:p w14:paraId="0896E68E" w14:textId="2FA1974B"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Number</w:t>
            </w:r>
            <w:r w:rsidR="008E3348" w:rsidRPr="009A3C92">
              <w:rPr>
                <w:rFonts w:ascii="Book Antiqua" w:hAnsi="Book Antiqua"/>
                <w:b/>
              </w:rPr>
              <w:t xml:space="preserve"> </w:t>
            </w:r>
            <w:r w:rsidRPr="009A3C92">
              <w:rPr>
                <w:rFonts w:ascii="Book Antiqua" w:hAnsi="Book Antiqua"/>
                <w:b/>
              </w:rPr>
              <w:t>of</w:t>
            </w:r>
            <w:r w:rsidR="008E3348" w:rsidRPr="009A3C92">
              <w:rPr>
                <w:rFonts w:ascii="Book Antiqua" w:hAnsi="Book Antiqua"/>
                <w:b/>
              </w:rPr>
              <w:t xml:space="preserve"> </w:t>
            </w:r>
            <w:r w:rsidRPr="009A3C92">
              <w:rPr>
                <w:rFonts w:ascii="Book Antiqua" w:hAnsi="Book Antiqua"/>
                <w:b/>
              </w:rPr>
              <w:t>patients</w:t>
            </w:r>
            <w:r w:rsidR="008E3348" w:rsidRPr="009A3C92">
              <w:rPr>
                <w:rFonts w:ascii="Book Antiqua" w:hAnsi="Book Antiqua"/>
                <w:b/>
              </w:rPr>
              <w:t xml:space="preserve"> </w:t>
            </w:r>
            <w:r w:rsidRPr="009A3C92">
              <w:rPr>
                <w:rFonts w:ascii="Book Antiqua" w:hAnsi="Book Antiqua"/>
                <w:b/>
              </w:rPr>
              <w:t>(</w:t>
            </w:r>
            <w:r w:rsidRPr="009A3C92">
              <w:rPr>
                <w:rFonts w:ascii="Book Antiqua" w:hAnsi="Book Antiqua"/>
                <w:b/>
                <w:i/>
              </w:rPr>
              <w:t>n</w:t>
            </w:r>
            <w:r w:rsidRPr="009A3C92">
              <w:rPr>
                <w:rFonts w:ascii="Book Antiqua" w:hAnsi="Book Antiqua"/>
                <w:b/>
              </w:rPr>
              <w:t>)</w:t>
            </w:r>
          </w:p>
        </w:tc>
        <w:tc>
          <w:tcPr>
            <w:tcW w:w="993" w:type="dxa"/>
            <w:tcBorders>
              <w:top w:val="single" w:sz="4" w:space="0" w:color="auto"/>
              <w:bottom w:val="single" w:sz="4" w:space="0" w:color="auto"/>
            </w:tcBorders>
          </w:tcPr>
          <w:p w14:paraId="20177CED" w14:textId="7E9AA6D9"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Age</w:t>
            </w:r>
            <w:r w:rsidR="008E3348" w:rsidRPr="009A3C92">
              <w:rPr>
                <w:rFonts w:ascii="Book Antiqua" w:hAnsi="Book Antiqua"/>
                <w:b/>
              </w:rPr>
              <w:t xml:space="preserve"> </w:t>
            </w:r>
            <w:r w:rsidRPr="009A3C92">
              <w:rPr>
                <w:rFonts w:ascii="Book Antiqua" w:hAnsi="Book Antiqua"/>
                <w:b/>
              </w:rPr>
              <w:t>at</w:t>
            </w:r>
            <w:r w:rsidR="008E3348" w:rsidRPr="009A3C92">
              <w:rPr>
                <w:rFonts w:ascii="Book Antiqua" w:hAnsi="Book Antiqua"/>
                <w:b/>
              </w:rPr>
              <w:t xml:space="preserve"> </w:t>
            </w:r>
            <w:r w:rsidRPr="009A3C92">
              <w:rPr>
                <w:rFonts w:ascii="Book Antiqua" w:hAnsi="Book Antiqua"/>
                <w:b/>
              </w:rPr>
              <w:t>diagnosis</w:t>
            </w:r>
            <w:r w:rsidR="008E3348" w:rsidRPr="009A3C92">
              <w:rPr>
                <w:rFonts w:ascii="Book Antiqua" w:hAnsi="Book Antiqua"/>
                <w:b/>
              </w:rPr>
              <w:t xml:space="preserve"> </w:t>
            </w:r>
            <w:r w:rsidRPr="009A3C92">
              <w:rPr>
                <w:rFonts w:ascii="Book Antiqua" w:hAnsi="Book Antiqua"/>
                <w:b/>
              </w:rPr>
              <w:t>(yr)</w:t>
            </w:r>
          </w:p>
        </w:tc>
        <w:tc>
          <w:tcPr>
            <w:tcW w:w="992" w:type="dxa"/>
            <w:tcBorders>
              <w:top w:val="single" w:sz="4" w:space="0" w:color="auto"/>
              <w:bottom w:val="single" w:sz="4" w:space="0" w:color="auto"/>
            </w:tcBorders>
          </w:tcPr>
          <w:p w14:paraId="4020516F" w14:textId="77777777"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Time</w:t>
            </w:r>
          </w:p>
        </w:tc>
        <w:tc>
          <w:tcPr>
            <w:tcW w:w="1417" w:type="dxa"/>
            <w:tcBorders>
              <w:top w:val="single" w:sz="4" w:space="0" w:color="auto"/>
              <w:bottom w:val="single" w:sz="4" w:space="0" w:color="auto"/>
            </w:tcBorders>
          </w:tcPr>
          <w:p w14:paraId="32E0F826" w14:textId="2AAEADAD"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Clinical</w:t>
            </w:r>
            <w:r w:rsidR="008E3348" w:rsidRPr="009A3C92">
              <w:rPr>
                <w:rFonts w:ascii="Book Antiqua" w:hAnsi="Book Antiqua"/>
                <w:b/>
              </w:rPr>
              <w:t xml:space="preserve"> </w:t>
            </w:r>
            <w:r w:rsidRPr="009A3C92">
              <w:rPr>
                <w:rFonts w:ascii="Book Antiqua" w:hAnsi="Book Antiqua"/>
                <w:b/>
              </w:rPr>
              <w:t>response</w:t>
            </w:r>
          </w:p>
        </w:tc>
        <w:tc>
          <w:tcPr>
            <w:tcW w:w="1276" w:type="dxa"/>
            <w:tcBorders>
              <w:top w:val="single" w:sz="4" w:space="0" w:color="auto"/>
              <w:bottom w:val="single" w:sz="4" w:space="0" w:color="auto"/>
            </w:tcBorders>
            <w:hideMark/>
          </w:tcPr>
          <w:p w14:paraId="7B9CA810" w14:textId="40799040" w:rsidR="008B5C16" w:rsidRPr="009A3C92" w:rsidRDefault="008B5C16" w:rsidP="00FB7357">
            <w:pPr>
              <w:adjustRightInd w:val="0"/>
              <w:snapToGrid w:val="0"/>
              <w:spacing w:line="360" w:lineRule="auto"/>
              <w:rPr>
                <w:rFonts w:ascii="Book Antiqua" w:hAnsi="Book Antiqua"/>
                <w:b/>
              </w:rPr>
            </w:pPr>
            <w:r w:rsidRPr="009A3C92">
              <w:rPr>
                <w:rFonts w:ascii="Book Antiqua" w:hAnsi="Book Antiqua"/>
                <w:b/>
              </w:rPr>
              <w:t>Clinical</w:t>
            </w:r>
            <w:r w:rsidR="008E3348" w:rsidRPr="009A3C92">
              <w:rPr>
                <w:rFonts w:ascii="Book Antiqua" w:hAnsi="Book Antiqua"/>
                <w:b/>
              </w:rPr>
              <w:t xml:space="preserve"> </w:t>
            </w:r>
            <w:r w:rsidRPr="009A3C92">
              <w:rPr>
                <w:rFonts w:ascii="Book Antiqua" w:hAnsi="Book Antiqua"/>
                <w:b/>
              </w:rPr>
              <w:t>remission</w:t>
            </w:r>
            <w:r w:rsidR="008E3348" w:rsidRPr="009A3C92">
              <w:rPr>
                <w:rFonts w:ascii="Book Antiqua" w:hAnsi="Book Antiqua"/>
                <w:b/>
              </w:rPr>
              <w:t xml:space="preserve"> </w:t>
            </w:r>
          </w:p>
        </w:tc>
      </w:tr>
      <w:tr w:rsidR="00432003" w:rsidRPr="009A3C92" w14:paraId="6DE04756" w14:textId="77777777" w:rsidTr="00432003">
        <w:tc>
          <w:tcPr>
            <w:tcW w:w="1101" w:type="dxa"/>
            <w:tcBorders>
              <w:top w:val="single" w:sz="4" w:space="0" w:color="auto"/>
            </w:tcBorders>
            <w:hideMark/>
          </w:tcPr>
          <w:p w14:paraId="7FADB1A7" w14:textId="4FBF2A1F" w:rsidR="008F681F" w:rsidRPr="009A3C92" w:rsidRDefault="008F681F" w:rsidP="00FB7357">
            <w:pPr>
              <w:adjustRightInd w:val="0"/>
              <w:snapToGrid w:val="0"/>
              <w:spacing w:line="360" w:lineRule="auto"/>
              <w:rPr>
                <w:rFonts w:ascii="Book Antiqua" w:eastAsia="Malgun Gothic" w:hAnsi="Book Antiqua"/>
              </w:rPr>
            </w:pPr>
            <w:r w:rsidRPr="009A3C92">
              <w:rPr>
                <w:rFonts w:ascii="Book Antiqua" w:hAnsi="Book Antiqua"/>
              </w:rPr>
              <w:t>Hyams</w:t>
            </w:r>
            <w:r w:rsidR="008E3348" w:rsidRPr="009A3C92">
              <w:rPr>
                <w:rFonts w:ascii="Book Antiqua" w:hAnsi="Book Antiqua"/>
              </w:rPr>
              <w:t xml:space="preserve"> </w:t>
            </w:r>
            <w:r w:rsidRPr="009A3C92">
              <w:rPr>
                <w:rFonts w:ascii="Book Antiqua" w:hAnsi="Book Antiqua"/>
                <w:i/>
                <w:iCs/>
              </w:rPr>
              <w:t>et</w:t>
            </w:r>
            <w:r w:rsidR="008E3348" w:rsidRPr="009A3C92">
              <w:rPr>
                <w:rFonts w:ascii="Book Antiqua" w:hAnsi="Book Antiqua"/>
                <w:i/>
                <w:iCs/>
              </w:rPr>
              <w:t xml:space="preserve"> </w:t>
            </w:r>
            <w:r w:rsidRPr="009A3C92">
              <w:rPr>
                <w:rFonts w:ascii="Book Antiqua" w:hAnsi="Book Antiqua"/>
                <w:i/>
                <w:iCs/>
              </w:rPr>
              <w:t>al</w:t>
            </w:r>
            <w:r w:rsidRPr="009A3C92">
              <w:rPr>
                <w:rFonts w:ascii="Book Antiqua" w:hAnsi="Book Antiqua"/>
                <w:noProof/>
                <w:vertAlign w:val="superscript"/>
              </w:rPr>
              <w:t>[16]</w:t>
            </w:r>
            <w:r w:rsidRPr="009A3C92">
              <w:rPr>
                <w:rFonts w:ascii="Book Antiqua" w:hAnsi="Book Antiqua"/>
                <w:noProof/>
              </w:rPr>
              <w:t>,</w:t>
            </w:r>
            <w:r w:rsidR="008E3348" w:rsidRPr="009A3C92">
              <w:rPr>
                <w:rFonts w:ascii="Book Antiqua" w:hAnsi="Book Antiqua"/>
              </w:rPr>
              <w:t xml:space="preserve"> </w:t>
            </w:r>
            <w:r w:rsidRPr="009A3C92">
              <w:rPr>
                <w:rFonts w:ascii="Book Antiqua" w:hAnsi="Book Antiqua"/>
              </w:rPr>
              <w:t>2007</w:t>
            </w:r>
          </w:p>
        </w:tc>
        <w:tc>
          <w:tcPr>
            <w:tcW w:w="1134" w:type="dxa"/>
            <w:tcBorders>
              <w:top w:val="single" w:sz="4" w:space="0" w:color="auto"/>
            </w:tcBorders>
          </w:tcPr>
          <w:p w14:paraId="2BEDAB4B" w14:textId="49E10446"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REACH</w:t>
            </w:r>
          </w:p>
        </w:tc>
        <w:tc>
          <w:tcPr>
            <w:tcW w:w="850" w:type="dxa"/>
            <w:tcBorders>
              <w:top w:val="single" w:sz="4" w:space="0" w:color="auto"/>
            </w:tcBorders>
            <w:hideMark/>
          </w:tcPr>
          <w:p w14:paraId="45855811" w14:textId="108DD33E"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IFX</w:t>
            </w:r>
          </w:p>
        </w:tc>
        <w:tc>
          <w:tcPr>
            <w:tcW w:w="992" w:type="dxa"/>
            <w:tcBorders>
              <w:top w:val="single" w:sz="4" w:space="0" w:color="auto"/>
            </w:tcBorders>
          </w:tcPr>
          <w:p w14:paraId="27905C85" w14:textId="51FAE515"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CD</w:t>
            </w:r>
            <w:r w:rsidR="008E3348" w:rsidRPr="009A3C92">
              <w:rPr>
                <w:rFonts w:ascii="Book Antiqua" w:hAnsi="Book Antiqua"/>
              </w:rPr>
              <w:t xml:space="preserve"> </w:t>
            </w:r>
            <w:r w:rsidRPr="009A3C92">
              <w:rPr>
                <w:rFonts w:ascii="Book Antiqua" w:hAnsi="Book Antiqua"/>
              </w:rPr>
              <w:t>with</w:t>
            </w:r>
            <w:r w:rsidR="008E3348" w:rsidRPr="009A3C92">
              <w:rPr>
                <w:rFonts w:ascii="Book Antiqua" w:hAnsi="Book Antiqua"/>
              </w:rPr>
              <w:t xml:space="preserve"> </w:t>
            </w:r>
            <w:r w:rsidRPr="009A3C92">
              <w:rPr>
                <w:rFonts w:ascii="Book Antiqua" w:hAnsi="Book Antiqua"/>
              </w:rPr>
              <w:t>a</w:t>
            </w:r>
            <w:r w:rsidR="008E3348" w:rsidRPr="009A3C92">
              <w:rPr>
                <w:rFonts w:ascii="Book Antiqua" w:hAnsi="Book Antiqua"/>
              </w:rPr>
              <w:t xml:space="preserve"> </w:t>
            </w:r>
            <w:r w:rsidRPr="009A3C92">
              <w:rPr>
                <w:rFonts w:ascii="Book Antiqua" w:hAnsi="Book Antiqua"/>
              </w:rPr>
              <w:t>PCDAI</w:t>
            </w:r>
            <w:r w:rsidR="008E3348" w:rsidRPr="009A3C92">
              <w:rPr>
                <w:rFonts w:ascii="Book Antiqua" w:hAnsi="Book Antiqua"/>
              </w:rPr>
              <w:t xml:space="preserve"> </w:t>
            </w:r>
            <w:r w:rsidRPr="009A3C92">
              <w:rPr>
                <w:rFonts w:ascii="Book Antiqua" w:hAnsi="Book Antiqua"/>
              </w:rPr>
              <w:t>&gt;</w:t>
            </w:r>
            <w:r w:rsidR="008E3348" w:rsidRPr="009A3C92">
              <w:rPr>
                <w:rFonts w:ascii="Book Antiqua" w:hAnsi="Book Antiqua"/>
              </w:rPr>
              <w:t xml:space="preserve"> </w:t>
            </w:r>
            <w:r w:rsidRPr="009A3C92">
              <w:rPr>
                <w:rFonts w:ascii="Book Antiqua" w:hAnsi="Book Antiqua"/>
              </w:rPr>
              <w:t>30</w:t>
            </w:r>
          </w:p>
        </w:tc>
        <w:tc>
          <w:tcPr>
            <w:tcW w:w="1843" w:type="dxa"/>
            <w:tcBorders>
              <w:top w:val="single" w:sz="4" w:space="0" w:color="auto"/>
            </w:tcBorders>
            <w:hideMark/>
          </w:tcPr>
          <w:p w14:paraId="17130C34" w14:textId="6C623559"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Comparison</w:t>
            </w:r>
            <w:r w:rsidR="008E3348" w:rsidRPr="009A3C92">
              <w:rPr>
                <w:rFonts w:ascii="Book Antiqua" w:hAnsi="Book Antiqua"/>
              </w:rPr>
              <w:t xml:space="preserve"> </w:t>
            </w:r>
            <w:r w:rsidRPr="009A3C92">
              <w:rPr>
                <w:rFonts w:ascii="Book Antiqua" w:hAnsi="Book Antiqua"/>
              </w:rPr>
              <w:t>of</w:t>
            </w:r>
            <w:r w:rsidR="008E3348" w:rsidRPr="009A3C92">
              <w:rPr>
                <w:rFonts w:ascii="Book Antiqua" w:hAnsi="Book Antiqua"/>
              </w:rPr>
              <w:t xml:space="preserve"> </w:t>
            </w:r>
            <w:r w:rsidRPr="009A3C92">
              <w:rPr>
                <w:rFonts w:ascii="Book Antiqua" w:hAnsi="Book Antiqua"/>
              </w:rPr>
              <w:t>IFX</w:t>
            </w:r>
            <w:r w:rsidR="008E3348" w:rsidRPr="009A3C92">
              <w:rPr>
                <w:rFonts w:ascii="Book Antiqua" w:hAnsi="Book Antiqua"/>
              </w:rPr>
              <w:t xml:space="preserve"> </w:t>
            </w:r>
            <w:r w:rsidRPr="009A3C92">
              <w:rPr>
                <w:rFonts w:ascii="Book Antiqua" w:hAnsi="Book Antiqua"/>
              </w:rPr>
              <w:t>maintenance</w:t>
            </w:r>
            <w:r w:rsidR="008E3348" w:rsidRPr="009A3C92">
              <w:rPr>
                <w:rFonts w:ascii="Book Antiqua" w:hAnsi="Book Antiqua"/>
              </w:rPr>
              <w:t xml:space="preserve"> </w:t>
            </w:r>
            <w:r w:rsidRPr="009A3C92">
              <w:rPr>
                <w:rFonts w:ascii="Book Antiqua" w:hAnsi="Book Antiqua"/>
              </w:rPr>
              <w:t>intervals;</w:t>
            </w:r>
            <w:r w:rsidR="008E3348" w:rsidRPr="009A3C92">
              <w:rPr>
                <w:rFonts w:ascii="Book Antiqua" w:hAnsi="Book Antiqua"/>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8</w:t>
            </w:r>
            <w:r w:rsidR="008E3348" w:rsidRPr="009A3C92">
              <w:rPr>
                <w:rFonts w:ascii="Book Antiqua" w:hAnsi="Book Antiqua"/>
              </w:rPr>
              <w:t xml:space="preserve"> </w:t>
            </w:r>
            <w:r w:rsidRPr="009A3C92">
              <w:rPr>
                <w:rFonts w:ascii="Book Antiqua" w:hAnsi="Book Antiqua"/>
                <w:i/>
                <w:iCs/>
              </w:rPr>
              <w:t>vs</w:t>
            </w:r>
            <w:r w:rsidR="008E3348" w:rsidRPr="009A3C92">
              <w:rPr>
                <w:rFonts w:ascii="Book Antiqua" w:hAnsi="Book Antiqua"/>
              </w:rPr>
              <w:t xml:space="preserve"> </w:t>
            </w:r>
            <w:r w:rsidRPr="009A3C92">
              <w:rPr>
                <w:rFonts w:ascii="Book Antiqua" w:hAnsi="Book Antiqua"/>
              </w:rPr>
              <w:t>12</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hint="eastAsia"/>
                <w:lang w:eastAsia="zh-CN"/>
              </w:rPr>
              <w:t xml:space="preserve"> </w:t>
            </w:r>
            <w:r w:rsidRPr="009A3C92">
              <w:rPr>
                <w:rFonts w:ascii="Book Antiqua" w:hAnsi="Book Antiqua"/>
              </w:rPr>
              <w:t>Primary</w:t>
            </w:r>
            <w:r w:rsidR="008E3348" w:rsidRPr="009A3C92">
              <w:rPr>
                <w:rFonts w:ascii="Book Antiqua" w:hAnsi="Book Antiqua"/>
              </w:rPr>
              <w:t xml:space="preserve"> </w:t>
            </w:r>
            <w:r w:rsidRPr="009A3C92">
              <w:rPr>
                <w:rFonts w:ascii="Book Antiqua" w:hAnsi="Book Antiqua"/>
              </w:rPr>
              <w:t>responders</w:t>
            </w:r>
            <w:r w:rsidR="008E3348" w:rsidRPr="009A3C92">
              <w:rPr>
                <w:rFonts w:ascii="Book Antiqua" w:hAnsi="Book Antiqua"/>
              </w:rPr>
              <w:t xml:space="preserve"> </w:t>
            </w:r>
            <w:r w:rsidRPr="009A3C92">
              <w:rPr>
                <w:rFonts w:ascii="Book Antiqua" w:hAnsi="Book Antiqua"/>
              </w:rPr>
              <w:t>were</w:t>
            </w:r>
            <w:r w:rsidR="008E3348" w:rsidRPr="009A3C92">
              <w:rPr>
                <w:rFonts w:ascii="Book Antiqua" w:hAnsi="Book Antiqua"/>
              </w:rPr>
              <w:t xml:space="preserve"> </w:t>
            </w:r>
            <w:r w:rsidRPr="009A3C92">
              <w:rPr>
                <w:rFonts w:ascii="Book Antiqua" w:hAnsi="Book Antiqua"/>
              </w:rPr>
              <w:t>randomised</w:t>
            </w:r>
            <w:r w:rsidR="008E3348" w:rsidRPr="009A3C92">
              <w:rPr>
                <w:rFonts w:ascii="Book Antiqua" w:hAnsi="Book Antiqua"/>
              </w:rPr>
              <w:t xml:space="preserve"> </w:t>
            </w:r>
            <w:r w:rsidRPr="009A3C92">
              <w:rPr>
                <w:rFonts w:ascii="Book Antiqua" w:hAnsi="Book Antiqua"/>
              </w:rPr>
              <w:t>at</w:t>
            </w:r>
            <w:r w:rsidR="008E3348" w:rsidRPr="009A3C92">
              <w:rPr>
                <w:rFonts w:ascii="Book Antiqua" w:hAnsi="Book Antiqua"/>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10.</w:t>
            </w:r>
          </w:p>
        </w:tc>
        <w:tc>
          <w:tcPr>
            <w:tcW w:w="1276" w:type="dxa"/>
            <w:tcBorders>
              <w:top w:val="single" w:sz="4" w:space="0" w:color="auto"/>
            </w:tcBorders>
          </w:tcPr>
          <w:p w14:paraId="45C8B494" w14:textId="2D065D37"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Response:</w:t>
            </w:r>
            <w:r w:rsidR="008E3348" w:rsidRPr="009A3C92">
              <w:rPr>
                <w:rFonts w:ascii="Book Antiqua" w:hAnsi="Book Antiqua"/>
              </w:rPr>
              <w:t xml:space="preserve"> </w:t>
            </w:r>
            <w:r w:rsidRPr="009A3C92">
              <w:rPr>
                <w:rFonts w:ascii="Book Antiqua" w:hAnsi="Book Antiqua"/>
              </w:rPr>
              <w:t>∆PCDAI</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-15</w:t>
            </w:r>
            <w:r w:rsidR="004E31D3" w:rsidRPr="009A3C92">
              <w:rPr>
                <w:rFonts w:ascii="Book Antiqua" w:hAnsi="Book Antiqua"/>
              </w:rPr>
              <w:t>.</w:t>
            </w:r>
            <w:r w:rsidR="008E3348" w:rsidRPr="009A3C92">
              <w:rPr>
                <w:rFonts w:ascii="Book Antiqua" w:hAnsi="Book Antiqua"/>
                <w:lang w:eastAsia="zh-CN"/>
              </w:rPr>
              <w:t xml:space="preserve"> </w:t>
            </w:r>
            <w:r w:rsidRPr="009A3C92">
              <w:rPr>
                <w:rFonts w:ascii="Book Antiqua" w:hAnsi="Book Antiqua"/>
              </w:rPr>
              <w:t>Remission:</w:t>
            </w:r>
            <w:r w:rsidR="008E3348" w:rsidRPr="009A3C92">
              <w:rPr>
                <w:rFonts w:ascii="Book Antiqua" w:hAnsi="Book Antiqua"/>
              </w:rPr>
              <w:t xml:space="preserve"> </w:t>
            </w:r>
            <w:r w:rsidRPr="009A3C92">
              <w:rPr>
                <w:rFonts w:ascii="Book Antiqua" w:hAnsi="Book Antiqua"/>
              </w:rPr>
              <w:t>PCDAI</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10</w:t>
            </w:r>
          </w:p>
        </w:tc>
        <w:tc>
          <w:tcPr>
            <w:tcW w:w="1417" w:type="dxa"/>
            <w:tcBorders>
              <w:top w:val="single" w:sz="4" w:space="0" w:color="auto"/>
            </w:tcBorders>
          </w:tcPr>
          <w:p w14:paraId="634B50FB" w14:textId="2F55DBFA"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Total:</w:t>
            </w:r>
            <w:r w:rsidR="008E3348" w:rsidRPr="009A3C92">
              <w:rPr>
                <w:rFonts w:ascii="Book Antiqua" w:hAnsi="Book Antiqua"/>
              </w:rPr>
              <w:t xml:space="preserve"> </w:t>
            </w:r>
            <w:r w:rsidRPr="009A3C92">
              <w:rPr>
                <w:rFonts w:ascii="Book Antiqua" w:hAnsi="Book Antiqua"/>
              </w:rPr>
              <w:t>103</w:t>
            </w:r>
            <w:r w:rsidR="004E31D3"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8</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52</w:t>
            </w:r>
            <w:r w:rsidR="004E31D3" w:rsidRPr="009A3C92">
              <w:rPr>
                <w:rFonts w:ascii="Book Antiqua" w:hAnsi="Book Antiqua"/>
              </w:rPr>
              <w:t>.</w:t>
            </w:r>
            <w:r w:rsidR="008E3348" w:rsidRPr="009A3C92">
              <w:rPr>
                <w:rFonts w:ascii="Book Antiqua" w:hAnsi="Book Antiqua" w:hint="eastAsi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10</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51</w:t>
            </w:r>
          </w:p>
        </w:tc>
        <w:tc>
          <w:tcPr>
            <w:tcW w:w="993" w:type="dxa"/>
            <w:tcBorders>
              <w:top w:val="single" w:sz="4" w:space="0" w:color="auto"/>
            </w:tcBorders>
          </w:tcPr>
          <w:p w14:paraId="5B6EA332" w14:textId="77777777"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13.3</w:t>
            </w:r>
          </w:p>
        </w:tc>
        <w:tc>
          <w:tcPr>
            <w:tcW w:w="992" w:type="dxa"/>
            <w:tcBorders>
              <w:top w:val="single" w:sz="4" w:space="0" w:color="auto"/>
            </w:tcBorders>
          </w:tcPr>
          <w:p w14:paraId="3E77923A" w14:textId="62FD9EA9"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10</w:t>
            </w:r>
            <w:r w:rsidR="004E31D3"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54</w:t>
            </w:r>
          </w:p>
        </w:tc>
        <w:tc>
          <w:tcPr>
            <w:tcW w:w="1417" w:type="dxa"/>
            <w:tcBorders>
              <w:top w:val="single" w:sz="4" w:space="0" w:color="auto"/>
            </w:tcBorders>
          </w:tcPr>
          <w:p w14:paraId="0C31857A" w14:textId="12C2CDBC"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88.4%</w:t>
            </w:r>
            <w:r w:rsidR="004E31D3"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8</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63.5%</w:t>
            </w:r>
            <w:r w:rsidR="004E31D3"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12</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33.3%</w:t>
            </w:r>
            <w:r w:rsidR="008E3348" w:rsidRPr="009A3C92">
              <w:rPr>
                <w:rFonts w:ascii="Book Antiqua" w:hAnsi="Book Antiqua" w:hint="eastAsia"/>
                <w:lang w:eastAsia="zh-CN"/>
              </w:rPr>
              <w:t xml:space="preserve"> </w:t>
            </w:r>
            <w:r w:rsidRPr="009A3C92">
              <w:rPr>
                <w:rFonts w:ascii="Book Antiqua" w:hAnsi="Book Antiqua"/>
              </w:rPr>
              <w:t>(</w:t>
            </w:r>
            <w:r w:rsidRPr="009A3C92">
              <w:rPr>
                <w:rFonts w:ascii="Book Antiqua" w:hAnsi="Book Antiqua"/>
                <w:i/>
              </w:rPr>
              <w:t>P</w:t>
            </w:r>
            <w:r w:rsidR="008E3348" w:rsidRPr="009A3C92">
              <w:rPr>
                <w:rFonts w:ascii="Book Antiqua" w:hAnsi="Book Antiqua"/>
                <w:i/>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0.002)</w:t>
            </w:r>
          </w:p>
        </w:tc>
        <w:tc>
          <w:tcPr>
            <w:tcW w:w="1276" w:type="dxa"/>
            <w:tcBorders>
              <w:top w:val="single" w:sz="4" w:space="0" w:color="auto"/>
            </w:tcBorders>
            <w:hideMark/>
          </w:tcPr>
          <w:p w14:paraId="62DA5AF5" w14:textId="665E14D0" w:rsidR="008F681F" w:rsidRPr="009A3C92" w:rsidRDefault="008F681F" w:rsidP="00FB7357">
            <w:pPr>
              <w:adjustRightInd w:val="0"/>
              <w:snapToGrid w:val="0"/>
              <w:spacing w:line="360" w:lineRule="auto"/>
              <w:rPr>
                <w:rFonts w:ascii="Book Antiqua" w:hAnsi="Book Antiqua"/>
              </w:rPr>
            </w:pPr>
            <w:r w:rsidRPr="009A3C92">
              <w:rPr>
                <w:rFonts w:ascii="Book Antiqua" w:hAnsi="Book Antiqua"/>
              </w:rPr>
              <w:t>58.9%</w:t>
            </w:r>
            <w:r w:rsidR="004E31D3" w:rsidRPr="009A3C92">
              <w:rPr>
                <w:rFonts w:ascii="Book Antiqua" w:hAnsi="Book Antiqua"/>
              </w:rPr>
              <w:t>.</w:t>
            </w:r>
            <w:r w:rsidR="008E3348" w:rsidRPr="009A3C92">
              <w:rPr>
                <w:rFonts w:ascii="Book Antiqua" w:hAnsi="Book Antiqua" w:hint="eastAsi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8</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55.8%</w:t>
            </w:r>
            <w:r w:rsidR="004E31D3"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12</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23.5%</w:t>
            </w:r>
            <w:r w:rsidR="008E3348" w:rsidRPr="009A3C92">
              <w:rPr>
                <w:rFonts w:ascii="Book Antiqua" w:hAnsi="Book Antiqua" w:hint="eastAsia"/>
                <w:lang w:eastAsia="zh-CN"/>
              </w:rPr>
              <w:t xml:space="preserve"> </w:t>
            </w:r>
            <w:r w:rsidRPr="009A3C92">
              <w:rPr>
                <w:rFonts w:ascii="Book Antiqua" w:hAnsi="Book Antiqua"/>
              </w:rPr>
              <w:t>(</w:t>
            </w:r>
            <w:r w:rsidRPr="009A3C92">
              <w:rPr>
                <w:rFonts w:ascii="Book Antiqua" w:hAnsi="Book Antiqua"/>
                <w:i/>
              </w:rPr>
              <w:t>P</w:t>
            </w:r>
            <w:r w:rsidR="008E3348" w:rsidRPr="009A3C92">
              <w:rPr>
                <w:rFonts w:ascii="Book Antiqua" w:hAnsi="Book Antiqua"/>
                <w:i/>
              </w:rPr>
              <w:t xml:space="preserve"> </w:t>
            </w:r>
            <w:r w:rsidRPr="009A3C92">
              <w:rPr>
                <w:rFonts w:ascii="Book Antiqua" w:hAnsi="Book Antiqua"/>
              </w:rPr>
              <w:t>&lt;</w:t>
            </w:r>
            <w:r w:rsidR="008E3348" w:rsidRPr="009A3C92">
              <w:rPr>
                <w:rFonts w:ascii="Book Antiqua" w:hAnsi="Book Antiqua"/>
              </w:rPr>
              <w:t xml:space="preserve"> </w:t>
            </w:r>
            <w:r w:rsidRPr="009A3C92">
              <w:rPr>
                <w:rFonts w:ascii="Book Antiqua" w:hAnsi="Book Antiqua"/>
              </w:rPr>
              <w:t>0.001)</w:t>
            </w:r>
          </w:p>
        </w:tc>
      </w:tr>
      <w:tr w:rsidR="00432003" w:rsidRPr="009A3C92" w14:paraId="09D47A34" w14:textId="77777777" w:rsidTr="00432003">
        <w:tc>
          <w:tcPr>
            <w:tcW w:w="1101" w:type="dxa"/>
            <w:hideMark/>
          </w:tcPr>
          <w:p w14:paraId="3DA602CE" w14:textId="1EDAF7AD" w:rsidR="00B617D8" w:rsidRPr="009A3C92" w:rsidRDefault="00B617D8" w:rsidP="00FB7357">
            <w:pPr>
              <w:adjustRightInd w:val="0"/>
              <w:snapToGrid w:val="0"/>
              <w:spacing w:line="360" w:lineRule="auto"/>
              <w:rPr>
                <w:rFonts w:ascii="Book Antiqua" w:eastAsia="Malgun Gothic" w:hAnsi="Book Antiqua"/>
              </w:rPr>
            </w:pPr>
            <w:r w:rsidRPr="009A3C92">
              <w:rPr>
                <w:rFonts w:ascii="Book Antiqua" w:hAnsi="Book Antiqua"/>
              </w:rPr>
              <w:t>Ruemmele</w:t>
            </w:r>
            <w:r w:rsidR="008E3348" w:rsidRPr="009A3C92">
              <w:rPr>
                <w:rFonts w:ascii="Book Antiqua" w:hAnsi="Book Antiqua"/>
              </w:rPr>
              <w:t xml:space="preserve"> </w:t>
            </w:r>
            <w:r w:rsidRPr="009A3C92">
              <w:rPr>
                <w:rFonts w:ascii="Book Antiqua" w:hAnsi="Book Antiqua"/>
                <w:i/>
                <w:iCs/>
              </w:rPr>
              <w:t>et</w:t>
            </w:r>
            <w:r w:rsidR="008E3348" w:rsidRPr="009A3C92">
              <w:rPr>
                <w:rFonts w:ascii="Book Antiqua" w:hAnsi="Book Antiqua"/>
                <w:i/>
                <w:iCs/>
              </w:rPr>
              <w:t xml:space="preserve"> </w:t>
            </w:r>
            <w:r w:rsidRPr="009A3C92">
              <w:rPr>
                <w:rFonts w:ascii="Book Antiqua" w:hAnsi="Book Antiqua"/>
                <w:i/>
                <w:iCs/>
              </w:rPr>
              <w:t>al</w:t>
            </w:r>
            <w:r w:rsidRPr="009A3C92">
              <w:rPr>
                <w:rFonts w:ascii="Book Antiqua" w:hAnsi="Book Antiqua"/>
                <w:noProof/>
                <w:vertAlign w:val="superscript"/>
              </w:rPr>
              <w:t>[17]</w:t>
            </w:r>
            <w:r w:rsidRPr="009A3C92">
              <w:rPr>
                <w:rFonts w:ascii="Book Antiqua" w:hAnsi="Book Antiqua"/>
                <w:noProof/>
              </w:rPr>
              <w:t>,</w:t>
            </w:r>
            <w:r w:rsidR="008E3348" w:rsidRPr="009A3C92">
              <w:rPr>
                <w:rFonts w:ascii="Book Antiqua" w:hAnsi="Book Antiqua"/>
                <w:noProof/>
              </w:rPr>
              <w:t xml:space="preserve"> </w:t>
            </w:r>
            <w:r w:rsidRPr="009A3C92">
              <w:rPr>
                <w:rFonts w:ascii="Book Antiqua" w:hAnsi="Book Antiqua"/>
              </w:rPr>
              <w:t>2009</w:t>
            </w:r>
          </w:p>
        </w:tc>
        <w:tc>
          <w:tcPr>
            <w:tcW w:w="1134" w:type="dxa"/>
          </w:tcPr>
          <w:p w14:paraId="6781AEB1" w14:textId="1A7EA388"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GFHGNP</w:t>
            </w:r>
          </w:p>
        </w:tc>
        <w:tc>
          <w:tcPr>
            <w:tcW w:w="850" w:type="dxa"/>
          </w:tcPr>
          <w:p w14:paraId="24C66664" w14:textId="6EC3C5A1"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IFX</w:t>
            </w:r>
          </w:p>
        </w:tc>
        <w:tc>
          <w:tcPr>
            <w:tcW w:w="992" w:type="dxa"/>
          </w:tcPr>
          <w:p w14:paraId="6A52BDBA" w14:textId="77777777"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CD</w:t>
            </w:r>
          </w:p>
        </w:tc>
        <w:tc>
          <w:tcPr>
            <w:tcW w:w="1843" w:type="dxa"/>
            <w:hideMark/>
          </w:tcPr>
          <w:p w14:paraId="1B583FBA" w14:textId="069FD5E6"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Comparison</w:t>
            </w:r>
            <w:r w:rsidR="008E3348" w:rsidRPr="009A3C92">
              <w:rPr>
                <w:rFonts w:ascii="Book Antiqua" w:hAnsi="Book Antiqua"/>
              </w:rPr>
              <w:t xml:space="preserve"> </w:t>
            </w:r>
            <w:r w:rsidRPr="009A3C92">
              <w:rPr>
                <w:rFonts w:ascii="Book Antiqua" w:hAnsi="Book Antiqua"/>
              </w:rPr>
              <w:t>of</w:t>
            </w:r>
            <w:r w:rsidR="008E3348" w:rsidRPr="009A3C92">
              <w:rPr>
                <w:rFonts w:ascii="Book Antiqua" w:hAnsi="Book Antiqua"/>
              </w:rPr>
              <w:t xml:space="preserve"> </w:t>
            </w:r>
            <w:r w:rsidRPr="009A3C92">
              <w:rPr>
                <w:rFonts w:ascii="Book Antiqua" w:hAnsi="Book Antiqua"/>
              </w:rPr>
              <w:t>IFX</w:t>
            </w:r>
            <w:r w:rsidR="008E3348" w:rsidRPr="009A3C92">
              <w:rPr>
                <w:rFonts w:ascii="Book Antiqua" w:hAnsi="Book Antiqua"/>
              </w:rPr>
              <w:t xml:space="preserve"> </w:t>
            </w:r>
            <w:r w:rsidRPr="009A3C92">
              <w:rPr>
                <w:rFonts w:ascii="Book Antiqua" w:hAnsi="Book Antiqua"/>
              </w:rPr>
              <w:t>infusion</w:t>
            </w:r>
            <w:r w:rsidR="008E3348" w:rsidRPr="009A3C92">
              <w:rPr>
                <w:rFonts w:ascii="Book Antiqua" w:hAnsi="Book Antiqua"/>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8</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at</w:t>
            </w:r>
            <w:r w:rsidR="008E3348" w:rsidRPr="009A3C92">
              <w:rPr>
                <w:rFonts w:ascii="Book Antiqua" w:hAnsi="Book Antiqua"/>
              </w:rPr>
              <w:t xml:space="preserve"> </w:t>
            </w:r>
            <w:r w:rsidRPr="009A3C92">
              <w:rPr>
                <w:rFonts w:ascii="Book Antiqua" w:hAnsi="Book Antiqua"/>
              </w:rPr>
              <w:t>maintenance</w:t>
            </w:r>
            <w:r w:rsidR="008E3348" w:rsidRPr="009A3C92">
              <w:rPr>
                <w:rFonts w:ascii="Book Antiqua" w:hAnsi="Book Antiqua"/>
              </w:rPr>
              <w:t xml:space="preserve"> </w:t>
            </w:r>
            <w:r w:rsidRPr="009A3C92">
              <w:rPr>
                <w:rFonts w:ascii="Book Antiqua" w:hAnsi="Book Antiqua"/>
                <w:i/>
                <w:iCs/>
              </w:rPr>
              <w:t>vs</w:t>
            </w:r>
            <w:r w:rsidR="008E3348" w:rsidRPr="009A3C92">
              <w:rPr>
                <w:rFonts w:ascii="Book Antiqua" w:hAnsi="Book Antiqua"/>
              </w:rPr>
              <w:t xml:space="preserve"> </w:t>
            </w:r>
            <w:r w:rsidRPr="009A3C92">
              <w:rPr>
                <w:rFonts w:ascii="Book Antiqua" w:hAnsi="Book Antiqua"/>
              </w:rPr>
              <w:t>IFX</w:t>
            </w:r>
            <w:r w:rsidR="008E3348" w:rsidRPr="009A3C92">
              <w:rPr>
                <w:rFonts w:ascii="Book Antiqua" w:hAnsi="Book Antiqua"/>
              </w:rPr>
              <w:t xml:space="preserve"> </w:t>
            </w:r>
            <w:r w:rsidRPr="009A3C92">
              <w:rPr>
                <w:rFonts w:ascii="Book Antiqua" w:hAnsi="Book Antiqua"/>
              </w:rPr>
              <w:t>on</w:t>
            </w:r>
            <w:r w:rsidR="008E3348" w:rsidRPr="009A3C92">
              <w:rPr>
                <w:rFonts w:ascii="Book Antiqua" w:hAnsi="Book Antiqua"/>
              </w:rPr>
              <w:t xml:space="preserve"> </w:t>
            </w:r>
            <w:r w:rsidRPr="009A3C92">
              <w:rPr>
                <w:rFonts w:ascii="Book Antiqua" w:hAnsi="Book Antiqua"/>
              </w:rPr>
              <w:t>demand.</w:t>
            </w:r>
            <w:r w:rsidR="008E3348" w:rsidRPr="009A3C92">
              <w:rPr>
                <w:rFonts w:ascii="Book Antiqua" w:hAnsi="Book Antiqua" w:hint="eastAsia"/>
                <w:lang w:eastAsia="zh-CN"/>
              </w:rPr>
              <w:t xml:space="preserve"> </w:t>
            </w:r>
            <w:r w:rsidRPr="009A3C92">
              <w:rPr>
                <w:rFonts w:ascii="Book Antiqua" w:hAnsi="Book Antiqua"/>
              </w:rPr>
              <w:lastRenderedPageBreak/>
              <w:t>Primary</w:t>
            </w:r>
            <w:r w:rsidR="008E3348" w:rsidRPr="009A3C92">
              <w:rPr>
                <w:rFonts w:ascii="Book Antiqua" w:hAnsi="Book Antiqua"/>
              </w:rPr>
              <w:t xml:space="preserve"> </w:t>
            </w:r>
            <w:r w:rsidRPr="009A3C92">
              <w:rPr>
                <w:rFonts w:ascii="Book Antiqua" w:hAnsi="Book Antiqua"/>
              </w:rPr>
              <w:t>responders</w:t>
            </w:r>
            <w:r w:rsidR="008E3348" w:rsidRPr="009A3C92">
              <w:rPr>
                <w:rFonts w:ascii="Book Antiqua" w:hAnsi="Book Antiqua"/>
              </w:rPr>
              <w:t xml:space="preserve"> </w:t>
            </w:r>
            <w:r w:rsidRPr="009A3C92">
              <w:rPr>
                <w:rFonts w:ascii="Book Antiqua" w:hAnsi="Book Antiqua"/>
              </w:rPr>
              <w:t>were</w:t>
            </w:r>
            <w:r w:rsidR="008E3348" w:rsidRPr="009A3C92">
              <w:rPr>
                <w:rFonts w:ascii="Book Antiqua" w:hAnsi="Book Antiqua"/>
              </w:rPr>
              <w:t xml:space="preserve"> </w:t>
            </w:r>
            <w:r w:rsidRPr="009A3C92">
              <w:rPr>
                <w:rFonts w:ascii="Book Antiqua" w:hAnsi="Book Antiqua"/>
              </w:rPr>
              <w:t>randomised</w:t>
            </w:r>
            <w:r w:rsidR="008E3348" w:rsidRPr="009A3C92">
              <w:rPr>
                <w:rFonts w:ascii="Book Antiqua" w:hAnsi="Book Antiqua"/>
              </w:rPr>
              <w:t xml:space="preserve"> </w:t>
            </w:r>
            <w:r w:rsidRPr="009A3C92">
              <w:rPr>
                <w:rFonts w:ascii="Book Antiqua" w:hAnsi="Book Antiqua"/>
              </w:rPr>
              <w:t>at</w:t>
            </w:r>
            <w:r w:rsidR="008E3348" w:rsidRPr="009A3C92">
              <w:rPr>
                <w:rFonts w:ascii="Book Antiqua" w:hAnsi="Book Antiqua"/>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10.</w:t>
            </w:r>
          </w:p>
        </w:tc>
        <w:tc>
          <w:tcPr>
            <w:tcW w:w="1276" w:type="dxa"/>
          </w:tcPr>
          <w:p w14:paraId="2391906D" w14:textId="3225A952"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lastRenderedPageBreak/>
              <w:t>Remission:</w:t>
            </w:r>
            <w:r w:rsidR="008E3348" w:rsidRPr="009A3C92">
              <w:rPr>
                <w:rFonts w:ascii="Book Antiqua" w:hAnsi="Book Antiqua"/>
              </w:rPr>
              <w:t xml:space="preserve"> </w:t>
            </w:r>
            <w:r w:rsidRPr="009A3C92">
              <w:rPr>
                <w:rFonts w:ascii="Book Antiqua" w:hAnsi="Book Antiqua"/>
              </w:rPr>
              <w:t>Harvey</w:t>
            </w:r>
            <w:r w:rsidR="008E3348" w:rsidRPr="009A3C92">
              <w:rPr>
                <w:rFonts w:ascii="Book Antiqua" w:hAnsi="Book Antiqua"/>
              </w:rPr>
              <w:t xml:space="preserve"> </w:t>
            </w:r>
            <w:r w:rsidRPr="009A3C92">
              <w:rPr>
                <w:rFonts w:ascii="Book Antiqua" w:hAnsi="Book Antiqua"/>
              </w:rPr>
              <w:t>Bradshaw</w:t>
            </w:r>
            <w:r w:rsidR="008E3348" w:rsidRPr="009A3C92">
              <w:rPr>
                <w:rFonts w:ascii="Book Antiqua" w:hAnsi="Book Antiqua"/>
              </w:rPr>
              <w:t xml:space="preserve"> </w:t>
            </w:r>
            <w:r w:rsidRPr="009A3C92">
              <w:rPr>
                <w:rFonts w:ascii="Book Antiqua" w:hAnsi="Book Antiqua"/>
              </w:rPr>
              <w:t>index</w:t>
            </w:r>
            <w:r w:rsidR="008E3348" w:rsidRPr="009A3C92">
              <w:rPr>
                <w:rFonts w:ascii="Book Antiqua" w:hAnsi="Book Antiqua"/>
              </w:rPr>
              <w:t xml:space="preserve"> </w:t>
            </w:r>
            <w:r w:rsidRPr="009A3C92">
              <w:rPr>
                <w:rFonts w:ascii="Book Antiqua" w:hAnsi="Book Antiqua"/>
              </w:rPr>
              <w:t>&lt;</w:t>
            </w:r>
            <w:r w:rsidR="008E3348" w:rsidRPr="009A3C92">
              <w:rPr>
                <w:rFonts w:ascii="Book Antiqua" w:hAnsi="Book Antiqua"/>
              </w:rPr>
              <w:t xml:space="preserve"> </w:t>
            </w:r>
            <w:r w:rsidRPr="009A3C92">
              <w:rPr>
                <w:rFonts w:ascii="Book Antiqua" w:hAnsi="Book Antiqua"/>
              </w:rPr>
              <w:t>5</w:t>
            </w:r>
          </w:p>
        </w:tc>
        <w:tc>
          <w:tcPr>
            <w:tcW w:w="1417" w:type="dxa"/>
          </w:tcPr>
          <w:p w14:paraId="4F812DA4" w14:textId="64F9D45E"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Total:</w:t>
            </w:r>
            <w:r w:rsidR="008E3348" w:rsidRPr="009A3C92">
              <w:rPr>
                <w:rFonts w:ascii="Book Antiqua" w:hAnsi="Book Antiqua"/>
              </w:rPr>
              <w:t xml:space="preserve"> </w:t>
            </w:r>
            <w:r w:rsidRPr="009A3C92">
              <w:rPr>
                <w:rFonts w:ascii="Book Antiqua" w:hAnsi="Book Antiqua"/>
              </w:rPr>
              <w:t>40</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8</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18</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On</w:t>
            </w:r>
            <w:r w:rsidR="008E3348" w:rsidRPr="009A3C92">
              <w:rPr>
                <w:rFonts w:ascii="Book Antiqua" w:hAnsi="Book Antiqua"/>
              </w:rPr>
              <w:t xml:space="preserve"> </w:t>
            </w:r>
            <w:r w:rsidRPr="009A3C92">
              <w:rPr>
                <w:rFonts w:ascii="Book Antiqua" w:hAnsi="Book Antiqua"/>
              </w:rPr>
              <w:t>demand:</w:t>
            </w:r>
            <w:r w:rsidR="008E3348" w:rsidRPr="009A3C92">
              <w:rPr>
                <w:rFonts w:ascii="Book Antiqua" w:hAnsi="Book Antiqua"/>
              </w:rPr>
              <w:t xml:space="preserve"> </w:t>
            </w:r>
            <w:r w:rsidRPr="009A3C92">
              <w:rPr>
                <w:rFonts w:ascii="Book Antiqua" w:hAnsi="Book Antiqua"/>
              </w:rPr>
              <w:t>13</w:t>
            </w:r>
          </w:p>
        </w:tc>
        <w:tc>
          <w:tcPr>
            <w:tcW w:w="993" w:type="dxa"/>
          </w:tcPr>
          <w:p w14:paraId="29C0D2A2" w14:textId="77777777"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13.9</w:t>
            </w:r>
          </w:p>
        </w:tc>
        <w:tc>
          <w:tcPr>
            <w:tcW w:w="992" w:type="dxa"/>
          </w:tcPr>
          <w:p w14:paraId="655D5376" w14:textId="670BFBEB"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10</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60</w:t>
            </w:r>
          </w:p>
        </w:tc>
        <w:tc>
          <w:tcPr>
            <w:tcW w:w="1417" w:type="dxa"/>
          </w:tcPr>
          <w:p w14:paraId="4857C210" w14:textId="3F370EB2" w:rsidR="00B617D8" w:rsidRPr="009A3C92" w:rsidRDefault="00B617D8" w:rsidP="00FB7357">
            <w:pPr>
              <w:adjustRightInd w:val="0"/>
              <w:snapToGrid w:val="0"/>
              <w:spacing w:line="360" w:lineRule="auto"/>
              <w:rPr>
                <w:rFonts w:ascii="Book Antiqua" w:eastAsia="Malgun Gothic" w:hAnsi="Book Antiqua"/>
                <w:bCs/>
              </w:rPr>
            </w:pPr>
            <w:r w:rsidRPr="009A3C92">
              <w:rPr>
                <w:rFonts w:ascii="Book Antiqua" w:hAnsi="Book Antiqua"/>
                <w:bCs/>
              </w:rPr>
              <w:t>N/A</w:t>
            </w:r>
          </w:p>
        </w:tc>
        <w:tc>
          <w:tcPr>
            <w:tcW w:w="1276" w:type="dxa"/>
            <w:hideMark/>
          </w:tcPr>
          <w:p w14:paraId="69BCC4BD" w14:textId="7F4FCC19"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85%</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Every</w:t>
            </w:r>
            <w:r w:rsidR="008E3348" w:rsidRPr="009A3C92">
              <w:rPr>
                <w:rFonts w:ascii="Book Antiqua" w:hAnsi="Book Antiqua"/>
              </w:rPr>
              <w:t xml:space="preserve"> </w:t>
            </w:r>
            <w:r w:rsidRPr="009A3C92">
              <w:rPr>
                <w:rFonts w:ascii="Book Antiqua" w:hAnsi="Book Antiqua"/>
              </w:rPr>
              <w:t>8</w:t>
            </w:r>
            <w:r w:rsidR="008E3348" w:rsidRPr="009A3C92">
              <w:rPr>
                <w:rFonts w:ascii="Book Antiqua" w:hAnsi="Book Antiqua"/>
              </w:rPr>
              <w:t xml:space="preserve"> </w:t>
            </w:r>
            <w:r w:rsidRPr="009A3C92">
              <w:rPr>
                <w:rFonts w:ascii="Book Antiqua" w:hAnsi="Book Antiqua"/>
              </w:rPr>
              <w:t>wk:</w:t>
            </w:r>
            <w:r w:rsidR="008E3348" w:rsidRPr="009A3C92">
              <w:rPr>
                <w:rFonts w:ascii="Book Antiqua" w:hAnsi="Book Antiqua"/>
              </w:rPr>
              <w:t xml:space="preserve"> </w:t>
            </w:r>
            <w:r w:rsidRPr="009A3C92">
              <w:rPr>
                <w:rFonts w:ascii="Book Antiqua" w:hAnsi="Book Antiqua"/>
              </w:rPr>
              <w:t>83%.</w:t>
            </w:r>
            <w:r w:rsidR="008E3348" w:rsidRPr="009A3C92">
              <w:rPr>
                <w:rFonts w:ascii="Book Antiqua" w:hAnsi="Book Antiqua"/>
              </w:rPr>
              <w:t xml:space="preserve"> </w:t>
            </w:r>
            <w:r w:rsidRPr="009A3C92">
              <w:rPr>
                <w:rFonts w:ascii="Book Antiqua" w:hAnsi="Book Antiqua"/>
              </w:rPr>
              <w:t>On</w:t>
            </w:r>
            <w:r w:rsidR="008E3348" w:rsidRPr="009A3C92">
              <w:rPr>
                <w:rFonts w:ascii="Book Antiqua" w:hAnsi="Book Antiqua"/>
              </w:rPr>
              <w:t xml:space="preserve"> </w:t>
            </w:r>
            <w:r w:rsidRPr="009A3C92">
              <w:rPr>
                <w:rFonts w:ascii="Book Antiqua" w:hAnsi="Book Antiqua"/>
              </w:rPr>
              <w:t>demand:</w:t>
            </w:r>
            <w:r w:rsidR="008E3348" w:rsidRPr="009A3C92">
              <w:rPr>
                <w:rFonts w:ascii="Book Antiqua" w:hAnsi="Book Antiqua"/>
              </w:rPr>
              <w:t xml:space="preserve"> </w:t>
            </w:r>
            <w:r w:rsidRPr="009A3C92">
              <w:rPr>
                <w:rFonts w:ascii="Book Antiqua" w:hAnsi="Book Antiqua"/>
              </w:rPr>
              <w:lastRenderedPageBreak/>
              <w:t>61%</w:t>
            </w:r>
            <w:r w:rsidR="008E3348" w:rsidRPr="009A3C92">
              <w:rPr>
                <w:rFonts w:ascii="Book Antiqua" w:hAnsi="Book Antiqua" w:hint="eastAsia"/>
                <w:lang w:eastAsia="zh-CN"/>
              </w:rPr>
              <w:t xml:space="preserve"> </w:t>
            </w:r>
            <w:r w:rsidRPr="009A3C92">
              <w:rPr>
                <w:rFonts w:ascii="Book Antiqua" w:hAnsi="Book Antiqua"/>
                <w:lang w:eastAsia="zh-CN"/>
              </w:rPr>
              <w:t>(</w:t>
            </w:r>
            <w:r w:rsidRPr="009A3C92">
              <w:rPr>
                <w:rFonts w:ascii="Book Antiqua" w:hAnsi="Book Antiqua"/>
                <w:i/>
                <w:iCs/>
              </w:rPr>
              <w:t>P</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0.001)</w:t>
            </w:r>
          </w:p>
        </w:tc>
      </w:tr>
      <w:tr w:rsidR="00432003" w:rsidRPr="009A3C92" w14:paraId="412D06A9" w14:textId="77777777" w:rsidTr="00432003">
        <w:tc>
          <w:tcPr>
            <w:tcW w:w="1101" w:type="dxa"/>
            <w:hideMark/>
          </w:tcPr>
          <w:p w14:paraId="2ECA4C4B" w14:textId="0B9BFFC5" w:rsidR="00B617D8" w:rsidRPr="009A3C92" w:rsidRDefault="00B617D8" w:rsidP="00FB7357">
            <w:pPr>
              <w:adjustRightInd w:val="0"/>
              <w:snapToGrid w:val="0"/>
              <w:spacing w:line="360" w:lineRule="auto"/>
              <w:rPr>
                <w:rFonts w:ascii="Book Antiqua" w:eastAsia="Malgun Gothic" w:hAnsi="Book Antiqua"/>
              </w:rPr>
            </w:pPr>
            <w:r w:rsidRPr="009A3C92">
              <w:rPr>
                <w:rFonts w:ascii="Book Antiqua" w:hAnsi="Book Antiqua"/>
              </w:rPr>
              <w:lastRenderedPageBreak/>
              <w:t>Hyams</w:t>
            </w:r>
            <w:r w:rsidR="008E3348" w:rsidRPr="009A3C92">
              <w:rPr>
                <w:rFonts w:ascii="Book Antiqua" w:hAnsi="Book Antiqua"/>
              </w:rPr>
              <w:t xml:space="preserve"> </w:t>
            </w:r>
            <w:r w:rsidRPr="009A3C92">
              <w:rPr>
                <w:rFonts w:ascii="Book Antiqua" w:hAnsi="Book Antiqua"/>
                <w:i/>
                <w:iCs/>
              </w:rPr>
              <w:t>et</w:t>
            </w:r>
            <w:r w:rsidR="008E3348" w:rsidRPr="009A3C92">
              <w:rPr>
                <w:rFonts w:ascii="Book Antiqua" w:hAnsi="Book Antiqua"/>
                <w:i/>
                <w:iCs/>
              </w:rPr>
              <w:t xml:space="preserve"> </w:t>
            </w:r>
            <w:r w:rsidRPr="009A3C92">
              <w:rPr>
                <w:rFonts w:ascii="Book Antiqua" w:hAnsi="Book Antiqua"/>
                <w:i/>
                <w:iCs/>
              </w:rPr>
              <w:t>al</w:t>
            </w:r>
            <w:r w:rsidRPr="009A3C92">
              <w:rPr>
                <w:rFonts w:ascii="Book Antiqua" w:hAnsi="Book Antiqua"/>
                <w:noProof/>
                <w:vertAlign w:val="superscript"/>
              </w:rPr>
              <w:t>[18]</w:t>
            </w:r>
            <w:r w:rsidRPr="009A3C92">
              <w:rPr>
                <w:rFonts w:ascii="Book Antiqua" w:hAnsi="Book Antiqua"/>
                <w:noProof/>
              </w:rPr>
              <w:t>,</w:t>
            </w:r>
            <w:r w:rsidR="008E3348" w:rsidRPr="009A3C92">
              <w:rPr>
                <w:rFonts w:ascii="Book Antiqua" w:hAnsi="Book Antiqua"/>
                <w:noProof/>
              </w:rPr>
              <w:t xml:space="preserve"> </w:t>
            </w:r>
            <w:r w:rsidRPr="009A3C92">
              <w:rPr>
                <w:rFonts w:ascii="Book Antiqua" w:hAnsi="Book Antiqua"/>
              </w:rPr>
              <w:t>2012</w:t>
            </w:r>
          </w:p>
        </w:tc>
        <w:tc>
          <w:tcPr>
            <w:tcW w:w="1134" w:type="dxa"/>
          </w:tcPr>
          <w:p w14:paraId="707F40A4" w14:textId="19316084"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IMAgINE</w:t>
            </w:r>
          </w:p>
        </w:tc>
        <w:tc>
          <w:tcPr>
            <w:tcW w:w="850" w:type="dxa"/>
          </w:tcPr>
          <w:p w14:paraId="21DD9B7C" w14:textId="59C4DDD6"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ADL</w:t>
            </w:r>
          </w:p>
        </w:tc>
        <w:tc>
          <w:tcPr>
            <w:tcW w:w="992" w:type="dxa"/>
          </w:tcPr>
          <w:p w14:paraId="4DA2AD67" w14:textId="48993828"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Moderate-to-severe</w:t>
            </w:r>
            <w:r w:rsidR="008E3348" w:rsidRPr="009A3C92">
              <w:rPr>
                <w:rFonts w:ascii="Book Antiqua" w:hAnsi="Book Antiqua"/>
              </w:rPr>
              <w:t xml:space="preserve"> </w:t>
            </w:r>
            <w:r w:rsidRPr="009A3C92">
              <w:rPr>
                <w:rFonts w:ascii="Book Antiqua" w:hAnsi="Book Antiqua"/>
              </w:rPr>
              <w:t>CD</w:t>
            </w:r>
          </w:p>
        </w:tc>
        <w:tc>
          <w:tcPr>
            <w:tcW w:w="1843" w:type="dxa"/>
            <w:hideMark/>
          </w:tcPr>
          <w:p w14:paraId="47A63B29" w14:textId="726ECEE4"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Comparison</w:t>
            </w:r>
            <w:r w:rsidR="008E3348" w:rsidRPr="009A3C92">
              <w:rPr>
                <w:rFonts w:ascii="Book Antiqua" w:hAnsi="Book Antiqua"/>
              </w:rPr>
              <w:t xml:space="preserve"> </w:t>
            </w:r>
            <w:r w:rsidRPr="009A3C92">
              <w:rPr>
                <w:rFonts w:ascii="Book Antiqua" w:hAnsi="Book Antiqua"/>
              </w:rPr>
              <w:t>of</w:t>
            </w:r>
            <w:r w:rsidR="008E3348" w:rsidRPr="009A3C92">
              <w:rPr>
                <w:rFonts w:ascii="Book Antiqua" w:hAnsi="Book Antiqua"/>
              </w:rPr>
              <w:t xml:space="preserve"> </w:t>
            </w:r>
            <w:r w:rsidRPr="009A3C92">
              <w:rPr>
                <w:rFonts w:ascii="Book Antiqua" w:hAnsi="Book Antiqua"/>
              </w:rPr>
              <w:t>ADL</w:t>
            </w:r>
            <w:r w:rsidR="008E3348" w:rsidRPr="009A3C92">
              <w:rPr>
                <w:rFonts w:ascii="Book Antiqua" w:hAnsi="Book Antiqua"/>
              </w:rPr>
              <w:t xml:space="preserve"> </w:t>
            </w:r>
            <w:r w:rsidRPr="009A3C92">
              <w:rPr>
                <w:rFonts w:ascii="Book Antiqua" w:hAnsi="Book Antiqua"/>
              </w:rPr>
              <w:t>dose;</w:t>
            </w:r>
            <w:r w:rsidR="008E3348" w:rsidRPr="009A3C92">
              <w:rPr>
                <w:rFonts w:ascii="Book Antiqua" w:hAnsi="Book Antiqua"/>
              </w:rPr>
              <w:t xml:space="preserve"> </w:t>
            </w:r>
            <w:r w:rsidRPr="009A3C92">
              <w:rPr>
                <w:rFonts w:ascii="Book Antiqua" w:hAnsi="Book Antiqua"/>
              </w:rPr>
              <w:t>HD</w:t>
            </w:r>
            <w:r w:rsidR="008E3348" w:rsidRPr="009A3C92">
              <w:rPr>
                <w:rFonts w:ascii="Book Antiqua" w:hAnsi="Book Antiqua"/>
              </w:rPr>
              <w:t xml:space="preserve"> </w:t>
            </w:r>
            <w:r w:rsidRPr="009A3C92">
              <w:rPr>
                <w:rFonts w:ascii="Book Antiqua" w:hAnsi="Book Antiqua"/>
              </w:rPr>
              <w:t>(40</w:t>
            </w:r>
            <w:r w:rsidR="008E3348" w:rsidRPr="009A3C92">
              <w:rPr>
                <w:rFonts w:ascii="Book Antiqua" w:hAnsi="Book Antiqua"/>
              </w:rPr>
              <w:t xml:space="preserve"> </w:t>
            </w:r>
            <w:r w:rsidRPr="009A3C92">
              <w:rPr>
                <w:rFonts w:ascii="Book Antiqua" w:hAnsi="Book Antiqua"/>
              </w:rPr>
              <w:t>mg</w:t>
            </w:r>
            <w:r w:rsidR="008E3348" w:rsidRPr="009A3C92">
              <w:rPr>
                <w:rFonts w:ascii="Book Antiqua" w:hAnsi="Book Antiqua"/>
              </w:rPr>
              <w:t xml:space="preserve"> </w:t>
            </w:r>
            <w:r w:rsidRPr="009A3C92">
              <w:rPr>
                <w:rFonts w:ascii="Book Antiqua" w:hAnsi="Book Antiqua"/>
              </w:rPr>
              <w:t>or</w:t>
            </w:r>
            <w:r w:rsidR="008E3348" w:rsidRPr="009A3C92">
              <w:rPr>
                <w:rFonts w:ascii="Book Antiqua" w:hAnsi="Book Antiqua"/>
              </w:rPr>
              <w:t xml:space="preserve"> </w:t>
            </w:r>
            <w:r w:rsidRPr="009A3C92">
              <w:rPr>
                <w:rFonts w:ascii="Book Antiqua" w:hAnsi="Book Antiqua"/>
              </w:rPr>
              <w:t>20</w:t>
            </w:r>
            <w:r w:rsidR="008E3348" w:rsidRPr="009A3C92">
              <w:rPr>
                <w:rFonts w:ascii="Book Antiqua" w:hAnsi="Book Antiqua"/>
              </w:rPr>
              <w:t xml:space="preserve"> </w:t>
            </w:r>
            <w:r w:rsidRPr="009A3C92">
              <w:rPr>
                <w:rFonts w:ascii="Book Antiqua" w:hAnsi="Book Antiqua"/>
              </w:rPr>
              <w:t>mg</w:t>
            </w:r>
            <w:r w:rsidR="008E3348" w:rsidRPr="009A3C92">
              <w:rPr>
                <w:rFonts w:ascii="Book Antiqua" w:hAnsi="Book Antiqua"/>
              </w:rPr>
              <w:t xml:space="preserve"> </w:t>
            </w:r>
            <w:r w:rsidRPr="009A3C92">
              <w:rPr>
                <w:rFonts w:ascii="Book Antiqua" w:hAnsi="Book Antiqua"/>
              </w:rPr>
              <w:t>for</w:t>
            </w:r>
            <w:r w:rsidR="008E3348" w:rsidRPr="009A3C92">
              <w:rPr>
                <w:rFonts w:ascii="Book Antiqua" w:hAnsi="Book Antiqua"/>
              </w:rPr>
              <w:t xml:space="preserve"> </w:t>
            </w:r>
            <w:r w:rsidRPr="009A3C92">
              <w:rPr>
                <w:rFonts w:ascii="Book Antiqua" w:hAnsi="Book Antiqua"/>
              </w:rPr>
              <w:t>body</w:t>
            </w:r>
            <w:r w:rsidR="008E3348" w:rsidRPr="009A3C92">
              <w:rPr>
                <w:rFonts w:ascii="Book Antiqua" w:hAnsi="Book Antiqua"/>
              </w:rPr>
              <w:t xml:space="preserve"> </w:t>
            </w:r>
            <w:r w:rsidRPr="009A3C92">
              <w:rPr>
                <w:rFonts w:ascii="Book Antiqua" w:hAnsi="Book Antiqua"/>
              </w:rPr>
              <w:t>weight</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40</w:t>
            </w:r>
            <w:r w:rsidR="008E3348" w:rsidRPr="009A3C92">
              <w:rPr>
                <w:rFonts w:ascii="Book Antiqua" w:hAnsi="Book Antiqua"/>
              </w:rPr>
              <w:t xml:space="preserve"> </w:t>
            </w:r>
            <w:r w:rsidRPr="009A3C92">
              <w:rPr>
                <w:rFonts w:ascii="Book Antiqua" w:hAnsi="Book Antiqua"/>
              </w:rPr>
              <w:t>kg</w:t>
            </w:r>
            <w:r w:rsidR="008E3348" w:rsidRPr="009A3C92">
              <w:rPr>
                <w:rFonts w:ascii="Book Antiqua" w:hAnsi="Book Antiqua"/>
              </w:rPr>
              <w:t xml:space="preserve"> </w:t>
            </w:r>
            <w:r w:rsidRPr="009A3C92">
              <w:rPr>
                <w:rFonts w:ascii="Book Antiqua" w:hAnsi="Book Antiqua"/>
              </w:rPr>
              <w:t>or</w:t>
            </w:r>
            <w:r w:rsidR="008E3348" w:rsidRPr="009A3C92">
              <w:rPr>
                <w:rFonts w:ascii="Book Antiqua" w:hAnsi="Book Antiqua"/>
              </w:rPr>
              <w:t xml:space="preserve"> </w:t>
            </w:r>
            <w:r w:rsidRPr="009A3C92">
              <w:rPr>
                <w:rFonts w:ascii="Book Antiqua" w:hAnsi="Book Antiqua"/>
              </w:rPr>
              <w:t>&lt;</w:t>
            </w:r>
            <w:r w:rsidR="008E3348" w:rsidRPr="009A3C92">
              <w:rPr>
                <w:rFonts w:ascii="Book Antiqua" w:hAnsi="Book Antiqua"/>
              </w:rPr>
              <w:t xml:space="preserve"> </w:t>
            </w:r>
            <w:r w:rsidRPr="009A3C92">
              <w:rPr>
                <w:rFonts w:ascii="Book Antiqua" w:hAnsi="Book Antiqua"/>
              </w:rPr>
              <w:t>40</w:t>
            </w:r>
            <w:r w:rsidR="008E3348" w:rsidRPr="009A3C92">
              <w:rPr>
                <w:rFonts w:ascii="Book Antiqua" w:hAnsi="Book Antiqua"/>
              </w:rPr>
              <w:t xml:space="preserve"> </w:t>
            </w:r>
            <w:r w:rsidRPr="009A3C92">
              <w:rPr>
                <w:rFonts w:ascii="Book Antiqua" w:hAnsi="Book Antiqua"/>
              </w:rPr>
              <w:t>kg)</w:t>
            </w:r>
            <w:r w:rsidR="008E3348" w:rsidRPr="009A3C92">
              <w:rPr>
                <w:rFonts w:ascii="Book Antiqua" w:hAnsi="Book Antiqua"/>
              </w:rPr>
              <w:t xml:space="preserve"> </w:t>
            </w:r>
            <w:r w:rsidRPr="009A3C92">
              <w:rPr>
                <w:rFonts w:ascii="Book Antiqua" w:hAnsi="Book Antiqua"/>
                <w:i/>
                <w:iCs/>
              </w:rPr>
              <w:t>vs</w:t>
            </w:r>
            <w:r w:rsidR="008E3348" w:rsidRPr="009A3C92">
              <w:rPr>
                <w:rFonts w:ascii="Book Antiqua" w:hAnsi="Book Antiqua"/>
              </w:rPr>
              <w:t xml:space="preserve"> </w:t>
            </w:r>
            <w:r w:rsidRPr="009A3C92">
              <w:rPr>
                <w:rFonts w:ascii="Book Antiqua" w:hAnsi="Book Antiqua"/>
              </w:rPr>
              <w:t>LD</w:t>
            </w:r>
            <w:r w:rsidR="008E3348" w:rsidRPr="009A3C92">
              <w:rPr>
                <w:rFonts w:ascii="Book Antiqua" w:hAnsi="Book Antiqua"/>
              </w:rPr>
              <w:t xml:space="preserve"> </w:t>
            </w:r>
            <w:r w:rsidRPr="009A3C92">
              <w:rPr>
                <w:rFonts w:ascii="Book Antiqua" w:hAnsi="Book Antiqua"/>
              </w:rPr>
              <w:t>(20</w:t>
            </w:r>
            <w:r w:rsidR="008E3348" w:rsidRPr="009A3C92">
              <w:rPr>
                <w:rFonts w:ascii="Book Antiqua" w:hAnsi="Book Antiqua"/>
              </w:rPr>
              <w:t xml:space="preserve"> </w:t>
            </w:r>
            <w:r w:rsidRPr="009A3C92">
              <w:rPr>
                <w:rFonts w:ascii="Book Antiqua" w:hAnsi="Book Antiqua"/>
              </w:rPr>
              <w:t>mg</w:t>
            </w:r>
            <w:r w:rsidR="008E3348" w:rsidRPr="009A3C92">
              <w:rPr>
                <w:rFonts w:ascii="Book Antiqua" w:hAnsi="Book Antiqua"/>
              </w:rPr>
              <w:t xml:space="preserve"> </w:t>
            </w:r>
            <w:r w:rsidRPr="009A3C92">
              <w:rPr>
                <w:rFonts w:ascii="Book Antiqua" w:hAnsi="Book Antiqua"/>
              </w:rPr>
              <w:t>or</w:t>
            </w:r>
            <w:r w:rsidR="008E3348" w:rsidRPr="009A3C92">
              <w:rPr>
                <w:rFonts w:ascii="Book Antiqua" w:hAnsi="Book Antiqua"/>
              </w:rPr>
              <w:t xml:space="preserve"> </w:t>
            </w:r>
            <w:r w:rsidRPr="009A3C92">
              <w:rPr>
                <w:rFonts w:ascii="Book Antiqua" w:hAnsi="Book Antiqua"/>
              </w:rPr>
              <w:t>10</w:t>
            </w:r>
            <w:r w:rsidR="008E3348" w:rsidRPr="009A3C92">
              <w:rPr>
                <w:rFonts w:ascii="Book Antiqua" w:hAnsi="Book Antiqua"/>
              </w:rPr>
              <w:t xml:space="preserve"> </w:t>
            </w:r>
            <w:r w:rsidRPr="009A3C92">
              <w:rPr>
                <w:rFonts w:ascii="Book Antiqua" w:hAnsi="Book Antiqua"/>
              </w:rPr>
              <w:t>mg</w:t>
            </w:r>
            <w:r w:rsidR="008E3348" w:rsidRPr="009A3C92">
              <w:rPr>
                <w:rFonts w:ascii="Book Antiqua" w:hAnsi="Book Antiqua"/>
              </w:rPr>
              <w:t xml:space="preserve"> </w:t>
            </w:r>
            <w:r w:rsidRPr="009A3C92">
              <w:rPr>
                <w:rFonts w:ascii="Book Antiqua" w:hAnsi="Book Antiqua"/>
              </w:rPr>
              <w:t>for</w:t>
            </w:r>
            <w:r w:rsidR="008E3348" w:rsidRPr="009A3C92">
              <w:rPr>
                <w:rFonts w:ascii="Book Antiqua" w:hAnsi="Book Antiqua"/>
              </w:rPr>
              <w:t xml:space="preserve"> </w:t>
            </w:r>
            <w:r w:rsidRPr="009A3C92">
              <w:rPr>
                <w:rFonts w:ascii="Book Antiqua" w:hAnsi="Book Antiqua"/>
              </w:rPr>
              <w:t>body</w:t>
            </w:r>
            <w:r w:rsidR="008E3348" w:rsidRPr="009A3C92">
              <w:rPr>
                <w:rFonts w:ascii="Book Antiqua" w:hAnsi="Book Antiqua"/>
              </w:rPr>
              <w:t xml:space="preserve"> </w:t>
            </w:r>
            <w:r w:rsidRPr="009A3C92">
              <w:rPr>
                <w:rFonts w:ascii="Book Antiqua" w:hAnsi="Book Antiqua"/>
              </w:rPr>
              <w:t>weight</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40</w:t>
            </w:r>
            <w:r w:rsidR="008E3348" w:rsidRPr="009A3C92">
              <w:rPr>
                <w:rFonts w:ascii="Book Antiqua" w:hAnsi="Book Antiqua"/>
              </w:rPr>
              <w:t xml:space="preserve"> </w:t>
            </w:r>
            <w:r w:rsidRPr="009A3C92">
              <w:rPr>
                <w:rFonts w:ascii="Book Antiqua" w:hAnsi="Book Antiqua"/>
              </w:rPr>
              <w:t>kg</w:t>
            </w:r>
            <w:r w:rsidR="008E3348" w:rsidRPr="009A3C92">
              <w:rPr>
                <w:rFonts w:ascii="Book Antiqua" w:hAnsi="Book Antiqua"/>
              </w:rPr>
              <w:t xml:space="preserve"> </w:t>
            </w:r>
            <w:r w:rsidRPr="009A3C92">
              <w:rPr>
                <w:rFonts w:ascii="Book Antiqua" w:hAnsi="Book Antiqua"/>
              </w:rPr>
              <w:t>or</w:t>
            </w:r>
            <w:r w:rsidR="008E3348" w:rsidRPr="009A3C92">
              <w:rPr>
                <w:rFonts w:ascii="Book Antiqua" w:hAnsi="Book Antiqua"/>
              </w:rPr>
              <w:t xml:space="preserve"> </w:t>
            </w:r>
            <w:r w:rsidRPr="009A3C92">
              <w:rPr>
                <w:rFonts w:ascii="Book Antiqua" w:hAnsi="Book Antiqua"/>
              </w:rPr>
              <w:t>&lt;</w:t>
            </w:r>
            <w:r w:rsidR="008E3348" w:rsidRPr="009A3C92">
              <w:rPr>
                <w:rFonts w:ascii="Book Antiqua" w:hAnsi="Book Antiqua"/>
              </w:rPr>
              <w:t xml:space="preserve"> </w:t>
            </w:r>
            <w:r w:rsidRPr="009A3C92">
              <w:rPr>
                <w:rFonts w:ascii="Book Antiqua" w:hAnsi="Book Antiqua"/>
              </w:rPr>
              <w:t>40</w:t>
            </w:r>
            <w:r w:rsidR="008E3348" w:rsidRPr="009A3C92">
              <w:rPr>
                <w:rFonts w:ascii="Book Antiqua" w:hAnsi="Book Antiqua"/>
              </w:rPr>
              <w:t xml:space="preserve"> </w:t>
            </w:r>
            <w:r w:rsidRPr="009A3C92">
              <w:rPr>
                <w:rFonts w:ascii="Book Antiqua" w:hAnsi="Book Antiqua"/>
              </w:rPr>
              <w:t>kg).</w:t>
            </w:r>
            <w:r w:rsidR="008E3348" w:rsidRPr="009A3C92">
              <w:rPr>
                <w:rFonts w:ascii="Book Antiqua" w:hAnsi="Book Antiqua" w:hint="eastAsia"/>
                <w:lang w:eastAsia="zh-CN"/>
              </w:rPr>
              <w:t xml:space="preserve"> </w:t>
            </w:r>
            <w:r w:rsidRPr="009A3C92">
              <w:rPr>
                <w:rFonts w:ascii="Book Antiqua" w:hAnsi="Book Antiqua"/>
              </w:rPr>
              <w:t>Primary</w:t>
            </w:r>
            <w:r w:rsidR="008E3348" w:rsidRPr="009A3C92">
              <w:rPr>
                <w:rFonts w:ascii="Book Antiqua" w:hAnsi="Book Antiqua"/>
              </w:rPr>
              <w:t xml:space="preserve"> </w:t>
            </w:r>
            <w:r w:rsidRPr="009A3C92">
              <w:rPr>
                <w:rFonts w:ascii="Book Antiqua" w:hAnsi="Book Antiqua"/>
              </w:rPr>
              <w:t>responders</w:t>
            </w:r>
            <w:r w:rsidR="008E3348" w:rsidRPr="009A3C92">
              <w:rPr>
                <w:rFonts w:ascii="Book Antiqua" w:hAnsi="Book Antiqua"/>
              </w:rPr>
              <w:t xml:space="preserve"> </w:t>
            </w:r>
            <w:r w:rsidRPr="009A3C92">
              <w:rPr>
                <w:rFonts w:ascii="Book Antiqua" w:hAnsi="Book Antiqua"/>
              </w:rPr>
              <w:t>were</w:t>
            </w:r>
            <w:r w:rsidR="008E3348" w:rsidRPr="009A3C92">
              <w:rPr>
                <w:rFonts w:ascii="Book Antiqua" w:hAnsi="Book Antiqua"/>
              </w:rPr>
              <w:t xml:space="preserve"> </w:t>
            </w:r>
            <w:r w:rsidRPr="009A3C92">
              <w:rPr>
                <w:rFonts w:ascii="Book Antiqua" w:hAnsi="Book Antiqua"/>
              </w:rPr>
              <w:t>randomised</w:t>
            </w:r>
            <w:r w:rsidR="008E3348" w:rsidRPr="009A3C92">
              <w:rPr>
                <w:rFonts w:ascii="Book Antiqua" w:hAnsi="Book Antiqua"/>
              </w:rPr>
              <w:t xml:space="preserve"> </w:t>
            </w:r>
            <w:r w:rsidRPr="009A3C92">
              <w:rPr>
                <w:rFonts w:ascii="Book Antiqua" w:hAnsi="Book Antiqua"/>
              </w:rPr>
              <w:t>at</w:t>
            </w:r>
            <w:r w:rsidR="008E3348" w:rsidRPr="009A3C92">
              <w:rPr>
                <w:rFonts w:ascii="Book Antiqua" w:hAnsi="Book Antiqua"/>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4.</w:t>
            </w:r>
          </w:p>
        </w:tc>
        <w:tc>
          <w:tcPr>
            <w:tcW w:w="1276" w:type="dxa"/>
          </w:tcPr>
          <w:p w14:paraId="2A275EA2" w14:textId="5AFD14C8"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Response:</w:t>
            </w:r>
            <w:r w:rsidR="008E3348" w:rsidRPr="009A3C92">
              <w:rPr>
                <w:rFonts w:ascii="Book Antiqua" w:hAnsi="Book Antiqua"/>
              </w:rPr>
              <w:t xml:space="preserve"> </w:t>
            </w:r>
            <w:r w:rsidRPr="009A3C92">
              <w:rPr>
                <w:rFonts w:ascii="Book Antiqua" w:hAnsi="Book Antiqua"/>
              </w:rPr>
              <w:t>∆PCDAI</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-15</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Remission:</w:t>
            </w:r>
            <w:r w:rsidR="008E3348" w:rsidRPr="009A3C92">
              <w:rPr>
                <w:rFonts w:ascii="Book Antiqua" w:hAnsi="Book Antiqua"/>
              </w:rPr>
              <w:t xml:space="preserve"> </w:t>
            </w:r>
            <w:r w:rsidRPr="009A3C92">
              <w:rPr>
                <w:rFonts w:ascii="Book Antiqua" w:hAnsi="Book Antiqua"/>
              </w:rPr>
              <w:t>PCDAI</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10</w:t>
            </w:r>
          </w:p>
        </w:tc>
        <w:tc>
          <w:tcPr>
            <w:tcW w:w="1417" w:type="dxa"/>
          </w:tcPr>
          <w:p w14:paraId="6B177F91" w14:textId="371BF72A"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Total:</w:t>
            </w:r>
            <w:r w:rsidR="008E3348" w:rsidRPr="009A3C92">
              <w:rPr>
                <w:rFonts w:ascii="Book Antiqua" w:hAnsi="Book Antiqua"/>
              </w:rPr>
              <w:t xml:space="preserve"> </w:t>
            </w:r>
            <w:r w:rsidRPr="009A3C92">
              <w:rPr>
                <w:rFonts w:ascii="Book Antiqua" w:hAnsi="Book Antiqua"/>
              </w:rPr>
              <w:t>188</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HD:</w:t>
            </w:r>
            <w:r w:rsidR="008E3348" w:rsidRPr="009A3C92">
              <w:rPr>
                <w:rFonts w:ascii="Book Antiqua" w:hAnsi="Book Antiqua"/>
              </w:rPr>
              <w:t xml:space="preserve"> </w:t>
            </w:r>
            <w:r w:rsidRPr="009A3C92">
              <w:rPr>
                <w:rFonts w:ascii="Book Antiqua" w:hAnsi="Book Antiqua"/>
              </w:rPr>
              <w:t>93</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LD:</w:t>
            </w:r>
            <w:r w:rsidR="008E3348" w:rsidRPr="009A3C92">
              <w:rPr>
                <w:rFonts w:ascii="Book Antiqua" w:hAnsi="Book Antiqua"/>
              </w:rPr>
              <w:t xml:space="preserve"> </w:t>
            </w:r>
            <w:r w:rsidRPr="009A3C92">
              <w:rPr>
                <w:rFonts w:ascii="Book Antiqua" w:hAnsi="Book Antiqua"/>
              </w:rPr>
              <w:t>95</w:t>
            </w:r>
          </w:p>
        </w:tc>
        <w:tc>
          <w:tcPr>
            <w:tcW w:w="993" w:type="dxa"/>
          </w:tcPr>
          <w:p w14:paraId="4D58D597" w14:textId="5C3DBF51"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HD:</w:t>
            </w:r>
            <w:r w:rsidR="008E3348" w:rsidRPr="009A3C92">
              <w:rPr>
                <w:rFonts w:ascii="Book Antiqua" w:hAnsi="Book Antiqua"/>
              </w:rPr>
              <w:t xml:space="preserve"> </w:t>
            </w:r>
            <w:r w:rsidRPr="009A3C92">
              <w:rPr>
                <w:rFonts w:ascii="Book Antiqua" w:hAnsi="Book Antiqua"/>
              </w:rPr>
              <w:t>13.7</w:t>
            </w:r>
            <w:r w:rsidR="008E3348" w:rsidRPr="009A3C92">
              <w:rPr>
                <w:rFonts w:ascii="Book Antiqua" w:hAnsi="Book Antiqua"/>
              </w:rPr>
              <w:t xml:space="preserve"> </w:t>
            </w:r>
            <w:r w:rsidRPr="009A3C92">
              <w:rPr>
                <w:rFonts w:ascii="Book Antiqua" w:eastAsiaTheme="minorHAnsi" w:hAnsi="Book Antiqua"/>
              </w:rPr>
              <w:t>±</w:t>
            </w:r>
            <w:r w:rsidR="008E3348" w:rsidRPr="009A3C92">
              <w:rPr>
                <w:rFonts w:ascii="Book Antiqua" w:eastAsiaTheme="minorHAnsi" w:hAnsi="Book Antiqua"/>
              </w:rPr>
              <w:t xml:space="preserve"> </w:t>
            </w:r>
            <w:r w:rsidRPr="009A3C92">
              <w:rPr>
                <w:rFonts w:ascii="Book Antiqua" w:eastAsiaTheme="minorHAnsi" w:hAnsi="Book Antiqua"/>
              </w:rPr>
              <w:t>2.52</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LD:</w:t>
            </w:r>
            <w:r w:rsidR="008E3348" w:rsidRPr="009A3C92">
              <w:rPr>
                <w:rFonts w:ascii="Book Antiqua" w:hAnsi="Book Antiqua"/>
              </w:rPr>
              <w:t xml:space="preserve"> </w:t>
            </w:r>
            <w:r w:rsidRPr="009A3C92">
              <w:rPr>
                <w:rFonts w:ascii="Book Antiqua" w:hAnsi="Book Antiqua"/>
              </w:rPr>
              <w:t>13.5</w:t>
            </w:r>
            <w:r w:rsidR="008E3348" w:rsidRPr="009A3C92">
              <w:rPr>
                <w:rFonts w:ascii="Book Antiqua" w:hAnsi="Book Antiqua"/>
              </w:rPr>
              <w:t xml:space="preserve"> </w:t>
            </w:r>
            <w:r w:rsidRPr="009A3C92">
              <w:rPr>
                <w:rFonts w:ascii="Book Antiqua" w:eastAsiaTheme="minorHAnsi" w:hAnsi="Book Antiqua"/>
              </w:rPr>
              <w:t>±</w:t>
            </w:r>
            <w:r w:rsidR="008E3348" w:rsidRPr="009A3C92">
              <w:rPr>
                <w:rFonts w:ascii="Book Antiqua" w:eastAsiaTheme="minorHAnsi" w:hAnsi="Book Antiqua"/>
              </w:rPr>
              <w:t xml:space="preserve"> </w:t>
            </w:r>
            <w:r w:rsidRPr="009A3C92">
              <w:rPr>
                <w:rFonts w:ascii="Book Antiqua" w:hAnsi="Book Antiqua"/>
              </w:rPr>
              <w:t>2.47</w:t>
            </w:r>
          </w:p>
        </w:tc>
        <w:tc>
          <w:tcPr>
            <w:tcW w:w="992" w:type="dxa"/>
          </w:tcPr>
          <w:p w14:paraId="6406D21A" w14:textId="3BF5070B"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26</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52</w:t>
            </w:r>
          </w:p>
        </w:tc>
        <w:tc>
          <w:tcPr>
            <w:tcW w:w="1417" w:type="dxa"/>
          </w:tcPr>
          <w:p w14:paraId="300283A1" w14:textId="773A5557"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HD:</w:t>
            </w:r>
            <w:r w:rsidR="008E3348" w:rsidRPr="009A3C92">
              <w:rPr>
                <w:rFonts w:ascii="Book Antiqua" w:hAnsi="Book Antiqua"/>
              </w:rPr>
              <w:t xml:space="preserve"> </w:t>
            </w:r>
            <w:r w:rsidRPr="009A3C92">
              <w:rPr>
                <w:rFonts w:ascii="Book Antiqua" w:hAnsi="Book Antiqua"/>
              </w:rPr>
              <w:t>59.1%,</w:t>
            </w:r>
            <w:r w:rsidR="008E3348" w:rsidRPr="009A3C92">
              <w:rPr>
                <w:rFonts w:ascii="Book Antiqua" w:hAnsi="Book Antiqua"/>
              </w:rPr>
              <w:t xml:space="preserve"> </w:t>
            </w:r>
            <w:r w:rsidRPr="009A3C92">
              <w:rPr>
                <w:rFonts w:ascii="Book Antiqua" w:hAnsi="Book Antiqua"/>
              </w:rPr>
              <w:t>LD:</w:t>
            </w:r>
            <w:r w:rsidR="008E3348" w:rsidRPr="009A3C92">
              <w:rPr>
                <w:rFonts w:ascii="Book Antiqua" w:hAnsi="Book Antiqua"/>
              </w:rPr>
              <w:t xml:space="preserve"> </w:t>
            </w:r>
            <w:r w:rsidRPr="009A3C92">
              <w:rPr>
                <w:rFonts w:ascii="Book Antiqua" w:hAnsi="Book Antiqua"/>
              </w:rPr>
              <w:t>48.4%</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HD:</w:t>
            </w:r>
            <w:r w:rsidR="008E3348" w:rsidRPr="009A3C92">
              <w:rPr>
                <w:rFonts w:ascii="Book Antiqua" w:hAnsi="Book Antiqua"/>
              </w:rPr>
              <w:t xml:space="preserve"> </w:t>
            </w:r>
            <w:r w:rsidRPr="009A3C92">
              <w:rPr>
                <w:rFonts w:ascii="Book Antiqua" w:hAnsi="Book Antiqua"/>
              </w:rPr>
              <w:t>41.9%</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LD:</w:t>
            </w:r>
            <w:r w:rsidR="008E3348" w:rsidRPr="009A3C92">
              <w:rPr>
                <w:rFonts w:ascii="Book Antiqua" w:hAnsi="Book Antiqua"/>
              </w:rPr>
              <w:t xml:space="preserve"> </w:t>
            </w:r>
            <w:r w:rsidRPr="009A3C92">
              <w:rPr>
                <w:rFonts w:ascii="Book Antiqua" w:hAnsi="Book Antiqua"/>
              </w:rPr>
              <w:t>28.4%</w:t>
            </w:r>
          </w:p>
        </w:tc>
        <w:tc>
          <w:tcPr>
            <w:tcW w:w="1276" w:type="dxa"/>
            <w:hideMark/>
          </w:tcPr>
          <w:p w14:paraId="3B2979A8" w14:textId="0C9AA32C" w:rsidR="00B617D8" w:rsidRPr="009A3C92" w:rsidRDefault="00B617D8" w:rsidP="00FB7357">
            <w:pPr>
              <w:adjustRightInd w:val="0"/>
              <w:snapToGrid w:val="0"/>
              <w:spacing w:line="360" w:lineRule="auto"/>
              <w:rPr>
                <w:rFonts w:ascii="Book Antiqua" w:hAnsi="Book Antiqua"/>
              </w:rPr>
            </w:pPr>
            <w:r w:rsidRPr="009A3C92">
              <w:rPr>
                <w:rFonts w:ascii="Book Antiqua" w:hAnsi="Book Antiqua"/>
              </w:rPr>
              <w:t>HD:</w:t>
            </w:r>
            <w:r w:rsidR="008E3348" w:rsidRPr="009A3C92">
              <w:rPr>
                <w:rFonts w:ascii="Book Antiqua" w:hAnsi="Book Antiqua"/>
              </w:rPr>
              <w:t xml:space="preserve"> </w:t>
            </w:r>
            <w:r w:rsidRPr="009A3C92">
              <w:rPr>
                <w:rFonts w:ascii="Book Antiqua" w:hAnsi="Book Antiqua"/>
              </w:rPr>
              <w:t>38.7%</w:t>
            </w:r>
            <w:r w:rsidR="00432003" w:rsidRPr="009A3C92">
              <w:rPr>
                <w:rFonts w:ascii="Book Antiqua" w:hAnsi="Book Antiqua"/>
              </w:rPr>
              <w:t>;</w:t>
            </w:r>
            <w:r w:rsidR="008E3348" w:rsidRPr="009A3C92">
              <w:rPr>
                <w:rFonts w:ascii="Book Antiqua" w:hAnsi="Book Antiqua"/>
                <w:lang w:eastAsia="zh-CN"/>
              </w:rPr>
              <w:t xml:space="preserve"> </w:t>
            </w:r>
            <w:r w:rsidRPr="009A3C92">
              <w:rPr>
                <w:rFonts w:ascii="Book Antiqua" w:hAnsi="Book Antiqua"/>
              </w:rPr>
              <w:t>LD:</w:t>
            </w:r>
            <w:r w:rsidR="008E3348" w:rsidRPr="009A3C92">
              <w:rPr>
                <w:rFonts w:ascii="Book Antiqua" w:hAnsi="Book Antiqua"/>
              </w:rPr>
              <w:t xml:space="preserve"> </w:t>
            </w:r>
            <w:r w:rsidRPr="009A3C92">
              <w:rPr>
                <w:rFonts w:ascii="Book Antiqua" w:hAnsi="Book Antiqua"/>
              </w:rPr>
              <w:t>28.4%</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HD:</w:t>
            </w:r>
            <w:r w:rsidR="008E3348" w:rsidRPr="009A3C92">
              <w:rPr>
                <w:rFonts w:ascii="Book Antiqua" w:hAnsi="Book Antiqua"/>
              </w:rPr>
              <w:t xml:space="preserve"> </w:t>
            </w:r>
            <w:r w:rsidRPr="009A3C92">
              <w:rPr>
                <w:rFonts w:ascii="Book Antiqua" w:hAnsi="Book Antiqua"/>
              </w:rPr>
              <w:t>33.3%</w:t>
            </w:r>
            <w:r w:rsidR="00432003" w:rsidRPr="009A3C92">
              <w:rPr>
                <w:rFonts w:ascii="Book Antiqua" w:hAnsi="Book Antiqua"/>
              </w:rPr>
              <w:t>;</w:t>
            </w:r>
            <w:r w:rsidR="008E3348" w:rsidRPr="009A3C92">
              <w:rPr>
                <w:rFonts w:ascii="Book Antiqua" w:hAnsi="Book Antiqua"/>
                <w:lang w:eastAsia="zh-CN"/>
              </w:rPr>
              <w:t xml:space="preserve"> </w:t>
            </w:r>
            <w:r w:rsidRPr="009A3C92">
              <w:rPr>
                <w:rFonts w:ascii="Book Antiqua" w:hAnsi="Book Antiqua"/>
              </w:rPr>
              <w:t>LD:</w:t>
            </w:r>
            <w:r w:rsidR="008E3348" w:rsidRPr="009A3C92">
              <w:rPr>
                <w:rFonts w:ascii="Book Antiqua" w:hAnsi="Book Antiqua"/>
              </w:rPr>
              <w:t xml:space="preserve"> </w:t>
            </w:r>
            <w:r w:rsidRPr="009A3C92">
              <w:rPr>
                <w:rFonts w:ascii="Book Antiqua" w:hAnsi="Book Antiqua"/>
              </w:rPr>
              <w:t>23.2%</w:t>
            </w:r>
          </w:p>
        </w:tc>
      </w:tr>
      <w:tr w:rsidR="00432003" w:rsidRPr="009A3C92" w14:paraId="0DE890F2" w14:textId="77777777" w:rsidTr="00432003">
        <w:tc>
          <w:tcPr>
            <w:tcW w:w="1101" w:type="dxa"/>
            <w:hideMark/>
          </w:tcPr>
          <w:p w14:paraId="49A88EFB" w14:textId="3AB9EE4D" w:rsidR="00432003" w:rsidRPr="009A3C92" w:rsidRDefault="00432003" w:rsidP="00FB7357">
            <w:pPr>
              <w:adjustRightInd w:val="0"/>
              <w:snapToGrid w:val="0"/>
              <w:spacing w:line="360" w:lineRule="auto"/>
              <w:rPr>
                <w:rFonts w:ascii="Book Antiqua" w:eastAsia="Malgun Gothic" w:hAnsi="Book Antiqua"/>
              </w:rPr>
            </w:pPr>
            <w:r w:rsidRPr="009A3C92">
              <w:rPr>
                <w:rFonts w:ascii="Book Antiqua" w:hAnsi="Book Antiqua"/>
              </w:rPr>
              <w:lastRenderedPageBreak/>
              <w:t>Assa</w:t>
            </w:r>
            <w:r w:rsidR="008E3348" w:rsidRPr="009A3C92">
              <w:rPr>
                <w:rFonts w:ascii="Book Antiqua" w:hAnsi="Book Antiqua"/>
              </w:rPr>
              <w:t xml:space="preserve"> </w:t>
            </w:r>
            <w:r w:rsidRPr="009A3C92">
              <w:rPr>
                <w:rFonts w:ascii="Book Antiqua" w:hAnsi="Book Antiqua"/>
                <w:i/>
                <w:iCs/>
              </w:rPr>
              <w:t>et</w:t>
            </w:r>
            <w:r w:rsidR="008E3348" w:rsidRPr="009A3C92">
              <w:rPr>
                <w:rFonts w:ascii="Book Antiqua" w:hAnsi="Book Antiqua"/>
                <w:i/>
                <w:iCs/>
              </w:rPr>
              <w:t xml:space="preserve"> </w:t>
            </w:r>
            <w:r w:rsidRPr="009A3C92">
              <w:rPr>
                <w:rFonts w:ascii="Book Antiqua" w:hAnsi="Book Antiqua"/>
                <w:i/>
                <w:iCs/>
              </w:rPr>
              <w:t>al</w:t>
            </w:r>
            <w:r w:rsidRPr="009A3C92">
              <w:rPr>
                <w:rFonts w:ascii="Book Antiqua" w:hAnsi="Book Antiqua"/>
                <w:noProof/>
                <w:vertAlign w:val="superscript"/>
              </w:rPr>
              <w:t>[19]</w:t>
            </w:r>
            <w:r w:rsidRPr="009A3C92">
              <w:rPr>
                <w:rFonts w:ascii="Book Antiqua" w:hAnsi="Book Antiqua"/>
                <w:noProof/>
              </w:rPr>
              <w:t>,</w:t>
            </w:r>
            <w:r w:rsidR="008E3348" w:rsidRPr="009A3C92">
              <w:rPr>
                <w:rFonts w:ascii="Book Antiqua" w:hAnsi="Book Antiqua"/>
                <w:noProof/>
              </w:rPr>
              <w:t xml:space="preserve"> </w:t>
            </w:r>
            <w:r w:rsidRPr="009A3C92">
              <w:rPr>
                <w:rFonts w:ascii="Book Antiqua" w:hAnsi="Book Antiqua"/>
              </w:rPr>
              <w:t>2019</w:t>
            </w:r>
          </w:p>
        </w:tc>
        <w:tc>
          <w:tcPr>
            <w:tcW w:w="1134" w:type="dxa"/>
          </w:tcPr>
          <w:p w14:paraId="14E40BA5" w14:textId="0D813E36" w:rsidR="00432003" w:rsidRPr="009A3C92" w:rsidRDefault="00432003" w:rsidP="00FB7357">
            <w:pPr>
              <w:adjustRightInd w:val="0"/>
              <w:snapToGrid w:val="0"/>
              <w:spacing w:line="360" w:lineRule="auto"/>
              <w:rPr>
                <w:rFonts w:ascii="Book Antiqua" w:hAnsi="Book Antiqua"/>
              </w:rPr>
            </w:pPr>
            <w:r w:rsidRPr="009A3C92">
              <w:rPr>
                <w:rFonts w:ascii="Book Antiqua" w:hAnsi="Book Antiqua"/>
              </w:rPr>
              <w:t>PAILOT</w:t>
            </w:r>
          </w:p>
        </w:tc>
        <w:tc>
          <w:tcPr>
            <w:tcW w:w="850" w:type="dxa"/>
          </w:tcPr>
          <w:p w14:paraId="62820C6C" w14:textId="4F8DFB07" w:rsidR="00432003" w:rsidRPr="009A3C92" w:rsidRDefault="00432003" w:rsidP="00FB7357">
            <w:pPr>
              <w:adjustRightInd w:val="0"/>
              <w:snapToGrid w:val="0"/>
              <w:spacing w:line="360" w:lineRule="auto"/>
              <w:rPr>
                <w:rFonts w:ascii="Book Antiqua" w:hAnsi="Book Antiqua"/>
              </w:rPr>
            </w:pPr>
            <w:r w:rsidRPr="009A3C92">
              <w:rPr>
                <w:rFonts w:ascii="Book Antiqua" w:hAnsi="Book Antiqua"/>
              </w:rPr>
              <w:t>ADL</w:t>
            </w:r>
          </w:p>
        </w:tc>
        <w:tc>
          <w:tcPr>
            <w:tcW w:w="992" w:type="dxa"/>
          </w:tcPr>
          <w:p w14:paraId="322371E3" w14:textId="02C8251F" w:rsidR="00432003" w:rsidRPr="009A3C92" w:rsidRDefault="00432003" w:rsidP="00FB7357">
            <w:pPr>
              <w:adjustRightInd w:val="0"/>
              <w:snapToGrid w:val="0"/>
              <w:spacing w:line="360" w:lineRule="auto"/>
              <w:rPr>
                <w:rFonts w:ascii="Book Antiqua" w:hAnsi="Book Antiqua"/>
              </w:rPr>
            </w:pPr>
            <w:r w:rsidRPr="009A3C92">
              <w:rPr>
                <w:rFonts w:ascii="Book Antiqua" w:hAnsi="Book Antiqua"/>
              </w:rPr>
              <w:t>Biologic-naïve</w:t>
            </w:r>
            <w:r w:rsidR="008E3348" w:rsidRPr="009A3C92">
              <w:rPr>
                <w:rFonts w:ascii="Book Antiqua" w:hAnsi="Book Antiqua"/>
              </w:rPr>
              <w:t xml:space="preserve"> </w:t>
            </w:r>
            <w:r w:rsidRPr="009A3C92">
              <w:rPr>
                <w:rFonts w:ascii="Book Antiqua" w:hAnsi="Book Antiqua"/>
              </w:rPr>
              <w:t>CD</w:t>
            </w:r>
          </w:p>
        </w:tc>
        <w:tc>
          <w:tcPr>
            <w:tcW w:w="1843" w:type="dxa"/>
            <w:hideMark/>
          </w:tcPr>
          <w:p w14:paraId="4673AB18" w14:textId="67A020CD" w:rsidR="00432003" w:rsidRPr="009A3C92" w:rsidRDefault="00432003" w:rsidP="00FB7357">
            <w:pPr>
              <w:adjustRightInd w:val="0"/>
              <w:snapToGrid w:val="0"/>
              <w:spacing w:line="360" w:lineRule="auto"/>
              <w:rPr>
                <w:rFonts w:ascii="Book Antiqua" w:hAnsi="Book Antiqua"/>
              </w:rPr>
            </w:pPr>
            <w:r w:rsidRPr="009A3C92">
              <w:rPr>
                <w:rFonts w:ascii="Book Antiqua" w:hAnsi="Book Antiqua"/>
              </w:rPr>
              <w:t>Comparison</w:t>
            </w:r>
            <w:r w:rsidR="008E3348" w:rsidRPr="009A3C92">
              <w:rPr>
                <w:rFonts w:ascii="Book Antiqua" w:hAnsi="Book Antiqua"/>
              </w:rPr>
              <w:t xml:space="preserve"> </w:t>
            </w:r>
            <w:r w:rsidRPr="009A3C92">
              <w:rPr>
                <w:rFonts w:ascii="Book Antiqua" w:hAnsi="Book Antiqua"/>
              </w:rPr>
              <w:t>of</w:t>
            </w:r>
            <w:r w:rsidR="008E3348" w:rsidRPr="009A3C92">
              <w:rPr>
                <w:rFonts w:ascii="Book Antiqua" w:hAnsi="Book Antiqua"/>
              </w:rPr>
              <w:t xml:space="preserve"> </w:t>
            </w:r>
            <w:r w:rsidRPr="009A3C92">
              <w:rPr>
                <w:rFonts w:ascii="Book Antiqua" w:hAnsi="Book Antiqua"/>
              </w:rPr>
              <w:t>proactive</w:t>
            </w:r>
            <w:r w:rsidR="008E3348" w:rsidRPr="009A3C92">
              <w:rPr>
                <w:rFonts w:ascii="Book Antiqua" w:hAnsi="Book Antiqua"/>
              </w:rPr>
              <w:t xml:space="preserve"> </w:t>
            </w:r>
            <w:r w:rsidRPr="009A3C92">
              <w:rPr>
                <w:rFonts w:ascii="Book Antiqua" w:hAnsi="Book Antiqua"/>
              </w:rPr>
              <w:t>TDM</w:t>
            </w:r>
            <w:r w:rsidR="008E3348" w:rsidRPr="009A3C92">
              <w:rPr>
                <w:rFonts w:ascii="Book Antiqua" w:hAnsi="Book Antiqua"/>
              </w:rPr>
              <w:t xml:space="preserve"> </w:t>
            </w:r>
            <w:r w:rsidRPr="009A3C92">
              <w:rPr>
                <w:rFonts w:ascii="Book Antiqua" w:hAnsi="Book Antiqua"/>
                <w:i/>
                <w:iCs/>
              </w:rPr>
              <w:t>vs</w:t>
            </w:r>
            <w:r w:rsidR="008E3348" w:rsidRPr="009A3C92">
              <w:rPr>
                <w:rFonts w:ascii="Book Antiqua" w:hAnsi="Book Antiqua"/>
              </w:rPr>
              <w:t xml:space="preserve"> </w:t>
            </w:r>
            <w:r w:rsidRPr="009A3C92">
              <w:rPr>
                <w:rFonts w:ascii="Book Antiqua" w:hAnsi="Book Antiqua"/>
              </w:rPr>
              <w:t>reactive</w:t>
            </w:r>
            <w:r w:rsidR="008E3348" w:rsidRPr="009A3C92">
              <w:rPr>
                <w:rFonts w:ascii="Book Antiqua" w:hAnsi="Book Antiqua"/>
              </w:rPr>
              <w:t xml:space="preserve"> </w:t>
            </w:r>
            <w:r w:rsidRPr="009A3C92">
              <w:rPr>
                <w:rFonts w:ascii="Book Antiqua" w:hAnsi="Book Antiqua"/>
              </w:rPr>
              <w:t>TDM.</w:t>
            </w:r>
            <w:r w:rsidR="008E3348" w:rsidRPr="009A3C92">
              <w:rPr>
                <w:rFonts w:ascii="Book Antiqua" w:hAnsi="Book Antiqua" w:hint="eastAsia"/>
                <w:lang w:eastAsia="zh-CN"/>
              </w:rPr>
              <w:t xml:space="preserve"> </w:t>
            </w:r>
            <w:r w:rsidRPr="009A3C92">
              <w:rPr>
                <w:rFonts w:ascii="Book Antiqua" w:hAnsi="Book Antiqua"/>
              </w:rPr>
              <w:t>Primary</w:t>
            </w:r>
            <w:r w:rsidR="008E3348" w:rsidRPr="009A3C92">
              <w:rPr>
                <w:rFonts w:ascii="Book Antiqua" w:hAnsi="Book Antiqua"/>
              </w:rPr>
              <w:t xml:space="preserve"> </w:t>
            </w:r>
            <w:r w:rsidRPr="009A3C92">
              <w:rPr>
                <w:rFonts w:ascii="Book Antiqua" w:hAnsi="Book Antiqua"/>
              </w:rPr>
              <w:t>responders</w:t>
            </w:r>
            <w:r w:rsidR="008E3348" w:rsidRPr="009A3C92">
              <w:rPr>
                <w:rFonts w:ascii="Book Antiqua" w:hAnsi="Book Antiqua"/>
              </w:rPr>
              <w:t xml:space="preserve"> </w:t>
            </w:r>
            <w:r w:rsidRPr="009A3C92">
              <w:rPr>
                <w:rFonts w:ascii="Book Antiqua" w:hAnsi="Book Antiqua"/>
              </w:rPr>
              <w:t>were</w:t>
            </w:r>
            <w:r w:rsidR="008E3348" w:rsidRPr="009A3C92">
              <w:rPr>
                <w:rFonts w:ascii="Book Antiqua" w:hAnsi="Book Antiqua"/>
              </w:rPr>
              <w:t xml:space="preserve"> </w:t>
            </w:r>
            <w:r w:rsidRPr="009A3C92">
              <w:rPr>
                <w:rFonts w:ascii="Book Antiqua" w:hAnsi="Book Antiqua"/>
              </w:rPr>
              <w:t>randomised</w:t>
            </w:r>
            <w:r w:rsidR="008E3348" w:rsidRPr="009A3C92">
              <w:rPr>
                <w:rFonts w:ascii="Book Antiqua" w:hAnsi="Book Antiqua"/>
              </w:rPr>
              <w:t xml:space="preserve"> </w:t>
            </w:r>
            <w:r w:rsidRPr="009A3C92">
              <w:rPr>
                <w:rFonts w:ascii="Book Antiqua" w:hAnsi="Book Antiqua"/>
              </w:rPr>
              <w:t>at</w:t>
            </w:r>
            <w:r w:rsidR="008E3348" w:rsidRPr="009A3C92">
              <w:rPr>
                <w:rFonts w:ascii="Book Antiqua" w:hAnsi="Book Antiqua"/>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4.</w:t>
            </w:r>
          </w:p>
        </w:tc>
        <w:tc>
          <w:tcPr>
            <w:tcW w:w="1276" w:type="dxa"/>
          </w:tcPr>
          <w:p w14:paraId="2E34544F" w14:textId="4F493931" w:rsidR="00432003" w:rsidRPr="009A3C92" w:rsidRDefault="00432003" w:rsidP="00FB7357">
            <w:pPr>
              <w:adjustRightInd w:val="0"/>
              <w:snapToGrid w:val="0"/>
              <w:spacing w:line="360" w:lineRule="auto"/>
              <w:rPr>
                <w:rFonts w:ascii="Book Antiqua" w:eastAsia="Malgun Gothic" w:hAnsi="Book Antiqua"/>
              </w:rPr>
            </w:pPr>
            <w:r w:rsidRPr="009A3C92">
              <w:rPr>
                <w:rFonts w:ascii="Book Antiqua" w:hAnsi="Book Antiqua"/>
              </w:rPr>
              <w:t>Remission:</w:t>
            </w:r>
            <w:r w:rsidR="008E3348" w:rsidRPr="009A3C92">
              <w:rPr>
                <w:rFonts w:ascii="Book Antiqua" w:hAnsi="Book Antiqua"/>
              </w:rPr>
              <w:t xml:space="preserve"> </w:t>
            </w:r>
            <w:r w:rsidRPr="009A3C92">
              <w:rPr>
                <w:rFonts w:ascii="Book Antiqua" w:hAnsi="Book Antiqua"/>
              </w:rPr>
              <w:t>PCDAI</w:t>
            </w:r>
            <w:r w:rsidR="008E3348" w:rsidRPr="009A3C92">
              <w:rPr>
                <w:rFonts w:ascii="Book Antiqua" w:hAnsi="Book Antiqua"/>
              </w:rPr>
              <w:t xml:space="preserve"> </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10</w:t>
            </w:r>
          </w:p>
        </w:tc>
        <w:tc>
          <w:tcPr>
            <w:tcW w:w="1417" w:type="dxa"/>
          </w:tcPr>
          <w:p w14:paraId="1B00D6D1" w14:textId="00D793FD" w:rsidR="00432003" w:rsidRPr="009A3C92" w:rsidRDefault="00432003" w:rsidP="00FB7357">
            <w:pPr>
              <w:adjustRightInd w:val="0"/>
              <w:snapToGrid w:val="0"/>
              <w:spacing w:line="360" w:lineRule="auto"/>
              <w:rPr>
                <w:rFonts w:ascii="Book Antiqua" w:hAnsi="Book Antiqua"/>
              </w:rPr>
            </w:pPr>
            <w:r w:rsidRPr="009A3C92">
              <w:rPr>
                <w:rFonts w:ascii="Book Antiqua" w:hAnsi="Book Antiqua"/>
              </w:rPr>
              <w:t>Total:</w:t>
            </w:r>
            <w:r w:rsidR="008E3348" w:rsidRPr="009A3C92">
              <w:rPr>
                <w:rFonts w:ascii="Book Antiqua" w:hAnsi="Book Antiqua"/>
              </w:rPr>
              <w:t xml:space="preserve"> </w:t>
            </w:r>
            <w:r w:rsidRPr="009A3C92">
              <w:rPr>
                <w:rFonts w:ascii="Book Antiqua" w:hAnsi="Book Antiqua"/>
              </w:rPr>
              <w:t>78</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Proactive:</w:t>
            </w:r>
            <w:r w:rsidR="008E3348" w:rsidRPr="009A3C92">
              <w:rPr>
                <w:rFonts w:ascii="Book Antiqua" w:hAnsi="Book Antiqua"/>
              </w:rPr>
              <w:t xml:space="preserve"> </w:t>
            </w:r>
            <w:r w:rsidRPr="009A3C92">
              <w:rPr>
                <w:rFonts w:ascii="Book Antiqua" w:hAnsi="Book Antiqua"/>
              </w:rPr>
              <w:t>38</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Reactive:</w:t>
            </w:r>
            <w:r w:rsidR="008E3348" w:rsidRPr="009A3C92">
              <w:rPr>
                <w:rFonts w:ascii="Book Antiqua" w:hAnsi="Book Antiqua"/>
              </w:rPr>
              <w:t xml:space="preserve"> </w:t>
            </w:r>
            <w:r w:rsidRPr="009A3C92">
              <w:rPr>
                <w:rFonts w:ascii="Book Antiqua" w:hAnsi="Book Antiqua"/>
              </w:rPr>
              <w:t>40</w:t>
            </w:r>
          </w:p>
        </w:tc>
        <w:tc>
          <w:tcPr>
            <w:tcW w:w="993" w:type="dxa"/>
          </w:tcPr>
          <w:p w14:paraId="024C8C41" w14:textId="62121FBD" w:rsidR="00432003" w:rsidRPr="009A3C92" w:rsidRDefault="00432003" w:rsidP="00FB7357">
            <w:pPr>
              <w:adjustRightInd w:val="0"/>
              <w:snapToGrid w:val="0"/>
              <w:spacing w:line="360" w:lineRule="auto"/>
              <w:rPr>
                <w:rFonts w:ascii="Book Antiqua" w:eastAsiaTheme="minorHAnsi" w:hAnsi="Book Antiqua"/>
              </w:rPr>
            </w:pPr>
            <w:r w:rsidRPr="009A3C92">
              <w:rPr>
                <w:rFonts w:ascii="Book Antiqua" w:hAnsi="Book Antiqua"/>
              </w:rPr>
              <w:t>Proactive:</w:t>
            </w:r>
            <w:r w:rsidR="008E3348" w:rsidRPr="009A3C92">
              <w:rPr>
                <w:rFonts w:ascii="Book Antiqua" w:hAnsi="Book Antiqua"/>
              </w:rPr>
              <w:t xml:space="preserve"> </w:t>
            </w:r>
            <w:r w:rsidRPr="009A3C92">
              <w:rPr>
                <w:rFonts w:ascii="Book Antiqua" w:hAnsi="Book Antiqua"/>
              </w:rPr>
              <w:t>12.9</w:t>
            </w:r>
            <w:r w:rsidR="008E3348" w:rsidRPr="009A3C92">
              <w:rPr>
                <w:rFonts w:ascii="Book Antiqua" w:hAnsi="Book Antiqua"/>
              </w:rPr>
              <w:t xml:space="preserve"> </w:t>
            </w:r>
            <w:r w:rsidRPr="009A3C92">
              <w:rPr>
                <w:rFonts w:ascii="Book Antiqua" w:eastAsiaTheme="minorHAnsi" w:hAnsi="Book Antiqua"/>
              </w:rPr>
              <w:t>±</w:t>
            </w:r>
            <w:r w:rsidR="008E3348" w:rsidRPr="009A3C92">
              <w:rPr>
                <w:rFonts w:ascii="Book Antiqua" w:eastAsiaTheme="minorHAnsi" w:hAnsi="Book Antiqua"/>
              </w:rPr>
              <w:t xml:space="preserve"> </w:t>
            </w:r>
            <w:r w:rsidRPr="009A3C92">
              <w:rPr>
                <w:rFonts w:ascii="Book Antiqua" w:eastAsiaTheme="minorHAnsi" w:hAnsi="Book Antiqua"/>
              </w:rPr>
              <w:t>2.6</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eastAsiaTheme="minorHAnsi" w:hAnsi="Book Antiqua"/>
              </w:rPr>
              <w:t>Reactive:</w:t>
            </w:r>
            <w:r w:rsidR="008E3348" w:rsidRPr="009A3C92">
              <w:rPr>
                <w:rFonts w:ascii="Book Antiqua" w:eastAsiaTheme="minorHAnsi" w:hAnsi="Book Antiqua"/>
              </w:rPr>
              <w:t xml:space="preserve"> </w:t>
            </w:r>
            <w:r w:rsidRPr="009A3C92">
              <w:rPr>
                <w:rFonts w:ascii="Book Antiqua" w:eastAsiaTheme="minorHAnsi" w:hAnsi="Book Antiqua"/>
              </w:rPr>
              <w:t>13.5</w:t>
            </w:r>
            <w:r w:rsidR="008E3348" w:rsidRPr="009A3C92">
              <w:rPr>
                <w:rFonts w:ascii="Book Antiqua" w:eastAsiaTheme="minorHAnsi" w:hAnsi="Book Antiqua"/>
              </w:rPr>
              <w:t xml:space="preserve"> </w:t>
            </w:r>
            <w:r w:rsidRPr="009A3C92">
              <w:rPr>
                <w:rFonts w:ascii="Book Antiqua" w:eastAsiaTheme="minorHAnsi" w:hAnsi="Book Antiqua"/>
              </w:rPr>
              <w:t>±</w:t>
            </w:r>
            <w:r w:rsidR="008E3348" w:rsidRPr="009A3C92">
              <w:rPr>
                <w:rFonts w:ascii="Book Antiqua" w:eastAsiaTheme="minorHAnsi" w:hAnsi="Book Antiqua"/>
              </w:rPr>
              <w:t xml:space="preserve"> </w:t>
            </w:r>
            <w:r w:rsidRPr="009A3C92">
              <w:rPr>
                <w:rFonts w:ascii="Book Antiqua" w:eastAsiaTheme="minorHAnsi" w:hAnsi="Book Antiqua"/>
              </w:rPr>
              <w:t>2.7</w:t>
            </w:r>
          </w:p>
        </w:tc>
        <w:tc>
          <w:tcPr>
            <w:tcW w:w="992" w:type="dxa"/>
          </w:tcPr>
          <w:p w14:paraId="4DAD3CAE" w14:textId="36636F11" w:rsidR="00432003" w:rsidRPr="009A3C92" w:rsidRDefault="00432003" w:rsidP="00FB7357">
            <w:pPr>
              <w:adjustRightInd w:val="0"/>
              <w:snapToGrid w:val="0"/>
              <w:spacing w:line="360" w:lineRule="auto"/>
              <w:rPr>
                <w:rFonts w:ascii="Book Antiqua" w:hAnsi="Book Antiqua"/>
              </w:rPr>
            </w:pP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4</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Week</w:t>
            </w:r>
            <w:r w:rsidR="008E3348" w:rsidRPr="009A3C92">
              <w:rPr>
                <w:rFonts w:ascii="Book Antiqua" w:hAnsi="Book Antiqua"/>
              </w:rPr>
              <w:t xml:space="preserve"> </w:t>
            </w:r>
            <w:r w:rsidRPr="009A3C92">
              <w:rPr>
                <w:rFonts w:ascii="Book Antiqua" w:hAnsi="Book Antiqua"/>
              </w:rPr>
              <w:t>72</w:t>
            </w:r>
          </w:p>
        </w:tc>
        <w:tc>
          <w:tcPr>
            <w:tcW w:w="1417" w:type="dxa"/>
          </w:tcPr>
          <w:p w14:paraId="09FDB95B" w14:textId="62A4D8CE" w:rsidR="00432003" w:rsidRPr="009A3C92" w:rsidRDefault="00432003" w:rsidP="00FB7357">
            <w:pPr>
              <w:adjustRightInd w:val="0"/>
              <w:snapToGrid w:val="0"/>
              <w:spacing w:line="360" w:lineRule="auto"/>
              <w:rPr>
                <w:rFonts w:ascii="Book Antiqua" w:eastAsia="Malgun Gothic" w:hAnsi="Book Antiqua"/>
              </w:rPr>
            </w:pPr>
            <w:r w:rsidRPr="009A3C92">
              <w:rPr>
                <w:rFonts w:ascii="Book Antiqua" w:hAnsi="Book Antiqua"/>
              </w:rPr>
              <w:t>NA</w:t>
            </w:r>
          </w:p>
        </w:tc>
        <w:tc>
          <w:tcPr>
            <w:tcW w:w="1276" w:type="dxa"/>
            <w:hideMark/>
          </w:tcPr>
          <w:p w14:paraId="65BC8FE1" w14:textId="2C0F8ACF" w:rsidR="00432003" w:rsidRPr="009A3C92" w:rsidRDefault="00432003" w:rsidP="00FB7357">
            <w:pPr>
              <w:adjustRightInd w:val="0"/>
              <w:snapToGrid w:val="0"/>
              <w:spacing w:line="360" w:lineRule="auto"/>
              <w:rPr>
                <w:rFonts w:ascii="Book Antiqua" w:hAnsi="Book Antiqua"/>
              </w:rPr>
            </w:pPr>
            <w:r w:rsidRPr="009A3C92">
              <w:rPr>
                <w:rFonts w:ascii="Book Antiqua" w:hAnsi="Book Antiqua"/>
              </w:rPr>
              <w:t>NA</w:t>
            </w:r>
            <w:r w:rsidRPr="009A3C92">
              <w:rPr>
                <w:rFonts w:ascii="Book Antiqua" w:hAnsi="Book Antiqua" w:hint="eastAsia"/>
                <w:lang w:eastAsia="zh-CN"/>
              </w:rPr>
              <w:t>.</w:t>
            </w:r>
            <w:r w:rsidR="008E3348" w:rsidRPr="009A3C92">
              <w:rPr>
                <w:rFonts w:ascii="Book Antiqua" w:hAnsi="Book Antiqua"/>
                <w:lang w:eastAsia="zh-CN"/>
              </w:rPr>
              <w:t xml:space="preserve"> </w:t>
            </w:r>
            <w:r w:rsidRPr="009A3C92">
              <w:rPr>
                <w:rFonts w:ascii="Book Antiqua" w:hAnsi="Book Antiqua"/>
              </w:rPr>
              <w:t>Proactive</w:t>
            </w:r>
            <w:r w:rsidR="008E3348" w:rsidRPr="009A3C92">
              <w:rPr>
                <w:rFonts w:ascii="Book Antiqua" w:hAnsi="Book Antiqua"/>
              </w:rPr>
              <w:t xml:space="preserve"> </w:t>
            </w:r>
            <w:r w:rsidRPr="009A3C92">
              <w:rPr>
                <w:rFonts w:ascii="Book Antiqua" w:hAnsi="Book Antiqua"/>
              </w:rPr>
              <w:t>TDM:</w:t>
            </w:r>
            <w:r w:rsidR="008E3348" w:rsidRPr="009A3C92">
              <w:rPr>
                <w:rFonts w:ascii="Book Antiqua" w:hAnsi="Book Antiqua"/>
              </w:rPr>
              <w:t xml:space="preserve"> </w:t>
            </w:r>
            <w:r w:rsidRPr="009A3C92">
              <w:rPr>
                <w:rFonts w:ascii="Book Antiqua" w:hAnsi="Book Antiqua"/>
              </w:rPr>
              <w:t>82%;</w:t>
            </w:r>
            <w:r w:rsidR="008E3348" w:rsidRPr="009A3C92">
              <w:rPr>
                <w:rFonts w:ascii="Book Antiqua" w:hAnsi="Book Antiqua"/>
              </w:rPr>
              <w:t xml:space="preserve"> </w:t>
            </w:r>
            <w:r w:rsidRPr="009A3C92">
              <w:rPr>
                <w:rFonts w:ascii="Book Antiqua" w:hAnsi="Book Antiqua"/>
              </w:rPr>
              <w:t>Reactive</w:t>
            </w:r>
            <w:r w:rsidR="008E3348" w:rsidRPr="009A3C92">
              <w:rPr>
                <w:rFonts w:ascii="Book Antiqua" w:hAnsi="Book Antiqua"/>
              </w:rPr>
              <w:t xml:space="preserve"> </w:t>
            </w:r>
            <w:r w:rsidRPr="009A3C92">
              <w:rPr>
                <w:rFonts w:ascii="Book Antiqua" w:hAnsi="Book Antiqua"/>
              </w:rPr>
              <w:t>TDM:</w:t>
            </w:r>
            <w:r w:rsidR="008E3348" w:rsidRPr="009A3C92">
              <w:rPr>
                <w:rFonts w:ascii="Book Antiqua" w:hAnsi="Book Antiqua"/>
              </w:rPr>
              <w:t xml:space="preserve"> </w:t>
            </w:r>
            <w:r w:rsidRPr="009A3C92">
              <w:rPr>
                <w:rFonts w:ascii="Book Antiqua" w:hAnsi="Book Antiqua"/>
              </w:rPr>
              <w:t>48%</w:t>
            </w:r>
          </w:p>
        </w:tc>
      </w:tr>
    </w:tbl>
    <w:p w14:paraId="2812D33A" w14:textId="77777777" w:rsidR="009A3C92" w:rsidRPr="009A3C92" w:rsidRDefault="006E257E" w:rsidP="005D6492">
      <w:pPr>
        <w:adjustRightInd w:val="0"/>
        <w:snapToGrid w:val="0"/>
        <w:spacing w:line="360" w:lineRule="auto"/>
        <w:jc w:val="both"/>
        <w:rPr>
          <w:rFonts w:ascii="Book Antiqua" w:hAnsi="Book Antiqua"/>
        </w:rPr>
        <w:sectPr w:rsidR="009A3C92" w:rsidRPr="009A3C92" w:rsidSect="008B5C16">
          <w:pgSz w:w="15840" w:h="12240" w:orient="landscape"/>
          <w:pgMar w:top="1440" w:right="1440" w:bottom="1440" w:left="1440" w:header="720" w:footer="720" w:gutter="0"/>
          <w:cols w:space="720"/>
          <w:docGrid w:linePitch="360"/>
        </w:sectPr>
      </w:pPr>
      <w:r w:rsidRPr="009A3C92">
        <w:rPr>
          <w:rFonts w:ascii="Book Antiqua" w:hAnsi="Book Antiqua"/>
        </w:rPr>
        <w:t>CD:</w:t>
      </w:r>
      <w:r w:rsidR="008E3348" w:rsidRPr="009A3C92">
        <w:rPr>
          <w:rFonts w:ascii="Book Antiqua" w:hAnsi="Book Antiqua"/>
        </w:rPr>
        <w:t xml:space="preserve"> </w:t>
      </w:r>
      <w:r w:rsidRPr="009A3C92">
        <w:rPr>
          <w:rFonts w:ascii="Book Antiqua" w:hAnsi="Book Antiqua"/>
        </w:rPr>
        <w:t>Crohn’s</w:t>
      </w:r>
      <w:r w:rsidR="008E3348" w:rsidRPr="009A3C92">
        <w:rPr>
          <w:rFonts w:ascii="Book Antiqua" w:hAnsi="Book Antiqua"/>
        </w:rPr>
        <w:t xml:space="preserve"> </w:t>
      </w:r>
      <w:r w:rsidRPr="009A3C92">
        <w:rPr>
          <w:rFonts w:ascii="Book Antiqua" w:hAnsi="Book Antiqua"/>
        </w:rPr>
        <w:t>disease;</w:t>
      </w:r>
      <w:r w:rsidR="008E3348" w:rsidRPr="009A3C92">
        <w:rPr>
          <w:rFonts w:ascii="Book Antiqua" w:hAnsi="Book Antiqua"/>
        </w:rPr>
        <w:t xml:space="preserve"> </w:t>
      </w:r>
      <w:r w:rsidRPr="009A3C92">
        <w:rPr>
          <w:rFonts w:ascii="Book Antiqua" w:hAnsi="Book Antiqua"/>
        </w:rPr>
        <w:t>RCT:</w:t>
      </w:r>
      <w:r w:rsidR="008E3348" w:rsidRPr="009A3C92">
        <w:rPr>
          <w:rFonts w:ascii="Book Antiqua" w:hAnsi="Book Antiqua"/>
        </w:rPr>
        <w:t xml:space="preserve"> </w:t>
      </w:r>
      <w:r w:rsidR="005D6492" w:rsidRPr="009A3C92">
        <w:rPr>
          <w:rFonts w:ascii="Book Antiqua" w:hAnsi="Book Antiqua"/>
        </w:rPr>
        <w:t>Randomised</w:t>
      </w:r>
      <w:r w:rsidR="008E3348" w:rsidRPr="009A3C92">
        <w:rPr>
          <w:rFonts w:ascii="Book Antiqua" w:hAnsi="Book Antiqua"/>
        </w:rPr>
        <w:t xml:space="preserve"> </w:t>
      </w:r>
      <w:r w:rsidRPr="009A3C92">
        <w:rPr>
          <w:rFonts w:ascii="Book Antiqua" w:hAnsi="Book Antiqua"/>
        </w:rPr>
        <w:t>controlled</w:t>
      </w:r>
      <w:r w:rsidR="008E3348" w:rsidRPr="009A3C92">
        <w:rPr>
          <w:rFonts w:ascii="Book Antiqua" w:hAnsi="Book Antiqua"/>
        </w:rPr>
        <w:t xml:space="preserve"> </w:t>
      </w:r>
      <w:r w:rsidRPr="009A3C92">
        <w:rPr>
          <w:rFonts w:ascii="Book Antiqua" w:hAnsi="Book Antiqua"/>
        </w:rPr>
        <w:t>trial;</w:t>
      </w:r>
      <w:r w:rsidR="008E3348" w:rsidRPr="009A3C92">
        <w:rPr>
          <w:rFonts w:ascii="Book Antiqua" w:hAnsi="Book Antiqua"/>
        </w:rPr>
        <w:t xml:space="preserve"> </w:t>
      </w:r>
      <w:r w:rsidRPr="009A3C92">
        <w:rPr>
          <w:rFonts w:ascii="Book Antiqua" w:hAnsi="Book Antiqua"/>
        </w:rPr>
        <w:t>IFX:</w:t>
      </w:r>
      <w:r w:rsidR="008E3348" w:rsidRPr="009A3C92">
        <w:rPr>
          <w:rFonts w:ascii="Book Antiqua" w:hAnsi="Book Antiqua"/>
        </w:rPr>
        <w:t xml:space="preserve"> </w:t>
      </w:r>
      <w:r w:rsidR="005D6492" w:rsidRPr="009A3C92">
        <w:rPr>
          <w:rFonts w:ascii="Book Antiqua" w:hAnsi="Book Antiqua"/>
        </w:rPr>
        <w:t>Infliximab</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PCDAI:</w:t>
      </w:r>
      <w:r w:rsidR="008E3348" w:rsidRPr="009A3C92">
        <w:rPr>
          <w:rFonts w:ascii="Book Antiqua" w:hAnsi="Book Antiqua"/>
        </w:rPr>
        <w:t xml:space="preserve"> </w:t>
      </w:r>
      <w:r w:rsidRPr="009A3C92">
        <w:rPr>
          <w:rFonts w:ascii="Book Antiqua" w:hAnsi="Book Antiqua"/>
        </w:rPr>
        <w:t>Pediatric</w:t>
      </w:r>
      <w:r w:rsidR="008E3348" w:rsidRPr="009A3C92">
        <w:rPr>
          <w:rFonts w:ascii="Book Antiqua" w:hAnsi="Book Antiqua"/>
        </w:rPr>
        <w:t xml:space="preserve"> </w:t>
      </w:r>
      <w:r w:rsidRPr="009A3C92">
        <w:rPr>
          <w:rFonts w:ascii="Book Antiqua" w:hAnsi="Book Antiqua"/>
        </w:rPr>
        <w:t>Crohn’s</w:t>
      </w:r>
      <w:r w:rsidR="008E3348" w:rsidRPr="009A3C92">
        <w:rPr>
          <w:rFonts w:ascii="Book Antiqua" w:hAnsi="Book Antiqua"/>
        </w:rPr>
        <w:t xml:space="preserve"> </w:t>
      </w:r>
      <w:r w:rsidR="005D6492" w:rsidRPr="009A3C92">
        <w:rPr>
          <w:rFonts w:ascii="Book Antiqua" w:hAnsi="Book Antiqua"/>
        </w:rPr>
        <w:t>disease</w:t>
      </w:r>
      <w:r w:rsidR="008E3348" w:rsidRPr="009A3C92">
        <w:rPr>
          <w:rFonts w:ascii="Book Antiqua" w:hAnsi="Book Antiqua"/>
        </w:rPr>
        <w:t xml:space="preserve"> </w:t>
      </w:r>
      <w:r w:rsidR="005D6492" w:rsidRPr="009A3C92">
        <w:rPr>
          <w:rFonts w:ascii="Book Antiqua" w:hAnsi="Book Antiqua"/>
        </w:rPr>
        <w:t>activity</w:t>
      </w:r>
      <w:r w:rsidR="008E3348" w:rsidRPr="009A3C92">
        <w:rPr>
          <w:rFonts w:ascii="Book Antiqua" w:hAnsi="Book Antiqua"/>
        </w:rPr>
        <w:t xml:space="preserve"> </w:t>
      </w:r>
      <w:r w:rsidR="005D6492" w:rsidRPr="009A3C92">
        <w:rPr>
          <w:rFonts w:ascii="Book Antiqua" w:hAnsi="Book Antiqua"/>
        </w:rPr>
        <w:t>i</w:t>
      </w:r>
      <w:r w:rsidRPr="009A3C92">
        <w:rPr>
          <w:rFonts w:ascii="Book Antiqua" w:hAnsi="Book Antiqua"/>
        </w:rPr>
        <w:t>ndex;</w:t>
      </w:r>
      <w:r w:rsidR="008E3348" w:rsidRPr="009A3C92">
        <w:rPr>
          <w:rFonts w:ascii="Book Antiqua" w:hAnsi="Book Antiqua"/>
        </w:rPr>
        <w:t xml:space="preserve"> </w:t>
      </w:r>
      <w:r w:rsidRPr="009A3C92">
        <w:rPr>
          <w:rFonts w:ascii="Book Antiqua" w:hAnsi="Book Antiqua"/>
        </w:rPr>
        <w:t>NA:</w:t>
      </w:r>
      <w:r w:rsidR="008E3348" w:rsidRPr="009A3C92">
        <w:rPr>
          <w:rFonts w:ascii="Book Antiqua" w:hAnsi="Book Antiqua"/>
        </w:rPr>
        <w:t xml:space="preserve"> </w:t>
      </w:r>
      <w:r w:rsidR="005D6492" w:rsidRPr="009A3C92">
        <w:rPr>
          <w:rFonts w:ascii="Book Antiqua" w:hAnsi="Book Antiqua"/>
        </w:rPr>
        <w:t>N</w:t>
      </w:r>
      <w:r w:rsidRPr="009A3C92">
        <w:rPr>
          <w:rFonts w:ascii="Book Antiqua" w:hAnsi="Book Antiqua"/>
        </w:rPr>
        <w:t>ot</w:t>
      </w:r>
      <w:r w:rsidR="008E3348" w:rsidRPr="009A3C92">
        <w:rPr>
          <w:rFonts w:ascii="Book Antiqua" w:hAnsi="Book Antiqua"/>
        </w:rPr>
        <w:t xml:space="preserve"> </w:t>
      </w:r>
      <w:r w:rsidRPr="009A3C92">
        <w:rPr>
          <w:rFonts w:ascii="Book Antiqua" w:hAnsi="Book Antiqua"/>
        </w:rPr>
        <w:t>applicable;</w:t>
      </w:r>
      <w:r w:rsidR="008E3348" w:rsidRPr="009A3C92">
        <w:rPr>
          <w:rFonts w:ascii="Book Antiqua" w:hAnsi="Book Antiqua"/>
        </w:rPr>
        <w:t xml:space="preserve"> </w:t>
      </w:r>
      <w:r w:rsidRPr="009A3C92">
        <w:rPr>
          <w:rFonts w:ascii="Book Antiqua" w:hAnsi="Book Antiqua"/>
        </w:rPr>
        <w:t>ADL:</w:t>
      </w:r>
      <w:r w:rsidR="008E3348" w:rsidRPr="009A3C92">
        <w:rPr>
          <w:rFonts w:ascii="Book Antiqua" w:hAnsi="Book Antiqua"/>
        </w:rPr>
        <w:t xml:space="preserve"> </w:t>
      </w:r>
      <w:r w:rsidR="005D6492" w:rsidRPr="009A3C92">
        <w:rPr>
          <w:rFonts w:ascii="Book Antiqua" w:hAnsi="Book Antiqua"/>
        </w:rPr>
        <w:t>Adalimumab</w:t>
      </w:r>
      <w:r w:rsidRPr="009A3C92">
        <w:rPr>
          <w:rFonts w:ascii="Book Antiqua" w:hAnsi="Book Antiqua"/>
        </w:rPr>
        <w:t>;</w:t>
      </w:r>
      <w:r w:rsidR="008E3348" w:rsidRPr="009A3C92">
        <w:rPr>
          <w:rFonts w:ascii="Book Antiqua" w:hAnsi="Book Antiqua"/>
        </w:rPr>
        <w:t xml:space="preserve"> </w:t>
      </w:r>
      <w:r w:rsidRPr="009A3C92">
        <w:rPr>
          <w:rFonts w:ascii="Book Antiqua" w:hAnsi="Book Antiqua"/>
        </w:rPr>
        <w:t>HD:</w:t>
      </w:r>
      <w:r w:rsidR="008E3348" w:rsidRPr="009A3C92">
        <w:rPr>
          <w:rFonts w:ascii="Book Antiqua" w:hAnsi="Book Antiqua"/>
        </w:rPr>
        <w:t xml:space="preserve"> </w:t>
      </w:r>
      <w:r w:rsidR="005D6492" w:rsidRPr="009A3C92">
        <w:rPr>
          <w:rFonts w:ascii="Book Antiqua" w:hAnsi="Book Antiqua"/>
        </w:rPr>
        <w:t>High</w:t>
      </w:r>
      <w:r w:rsidR="008E3348" w:rsidRPr="009A3C92">
        <w:rPr>
          <w:rFonts w:ascii="Book Antiqua" w:hAnsi="Book Antiqua"/>
        </w:rPr>
        <w:t xml:space="preserve"> </w:t>
      </w:r>
      <w:r w:rsidRPr="009A3C92">
        <w:rPr>
          <w:rFonts w:ascii="Book Antiqua" w:hAnsi="Book Antiqua"/>
        </w:rPr>
        <w:t>dose;</w:t>
      </w:r>
      <w:r w:rsidR="008E3348" w:rsidRPr="009A3C92">
        <w:rPr>
          <w:rFonts w:ascii="Book Antiqua" w:hAnsi="Book Antiqua"/>
        </w:rPr>
        <w:t xml:space="preserve"> </w:t>
      </w:r>
      <w:r w:rsidRPr="009A3C92">
        <w:rPr>
          <w:rFonts w:ascii="Book Antiqua" w:hAnsi="Book Antiqua"/>
        </w:rPr>
        <w:t>LD:</w:t>
      </w:r>
      <w:r w:rsidR="008E3348" w:rsidRPr="009A3C92">
        <w:rPr>
          <w:rFonts w:ascii="Book Antiqua" w:hAnsi="Book Antiqua"/>
        </w:rPr>
        <w:t xml:space="preserve"> </w:t>
      </w:r>
      <w:r w:rsidR="005D6492" w:rsidRPr="009A3C92">
        <w:rPr>
          <w:rFonts w:ascii="Book Antiqua" w:hAnsi="Book Antiqua"/>
        </w:rPr>
        <w:t>Low</w:t>
      </w:r>
      <w:r w:rsidR="008E3348" w:rsidRPr="009A3C92">
        <w:rPr>
          <w:rFonts w:ascii="Book Antiqua" w:hAnsi="Book Antiqua"/>
        </w:rPr>
        <w:t xml:space="preserve"> </w:t>
      </w:r>
      <w:r w:rsidRPr="009A3C92">
        <w:rPr>
          <w:rFonts w:ascii="Book Antiqua" w:hAnsi="Book Antiqua"/>
        </w:rPr>
        <w:t>dose;</w:t>
      </w:r>
      <w:r w:rsidR="008E3348" w:rsidRPr="009A3C92">
        <w:rPr>
          <w:rFonts w:ascii="Book Antiqua" w:hAnsi="Book Antiqua"/>
        </w:rPr>
        <w:t xml:space="preserve"> </w:t>
      </w:r>
      <w:r w:rsidRPr="009A3C92">
        <w:rPr>
          <w:rFonts w:ascii="Book Antiqua" w:hAnsi="Book Antiqua"/>
        </w:rPr>
        <w:t>TDM:</w:t>
      </w:r>
      <w:r w:rsidR="008E3348" w:rsidRPr="009A3C92">
        <w:rPr>
          <w:rFonts w:ascii="Book Antiqua" w:hAnsi="Book Antiqua"/>
        </w:rPr>
        <w:t xml:space="preserve"> </w:t>
      </w:r>
      <w:r w:rsidR="005D6492" w:rsidRPr="009A3C92">
        <w:rPr>
          <w:rFonts w:ascii="Book Antiqua" w:hAnsi="Book Antiqua"/>
        </w:rPr>
        <w:t>Therapeutic</w:t>
      </w:r>
      <w:r w:rsidR="008E3348" w:rsidRPr="009A3C92">
        <w:rPr>
          <w:rFonts w:ascii="Book Antiqua" w:hAnsi="Book Antiqua"/>
        </w:rPr>
        <w:t xml:space="preserve"> </w:t>
      </w:r>
      <w:r w:rsidRPr="009A3C92">
        <w:rPr>
          <w:rFonts w:ascii="Book Antiqua" w:hAnsi="Book Antiqua"/>
        </w:rPr>
        <w:t>drug</w:t>
      </w:r>
      <w:r w:rsidR="008E3348" w:rsidRPr="009A3C92">
        <w:rPr>
          <w:rFonts w:ascii="Book Antiqua" w:hAnsi="Book Antiqua"/>
        </w:rPr>
        <w:t xml:space="preserve"> </w:t>
      </w:r>
      <w:r w:rsidRPr="009A3C92">
        <w:rPr>
          <w:rFonts w:ascii="Book Antiqua" w:hAnsi="Book Antiqua"/>
        </w:rPr>
        <w:t>monitoring</w:t>
      </w:r>
      <w:r w:rsidR="005D6492" w:rsidRPr="009A3C92">
        <w:rPr>
          <w:rFonts w:ascii="Book Antiqua" w:hAnsi="Book Antiqua"/>
        </w:rPr>
        <w:t>.</w:t>
      </w:r>
    </w:p>
    <w:p w14:paraId="753E15A9" w14:textId="77777777" w:rsidR="009A3C92" w:rsidRPr="009A3C92" w:rsidRDefault="009A3C92" w:rsidP="009A3C92">
      <w:pPr>
        <w:ind w:leftChars="100" w:left="240"/>
        <w:jc w:val="center"/>
        <w:rPr>
          <w:rFonts w:ascii="Book Antiqua" w:hAnsi="Book Antiqua"/>
          <w:lang w:val="pt-BR" w:eastAsia="zh-CN"/>
        </w:rPr>
      </w:pPr>
      <w:bookmarkStart w:id="8" w:name="_Hlk88512952"/>
    </w:p>
    <w:p w14:paraId="69D1DA12" w14:textId="77777777" w:rsidR="009A3C92" w:rsidRPr="009A3C92" w:rsidRDefault="009A3C92" w:rsidP="009A3C92">
      <w:pPr>
        <w:ind w:leftChars="100" w:left="240"/>
        <w:jc w:val="center"/>
        <w:rPr>
          <w:rFonts w:ascii="Book Antiqua" w:hAnsi="Book Antiqua"/>
          <w:lang w:val="pt-BR" w:eastAsia="zh-CN"/>
        </w:rPr>
      </w:pPr>
    </w:p>
    <w:p w14:paraId="32A7D11C" w14:textId="77777777" w:rsidR="009A3C92" w:rsidRPr="009A3C92" w:rsidRDefault="009A3C92" w:rsidP="009A3C92">
      <w:pPr>
        <w:ind w:leftChars="100" w:left="240"/>
        <w:jc w:val="center"/>
        <w:rPr>
          <w:rFonts w:ascii="Book Antiqua" w:hAnsi="Book Antiqua"/>
          <w:lang w:val="pt-BR" w:eastAsia="zh-CN"/>
        </w:rPr>
      </w:pPr>
    </w:p>
    <w:p w14:paraId="6B0E0094" w14:textId="77777777" w:rsidR="009A3C92" w:rsidRPr="009A3C92" w:rsidRDefault="009A3C92" w:rsidP="009A3C92">
      <w:pPr>
        <w:ind w:leftChars="100" w:left="240"/>
        <w:jc w:val="center"/>
        <w:rPr>
          <w:rFonts w:ascii="Book Antiqua" w:hAnsi="Book Antiqua"/>
          <w:lang w:val="pt-BR" w:eastAsia="zh-CN"/>
        </w:rPr>
      </w:pPr>
    </w:p>
    <w:p w14:paraId="13390CB4" w14:textId="77777777" w:rsidR="009A3C92" w:rsidRPr="009A3C92" w:rsidRDefault="009A3C92" w:rsidP="009A3C92">
      <w:pPr>
        <w:ind w:leftChars="100" w:left="240"/>
        <w:jc w:val="center"/>
        <w:rPr>
          <w:rFonts w:ascii="Book Antiqua" w:hAnsi="Book Antiqua"/>
          <w:lang w:eastAsia="zh-CN"/>
        </w:rPr>
      </w:pPr>
      <w:r w:rsidRPr="009A3C92">
        <w:rPr>
          <w:rFonts w:ascii="Book Antiqua" w:hAnsi="Book Antiqua"/>
          <w:noProof/>
          <w:lang w:eastAsia="zh-CN"/>
        </w:rPr>
        <w:drawing>
          <wp:inline distT="0" distB="0" distL="0" distR="0" wp14:anchorId="48E3FDF7" wp14:editId="6D92CE9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EA90E44" w14:textId="77777777" w:rsidR="009A3C92" w:rsidRPr="009A3C92" w:rsidRDefault="009A3C92" w:rsidP="009A3C92">
      <w:pPr>
        <w:ind w:leftChars="100" w:left="240"/>
        <w:jc w:val="center"/>
        <w:rPr>
          <w:rFonts w:ascii="Book Antiqua" w:hAnsi="Book Antiqua"/>
          <w:lang w:eastAsia="zh-CN"/>
        </w:rPr>
      </w:pPr>
    </w:p>
    <w:p w14:paraId="0694F503" w14:textId="77777777" w:rsidR="009A3C92" w:rsidRPr="009A3C92" w:rsidRDefault="009A3C92" w:rsidP="009A3C92">
      <w:pPr>
        <w:autoSpaceDE w:val="0"/>
        <w:autoSpaceDN w:val="0"/>
        <w:adjustRightInd w:val="0"/>
        <w:ind w:leftChars="100" w:left="240"/>
        <w:jc w:val="center"/>
        <w:rPr>
          <w:rFonts w:ascii="Book Antiqua" w:eastAsia="Garamond-Bold" w:hAnsi="Book Antiqua" w:cs="Garamond-Bold"/>
          <w:b/>
          <w:bCs/>
          <w:color w:val="000000"/>
          <w:sz w:val="28"/>
          <w:szCs w:val="28"/>
        </w:rPr>
      </w:pPr>
      <w:r w:rsidRPr="009A3C92">
        <w:rPr>
          <w:rFonts w:ascii="Book Antiqua" w:eastAsia="TimesNewRomanPSMT" w:hAnsi="Book Antiqua" w:cs="TimesNewRomanPSMT"/>
          <w:color w:val="000000"/>
          <w:sz w:val="28"/>
          <w:szCs w:val="28"/>
        </w:rPr>
        <w:t xml:space="preserve">Published by </w:t>
      </w:r>
      <w:r w:rsidRPr="009A3C92">
        <w:rPr>
          <w:rFonts w:ascii="Book Antiqua" w:eastAsia="Garamond-Bold" w:hAnsi="Book Antiqua" w:cs="Garamond-Bold"/>
          <w:b/>
          <w:bCs/>
          <w:color w:val="000000"/>
          <w:sz w:val="28"/>
          <w:szCs w:val="28"/>
        </w:rPr>
        <w:t>Baishideng Publishing Group Inc</w:t>
      </w:r>
    </w:p>
    <w:p w14:paraId="1B88314F" w14:textId="77777777" w:rsidR="009A3C92" w:rsidRPr="009A3C92" w:rsidRDefault="009A3C92" w:rsidP="009A3C92">
      <w:pPr>
        <w:autoSpaceDE w:val="0"/>
        <w:autoSpaceDN w:val="0"/>
        <w:adjustRightInd w:val="0"/>
        <w:ind w:leftChars="100" w:left="240"/>
        <w:jc w:val="center"/>
        <w:rPr>
          <w:rFonts w:ascii="Book Antiqua" w:eastAsia="TimesNewRomanPSMT" w:hAnsi="Book Antiqua" w:cs="Garamond"/>
          <w:color w:val="000000"/>
          <w:sz w:val="28"/>
          <w:szCs w:val="28"/>
        </w:rPr>
      </w:pPr>
      <w:r w:rsidRPr="009A3C92">
        <w:rPr>
          <w:rFonts w:ascii="Book Antiqua" w:eastAsia="TimesNewRomanPSMT" w:hAnsi="Book Antiqua" w:cs="Garamond"/>
          <w:color w:val="000000"/>
          <w:sz w:val="28"/>
          <w:szCs w:val="28"/>
        </w:rPr>
        <w:t>7041 Koll Center Parkway, Suite 160, Pleasanton, CA 94566, USA</w:t>
      </w:r>
    </w:p>
    <w:p w14:paraId="52D86689" w14:textId="77777777" w:rsidR="009A3C92" w:rsidRPr="009A3C92" w:rsidRDefault="009A3C92" w:rsidP="009A3C92">
      <w:pPr>
        <w:autoSpaceDE w:val="0"/>
        <w:autoSpaceDN w:val="0"/>
        <w:adjustRightInd w:val="0"/>
        <w:ind w:leftChars="100" w:left="240"/>
        <w:jc w:val="center"/>
        <w:rPr>
          <w:rFonts w:ascii="Book Antiqua" w:eastAsia="TimesNewRomanPSMT" w:hAnsi="Book Antiqua" w:cs="Garamond"/>
          <w:color w:val="000000"/>
          <w:sz w:val="28"/>
          <w:szCs w:val="28"/>
        </w:rPr>
      </w:pPr>
      <w:r w:rsidRPr="009A3C92">
        <w:rPr>
          <w:rFonts w:ascii="Book Antiqua" w:eastAsia="Garamond-Bold" w:hAnsi="Book Antiqua" w:cs="Garamond-Bold"/>
          <w:b/>
          <w:bCs/>
          <w:color w:val="000000"/>
          <w:sz w:val="28"/>
          <w:szCs w:val="28"/>
        </w:rPr>
        <w:t xml:space="preserve">Telephone: </w:t>
      </w:r>
      <w:r w:rsidRPr="009A3C92">
        <w:rPr>
          <w:rFonts w:ascii="Book Antiqua" w:eastAsia="TimesNewRomanPSMT" w:hAnsi="Book Antiqua" w:cs="Garamond"/>
          <w:color w:val="000000"/>
          <w:sz w:val="28"/>
          <w:szCs w:val="28"/>
        </w:rPr>
        <w:t>+1-925-3991568</w:t>
      </w:r>
    </w:p>
    <w:p w14:paraId="52E27082" w14:textId="77777777" w:rsidR="009A3C92" w:rsidRPr="009A3C92" w:rsidRDefault="009A3C92" w:rsidP="009A3C92">
      <w:pPr>
        <w:autoSpaceDE w:val="0"/>
        <w:autoSpaceDN w:val="0"/>
        <w:adjustRightInd w:val="0"/>
        <w:ind w:leftChars="100" w:left="240"/>
        <w:jc w:val="center"/>
        <w:rPr>
          <w:rFonts w:ascii="Book Antiqua" w:eastAsia="TimesNewRomanPSMT" w:hAnsi="Book Antiqua" w:cs="Garamond"/>
          <w:color w:val="D56400"/>
          <w:sz w:val="28"/>
          <w:szCs w:val="28"/>
        </w:rPr>
      </w:pPr>
      <w:r w:rsidRPr="009A3C92">
        <w:rPr>
          <w:rFonts w:ascii="Book Antiqua" w:eastAsia="Garamond-Bold" w:hAnsi="Book Antiqua" w:cs="Garamond-Bold"/>
          <w:b/>
          <w:bCs/>
          <w:color w:val="000000"/>
          <w:sz w:val="28"/>
          <w:szCs w:val="28"/>
        </w:rPr>
        <w:t xml:space="preserve">E-mail: </w:t>
      </w:r>
      <w:r w:rsidRPr="009A3C92">
        <w:rPr>
          <w:rFonts w:ascii="Book Antiqua" w:eastAsia="TimesNewRomanPSMT" w:hAnsi="Book Antiqua" w:cs="Garamond"/>
          <w:color w:val="D56400"/>
          <w:sz w:val="28"/>
          <w:szCs w:val="28"/>
        </w:rPr>
        <w:t>bpgoffice@wjgnet.com</w:t>
      </w:r>
    </w:p>
    <w:p w14:paraId="540303CA" w14:textId="77777777" w:rsidR="009A3C92" w:rsidRPr="009A3C92" w:rsidRDefault="009A3C92" w:rsidP="009A3C92">
      <w:pPr>
        <w:autoSpaceDE w:val="0"/>
        <w:autoSpaceDN w:val="0"/>
        <w:adjustRightInd w:val="0"/>
        <w:ind w:leftChars="100" w:left="240"/>
        <w:jc w:val="center"/>
        <w:rPr>
          <w:rFonts w:ascii="Book Antiqua" w:eastAsia="TimesNewRomanPSMT" w:hAnsi="Book Antiqua" w:cs="Garamond"/>
          <w:color w:val="D56400"/>
          <w:sz w:val="28"/>
          <w:szCs w:val="28"/>
        </w:rPr>
      </w:pPr>
      <w:r w:rsidRPr="009A3C92">
        <w:rPr>
          <w:rFonts w:ascii="Book Antiqua" w:eastAsia="Garamond-Bold" w:hAnsi="Book Antiqua" w:cs="Garamond-Bold"/>
          <w:b/>
          <w:bCs/>
          <w:color w:val="000000"/>
          <w:sz w:val="28"/>
          <w:szCs w:val="28"/>
        </w:rPr>
        <w:t xml:space="preserve">Help Desk: </w:t>
      </w:r>
      <w:r w:rsidRPr="009A3C92">
        <w:rPr>
          <w:rFonts w:ascii="Book Antiqua" w:eastAsia="TimesNewRomanPSMT" w:hAnsi="Book Antiqua" w:cs="Garamond"/>
          <w:color w:val="D56400"/>
          <w:sz w:val="28"/>
          <w:szCs w:val="28"/>
        </w:rPr>
        <w:t>https://www.f6publishing.com/helpdesk</w:t>
      </w:r>
    </w:p>
    <w:p w14:paraId="12B5510D" w14:textId="77777777" w:rsidR="009A3C92" w:rsidRPr="009A3C92" w:rsidRDefault="009A3C92" w:rsidP="009A3C92">
      <w:pPr>
        <w:ind w:leftChars="100" w:left="240"/>
        <w:jc w:val="center"/>
        <w:rPr>
          <w:rFonts w:ascii="Book Antiqua" w:hAnsi="Book Antiqua"/>
          <w:lang w:eastAsia="zh-CN"/>
        </w:rPr>
      </w:pPr>
      <w:r w:rsidRPr="009A3C92">
        <w:rPr>
          <w:rFonts w:ascii="Book Antiqua" w:eastAsia="TimesNewRomanPSMT" w:hAnsi="Book Antiqua" w:cs="Garamond"/>
          <w:color w:val="D56400"/>
          <w:sz w:val="28"/>
          <w:szCs w:val="28"/>
        </w:rPr>
        <w:t>https://www.wjgnet.com</w:t>
      </w:r>
    </w:p>
    <w:p w14:paraId="50F30C14" w14:textId="77777777" w:rsidR="009A3C92" w:rsidRPr="009A3C92" w:rsidRDefault="009A3C92" w:rsidP="009A3C92">
      <w:pPr>
        <w:ind w:leftChars="100" w:left="240"/>
        <w:jc w:val="center"/>
        <w:rPr>
          <w:rFonts w:ascii="Book Antiqua" w:hAnsi="Book Antiqua"/>
          <w:lang w:eastAsia="zh-CN"/>
        </w:rPr>
      </w:pPr>
    </w:p>
    <w:p w14:paraId="1723497D" w14:textId="77777777" w:rsidR="009A3C92" w:rsidRPr="009A3C92" w:rsidRDefault="009A3C92" w:rsidP="009A3C92">
      <w:pPr>
        <w:ind w:leftChars="100" w:left="240"/>
        <w:jc w:val="center"/>
        <w:rPr>
          <w:rFonts w:ascii="Book Antiqua" w:hAnsi="Book Antiqua"/>
          <w:lang w:eastAsia="zh-CN"/>
        </w:rPr>
      </w:pPr>
    </w:p>
    <w:p w14:paraId="3FC6FB4E" w14:textId="77777777" w:rsidR="009A3C92" w:rsidRPr="009A3C92" w:rsidRDefault="009A3C92" w:rsidP="009A3C92">
      <w:pPr>
        <w:ind w:leftChars="100" w:left="240"/>
        <w:jc w:val="center"/>
        <w:rPr>
          <w:rFonts w:ascii="Book Antiqua" w:hAnsi="Book Antiqua"/>
          <w:lang w:eastAsia="zh-CN"/>
        </w:rPr>
      </w:pPr>
    </w:p>
    <w:p w14:paraId="4FA3B055" w14:textId="77777777" w:rsidR="009A3C92" w:rsidRPr="009A3C92" w:rsidRDefault="009A3C92" w:rsidP="009A3C92">
      <w:pPr>
        <w:ind w:leftChars="100" w:left="240"/>
        <w:jc w:val="center"/>
        <w:rPr>
          <w:rFonts w:ascii="Book Antiqua" w:hAnsi="Book Antiqua"/>
          <w:lang w:eastAsia="zh-CN"/>
        </w:rPr>
      </w:pPr>
      <w:r w:rsidRPr="009A3C92">
        <w:rPr>
          <w:rFonts w:ascii="Book Antiqua" w:hAnsi="Book Antiqua"/>
          <w:noProof/>
          <w:lang w:eastAsia="zh-CN"/>
        </w:rPr>
        <w:drawing>
          <wp:inline distT="0" distB="0" distL="0" distR="0" wp14:anchorId="340C32E0" wp14:editId="530881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5B09447" w14:textId="77777777" w:rsidR="009A3C92" w:rsidRPr="009A3C92" w:rsidRDefault="009A3C92" w:rsidP="009A3C92">
      <w:pPr>
        <w:ind w:leftChars="100" w:left="240"/>
        <w:jc w:val="center"/>
        <w:rPr>
          <w:rFonts w:ascii="Book Antiqua" w:hAnsi="Book Antiqua"/>
          <w:lang w:eastAsia="zh-CN"/>
        </w:rPr>
      </w:pPr>
    </w:p>
    <w:p w14:paraId="72355B1B" w14:textId="77777777" w:rsidR="009A3C92" w:rsidRPr="009A3C92" w:rsidRDefault="009A3C92" w:rsidP="009A3C92">
      <w:pPr>
        <w:ind w:leftChars="100" w:left="240"/>
        <w:jc w:val="center"/>
        <w:rPr>
          <w:rFonts w:ascii="Book Antiqua" w:hAnsi="Book Antiqua"/>
          <w:lang w:eastAsia="zh-CN"/>
        </w:rPr>
      </w:pPr>
    </w:p>
    <w:p w14:paraId="03F5098E" w14:textId="77777777" w:rsidR="009A3C92" w:rsidRPr="009A3C92" w:rsidRDefault="009A3C92" w:rsidP="009A3C92">
      <w:pPr>
        <w:ind w:leftChars="100" w:left="240"/>
        <w:jc w:val="center"/>
        <w:rPr>
          <w:rFonts w:ascii="Book Antiqua" w:hAnsi="Book Antiqua"/>
          <w:lang w:eastAsia="zh-CN"/>
        </w:rPr>
      </w:pPr>
    </w:p>
    <w:p w14:paraId="6A7C520B" w14:textId="77777777" w:rsidR="009A3C92" w:rsidRPr="009A3C92" w:rsidRDefault="009A3C92" w:rsidP="009A3C92">
      <w:pPr>
        <w:ind w:leftChars="100" w:left="240"/>
        <w:jc w:val="center"/>
        <w:rPr>
          <w:rFonts w:ascii="Book Antiqua" w:hAnsi="Book Antiqua"/>
          <w:lang w:eastAsia="zh-CN"/>
        </w:rPr>
      </w:pPr>
    </w:p>
    <w:p w14:paraId="3E645872" w14:textId="77777777" w:rsidR="009A3C92" w:rsidRPr="009A3C92" w:rsidRDefault="009A3C92" w:rsidP="009A3C92">
      <w:pPr>
        <w:ind w:leftChars="100" w:left="240"/>
        <w:jc w:val="center"/>
        <w:rPr>
          <w:rFonts w:ascii="Book Antiqua" w:hAnsi="Book Antiqua"/>
          <w:lang w:eastAsia="zh-CN"/>
        </w:rPr>
      </w:pPr>
    </w:p>
    <w:p w14:paraId="2AA1EF32" w14:textId="77777777" w:rsidR="009A3C92" w:rsidRPr="009A3C92" w:rsidRDefault="009A3C92" w:rsidP="009A3C92">
      <w:pPr>
        <w:ind w:leftChars="100" w:left="240"/>
        <w:jc w:val="center"/>
        <w:rPr>
          <w:rFonts w:ascii="Book Antiqua" w:hAnsi="Book Antiqua"/>
          <w:lang w:eastAsia="zh-CN"/>
        </w:rPr>
      </w:pPr>
    </w:p>
    <w:p w14:paraId="21622C94" w14:textId="77777777" w:rsidR="009A3C92" w:rsidRPr="009A3C92" w:rsidRDefault="009A3C92" w:rsidP="009A3C92">
      <w:pPr>
        <w:ind w:leftChars="100" w:left="240"/>
        <w:jc w:val="center"/>
        <w:rPr>
          <w:rFonts w:ascii="Book Antiqua" w:hAnsi="Book Antiqua"/>
          <w:lang w:eastAsia="zh-CN"/>
        </w:rPr>
      </w:pPr>
    </w:p>
    <w:p w14:paraId="4E54F452" w14:textId="77777777" w:rsidR="009A3C92" w:rsidRPr="009A3C92" w:rsidRDefault="009A3C92" w:rsidP="009A3C92">
      <w:pPr>
        <w:ind w:leftChars="100" w:left="240"/>
        <w:jc w:val="center"/>
        <w:rPr>
          <w:rFonts w:ascii="Book Antiqua" w:hAnsi="Book Antiqua"/>
          <w:lang w:eastAsia="zh-CN"/>
        </w:rPr>
      </w:pPr>
    </w:p>
    <w:p w14:paraId="2C2DBD5D" w14:textId="77777777" w:rsidR="009A3C92" w:rsidRPr="009A3C92" w:rsidRDefault="009A3C92" w:rsidP="009A3C92">
      <w:pPr>
        <w:ind w:leftChars="100" w:left="240"/>
        <w:jc w:val="center"/>
        <w:rPr>
          <w:rFonts w:ascii="Book Antiqua" w:hAnsi="Book Antiqua"/>
          <w:lang w:eastAsia="zh-CN"/>
        </w:rPr>
      </w:pPr>
    </w:p>
    <w:p w14:paraId="71C66EE0" w14:textId="77777777" w:rsidR="009A3C92" w:rsidRPr="009A3C92" w:rsidRDefault="009A3C92" w:rsidP="009A3C92">
      <w:pPr>
        <w:ind w:leftChars="100" w:left="240"/>
        <w:jc w:val="right"/>
        <w:rPr>
          <w:rFonts w:ascii="Book Antiqua" w:hAnsi="Book Antiqua"/>
          <w:color w:val="000000" w:themeColor="text1"/>
          <w:lang w:eastAsia="zh-CN"/>
        </w:rPr>
      </w:pPr>
    </w:p>
    <w:p w14:paraId="64987C43" w14:textId="77777777" w:rsidR="009A3C92" w:rsidRPr="00763D22" w:rsidRDefault="009A3C92" w:rsidP="009A3C92">
      <w:pPr>
        <w:ind w:leftChars="100" w:left="240"/>
        <w:jc w:val="center"/>
        <w:rPr>
          <w:rFonts w:ascii="Book Antiqua" w:hAnsi="Book Antiqua"/>
          <w:color w:val="000000" w:themeColor="text1"/>
          <w:lang w:eastAsia="zh-CN"/>
        </w:rPr>
      </w:pPr>
      <w:r w:rsidRPr="009A3C92">
        <w:rPr>
          <w:rFonts w:ascii="Book Antiqua" w:eastAsia="BookAntiqua-Bold" w:hAnsi="Book Antiqua" w:cs="BookAntiqua-Bold"/>
          <w:b/>
          <w:bCs/>
          <w:color w:val="000000" w:themeColor="text1"/>
        </w:rPr>
        <w:t>© 2023 Baishideng Publishing Group Inc. All rights reserved.</w:t>
      </w:r>
      <w:r w:rsidRPr="009A3C92">
        <w:rPr>
          <w:rFonts w:ascii="Book Antiqua" w:hAnsi="Book Antiqua"/>
          <w:color w:val="000000" w:themeColor="text1"/>
          <w:lang w:eastAsia="zh-CN"/>
        </w:rPr>
        <w:fldChar w:fldCharType="begin"/>
      </w:r>
      <w:r w:rsidRPr="009A3C92">
        <w:rPr>
          <w:rFonts w:ascii="Book Antiqua" w:hAnsi="Book Antiqua"/>
          <w:color w:val="000000" w:themeColor="text1"/>
          <w:lang w:eastAsia="zh-CN"/>
        </w:rPr>
        <w:instrText xml:space="preserve"> ADDIN EN.REFLIST </w:instrText>
      </w:r>
      <w:r w:rsidRPr="009A3C92">
        <w:rPr>
          <w:rFonts w:ascii="Book Antiqua" w:hAnsi="Book Antiqua"/>
          <w:color w:val="000000" w:themeColor="text1"/>
          <w:lang w:eastAsia="zh-CN"/>
        </w:rPr>
        <w:fldChar w:fldCharType="end"/>
      </w:r>
      <w:bookmarkEnd w:id="8"/>
    </w:p>
    <w:p w14:paraId="42DC34AA" w14:textId="2CF4C929" w:rsidR="00A77B3E" w:rsidRPr="005D6492" w:rsidRDefault="00A77B3E" w:rsidP="005D6492">
      <w:pPr>
        <w:adjustRightInd w:val="0"/>
        <w:snapToGrid w:val="0"/>
        <w:spacing w:line="360" w:lineRule="auto"/>
        <w:jc w:val="both"/>
        <w:rPr>
          <w:rFonts w:ascii="Book Antiqua" w:hAnsi="Book Antiqua"/>
        </w:rPr>
      </w:pPr>
    </w:p>
    <w:sectPr w:rsidR="00A77B3E" w:rsidRPr="005D6492"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9B030" w14:textId="77777777" w:rsidR="00CC2FC4" w:rsidRDefault="00CC2FC4" w:rsidP="00202141">
      <w:r>
        <w:separator/>
      </w:r>
    </w:p>
  </w:endnote>
  <w:endnote w:type="continuationSeparator" w:id="0">
    <w:p w14:paraId="0F18FD80" w14:textId="77777777" w:rsidR="00CC2FC4" w:rsidRDefault="00CC2FC4" w:rsidP="0020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modern"/>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585711"/>
      <w:docPartObj>
        <w:docPartGallery w:val="Page Numbers (Bottom of Page)"/>
        <w:docPartUnique/>
      </w:docPartObj>
    </w:sdtPr>
    <w:sdtContent>
      <w:sdt>
        <w:sdtPr>
          <w:id w:val="-1769616900"/>
          <w:docPartObj>
            <w:docPartGallery w:val="Page Numbers (Top of Page)"/>
            <w:docPartUnique/>
          </w:docPartObj>
        </w:sdtPr>
        <w:sdtContent>
          <w:p w14:paraId="7C9EA7EC" w14:textId="3B4A5DEC" w:rsidR="00202141" w:rsidRDefault="00202141">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3E090A3" w14:textId="77777777" w:rsidR="00202141" w:rsidRDefault="00202141">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86B9206" w14:textId="77777777" w:rsidR="001204A0" w:rsidRDefault="00000000" w:rsidP="00134D22">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21CD9845" w14:textId="77777777" w:rsidR="001204A0" w:rsidRDefault="000000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8D55" w14:textId="77777777" w:rsidR="00CC2FC4" w:rsidRDefault="00CC2FC4" w:rsidP="00202141">
      <w:r>
        <w:separator/>
      </w:r>
    </w:p>
  </w:footnote>
  <w:footnote w:type="continuationSeparator" w:id="0">
    <w:p w14:paraId="191366B9" w14:textId="77777777" w:rsidR="00CC2FC4" w:rsidRDefault="00CC2FC4" w:rsidP="00202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2EE"/>
    <w:rsid w:val="000544E9"/>
    <w:rsid w:val="00054733"/>
    <w:rsid w:val="00071DC0"/>
    <w:rsid w:val="000B6D1D"/>
    <w:rsid w:val="000C16C7"/>
    <w:rsid w:val="00105A6F"/>
    <w:rsid w:val="00174FDE"/>
    <w:rsid w:val="001900B4"/>
    <w:rsid w:val="001F4C8F"/>
    <w:rsid w:val="00202141"/>
    <w:rsid w:val="002C3C24"/>
    <w:rsid w:val="002D516E"/>
    <w:rsid w:val="002E62B3"/>
    <w:rsid w:val="002E77DA"/>
    <w:rsid w:val="002F2533"/>
    <w:rsid w:val="003333BD"/>
    <w:rsid w:val="00337E3E"/>
    <w:rsid w:val="00365BDE"/>
    <w:rsid w:val="00376425"/>
    <w:rsid w:val="00393474"/>
    <w:rsid w:val="003F2D9D"/>
    <w:rsid w:val="00432003"/>
    <w:rsid w:val="00447B35"/>
    <w:rsid w:val="00455332"/>
    <w:rsid w:val="004841E7"/>
    <w:rsid w:val="00496FE7"/>
    <w:rsid w:val="004B7884"/>
    <w:rsid w:val="004D2C31"/>
    <w:rsid w:val="004E31D3"/>
    <w:rsid w:val="004E5934"/>
    <w:rsid w:val="005322B2"/>
    <w:rsid w:val="00535C44"/>
    <w:rsid w:val="00593196"/>
    <w:rsid w:val="005D6492"/>
    <w:rsid w:val="005E1D77"/>
    <w:rsid w:val="00613C90"/>
    <w:rsid w:val="00644E97"/>
    <w:rsid w:val="0067201F"/>
    <w:rsid w:val="006E257E"/>
    <w:rsid w:val="00751016"/>
    <w:rsid w:val="0078397B"/>
    <w:rsid w:val="007944CF"/>
    <w:rsid w:val="008143F4"/>
    <w:rsid w:val="008326D6"/>
    <w:rsid w:val="00860BAF"/>
    <w:rsid w:val="00864843"/>
    <w:rsid w:val="008B5C16"/>
    <w:rsid w:val="008D2345"/>
    <w:rsid w:val="008E3348"/>
    <w:rsid w:val="008F681F"/>
    <w:rsid w:val="009A3C92"/>
    <w:rsid w:val="009A4074"/>
    <w:rsid w:val="009A5F9A"/>
    <w:rsid w:val="009B01DC"/>
    <w:rsid w:val="009E5CE6"/>
    <w:rsid w:val="00A77B3E"/>
    <w:rsid w:val="00B30DF1"/>
    <w:rsid w:val="00B51F9A"/>
    <w:rsid w:val="00B617D8"/>
    <w:rsid w:val="00B92B1A"/>
    <w:rsid w:val="00C00C01"/>
    <w:rsid w:val="00C00E10"/>
    <w:rsid w:val="00C62D38"/>
    <w:rsid w:val="00C7798F"/>
    <w:rsid w:val="00CA2A55"/>
    <w:rsid w:val="00CC2FC4"/>
    <w:rsid w:val="00CE7DB7"/>
    <w:rsid w:val="00D11041"/>
    <w:rsid w:val="00D37256"/>
    <w:rsid w:val="00D517D9"/>
    <w:rsid w:val="00D8168A"/>
    <w:rsid w:val="00DD25F0"/>
    <w:rsid w:val="00E62306"/>
    <w:rsid w:val="00EA07F3"/>
    <w:rsid w:val="00EA17CD"/>
    <w:rsid w:val="00EB0B31"/>
    <w:rsid w:val="00EB403A"/>
    <w:rsid w:val="00FC0527"/>
    <w:rsid w:val="00FC5D77"/>
    <w:rsid w:val="00FE6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F8994"/>
  <w15:docId w15:val="{14791BA9-00CA-4BB2-A094-53714FF8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0BAF"/>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860BAF"/>
  </w:style>
  <w:style w:type="table" w:styleId="a4">
    <w:name w:val="Table Grid"/>
    <w:basedOn w:val="a1"/>
    <w:uiPriority w:val="39"/>
    <w:rsid w:val="006E257E"/>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semiHidden/>
    <w:unhideWhenUsed/>
    <w:rsid w:val="0078397B"/>
    <w:rPr>
      <w:sz w:val="21"/>
      <w:szCs w:val="21"/>
    </w:rPr>
  </w:style>
  <w:style w:type="paragraph" w:styleId="a6">
    <w:name w:val="annotation text"/>
    <w:basedOn w:val="a"/>
    <w:link w:val="a7"/>
    <w:semiHidden/>
    <w:unhideWhenUsed/>
    <w:rsid w:val="0078397B"/>
  </w:style>
  <w:style w:type="character" w:customStyle="1" w:styleId="a7">
    <w:name w:val="批注文字 字符"/>
    <w:basedOn w:val="a0"/>
    <w:link w:val="a6"/>
    <w:semiHidden/>
    <w:rsid w:val="0078397B"/>
    <w:rPr>
      <w:sz w:val="24"/>
      <w:szCs w:val="24"/>
    </w:rPr>
  </w:style>
  <w:style w:type="paragraph" w:styleId="a8">
    <w:name w:val="annotation subject"/>
    <w:basedOn w:val="a6"/>
    <w:next w:val="a6"/>
    <w:link w:val="a9"/>
    <w:semiHidden/>
    <w:unhideWhenUsed/>
    <w:rsid w:val="0078397B"/>
    <w:rPr>
      <w:b/>
      <w:bCs/>
    </w:rPr>
  </w:style>
  <w:style w:type="character" w:customStyle="1" w:styleId="a9">
    <w:name w:val="批注主题 字符"/>
    <w:basedOn w:val="a7"/>
    <w:link w:val="a8"/>
    <w:semiHidden/>
    <w:rsid w:val="0078397B"/>
    <w:rPr>
      <w:b/>
      <w:bCs/>
      <w:sz w:val="24"/>
      <w:szCs w:val="24"/>
    </w:rPr>
  </w:style>
  <w:style w:type="paragraph" w:styleId="aa">
    <w:name w:val="header"/>
    <w:basedOn w:val="a"/>
    <w:link w:val="ab"/>
    <w:unhideWhenUsed/>
    <w:rsid w:val="00202141"/>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202141"/>
    <w:rPr>
      <w:sz w:val="18"/>
      <w:szCs w:val="18"/>
    </w:rPr>
  </w:style>
  <w:style w:type="paragraph" w:styleId="ac">
    <w:name w:val="footer"/>
    <w:basedOn w:val="a"/>
    <w:link w:val="ad"/>
    <w:uiPriority w:val="99"/>
    <w:unhideWhenUsed/>
    <w:rsid w:val="00202141"/>
    <w:pPr>
      <w:tabs>
        <w:tab w:val="center" w:pos="4153"/>
        <w:tab w:val="right" w:pos="8306"/>
      </w:tabs>
      <w:snapToGrid w:val="0"/>
    </w:pPr>
    <w:rPr>
      <w:sz w:val="18"/>
      <w:szCs w:val="18"/>
    </w:rPr>
  </w:style>
  <w:style w:type="character" w:customStyle="1" w:styleId="ad">
    <w:name w:val="页脚 字符"/>
    <w:basedOn w:val="a0"/>
    <w:link w:val="ac"/>
    <w:uiPriority w:val="99"/>
    <w:rsid w:val="00202141"/>
    <w:rPr>
      <w:sz w:val="18"/>
      <w:szCs w:val="18"/>
    </w:rPr>
  </w:style>
  <w:style w:type="paragraph" w:styleId="ae">
    <w:name w:val="Revision"/>
    <w:hidden/>
    <w:uiPriority w:val="99"/>
    <w:semiHidden/>
    <w:rsid w:val="009A4074"/>
    <w:rPr>
      <w:sz w:val="24"/>
      <w:szCs w:val="24"/>
    </w:rPr>
  </w:style>
  <w:style w:type="character" w:styleId="af">
    <w:name w:val="Hyperlink"/>
    <w:basedOn w:val="a0"/>
    <w:unhideWhenUsed/>
    <w:rsid w:val="009A3C92"/>
    <w:rPr>
      <w:color w:val="0000FF" w:themeColor="hyperlink"/>
      <w:u w:val="single"/>
    </w:rPr>
  </w:style>
  <w:style w:type="character" w:styleId="af0">
    <w:name w:val="Unresolved Mention"/>
    <w:basedOn w:val="a0"/>
    <w:uiPriority w:val="99"/>
    <w:semiHidden/>
    <w:unhideWhenUsed/>
    <w:rsid w:val="009A3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0796">
      <w:bodyDiv w:val="1"/>
      <w:marLeft w:val="0"/>
      <w:marRight w:val="0"/>
      <w:marTop w:val="0"/>
      <w:marBottom w:val="0"/>
      <w:divBdr>
        <w:top w:val="none" w:sz="0" w:space="0" w:color="auto"/>
        <w:left w:val="none" w:sz="0" w:space="0" w:color="auto"/>
        <w:bottom w:val="none" w:sz="0" w:space="0" w:color="auto"/>
        <w:right w:val="none" w:sz="0" w:space="0" w:color="auto"/>
      </w:divBdr>
    </w:div>
    <w:div w:id="148728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18/2784.ht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41</Pages>
  <Words>10847</Words>
  <Characters>61834</Characters>
  <Application>Microsoft Office Word</Application>
  <DocSecurity>0</DocSecurity>
  <Lines>515</Lines>
  <Paragraphs>145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kangben</dc:creator>
  <cp:lastModifiedBy>Li Jia-Hui</cp:lastModifiedBy>
  <cp:revision>7</cp:revision>
  <dcterms:created xsi:type="dcterms:W3CDTF">2023-04-26T21:41:00Z</dcterms:created>
  <dcterms:modified xsi:type="dcterms:W3CDTF">2023-05-11T02:01:00Z</dcterms:modified>
</cp:coreProperties>
</file>