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93B4" w14:textId="7BEB1133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Name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Journal: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i/>
          <w:color w:val="000000"/>
        </w:rPr>
        <w:t>World</w:t>
      </w:r>
      <w:r w:rsidR="008C0CED" w:rsidRPr="00C469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i/>
          <w:color w:val="000000"/>
        </w:rPr>
        <w:t>Journal</w:t>
      </w:r>
      <w:r w:rsidR="008C0CED" w:rsidRPr="00C469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i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i/>
          <w:color w:val="000000"/>
        </w:rPr>
        <w:t>Clinical</w:t>
      </w:r>
      <w:r w:rsidR="008C0CED" w:rsidRPr="00C469C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i/>
          <w:color w:val="000000"/>
        </w:rPr>
        <w:t>Cases</w:t>
      </w:r>
    </w:p>
    <w:p w14:paraId="7FC05A72" w14:textId="545D09B6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Manuscript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NO: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83102</w:t>
      </w:r>
    </w:p>
    <w:p w14:paraId="115AC380" w14:textId="304B9ABB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Manuscript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Type: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</w:t>
      </w:r>
    </w:p>
    <w:p w14:paraId="620AB12E" w14:textId="77777777" w:rsidR="00A77B3E" w:rsidRPr="00C469CA" w:rsidRDefault="00A77B3E">
      <w:pPr>
        <w:spacing w:line="360" w:lineRule="auto"/>
        <w:jc w:val="both"/>
      </w:pPr>
    </w:p>
    <w:p w14:paraId="4F3C2DF1" w14:textId="4B3316AE" w:rsidR="00A77B3E" w:rsidRPr="00C469CA" w:rsidRDefault="00000000">
      <w:pPr>
        <w:spacing w:line="360" w:lineRule="auto"/>
        <w:jc w:val="both"/>
      </w:pPr>
      <w:bookmarkStart w:id="0" w:name="OLE_LINK997"/>
      <w:bookmarkStart w:id="1" w:name="OLE_LINK998"/>
      <w:bookmarkStart w:id="2" w:name="OLE_LINK3911"/>
      <w:r w:rsidRPr="00C469CA">
        <w:rPr>
          <w:rFonts w:ascii="Book Antiqua" w:eastAsia="Book Antiqua" w:hAnsi="Book Antiqua" w:cs="Book Antiqua"/>
          <w:b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5EC8" w:rsidRPr="00C469CA">
        <w:rPr>
          <w:rFonts w:ascii="Book Antiqua" w:eastAsia="Book Antiqua" w:hAnsi="Book Antiqua" w:cs="Book Antiqua"/>
          <w:b/>
          <w:color w:val="000000"/>
        </w:rPr>
        <w:t>video-assisted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5EC8" w:rsidRPr="00C469CA">
        <w:rPr>
          <w:rFonts w:ascii="Book Antiqua" w:eastAsia="Book Antiqua" w:hAnsi="Book Antiqua" w:cs="Book Antiqua"/>
          <w:b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D5EC8" w:rsidRPr="00C469CA">
        <w:rPr>
          <w:rFonts w:ascii="Book Antiqua" w:eastAsia="Book Antiqua" w:hAnsi="Book Antiqua" w:cs="Book Antiqua"/>
          <w:b/>
          <w:color w:val="000000"/>
        </w:rPr>
        <w:t>surgery</w:t>
      </w:r>
      <w:r w:rsidRPr="00C469CA">
        <w:rPr>
          <w:rFonts w:ascii="Book Antiqua" w:eastAsia="Book Antiqua" w:hAnsi="Book Antiqua" w:cs="Book Antiqua"/>
          <w:b/>
          <w:color w:val="000000"/>
        </w:rPr>
        <w:t>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report</w:t>
      </w:r>
    </w:p>
    <w:bookmarkEnd w:id="0"/>
    <w:bookmarkEnd w:id="1"/>
    <w:bookmarkEnd w:id="2"/>
    <w:p w14:paraId="52BB5688" w14:textId="77777777" w:rsidR="00A77B3E" w:rsidRPr="00C469CA" w:rsidRDefault="00A77B3E">
      <w:pPr>
        <w:spacing w:line="360" w:lineRule="auto"/>
        <w:jc w:val="both"/>
      </w:pPr>
    </w:p>
    <w:p w14:paraId="77F39364" w14:textId="439DDDD7" w:rsidR="00A77B3E" w:rsidRPr="00C469CA" w:rsidRDefault="001369F1">
      <w:pPr>
        <w:spacing w:line="360" w:lineRule="auto"/>
        <w:jc w:val="both"/>
      </w:pPr>
      <w:r w:rsidRPr="00C469CA">
        <w:rPr>
          <w:rFonts w:ascii="Book Antiqua" w:eastAsia="Book Antiqua" w:hAnsi="Book Antiqua" w:cs="Book Antiqua" w:hint="eastAsia"/>
          <w:color w:val="000000"/>
          <w:lang w:eastAsia="zh-CN"/>
        </w:rPr>
        <w:t>An</w:t>
      </w:r>
      <w:r w:rsidR="007604A7" w:rsidRPr="00C469C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7604A7" w:rsidRPr="00C469CA">
        <w:rPr>
          <w:rFonts w:ascii="Book Antiqua" w:eastAsia="Book Antiqua" w:hAnsi="Book Antiqua" w:cs="Book Antiqua" w:hint="eastAsia"/>
          <w:color w:val="000000"/>
          <w:lang w:eastAsia="zh-CN"/>
        </w:rPr>
        <w:t>H</w:t>
      </w:r>
      <w:r w:rsidR="007604A7" w:rsidRPr="00C469C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C469C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C0CED" w:rsidRPr="00C469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999"/>
      <w:bookmarkStart w:id="4" w:name="OLE_LINK1000"/>
      <w:bookmarkStart w:id="5" w:name="OLE_LINK3912"/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bookmarkEnd w:id="3"/>
      <w:bookmarkEnd w:id="4"/>
      <w:bookmarkEnd w:id="5"/>
    </w:p>
    <w:p w14:paraId="566A6A6C" w14:textId="77777777" w:rsidR="00A77B3E" w:rsidRPr="00C469CA" w:rsidRDefault="00A77B3E">
      <w:pPr>
        <w:spacing w:line="360" w:lineRule="auto"/>
        <w:jc w:val="both"/>
      </w:pPr>
    </w:p>
    <w:p w14:paraId="4B819E41" w14:textId="0430BA60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Hang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Yu</w:t>
      </w:r>
      <w:r w:rsidR="002A4147" w:rsidRPr="00C469CA">
        <w:rPr>
          <w:rFonts w:ascii="Book Antiqua" w:eastAsia="Book Antiqua" w:hAnsi="Book Antiqua" w:cs="Book Antiqua"/>
          <w:color w:val="000000"/>
        </w:rPr>
        <w:t>-C</w:t>
      </w:r>
      <w:r w:rsidRPr="00C469CA">
        <w:rPr>
          <w:rFonts w:ascii="Book Antiqua" w:eastAsia="Book Antiqua" w:hAnsi="Book Antiqua" w:cs="Book Antiqua"/>
          <w:color w:val="000000"/>
        </w:rPr>
        <w:t>un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Liu</w:t>
      </w:r>
    </w:p>
    <w:p w14:paraId="46A10877" w14:textId="77777777" w:rsidR="00A77B3E" w:rsidRPr="00C469CA" w:rsidRDefault="00A77B3E">
      <w:pPr>
        <w:spacing w:line="360" w:lineRule="auto"/>
        <w:jc w:val="both"/>
      </w:pPr>
    </w:p>
    <w:p w14:paraId="2ACEA9CE" w14:textId="66922D80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Hang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An,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b/>
          <w:bCs/>
          <w:color w:val="000000"/>
        </w:rPr>
        <w:t>Yu-Cun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Department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General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Peking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University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First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Hospital,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Beijing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100034,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China</w:t>
      </w:r>
    </w:p>
    <w:p w14:paraId="269891A5" w14:textId="77777777" w:rsidR="00A77B3E" w:rsidRPr="00C469CA" w:rsidRDefault="00A77B3E">
      <w:pPr>
        <w:spacing w:line="360" w:lineRule="auto"/>
        <w:jc w:val="both"/>
      </w:pPr>
    </w:p>
    <w:p w14:paraId="461834A4" w14:textId="0259877F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>Author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>contributions: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contributed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manuscript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writing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editing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data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collection;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Liu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YC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contributed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conceptualization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supervision;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authors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approved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manuscript.</w:t>
      </w:r>
    </w:p>
    <w:p w14:paraId="29A85F48" w14:textId="77777777" w:rsidR="00A77B3E" w:rsidRPr="00C469CA" w:rsidRDefault="00A77B3E">
      <w:pPr>
        <w:spacing w:line="360" w:lineRule="auto"/>
        <w:jc w:val="both"/>
      </w:pPr>
    </w:p>
    <w:p w14:paraId="3B5C0F9E" w14:textId="2D63B99E" w:rsidR="00A77B3E" w:rsidRPr="00C469CA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Yu</w:t>
      </w:r>
      <w:r w:rsidR="002A4147" w:rsidRPr="00C469CA">
        <w:rPr>
          <w:rFonts w:ascii="Book Antiqua" w:eastAsia="Book Antiqua" w:hAnsi="Book Antiqua" w:cs="Book Antiqua"/>
          <w:b/>
          <w:bCs/>
          <w:color w:val="000000"/>
        </w:rPr>
        <w:t>-C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un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Department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General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Surgery,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3942"/>
      <w:bookmarkStart w:id="7" w:name="OLE_LINK3943"/>
      <w:r w:rsidR="002A4147" w:rsidRPr="00C469CA">
        <w:rPr>
          <w:rFonts w:ascii="Book Antiqua" w:eastAsia="Book Antiqua" w:hAnsi="Book Antiqua" w:cs="Book Antiqua"/>
          <w:color w:val="000000"/>
        </w:rPr>
        <w:t>Peking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University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First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Hospital</w:t>
      </w:r>
      <w:bookmarkEnd w:id="6"/>
      <w:bookmarkEnd w:id="7"/>
      <w:r w:rsidR="002A4147" w:rsidRPr="00C469CA">
        <w:rPr>
          <w:rFonts w:ascii="Book Antiqua" w:eastAsia="Book Antiqua" w:hAnsi="Book Antiqua" w:cs="Book Antiqua"/>
          <w:color w:val="000000"/>
        </w:rPr>
        <w:t>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3940"/>
      <w:bookmarkStart w:id="9" w:name="OLE_LINK3941"/>
      <w:r w:rsidR="002A4147" w:rsidRPr="00C469CA">
        <w:rPr>
          <w:rFonts w:ascii="Book Antiqua" w:eastAsia="Book Antiqua" w:hAnsi="Book Antiqua" w:cs="Book Antiqua"/>
          <w:color w:val="000000"/>
        </w:rPr>
        <w:t>N</w:t>
      </w:r>
      <w:r w:rsidR="002A4147" w:rsidRPr="00C469CA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2A4147" w:rsidRPr="00C469CA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  <w:lang w:eastAsia="zh-CN"/>
        </w:rPr>
        <w:t>8</w:t>
      </w:r>
      <w:r w:rsidR="008C0CED" w:rsidRPr="00C469CA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Xishiku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Street,</w:t>
      </w:r>
      <w:bookmarkEnd w:id="8"/>
      <w:bookmarkEnd w:id="9"/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Beijing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100034,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2A4147" w:rsidRPr="00C469CA">
        <w:rPr>
          <w:rFonts w:ascii="Book Antiqua" w:eastAsia="Book Antiqua" w:hAnsi="Book Antiqua" w:cs="Book Antiqua"/>
          <w:color w:val="000000"/>
        </w:rPr>
        <w:t>China.</w:t>
      </w:r>
      <w:r w:rsidR="008C0CED" w:rsidRPr="00C469CA">
        <w:rPr>
          <w:rFonts w:ascii="Book Antiqua" w:eastAsia="Book Antiqua" w:hAnsi="Book Antiqua" w:cs="Book Antiqua" w:hint="eastAsi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2011110327@bjmu.edu.cn</w:t>
      </w:r>
    </w:p>
    <w:p w14:paraId="55CFFEA8" w14:textId="77777777" w:rsidR="00A77B3E" w:rsidRPr="00C469CA" w:rsidRDefault="00A77B3E">
      <w:pPr>
        <w:spacing w:line="360" w:lineRule="auto"/>
        <w:jc w:val="both"/>
      </w:pPr>
    </w:p>
    <w:p w14:paraId="27696034" w14:textId="375CB4CC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0" w:name="OLE_LINK3834"/>
      <w:bookmarkStart w:id="11" w:name="OLE_LINK3835"/>
      <w:r w:rsidRPr="00C469CA">
        <w:rPr>
          <w:rFonts w:ascii="Book Antiqua" w:eastAsia="Book Antiqua" w:hAnsi="Book Antiqua" w:cs="Book Antiqua"/>
          <w:color w:val="000000"/>
        </w:rPr>
        <w:t>January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7,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2023</w:t>
      </w:r>
      <w:bookmarkEnd w:id="10"/>
      <w:bookmarkEnd w:id="11"/>
    </w:p>
    <w:p w14:paraId="109C7752" w14:textId="791F1586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864BA" w:rsidRPr="00C469CA">
        <w:rPr>
          <w:rFonts w:ascii="Book Antiqua" w:eastAsia="Book Antiqua" w:hAnsi="Book Antiqua" w:cs="Book Antiqua"/>
          <w:color w:val="000000"/>
        </w:rPr>
        <w:t>January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3864BA" w:rsidRPr="00C469CA">
        <w:rPr>
          <w:rFonts w:ascii="Book Antiqua" w:eastAsia="Book Antiqua" w:hAnsi="Book Antiqua" w:cs="Book Antiqua"/>
          <w:color w:val="000000"/>
        </w:rPr>
        <w:t>19,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3864BA" w:rsidRPr="00C469CA">
        <w:rPr>
          <w:rFonts w:ascii="Book Antiqua" w:eastAsia="Book Antiqua" w:hAnsi="Book Antiqua" w:cs="Book Antiqua"/>
          <w:color w:val="000000"/>
        </w:rPr>
        <w:t>2023</w:t>
      </w:r>
    </w:p>
    <w:p w14:paraId="5D9A42C1" w14:textId="43EC00F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2" w:name="_Hlk128143571"/>
      <w:r w:rsidR="00FA4BD7" w:rsidRPr="00C469CA">
        <w:rPr>
          <w:rFonts w:ascii="Book Antiqua" w:eastAsia="Book Antiqua" w:hAnsi="Book Antiqua" w:cs="Book Antiqua"/>
          <w:color w:val="000000"/>
        </w:rPr>
        <w:t>February 21, 2023</w:t>
      </w:r>
      <w:bookmarkEnd w:id="12"/>
    </w:p>
    <w:p w14:paraId="01FFC846" w14:textId="0A14CB4D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_Hlk128140472"/>
      <w:r w:rsidR="00412514" w:rsidRPr="00C469CA">
        <w:rPr>
          <w:rFonts w:ascii="Book Antiqua" w:eastAsia="Book Antiqua" w:hAnsi="Book Antiqua" w:cs="Book Antiqua"/>
          <w:color w:val="000000"/>
        </w:rPr>
        <w:t>March 16, 2023</w:t>
      </w:r>
      <w:bookmarkEnd w:id="13"/>
    </w:p>
    <w:p w14:paraId="5538A177" w14:textId="77777777" w:rsidR="00A77B3E" w:rsidRPr="00C469CA" w:rsidRDefault="00A77B3E">
      <w:pPr>
        <w:spacing w:line="360" w:lineRule="auto"/>
        <w:jc w:val="both"/>
      </w:pPr>
    </w:p>
    <w:p w14:paraId="4CB2D6F5" w14:textId="4968D177" w:rsidR="003864BA" w:rsidRPr="00C469CA" w:rsidRDefault="003864BA">
      <w:pPr>
        <w:spacing w:line="360" w:lineRule="auto"/>
        <w:jc w:val="both"/>
        <w:sectPr w:rsidR="003864BA" w:rsidRPr="00C469CA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ED5152" w14:textId="7777777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25578E0" w14:textId="7777777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BACKGROUND</w:t>
      </w:r>
    </w:p>
    <w:p w14:paraId="640B0B28" w14:textId="0BFB6342" w:rsidR="00A77B3E" w:rsidRPr="00C469CA" w:rsidRDefault="00000000">
      <w:pPr>
        <w:spacing w:line="360" w:lineRule="auto"/>
        <w:jc w:val="both"/>
      </w:pPr>
      <w:bookmarkStart w:id="14" w:name="OLE_LINK3836"/>
      <w:bookmarkStart w:id="15" w:name="OLE_LINK3837"/>
      <w:r w:rsidRPr="00C469CA">
        <w:rPr>
          <w:rFonts w:ascii="Book Antiqua" w:eastAsia="Book Antiqua" w:hAnsi="Book Antiqua" w:cs="Book Antiqua"/>
          <w:color w:val="000000"/>
        </w:rPr>
        <w:t>Video-assisted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bookmarkEnd w:id="14"/>
      <w:bookmarkEnd w:id="15"/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(VATS)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common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treatment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early-stage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cancer.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Some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experience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slight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discomfort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moment.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gastrointestinal disorder </w:t>
      </w:r>
      <w:r w:rsidRPr="00C469CA">
        <w:rPr>
          <w:rFonts w:ascii="Book Antiqua" w:eastAsia="Book Antiqua" w:hAnsi="Book Antiqua" w:cs="Book Antiqua"/>
          <w:color w:val="000000"/>
        </w:rPr>
        <w:t>that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severe;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associated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increased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risk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aspiration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pneumonia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impaired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recovery.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Here,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lobectomy.</w:t>
      </w:r>
    </w:p>
    <w:p w14:paraId="16B7D8F2" w14:textId="77777777" w:rsidR="00A77B3E" w:rsidRPr="00C469CA" w:rsidRDefault="00A77B3E">
      <w:pPr>
        <w:spacing w:line="360" w:lineRule="auto"/>
        <w:jc w:val="both"/>
      </w:pPr>
    </w:p>
    <w:p w14:paraId="260A8678" w14:textId="756EEC73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SUMMARY</w:t>
      </w:r>
    </w:p>
    <w:p w14:paraId="7CD5792A" w14:textId="771AF7F4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61-year-old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underwent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right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lower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uneventfully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obstruction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upper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digestive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tract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F81BAE" w:rsidRPr="00C469CA">
        <w:rPr>
          <w:rFonts w:ascii="Book Antiqua" w:eastAsia="Book Antiqua" w:hAnsi="Book Antiqua" w:cs="Book Antiqua"/>
          <w:color w:val="000000"/>
        </w:rPr>
        <w:t>2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Acute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diagnosed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emergency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computed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tomography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iohexol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X-ray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imaging.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decompression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administration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prokinetic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drugs,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patient’s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gastrointestinal symptoms </w:t>
      </w:r>
      <w:r w:rsidRPr="00C469CA">
        <w:rPr>
          <w:rFonts w:ascii="Book Antiqua" w:eastAsia="Book Antiqua" w:hAnsi="Book Antiqua" w:cs="Book Antiqua"/>
          <w:color w:val="000000"/>
        </w:rPr>
        <w:t>improved.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perioperative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applied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according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recommended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dose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evidence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electrolyte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imbalance,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intraoperative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periesophageal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likely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underlying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cause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gastroparesis.</w:t>
      </w:r>
    </w:p>
    <w:p w14:paraId="24963CB7" w14:textId="77777777" w:rsidR="00A77B3E" w:rsidRPr="00C469CA" w:rsidRDefault="00A77B3E">
      <w:pPr>
        <w:spacing w:line="360" w:lineRule="auto"/>
        <w:jc w:val="both"/>
      </w:pPr>
    </w:p>
    <w:p w14:paraId="32A40715" w14:textId="7777777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CONCLUSION</w:t>
      </w:r>
    </w:p>
    <w:p w14:paraId="59B078DC" w14:textId="166D6E9A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Although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perioperative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following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clinicians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should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alert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complain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about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discomfort.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resect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paraesophageal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lymph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nodes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electrocautery,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excessive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ambient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compression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paraesophageal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hematoma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might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induce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dysfunction.</w:t>
      </w:r>
    </w:p>
    <w:p w14:paraId="62196DA8" w14:textId="77777777" w:rsidR="00A77B3E" w:rsidRPr="00C469CA" w:rsidRDefault="00A77B3E">
      <w:pPr>
        <w:spacing w:line="360" w:lineRule="auto"/>
        <w:jc w:val="both"/>
      </w:pPr>
    </w:p>
    <w:p w14:paraId="0490A8CA" w14:textId="4DF95130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3913"/>
      <w:bookmarkStart w:id="17" w:name="OLE_LINK3914"/>
      <w:r w:rsidRPr="00C469CA">
        <w:rPr>
          <w:rFonts w:ascii="Book Antiqua" w:eastAsia="Book Antiqua" w:hAnsi="Book Antiqua" w:cs="Book Antiqua"/>
          <w:color w:val="000000"/>
        </w:rPr>
        <w:t>Gastroparesis;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Delayed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emptying;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Video-assisted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</w:t>
      </w:r>
      <w:bookmarkEnd w:id="16"/>
      <w:bookmarkEnd w:id="17"/>
    </w:p>
    <w:p w14:paraId="3CA8104B" w14:textId="77777777" w:rsidR="00A77B3E" w:rsidRPr="00C469CA" w:rsidRDefault="00A77B3E">
      <w:pPr>
        <w:spacing w:line="360" w:lineRule="auto"/>
        <w:jc w:val="both"/>
      </w:pPr>
    </w:p>
    <w:p w14:paraId="35F357A6" w14:textId="77777777" w:rsidR="00C469CA" w:rsidRPr="00C469CA" w:rsidRDefault="00C469CA" w:rsidP="00C469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8" w:name="_Hlk88512344"/>
      <w:bookmarkStart w:id="19" w:name="_Hlk88512883"/>
      <w:bookmarkStart w:id="20" w:name="_Hlk88513225"/>
      <w:bookmarkStart w:id="21" w:name="_Hlk88512545"/>
      <w:bookmarkStart w:id="22" w:name="_Hlk128139371"/>
      <w:bookmarkStart w:id="23" w:name="OLE_LINK3915"/>
      <w:bookmarkStart w:id="24" w:name="OLE_LINK3916"/>
      <w:r w:rsidRPr="00C469CA"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 w:rsidRPr="00C469CA">
        <w:rPr>
          <w:rFonts w:ascii="Book Antiqua" w:eastAsia="Book Antiqua" w:hAnsi="Book Antiqua" w:cs="Book Antiqua"/>
          <w:b/>
          <w:color w:val="000000"/>
        </w:rPr>
        <w:t>The</w:t>
      </w:r>
      <w:r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C469C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8"/>
      <w:r w:rsidRPr="00C469CA">
        <w:rPr>
          <w:rFonts w:ascii="Book Antiqua" w:eastAsia="Book Antiqua" w:hAnsi="Book Antiqua" w:cs="Book Antiqua"/>
          <w:color w:val="000000"/>
        </w:rPr>
        <w:t xml:space="preserve"> </w:t>
      </w:r>
    </w:p>
    <w:bookmarkEnd w:id="19"/>
    <w:p w14:paraId="53765A8A" w14:textId="77777777" w:rsidR="00C469CA" w:rsidRPr="00C469CA" w:rsidRDefault="00C469CA" w:rsidP="00C469CA">
      <w:pPr>
        <w:spacing w:line="360" w:lineRule="auto"/>
        <w:jc w:val="both"/>
        <w:rPr>
          <w:lang w:eastAsia="zh-CN"/>
        </w:rPr>
      </w:pPr>
    </w:p>
    <w:p w14:paraId="4FC17CD4" w14:textId="72EF1BD0" w:rsidR="00412514" w:rsidRPr="00C469CA" w:rsidRDefault="00C469CA" w:rsidP="00C469C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25" w:name="_Hlk88512899"/>
      <w:bookmarkStart w:id="26" w:name="_Hlk88512352"/>
      <w:bookmarkEnd w:id="20"/>
      <w:r w:rsidRPr="00C469CA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21"/>
      <w:bookmarkEnd w:id="25"/>
      <w:bookmarkEnd w:id="26"/>
      <w:r w:rsidR="00412514" w:rsidRPr="00C469CA">
        <w:rPr>
          <w:rFonts w:ascii="Book Antiqua" w:eastAsia="Book Antiqua" w:hAnsi="Book Antiqua" w:cs="Book Antiqua"/>
          <w:color w:val="000000"/>
        </w:rPr>
        <w:t xml:space="preserve"> </w:t>
      </w:r>
      <w:bookmarkEnd w:id="22"/>
      <w:r w:rsidR="00412514"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color w:val="000000"/>
        </w:rPr>
        <w:t>H,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color w:val="000000"/>
        </w:rPr>
        <w:t>Liu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color w:val="000000"/>
        </w:rPr>
        <w:t>Y</w:t>
      </w:r>
      <w:r w:rsidR="008C0CED" w:rsidRPr="00C469CA">
        <w:rPr>
          <w:rFonts w:ascii="Book Antiqua" w:eastAsia="Book Antiqua" w:hAnsi="Book Antiqua" w:cs="Book Antiqua"/>
          <w:color w:val="000000"/>
        </w:rPr>
        <w:t>C</w:t>
      </w:r>
      <w:r w:rsidR="00412514"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3838"/>
      <w:bookmarkStart w:id="28" w:name="OLE_LINK3839"/>
      <w:r w:rsidR="008C0CED" w:rsidRPr="00C469CA">
        <w:rPr>
          <w:rFonts w:ascii="Book Antiqua" w:eastAsia="Book Antiqua" w:hAnsi="Book Antiqua" w:cs="Book Antiqua"/>
          <w:color w:val="000000"/>
        </w:rPr>
        <w:t>video-assisted thoracic surgery</w:t>
      </w:r>
      <w:bookmarkEnd w:id="27"/>
      <w:bookmarkEnd w:id="28"/>
      <w:r w:rsidR="00412514" w:rsidRPr="00C469CA">
        <w:rPr>
          <w:rFonts w:ascii="Book Antiqua" w:eastAsia="Book Antiqua" w:hAnsi="Book Antiqua" w:cs="Book Antiqua"/>
          <w:color w:val="000000"/>
        </w:rPr>
        <w:t>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color w:val="000000"/>
        </w:rPr>
        <w:t>report.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C0CED" w:rsidRPr="00C469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i/>
          <w:iCs/>
          <w:color w:val="000000"/>
        </w:rPr>
        <w:t>J</w:t>
      </w:r>
      <w:r w:rsidR="008C0CED" w:rsidRPr="00C469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8C0CED" w:rsidRPr="00C469C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color w:val="000000"/>
        </w:rPr>
        <w:t>2023;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_Hlk128140518"/>
      <w:r w:rsidR="00412514" w:rsidRPr="00C469CA">
        <w:rPr>
          <w:rFonts w:ascii="Book Antiqua" w:eastAsia="Book Antiqua" w:hAnsi="Book Antiqua" w:cs="Book Antiqua"/>
          <w:color w:val="000000"/>
        </w:rPr>
        <w:t xml:space="preserve">11(8): </w:t>
      </w:r>
      <w:r w:rsidRPr="00C469CA">
        <w:rPr>
          <w:rFonts w:ascii="Book Antiqua" w:eastAsia="Book Antiqua" w:hAnsi="Book Antiqua" w:cs="Book Antiqua"/>
          <w:color w:val="000000"/>
        </w:rPr>
        <w:t>1862</w:t>
      </w:r>
      <w:r w:rsidR="00412514" w:rsidRPr="00C469CA">
        <w:rPr>
          <w:rFonts w:ascii="Book Antiqua" w:eastAsia="Book Antiqua" w:hAnsi="Book Antiqua" w:cs="Book Antiqua"/>
          <w:color w:val="000000"/>
        </w:rPr>
        <w:t>-</w:t>
      </w:r>
      <w:r w:rsidRPr="00C469CA">
        <w:rPr>
          <w:rFonts w:ascii="Book Antiqua" w:eastAsia="Book Antiqua" w:hAnsi="Book Antiqua" w:cs="Book Antiqua"/>
          <w:color w:val="000000"/>
        </w:rPr>
        <w:t>1868</w:t>
      </w:r>
    </w:p>
    <w:p w14:paraId="4CDEAC47" w14:textId="5022E39F" w:rsidR="00412514" w:rsidRPr="00C469CA" w:rsidRDefault="00412514" w:rsidP="0041251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C469CA">
        <w:rPr>
          <w:rFonts w:ascii="Book Antiqua" w:eastAsia="Book Antiqua" w:hAnsi="Book Antiqua" w:cs="Book Antiqua"/>
          <w:color w:val="000000"/>
        </w:rPr>
        <w:t>: https://www.wjgnet.com/2307-8960/full/v11/i8/</w:t>
      </w:r>
      <w:r w:rsidR="00C469CA" w:rsidRPr="00C469CA">
        <w:rPr>
          <w:rFonts w:ascii="Book Antiqua" w:eastAsia="Book Antiqua" w:hAnsi="Book Antiqua" w:cs="Book Antiqua"/>
          <w:color w:val="000000"/>
        </w:rPr>
        <w:t>1862</w:t>
      </w:r>
      <w:r w:rsidRPr="00C469CA">
        <w:rPr>
          <w:rFonts w:ascii="Book Antiqua" w:eastAsia="Book Antiqua" w:hAnsi="Book Antiqua" w:cs="Book Antiqua"/>
          <w:color w:val="000000"/>
        </w:rPr>
        <w:t>.htm</w:t>
      </w:r>
    </w:p>
    <w:p w14:paraId="1685EEF5" w14:textId="62C243CF" w:rsidR="00A77B3E" w:rsidRPr="00C469CA" w:rsidRDefault="00412514" w:rsidP="00412514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C469CA">
        <w:rPr>
          <w:rFonts w:ascii="Book Antiqua" w:eastAsia="Book Antiqua" w:hAnsi="Book Antiqua" w:cs="Book Antiqua"/>
          <w:color w:val="000000"/>
        </w:rPr>
        <w:t>: https://dx.doi.org/10.12998/wjcc.v11.i8.</w:t>
      </w:r>
      <w:bookmarkEnd w:id="29"/>
      <w:r w:rsidR="00C469CA" w:rsidRPr="00C469CA">
        <w:rPr>
          <w:rFonts w:ascii="Book Antiqua" w:eastAsia="Book Antiqua" w:hAnsi="Book Antiqua" w:cs="Book Antiqua"/>
          <w:color w:val="000000"/>
        </w:rPr>
        <w:t>1862</w:t>
      </w:r>
    </w:p>
    <w:bookmarkEnd w:id="23"/>
    <w:bookmarkEnd w:id="24"/>
    <w:p w14:paraId="2B2CDB16" w14:textId="77777777" w:rsidR="00A77B3E" w:rsidRPr="00C469CA" w:rsidRDefault="00A77B3E">
      <w:pPr>
        <w:spacing w:line="360" w:lineRule="auto"/>
        <w:jc w:val="both"/>
      </w:pPr>
    </w:p>
    <w:p w14:paraId="72DDA9AA" w14:textId="61C1D94E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30" w:name="OLE_LINK3917"/>
      <w:bookmarkStart w:id="31" w:name="OLE_LINK3918"/>
      <w:r w:rsidRPr="00C469CA">
        <w:rPr>
          <w:rFonts w:ascii="Book Antiqua" w:eastAsia="Book Antiqua" w:hAnsi="Book Antiqua" w:cs="Book Antiqua"/>
          <w:color w:val="000000"/>
        </w:rPr>
        <w:t>While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quite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common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undergoing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vagotomy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peptic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ulcers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pylorus-sparing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pancreatoduodenectomy,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few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following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video-assisted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thoracoscopic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evidence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drug-induced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electrocyte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disorder-related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dysfunction,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intraoperative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periesophageal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likely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account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Clinicians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should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keep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potential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possibility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without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direct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operation.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suffering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video-assisted thoracic surgery</w:t>
      </w:r>
      <w:r w:rsidRPr="00C469CA">
        <w:rPr>
          <w:rFonts w:ascii="Book Antiqua" w:eastAsia="Book Antiqua" w:hAnsi="Book Antiqua" w:cs="Book Antiqua"/>
          <w:color w:val="000000"/>
        </w:rPr>
        <w:t>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conservative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treatment,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including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decompression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prokinetic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medicines,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help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relieve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symptoms.</w:t>
      </w:r>
    </w:p>
    <w:bookmarkEnd w:id="30"/>
    <w:bookmarkEnd w:id="31"/>
    <w:p w14:paraId="3CC2D452" w14:textId="64BA77E6" w:rsidR="00A77B3E" w:rsidRPr="00C469CA" w:rsidRDefault="00A77B3E">
      <w:pPr>
        <w:spacing w:line="360" w:lineRule="auto"/>
        <w:jc w:val="both"/>
      </w:pPr>
    </w:p>
    <w:p w14:paraId="6096A857" w14:textId="77777777" w:rsidR="008C0CED" w:rsidRPr="00C469CA" w:rsidRDefault="008C0CED">
      <w:pPr>
        <w:spacing w:line="360" w:lineRule="auto"/>
        <w:jc w:val="both"/>
      </w:pPr>
    </w:p>
    <w:p w14:paraId="1958277B" w14:textId="7777777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5EF5D6B" w14:textId="68AB68E1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According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Global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Cancer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Statistics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2020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cancer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common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cancers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worldwide,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estimated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2.2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million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new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2020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making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up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11.4%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cancer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cases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Curative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preferred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treatment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approach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early-stage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cancer.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Over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two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decades,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video-assisted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(VATS)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become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alternative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open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thoracotomy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advantage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minimally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invasive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Compared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open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thoracotomy,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receiving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tend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experience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less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fewer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complications,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indicated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comparable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superior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oncologic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lastRenderedPageBreak/>
        <w:t>outcomes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thoracotomy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[2,3]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retrospective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study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carried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China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showed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rate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cancer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47.6%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nationwide,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some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hospitals,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rate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reached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89.7%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common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complications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following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prolonged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air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leakage,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bleeding,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infection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pain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C469CA">
        <w:rPr>
          <w:rFonts w:ascii="Book Antiqua" w:eastAsia="Book Antiqua" w:hAnsi="Book Antiqua" w:cs="Book Antiqua"/>
          <w:color w:val="000000"/>
        </w:rPr>
        <w:t>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few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experience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disorders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Pr="00C469CA">
        <w:rPr>
          <w:rFonts w:ascii="Book Antiqua" w:eastAsia="Book Antiqua" w:hAnsi="Book Antiqua" w:cs="Book Antiqua"/>
          <w:color w:val="000000"/>
        </w:rPr>
        <w:t>.</w:t>
      </w:r>
    </w:p>
    <w:p w14:paraId="2ADFB381" w14:textId="183CBD35" w:rsidR="00A77B3E" w:rsidRPr="00C469CA" w:rsidRDefault="00000000" w:rsidP="008C0CED">
      <w:pPr>
        <w:spacing w:line="360" w:lineRule="auto"/>
        <w:ind w:firstLineChars="100" w:firstLine="240"/>
        <w:jc w:val="both"/>
      </w:pP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annoying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disorder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associated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epigastric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discomfort,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abdominal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pain,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nausea,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vomiting,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bloating.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quite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common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undergoing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vagotomy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peptic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ulcers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pylorus-sparing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pancreatoduodenectomy,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few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reports demonstrating </w:t>
      </w:r>
      <w:r w:rsidRPr="00C469CA">
        <w:rPr>
          <w:rFonts w:ascii="Book Antiqua" w:eastAsia="Book Antiqua" w:hAnsi="Book Antiqua" w:cs="Book Antiqua"/>
          <w:color w:val="000000"/>
        </w:rPr>
        <w:t>delayed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emptying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following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pulmonary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Here,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lobectomy.</w:t>
      </w:r>
    </w:p>
    <w:p w14:paraId="62F62956" w14:textId="77777777" w:rsidR="00A77B3E" w:rsidRPr="00C469CA" w:rsidRDefault="00A77B3E" w:rsidP="008C0CED">
      <w:pPr>
        <w:spacing w:line="360" w:lineRule="auto"/>
        <w:jc w:val="both"/>
      </w:pPr>
    </w:p>
    <w:p w14:paraId="189CC167" w14:textId="7F3D5EDC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8C0CED"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50B45B3E" w14:textId="25DBBB5B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321D36A9" w14:textId="61D7F51C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61-year-old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complained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about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early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satiety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postprandial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fullness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F81BAE" w:rsidRPr="00C469CA">
        <w:rPr>
          <w:rFonts w:ascii="Book Antiqua" w:eastAsia="Book Antiqua" w:hAnsi="Book Antiqua" w:cs="Book Antiqua"/>
          <w:color w:val="000000"/>
        </w:rPr>
        <w:t xml:space="preserve">2 d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right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lower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lobectomy.</w:t>
      </w:r>
    </w:p>
    <w:p w14:paraId="25C6C2C5" w14:textId="77777777" w:rsidR="00A77B3E" w:rsidRPr="00C469CA" w:rsidRDefault="00A77B3E">
      <w:pPr>
        <w:spacing w:line="360" w:lineRule="auto"/>
        <w:jc w:val="both"/>
      </w:pPr>
    </w:p>
    <w:p w14:paraId="552ABD15" w14:textId="187853BD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3A4AD56" w14:textId="636F848A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drank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clear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fluid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F81BAE" w:rsidRPr="00C469CA">
        <w:rPr>
          <w:rFonts w:ascii="Book Antiqua" w:eastAsia="Book Antiqua" w:hAnsi="Book Antiqua" w:cs="Book Antiqua"/>
          <w:color w:val="000000"/>
        </w:rPr>
        <w:t>2 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first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next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morning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line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routine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our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hospital.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first,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complained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about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early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satiety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postprandial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fullness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eating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food.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Two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days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aggravated,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appeared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upper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abdominal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vomited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large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amount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yellow</w:t>
      </w:r>
      <w:r w:rsidR="008C0CED" w:rsidRPr="00C469CA">
        <w:rPr>
          <w:rFonts w:ascii="Book Antiqua" w:eastAsia="Book Antiqua" w:hAnsi="Book Antiqua" w:cs="Book Antiqua"/>
          <w:color w:val="000000"/>
        </w:rPr>
        <w:t>-</w:t>
      </w:r>
      <w:r w:rsidRPr="00C469CA">
        <w:rPr>
          <w:rFonts w:ascii="Book Antiqua" w:eastAsia="Book Antiqua" w:hAnsi="Book Antiqua" w:cs="Book Antiqua"/>
          <w:color w:val="000000"/>
        </w:rPr>
        <w:t>green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fluid.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process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disease,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exhaust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defecation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impeded.</w:t>
      </w:r>
    </w:p>
    <w:p w14:paraId="3F9AACDC" w14:textId="77777777" w:rsidR="00A77B3E" w:rsidRPr="00C469CA" w:rsidRDefault="00A77B3E">
      <w:pPr>
        <w:spacing w:line="360" w:lineRule="auto"/>
        <w:jc w:val="both"/>
      </w:pPr>
    </w:p>
    <w:p w14:paraId="2BE64DFD" w14:textId="49D51FAC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past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D4AA320" w14:textId="4B899F4E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presented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our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hospital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coughing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three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months.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chest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3840"/>
      <w:bookmarkStart w:id="33" w:name="OLE_LINK3841"/>
      <w:r w:rsidRPr="00C469CA">
        <w:rPr>
          <w:rFonts w:ascii="Book Antiqua" w:eastAsia="Book Antiqua" w:hAnsi="Book Antiqua" w:cs="Book Antiqua"/>
          <w:color w:val="000000"/>
        </w:rPr>
        <w:t>computed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tomography</w:t>
      </w:r>
      <w:bookmarkEnd w:id="32"/>
      <w:bookmarkEnd w:id="33"/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(CT)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month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before,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showed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6.0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× </w:t>
      </w:r>
      <w:r w:rsidRPr="00C469CA">
        <w:rPr>
          <w:rFonts w:ascii="Book Antiqua" w:eastAsia="Book Antiqua" w:hAnsi="Book Antiqua" w:cs="Book Antiqua"/>
          <w:color w:val="000000"/>
        </w:rPr>
        <w:t>4.4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right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lower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hilar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mediastinal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lymphadenopathy.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lastRenderedPageBreak/>
        <w:t>subsequent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bronchoscopic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pulmonary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biopsy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failed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confirm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pathological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nature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mass.</w:t>
      </w:r>
    </w:p>
    <w:p w14:paraId="7360CFA6" w14:textId="13BB8720" w:rsidR="00A77B3E" w:rsidRPr="00C469CA" w:rsidRDefault="00000000" w:rsidP="008C0CED">
      <w:pPr>
        <w:spacing w:line="360" w:lineRule="auto"/>
        <w:ind w:firstLineChars="100" w:firstLine="240"/>
        <w:jc w:val="both"/>
      </w:pPr>
      <w:r w:rsidRPr="00C469CA">
        <w:rPr>
          <w:rFonts w:ascii="Book Antiqua" w:eastAsia="Book Antiqua" w:hAnsi="Book Antiqua" w:cs="Book Antiqua"/>
          <w:color w:val="000000"/>
        </w:rPr>
        <w:t>Since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onset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6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k</w:t>
      </w:r>
      <w:r w:rsidR="008C0CED" w:rsidRPr="00C469CA">
        <w:rPr>
          <w:rFonts w:ascii="Book Antiqua" w:eastAsia="Book Antiqua" w:hAnsi="Book Antiqua" w:cs="Book Antiqua" w:hint="eastAsia"/>
          <w:color w:val="000000"/>
          <w:lang w:eastAsia="zh-CN"/>
        </w:rPr>
        <w:t>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weight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though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significant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change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diet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appetite.</w:t>
      </w:r>
    </w:p>
    <w:p w14:paraId="640B0904" w14:textId="7AAC18E1" w:rsidR="00A77B3E" w:rsidRPr="00C469CA" w:rsidRDefault="00000000" w:rsidP="008C0CED">
      <w:pPr>
        <w:spacing w:line="360" w:lineRule="auto"/>
        <w:ind w:firstLineChars="100" w:firstLine="240"/>
        <w:jc w:val="both"/>
      </w:pP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right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lower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carried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under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general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anesthesia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combined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paravertebral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block.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exposed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cavity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using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horizontal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incision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through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muscle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between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fourth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fifth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intercostal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spaces,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malignant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pleural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nodules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pleural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effusions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found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thoracoscopic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exploration.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tumor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closely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adhered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pleura,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electrocautery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dissection,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right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lower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sealed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smoothly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endoscope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linear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stapler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(PSE60-GIA,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Johnson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&amp;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Johnson,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New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Brunswick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, </w:t>
      </w:r>
      <w:r w:rsidRPr="00C469CA">
        <w:rPr>
          <w:rFonts w:ascii="Book Antiqua" w:eastAsia="Book Antiqua" w:hAnsi="Book Antiqua" w:cs="Book Antiqua"/>
          <w:color w:val="000000"/>
        </w:rPr>
        <w:t>NJ</w:t>
      </w:r>
      <w:r w:rsidR="008C0CED" w:rsidRPr="00C469CA">
        <w:rPr>
          <w:rFonts w:ascii="Book Antiqua" w:eastAsia="Book Antiqua" w:hAnsi="Book Antiqua" w:cs="Book Antiqua"/>
          <w:color w:val="000000"/>
        </w:rPr>
        <w:t>, U</w:t>
      </w:r>
      <w:r w:rsidR="008C0CED" w:rsidRPr="00C469CA">
        <w:rPr>
          <w:rFonts w:ascii="Book Antiqua" w:eastAsia="Book Antiqua" w:hAnsi="Book Antiqua" w:cs="Book Antiqua" w:hint="eastAsia"/>
          <w:color w:val="000000"/>
          <w:lang w:eastAsia="zh-CN"/>
        </w:rPr>
        <w:t>ni</w:t>
      </w:r>
      <w:r w:rsidR="008C0CED" w:rsidRPr="00C469CA">
        <w:rPr>
          <w:rFonts w:ascii="Book Antiqua" w:eastAsia="Book Antiqua" w:hAnsi="Book Antiqua" w:cs="Book Antiqua"/>
          <w:color w:val="000000"/>
          <w:lang w:eastAsia="zh-CN"/>
        </w:rPr>
        <w:t>ted S</w:t>
      </w:r>
      <w:r w:rsidR="008C0CED" w:rsidRPr="00C469CA">
        <w:rPr>
          <w:rFonts w:ascii="Book Antiqua" w:eastAsia="Book Antiqua" w:hAnsi="Book Antiqua" w:cs="Book Antiqua" w:hint="eastAsia"/>
          <w:color w:val="000000"/>
          <w:lang w:eastAsia="zh-CN"/>
        </w:rPr>
        <w:t>ta</w:t>
      </w:r>
      <w:r w:rsidR="008C0CED" w:rsidRPr="00C469CA">
        <w:rPr>
          <w:rFonts w:ascii="Book Antiqua" w:eastAsia="Book Antiqua" w:hAnsi="Book Antiqua" w:cs="Book Antiqua"/>
          <w:color w:val="000000"/>
          <w:lang w:eastAsia="zh-CN"/>
        </w:rPr>
        <w:t>tes</w:t>
      </w:r>
      <w:r w:rsidRPr="00C469CA">
        <w:rPr>
          <w:rFonts w:ascii="Book Antiqua" w:eastAsia="Book Antiqua" w:hAnsi="Book Antiqua" w:cs="Book Antiqua"/>
          <w:color w:val="000000"/>
        </w:rPr>
        <w:t>).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Subcarinal,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paraesophageal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bronchial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lymph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stations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dissected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using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monopolar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electrocautery.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performed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caution,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direct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evidence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iatrogenic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accumulated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dose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25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946"/>
      <w:bookmarkStart w:id="35" w:name="OLE_LINK947"/>
      <w:r w:rsidRPr="00C469CA">
        <w:rPr>
          <w:rFonts w:ascii="Book Antiqua" w:eastAsia="Book Antiqua" w:hAnsi="Book Antiqua" w:cs="Book Antiqua"/>
          <w:color w:val="000000"/>
        </w:rPr>
        <w:t>µ</w:t>
      </w:r>
      <w:bookmarkEnd w:id="34"/>
      <w:bookmarkEnd w:id="35"/>
      <w:r w:rsidRPr="00C469CA">
        <w:rPr>
          <w:rFonts w:ascii="Book Antiqua" w:eastAsia="Book Antiqua" w:hAnsi="Book Antiqua" w:cs="Book Antiqua"/>
          <w:color w:val="000000"/>
        </w:rPr>
        <w:t>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sufentanil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intermittently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administered,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target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concentration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remifentanil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effect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maintained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3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ng/mL.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total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duration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3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52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total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blood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300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mL.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patient-control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analgesia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sufentanil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(1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µg/mL),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programmed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deliver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2-m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L </w:t>
      </w:r>
      <w:r w:rsidRPr="00C469CA">
        <w:rPr>
          <w:rFonts w:ascii="Book Antiqua" w:eastAsia="Book Antiqua" w:hAnsi="Book Antiqua" w:cs="Book Antiqua"/>
          <w:color w:val="000000"/>
        </w:rPr>
        <w:t>boluses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lockout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interval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8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background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infusion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1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mL/h.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According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paraffin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pathological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sections,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tumor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invasive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adenocarcinoma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maximum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diameter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4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cm,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metastasis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observed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examined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lymph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nodes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(T2aN0M0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according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eighth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edition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TNM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classification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cancer)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C469CA">
        <w:rPr>
          <w:rFonts w:ascii="Book Antiqua" w:eastAsia="Book Antiqua" w:hAnsi="Book Antiqua" w:cs="Book Antiqua"/>
          <w:color w:val="000000"/>
        </w:rPr>
        <w:t>.</w:t>
      </w:r>
    </w:p>
    <w:p w14:paraId="1665C615" w14:textId="77777777" w:rsidR="00A77B3E" w:rsidRPr="00C469CA" w:rsidRDefault="00A77B3E">
      <w:pPr>
        <w:spacing w:line="360" w:lineRule="auto"/>
        <w:ind w:firstLine="480"/>
        <w:jc w:val="both"/>
      </w:pPr>
    </w:p>
    <w:p w14:paraId="596CCF1F" w14:textId="52DF4AD1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3E52BAA5" w14:textId="1E19195D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symptom-related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history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smoked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many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years.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denied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family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history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dysfunction.</w:t>
      </w:r>
    </w:p>
    <w:p w14:paraId="06CF1261" w14:textId="77777777" w:rsidR="00A77B3E" w:rsidRPr="00C469CA" w:rsidRDefault="00A77B3E">
      <w:pPr>
        <w:spacing w:line="360" w:lineRule="auto"/>
        <w:jc w:val="both"/>
      </w:pPr>
    </w:p>
    <w:p w14:paraId="5100BCD3" w14:textId="3CA34006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2458BD3A" w14:textId="29F121AD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lastRenderedPageBreak/>
        <w:t>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physical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examination,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vital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signs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follows: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body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temperature,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36.8</w:t>
      </w:r>
      <w:r w:rsidR="00F81BAE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℃;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blood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pressure,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127/68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mmHg;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heart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rate,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79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min;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respiratory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rate,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19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breaths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Furthermore,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abdominal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examination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revealed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distended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abdomen,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bowel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sounds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diminished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auscultation.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rocked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him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back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from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hip,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succussion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splash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elicited.</w:t>
      </w:r>
    </w:p>
    <w:p w14:paraId="7B6013FD" w14:textId="77777777" w:rsidR="00A77B3E" w:rsidRPr="00C469CA" w:rsidRDefault="00A77B3E">
      <w:pPr>
        <w:spacing w:line="360" w:lineRule="auto"/>
        <w:jc w:val="both"/>
      </w:pPr>
    </w:p>
    <w:p w14:paraId="2FEBBA69" w14:textId="107740E0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015B1E66" w14:textId="635D2FBE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electrolyte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levels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normal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limits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(Table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1).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abnormalities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found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routine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blood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urine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analyses.</w:t>
      </w:r>
    </w:p>
    <w:p w14:paraId="1FA9D0C6" w14:textId="77777777" w:rsidR="00A77B3E" w:rsidRPr="00C469CA" w:rsidRDefault="00A77B3E">
      <w:pPr>
        <w:spacing w:line="360" w:lineRule="auto"/>
        <w:jc w:val="both"/>
      </w:pPr>
    </w:p>
    <w:p w14:paraId="50BB0BBB" w14:textId="7F0B207E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8C0CED" w:rsidRPr="00C469C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2BDD512" w14:textId="474681D6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Emergency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abdominal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showed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multiple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effusions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esophagus,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massively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dilated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stomach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proximal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duodenum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contained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fluid.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inferior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edge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distended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stomach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reached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pelvic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cavity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(Figure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1).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iohexol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X-ray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imaging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carried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decompression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demonstrated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delayed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emptying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</w:t>
      </w:r>
      <w:r w:rsidR="00F81BAE" w:rsidRPr="00C469CA">
        <w:rPr>
          <w:rFonts w:ascii="Book Antiqua" w:eastAsia="Book Antiqua" w:hAnsi="Book Antiqua" w:cs="Book Antiqua"/>
          <w:color w:val="000000"/>
        </w:rPr>
        <w:t>10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ingestion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iohexol,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first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sign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passage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duodenum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observed,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some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contrast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F81BAE" w:rsidRPr="00C469CA">
        <w:rPr>
          <w:rFonts w:ascii="Book Antiqua" w:eastAsia="Book Antiqua" w:hAnsi="Book Antiqua" w:cs="Book Antiqua"/>
          <w:color w:val="000000"/>
        </w:rPr>
        <w:t>agent 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retained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stomach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F81BAE" w:rsidRPr="00C469CA">
        <w:rPr>
          <w:rFonts w:ascii="Book Antiqua" w:eastAsia="Book Antiqua" w:hAnsi="Book Antiqua" w:cs="Book Antiqua"/>
          <w:color w:val="000000"/>
        </w:rPr>
        <w:t>4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administration)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(Figure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2).</w:t>
      </w:r>
    </w:p>
    <w:p w14:paraId="37A3E450" w14:textId="77777777" w:rsidR="00A77B3E" w:rsidRPr="00C469CA" w:rsidRDefault="00A77B3E">
      <w:pPr>
        <w:spacing w:line="360" w:lineRule="auto"/>
        <w:jc w:val="both"/>
      </w:pPr>
    </w:p>
    <w:p w14:paraId="257AA38F" w14:textId="40DE100E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8C0CED"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6CE17E43" w14:textId="29FFFA95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patient’s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presentation,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physical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examination,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laboratory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radiographic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investigations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narrowed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working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diagnosis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digestive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tract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obstruction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acute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showed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obstructing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stenosis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tract,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diagnosis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acute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likely.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postoperative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F81BAE" w:rsidRPr="00C469CA">
        <w:rPr>
          <w:rFonts w:ascii="Book Antiqua" w:eastAsia="Book Antiqua" w:hAnsi="Book Antiqua" w:cs="Book Antiqua"/>
          <w:color w:val="000000"/>
        </w:rPr>
        <w:t>interfering 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function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sufentanil,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infused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low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dose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analgesia,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ceased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opioid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immediately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onset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dysfunction.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Drug-related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motility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disorder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less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likely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explain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marked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nausea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vomiting,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improve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drug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withdrawal.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evidence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electrolyte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imbalance,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likely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underlying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cause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surgery.</w:t>
      </w:r>
    </w:p>
    <w:p w14:paraId="21B5BDF6" w14:textId="77777777" w:rsidR="00A77B3E" w:rsidRPr="00C469CA" w:rsidRDefault="00A77B3E">
      <w:pPr>
        <w:spacing w:line="360" w:lineRule="auto"/>
        <w:jc w:val="both"/>
      </w:pPr>
    </w:p>
    <w:p w14:paraId="54455651" w14:textId="7777777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030D3400" w14:textId="1D573021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decompression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implemented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immediately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relieve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draining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2600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contents,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patient’s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improved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significantly.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Meanwhile,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interfering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F81BAE" w:rsidRPr="00C469CA">
        <w:rPr>
          <w:rFonts w:ascii="Book Antiqua" w:eastAsia="Book Antiqua" w:hAnsi="Book Antiqua" w:cs="Book Antiqua"/>
          <w:color w:val="000000"/>
        </w:rPr>
        <w:t>with 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function,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sufentanil,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ceased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immediately.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provided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parecoxib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dose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40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twice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daily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alternative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analgesia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contraindication.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Prokinetic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drugs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metoclopramide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cisapride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administered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according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instructions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enhance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patient’s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recovery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function.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Gastroenterologists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nutritionists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consulted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formulate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specific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therapy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plan.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could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tolerate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enteral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nutrition,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parenteral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support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(structolipid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compound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amino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acid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injection)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given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compensate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nutritional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supplementation.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Antiemetics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relieve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nausea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vomiting,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proton-pump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inhibitor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protect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mucosa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from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acids.</w:t>
      </w:r>
    </w:p>
    <w:p w14:paraId="2C909DEC" w14:textId="77777777" w:rsidR="00A77B3E" w:rsidRPr="00C469CA" w:rsidRDefault="00A77B3E">
      <w:pPr>
        <w:spacing w:line="360" w:lineRule="auto"/>
        <w:jc w:val="both"/>
      </w:pPr>
    </w:p>
    <w:p w14:paraId="430729DF" w14:textId="5E957AB3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8C0CED"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C0CED"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04DE3744" w14:textId="27082CBE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Six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days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later,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symptom-free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developed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progressive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feeding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tolerance.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discharged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from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hospital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10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tolerate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normal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diet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30-d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follow-up.</w:t>
      </w:r>
    </w:p>
    <w:p w14:paraId="5BFAEAB7" w14:textId="77777777" w:rsidR="00A77B3E" w:rsidRPr="00C469CA" w:rsidRDefault="00A77B3E">
      <w:pPr>
        <w:spacing w:line="360" w:lineRule="auto"/>
        <w:jc w:val="both"/>
      </w:pPr>
    </w:p>
    <w:p w14:paraId="440B6577" w14:textId="7777777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4407128" w14:textId="70751DF3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standard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treatment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curable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(clinical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stage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II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non-small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cell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cancer)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whom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evidence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mediastinal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involvement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prior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resection.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minimally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invasive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approach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treatment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early-stage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non-small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cell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cancer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decrease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complications,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especially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significant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comorbidities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[2,3,9]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lastRenderedPageBreak/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common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following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pneumonia,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few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disorders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secondary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F81BAE" w:rsidRPr="00C469C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469CA">
        <w:rPr>
          <w:rFonts w:ascii="Book Antiqua" w:eastAsia="Book Antiqua" w:hAnsi="Book Antiqua" w:cs="Book Antiqua"/>
          <w:color w:val="000000"/>
        </w:rPr>
        <w:t>.</w:t>
      </w:r>
    </w:p>
    <w:p w14:paraId="3741C6BA" w14:textId="532A2AD1" w:rsidR="00A77B3E" w:rsidRPr="00C469CA" w:rsidRDefault="00000000" w:rsidP="00F81BAE">
      <w:pPr>
        <w:spacing w:line="360" w:lineRule="auto"/>
        <w:ind w:firstLineChars="100" w:firstLine="240"/>
        <w:jc w:val="both"/>
      </w:pP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annoying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disorder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defined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delayed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emptying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absence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mechanical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obstruction,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nausea,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vomiting,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bloating,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abdominal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pain.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Diabetes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F81BAE" w:rsidRPr="00C469CA">
        <w:rPr>
          <w:rFonts w:ascii="Book Antiqua" w:eastAsia="Book Antiqua" w:hAnsi="Book Antiqua" w:cs="Book Antiqua"/>
          <w:color w:val="000000"/>
        </w:rPr>
        <w:t>glycemic control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common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etiology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normal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motor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function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tract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complex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sequence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extrinsic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supply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from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brain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spinal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cord,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complex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neuronal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plexus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other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intrinsic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enteric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pathways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wall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stomach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intestine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enteric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brain).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work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together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excitability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smooth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muscle.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Abnormalities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sequence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result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delayed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emptying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Previous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studies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some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developed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among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suffering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from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two-thirds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undergone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therapeutic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vagotomy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peptic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ulcers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Opioids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analgesia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also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aggravate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dysfunction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However,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common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opioid-related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constipation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long-term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treatment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high-dose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opioids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received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opioids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low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dose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short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duration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evidence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electrolyte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imbalance,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restricting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likely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underlying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etiology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autonomic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nervous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system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sympathetic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fibers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innervating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stomach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cause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contraction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pylorus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reduce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blood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flow,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promote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secretion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acid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relax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pyloric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sphincter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emptying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Generally,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work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together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coordinate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activity,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injured,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activity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sympathetic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will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enhanced.</w:t>
      </w:r>
    </w:p>
    <w:p w14:paraId="71719413" w14:textId="5493A02C" w:rsidR="00A77B3E" w:rsidRPr="00C469CA" w:rsidRDefault="00000000" w:rsidP="00F81BAE">
      <w:pPr>
        <w:spacing w:line="360" w:lineRule="auto"/>
        <w:ind w:firstLineChars="100" w:firstLine="240"/>
        <w:jc w:val="both"/>
      </w:pP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run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behind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root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anterior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posterior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esophageal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plexuses,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distributed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along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front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back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esophagus,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respectively.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merge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anterior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trunk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posterior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trunk,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passing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through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esophageal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hiatus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abdominal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cavity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innervating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glands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muscularis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complication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lastRenderedPageBreak/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heart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transplantation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because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high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risk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dissect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immunosuppressive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medications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progression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preexisting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motility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disorders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aggravate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dysfunction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end-stage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lung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disease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well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disturbing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function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sufentanil,</w:t>
      </w:r>
      <w:r w:rsidR="00F81BAE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infused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low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dose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ceased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immediately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onset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discomfort.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evidence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electrolyte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imbalance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previous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disorder.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likely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underlying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cause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However,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manipulation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performed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excluded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possibility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direct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neuronal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damage.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However,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likely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exposed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edema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caused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excessive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ambient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resected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paraesophageal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lymph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nodes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electrocautery.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Another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possible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reason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accounting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development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might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compressed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tiny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paraesophageal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hematoma,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would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also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influence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function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while.</w:t>
      </w:r>
    </w:p>
    <w:p w14:paraId="2D4A9A2F" w14:textId="2A24726A" w:rsidR="00A77B3E" w:rsidRPr="00C469CA" w:rsidRDefault="00000000" w:rsidP="00F81BAE">
      <w:pPr>
        <w:spacing w:line="360" w:lineRule="auto"/>
        <w:ind w:firstLineChars="100" w:firstLine="240"/>
        <w:jc w:val="both"/>
      </w:pPr>
      <w:r w:rsidRPr="00C469CA">
        <w:rPr>
          <w:rFonts w:ascii="Book Antiqua" w:eastAsia="Book Antiqua" w:hAnsi="Book Antiqua" w:cs="Book Antiqua"/>
          <w:color w:val="000000"/>
        </w:rPr>
        <w:t>Although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suffering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from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abdominal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recover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spontaneously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without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therapy,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alleviation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still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unknown.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etiology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dysfunction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reversible,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conservative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management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(such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antacid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use,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raising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bed,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frequent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small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meals)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effective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some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mild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Moreover,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prokinetics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metoclopramide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cisapride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administered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improve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emptying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enhance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recovery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function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common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etiology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intervention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considered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refractory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last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year.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Recently,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interventions,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including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pyloroplasty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gastrojejunostomy,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indicated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effective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treating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refractory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[12,19,20]</w:t>
      </w:r>
      <w:r w:rsidRPr="00C469CA">
        <w:rPr>
          <w:rFonts w:ascii="Book Antiqua" w:eastAsia="Book Antiqua" w:hAnsi="Book Antiqua" w:cs="Book Antiqua"/>
          <w:color w:val="000000"/>
        </w:rPr>
        <w:t>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However,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proportion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receiving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treatment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yet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studied.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direct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damage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patient’s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allowed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symptom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relief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decompression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nasogastric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tube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medication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metoclopramide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cisapride.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also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some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limitations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regarding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management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First,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etiology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dysfunction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putative,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impractical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assess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severity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excluding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other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causes,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intraoperative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autonomic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nervous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system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likely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etiology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patient’s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Second,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gold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standard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diagnosis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delayed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emptying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scintigraphy</w:t>
      </w:r>
      <w:r w:rsidRPr="00C469C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C469CA">
        <w:rPr>
          <w:rFonts w:ascii="Book Antiqua" w:eastAsia="Book Antiqua" w:hAnsi="Book Antiqua" w:cs="Book Antiqua"/>
          <w:color w:val="000000"/>
        </w:rPr>
        <w:t>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refused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examined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financial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reasons.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chose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iohexol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X-ray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imaging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alternative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evaluate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motility.</w:t>
      </w:r>
    </w:p>
    <w:p w14:paraId="2209CB87" w14:textId="77777777" w:rsidR="00A77B3E" w:rsidRPr="00C469CA" w:rsidRDefault="00A77B3E" w:rsidP="00F81BAE">
      <w:pPr>
        <w:spacing w:line="360" w:lineRule="auto"/>
        <w:jc w:val="both"/>
      </w:pPr>
    </w:p>
    <w:p w14:paraId="6CD1B456" w14:textId="7777777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002D38" w14:textId="5AB268EA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article,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lobectomy.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most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likely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etiology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patient’s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postoperative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indirect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injury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procedure,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direct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manipulation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vagal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nerves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performed,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but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neuronal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edema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caused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electrocautery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compression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tiny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hematoma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might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account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transient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dysfunction.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suffering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severe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nausea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vomiting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surgery,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gastroparesis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should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considered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exhaustive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inspection.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Early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detection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early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treatment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vital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recovery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gastrointestinal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function.</w:t>
      </w:r>
    </w:p>
    <w:p w14:paraId="0BF35DD3" w14:textId="77777777" w:rsidR="00A77B3E" w:rsidRPr="00C469CA" w:rsidRDefault="00A77B3E">
      <w:pPr>
        <w:spacing w:line="360" w:lineRule="auto"/>
        <w:jc w:val="both"/>
      </w:pPr>
    </w:p>
    <w:p w14:paraId="12632FA9" w14:textId="7777777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REFERENCES</w:t>
      </w:r>
    </w:p>
    <w:p w14:paraId="6605B9B9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bookmarkStart w:id="36" w:name="OLE_LINK940"/>
      <w:bookmarkStart w:id="37" w:name="OLE_LINK941"/>
      <w:r w:rsidRPr="00C469CA">
        <w:rPr>
          <w:rFonts w:ascii="Book Antiqua" w:hAnsi="Book Antiqua"/>
        </w:rPr>
        <w:t xml:space="preserve">1 </w:t>
      </w:r>
      <w:r w:rsidRPr="00C469CA">
        <w:rPr>
          <w:rFonts w:ascii="Book Antiqua" w:hAnsi="Book Antiqua"/>
          <w:b/>
          <w:bCs/>
        </w:rPr>
        <w:t>Sung H</w:t>
      </w:r>
      <w:r w:rsidRPr="00C469CA">
        <w:rPr>
          <w:rFonts w:ascii="Book Antiqua" w:hAnsi="Book Antiqua"/>
        </w:rPr>
        <w:t xml:space="preserve">, Ferlay J, Siegel RL, Laversanne M, Soerjomataram I, Jemal A, Bray F. Global Cancer Statistics 2020: GLOBOCAN Estimates of Incidence and Mortality Worldwide for 36 Cancers in 185 Countries. </w:t>
      </w:r>
      <w:r w:rsidRPr="00C469CA">
        <w:rPr>
          <w:rFonts w:ascii="Book Antiqua" w:hAnsi="Book Antiqua"/>
          <w:i/>
          <w:iCs/>
        </w:rPr>
        <w:t>CA Cancer J Clin</w:t>
      </w:r>
      <w:r w:rsidRPr="00C469CA">
        <w:rPr>
          <w:rFonts w:ascii="Book Antiqua" w:hAnsi="Book Antiqua"/>
        </w:rPr>
        <w:t xml:space="preserve"> 2021; </w:t>
      </w:r>
      <w:r w:rsidRPr="00C469CA">
        <w:rPr>
          <w:rFonts w:ascii="Book Antiqua" w:hAnsi="Book Antiqua"/>
          <w:b/>
          <w:bCs/>
        </w:rPr>
        <w:t>71</w:t>
      </w:r>
      <w:r w:rsidRPr="00C469CA">
        <w:rPr>
          <w:rFonts w:ascii="Book Antiqua" w:hAnsi="Book Antiqua"/>
        </w:rPr>
        <w:t>: 209-249 [PMID: 33538338 DOI: 10.3322/caac.21660]</w:t>
      </w:r>
    </w:p>
    <w:p w14:paraId="04B2ED70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2 </w:t>
      </w:r>
      <w:r w:rsidRPr="00C469CA">
        <w:rPr>
          <w:rFonts w:ascii="Book Antiqua" w:hAnsi="Book Antiqua"/>
          <w:b/>
          <w:bCs/>
        </w:rPr>
        <w:t>Yan TD</w:t>
      </w:r>
      <w:r w:rsidRPr="00C469CA">
        <w:rPr>
          <w:rFonts w:ascii="Book Antiqua" w:hAnsi="Book Antiqua"/>
        </w:rPr>
        <w:t xml:space="preserve">, Cao C, D'Amico TA, Demmy TL, He J, Hansen H, Swanson SJ, Walker WS; International VATS Lobectomy Consensus Group. Video-assisted thoracoscopic surgery lobectomy at 20 years: a consensus statement. </w:t>
      </w:r>
      <w:r w:rsidRPr="00C469CA">
        <w:rPr>
          <w:rFonts w:ascii="Book Antiqua" w:hAnsi="Book Antiqua"/>
          <w:i/>
          <w:iCs/>
        </w:rPr>
        <w:t>Eur J Cardiothorac Surg</w:t>
      </w:r>
      <w:r w:rsidRPr="00C469CA">
        <w:rPr>
          <w:rFonts w:ascii="Book Antiqua" w:hAnsi="Book Antiqua"/>
        </w:rPr>
        <w:t xml:space="preserve"> 2014; </w:t>
      </w:r>
      <w:r w:rsidRPr="00C469CA">
        <w:rPr>
          <w:rFonts w:ascii="Book Antiqua" w:hAnsi="Book Antiqua"/>
          <w:b/>
          <w:bCs/>
        </w:rPr>
        <w:t>45</w:t>
      </w:r>
      <w:r w:rsidRPr="00C469CA">
        <w:rPr>
          <w:rFonts w:ascii="Book Antiqua" w:hAnsi="Book Antiqua"/>
        </w:rPr>
        <w:t>: 633-639 [PMID: 24130372 DOI: 10.1093/ejcts/ezt463]</w:t>
      </w:r>
    </w:p>
    <w:p w14:paraId="5F4BA57F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lastRenderedPageBreak/>
        <w:t xml:space="preserve">3 </w:t>
      </w:r>
      <w:r w:rsidRPr="00C469CA">
        <w:rPr>
          <w:rFonts w:ascii="Book Antiqua" w:hAnsi="Book Antiqua"/>
          <w:b/>
          <w:bCs/>
        </w:rPr>
        <w:t>Klapper J</w:t>
      </w:r>
      <w:r w:rsidRPr="00C469CA">
        <w:rPr>
          <w:rFonts w:ascii="Book Antiqua" w:hAnsi="Book Antiqua"/>
        </w:rPr>
        <w:t xml:space="preserve">, D'Amico TA. VATS versus open surgery for lung cancer resection: moving toward a minimally invasive approach. </w:t>
      </w:r>
      <w:r w:rsidRPr="00C469CA">
        <w:rPr>
          <w:rFonts w:ascii="Book Antiqua" w:hAnsi="Book Antiqua"/>
          <w:i/>
          <w:iCs/>
        </w:rPr>
        <w:t>J Natl Compr Canc Netw</w:t>
      </w:r>
      <w:r w:rsidRPr="00C469CA">
        <w:rPr>
          <w:rFonts w:ascii="Book Antiqua" w:hAnsi="Book Antiqua"/>
        </w:rPr>
        <w:t xml:space="preserve"> 2015; </w:t>
      </w:r>
      <w:r w:rsidRPr="00C469CA">
        <w:rPr>
          <w:rFonts w:ascii="Book Antiqua" w:hAnsi="Book Antiqua"/>
          <w:b/>
          <w:bCs/>
        </w:rPr>
        <w:t>13</w:t>
      </w:r>
      <w:r w:rsidRPr="00C469CA">
        <w:rPr>
          <w:rFonts w:ascii="Book Antiqua" w:hAnsi="Book Antiqua"/>
        </w:rPr>
        <w:t>: 162-164 [PMID: 25691607 DOI: 10.6004/jnccn.2015.0023]</w:t>
      </w:r>
    </w:p>
    <w:p w14:paraId="7418E1BC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4 </w:t>
      </w:r>
      <w:r w:rsidRPr="00C469CA">
        <w:rPr>
          <w:rFonts w:ascii="Book Antiqua" w:hAnsi="Book Antiqua"/>
          <w:b/>
          <w:bCs/>
        </w:rPr>
        <w:t>Cai J</w:t>
      </w:r>
      <w:r w:rsidRPr="00C469CA">
        <w:rPr>
          <w:rFonts w:ascii="Book Antiqua" w:hAnsi="Book Antiqua"/>
        </w:rPr>
        <w:t xml:space="preserve">, Zhou J, Yang F, Wang J. Adoption Rate of Video-Assisted Thoracic Surgery for Lung Cancer Varies Widely in China. </w:t>
      </w:r>
      <w:r w:rsidRPr="00C469CA">
        <w:rPr>
          <w:rFonts w:ascii="Book Antiqua" w:hAnsi="Book Antiqua"/>
          <w:i/>
          <w:iCs/>
        </w:rPr>
        <w:t>Chest</w:t>
      </w:r>
      <w:r w:rsidRPr="00C469CA">
        <w:rPr>
          <w:rFonts w:ascii="Book Antiqua" w:hAnsi="Book Antiqua"/>
        </w:rPr>
        <w:t xml:space="preserve"> 2018; </w:t>
      </w:r>
      <w:r w:rsidRPr="00C469CA">
        <w:rPr>
          <w:rFonts w:ascii="Book Antiqua" w:hAnsi="Book Antiqua"/>
          <w:b/>
          <w:bCs/>
        </w:rPr>
        <w:t>153</w:t>
      </w:r>
      <w:r w:rsidRPr="00C469CA">
        <w:rPr>
          <w:rFonts w:ascii="Book Antiqua" w:hAnsi="Book Antiqua"/>
        </w:rPr>
        <w:t>: 1073-1075 [PMID: 29626953 DOI: 10.1016/j.chest.2017.12.027]</w:t>
      </w:r>
    </w:p>
    <w:p w14:paraId="7998D903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5 </w:t>
      </w:r>
      <w:r w:rsidRPr="00C469CA">
        <w:rPr>
          <w:rFonts w:ascii="Book Antiqua" w:hAnsi="Book Antiqua"/>
          <w:b/>
          <w:bCs/>
        </w:rPr>
        <w:t>Imperatori A</w:t>
      </w:r>
      <w:r w:rsidRPr="00C469CA">
        <w:rPr>
          <w:rFonts w:ascii="Book Antiqua" w:hAnsi="Book Antiqua"/>
        </w:rPr>
        <w:t xml:space="preserve">, Rotolo N, Gatti M, Nardecchia E, De Monte L, Conti V, Dominioni L. Peri-operative complications of video-assisted thoracoscopic surgery (VATS). </w:t>
      </w:r>
      <w:r w:rsidRPr="00C469CA">
        <w:rPr>
          <w:rFonts w:ascii="Book Antiqua" w:hAnsi="Book Antiqua"/>
          <w:i/>
          <w:iCs/>
        </w:rPr>
        <w:t>Int J Surg</w:t>
      </w:r>
      <w:r w:rsidRPr="00C469CA">
        <w:rPr>
          <w:rFonts w:ascii="Book Antiqua" w:hAnsi="Book Antiqua"/>
        </w:rPr>
        <w:t xml:space="preserve"> 2008; </w:t>
      </w:r>
      <w:r w:rsidRPr="00C469CA">
        <w:rPr>
          <w:rFonts w:ascii="Book Antiqua" w:hAnsi="Book Antiqua"/>
          <w:b/>
          <w:bCs/>
        </w:rPr>
        <w:t xml:space="preserve">6 </w:t>
      </w:r>
      <w:r w:rsidRPr="00C469CA">
        <w:rPr>
          <w:rFonts w:ascii="Book Antiqua" w:hAnsi="Book Antiqua"/>
        </w:rPr>
        <w:t>Suppl 1: S78-S81 [PMID: 19186114 DOI: 10.1016/j.ijsu.2008.12.014]</w:t>
      </w:r>
    </w:p>
    <w:p w14:paraId="77CA41B2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6 </w:t>
      </w:r>
      <w:r w:rsidRPr="00C469CA">
        <w:rPr>
          <w:rFonts w:ascii="Book Antiqua" w:hAnsi="Book Antiqua"/>
          <w:b/>
          <w:bCs/>
        </w:rPr>
        <w:t>Burel J</w:t>
      </w:r>
      <w:r w:rsidRPr="00C469CA">
        <w:rPr>
          <w:rFonts w:ascii="Book Antiqua" w:hAnsi="Book Antiqua"/>
        </w:rPr>
        <w:t xml:space="preserve">, El Ayoubi M, Baste JM, Garnier M, Montagne F, Dacher JN, Demeyere M. Surgery for lung cancer: postoperative changes and complications-what the Radiologist needs to know. </w:t>
      </w:r>
      <w:r w:rsidRPr="00C469CA">
        <w:rPr>
          <w:rFonts w:ascii="Book Antiqua" w:hAnsi="Book Antiqua"/>
          <w:i/>
          <w:iCs/>
        </w:rPr>
        <w:t>Insights Imaging</w:t>
      </w:r>
      <w:r w:rsidRPr="00C469CA">
        <w:rPr>
          <w:rFonts w:ascii="Book Antiqua" w:hAnsi="Book Antiqua"/>
        </w:rPr>
        <w:t xml:space="preserve"> 2021; </w:t>
      </w:r>
      <w:r w:rsidRPr="00C469CA">
        <w:rPr>
          <w:rFonts w:ascii="Book Antiqua" w:hAnsi="Book Antiqua"/>
          <w:b/>
          <w:bCs/>
        </w:rPr>
        <w:t>12</w:t>
      </w:r>
      <w:r w:rsidRPr="00C469CA">
        <w:rPr>
          <w:rFonts w:ascii="Book Antiqua" w:hAnsi="Book Antiqua"/>
        </w:rPr>
        <w:t>: 116 [PMID: 34383170 DOI: 10.1186/s13244-021-01047-w]</w:t>
      </w:r>
    </w:p>
    <w:p w14:paraId="25474260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7 </w:t>
      </w:r>
      <w:r w:rsidRPr="00C469CA">
        <w:rPr>
          <w:rFonts w:ascii="Book Antiqua" w:hAnsi="Book Antiqua"/>
          <w:b/>
          <w:bCs/>
        </w:rPr>
        <w:t>Bédat B</w:t>
      </w:r>
      <w:r w:rsidRPr="00C469CA">
        <w:rPr>
          <w:rFonts w:ascii="Book Antiqua" w:hAnsi="Book Antiqua"/>
        </w:rPr>
        <w:t xml:space="preserve">, Abdelnour-Berchtold E, Perneger T, Licker MJ, Stefani A, Krull M, Perentes JY, Krueger T, Triponez F, Karenovics W, Gonzalez M. Comparison of postoperative complications between segmentectomy and lobectomy by video-assisted thoracic surgery: a multicenter study. </w:t>
      </w:r>
      <w:r w:rsidRPr="00C469CA">
        <w:rPr>
          <w:rFonts w:ascii="Book Antiqua" w:hAnsi="Book Antiqua"/>
          <w:i/>
          <w:iCs/>
        </w:rPr>
        <w:t>J Cardiothorac Surg</w:t>
      </w:r>
      <w:r w:rsidRPr="00C469CA">
        <w:rPr>
          <w:rFonts w:ascii="Book Antiqua" w:hAnsi="Book Antiqua"/>
        </w:rPr>
        <w:t xml:space="preserve"> 2019; </w:t>
      </w:r>
      <w:r w:rsidRPr="00C469CA">
        <w:rPr>
          <w:rFonts w:ascii="Book Antiqua" w:hAnsi="Book Antiqua"/>
          <w:b/>
          <w:bCs/>
        </w:rPr>
        <w:t>14</w:t>
      </w:r>
      <w:r w:rsidRPr="00C469CA">
        <w:rPr>
          <w:rFonts w:ascii="Book Antiqua" w:hAnsi="Book Antiqua"/>
        </w:rPr>
        <w:t>: 189 [PMID: 31699121 DOI: 10.1186/s13019-019-1021-9]</w:t>
      </w:r>
    </w:p>
    <w:p w14:paraId="39CA2854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8 </w:t>
      </w:r>
      <w:r w:rsidRPr="00C469CA">
        <w:rPr>
          <w:rFonts w:ascii="Book Antiqua" w:hAnsi="Book Antiqua"/>
          <w:b/>
          <w:bCs/>
        </w:rPr>
        <w:t>Rami-Porta R</w:t>
      </w:r>
      <w:r w:rsidRPr="00C469CA">
        <w:rPr>
          <w:rFonts w:ascii="Book Antiqua" w:hAnsi="Book Antiqua"/>
        </w:rPr>
        <w:t xml:space="preserve">, Asamura H, Travis WD, Rusch VW. Lung cancer - major changes in the American Joint Committee on Cancer eighth edition cancer staging manual. </w:t>
      </w:r>
      <w:r w:rsidRPr="00C469CA">
        <w:rPr>
          <w:rFonts w:ascii="Book Antiqua" w:hAnsi="Book Antiqua"/>
          <w:i/>
          <w:iCs/>
        </w:rPr>
        <w:t>CA Cancer J Clin</w:t>
      </w:r>
      <w:r w:rsidRPr="00C469CA">
        <w:rPr>
          <w:rFonts w:ascii="Book Antiqua" w:hAnsi="Book Antiqua"/>
        </w:rPr>
        <w:t xml:space="preserve"> 2017; </w:t>
      </w:r>
      <w:r w:rsidRPr="00C469CA">
        <w:rPr>
          <w:rFonts w:ascii="Book Antiqua" w:hAnsi="Book Antiqua"/>
          <w:b/>
          <w:bCs/>
        </w:rPr>
        <w:t>67</w:t>
      </w:r>
      <w:r w:rsidRPr="00C469CA">
        <w:rPr>
          <w:rFonts w:ascii="Book Antiqua" w:hAnsi="Book Antiqua"/>
        </w:rPr>
        <w:t>: 138-155 [PMID: 28140453 DOI: 10.3322/caac.21390]</w:t>
      </w:r>
    </w:p>
    <w:p w14:paraId="1B79F4FC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9 </w:t>
      </w:r>
      <w:r w:rsidRPr="00C469CA">
        <w:rPr>
          <w:rFonts w:ascii="Book Antiqua" w:hAnsi="Book Antiqua"/>
          <w:b/>
          <w:bCs/>
        </w:rPr>
        <w:t>Cheng AM</w:t>
      </w:r>
      <w:r w:rsidRPr="00C469CA">
        <w:rPr>
          <w:rFonts w:ascii="Book Antiqua" w:hAnsi="Book Antiqua"/>
        </w:rPr>
        <w:t xml:space="preserve">, Wood DE. VATS versus open surgery for lung cancer resection: moving beyond the incision. </w:t>
      </w:r>
      <w:r w:rsidRPr="00C469CA">
        <w:rPr>
          <w:rFonts w:ascii="Book Antiqua" w:hAnsi="Book Antiqua"/>
          <w:i/>
          <w:iCs/>
        </w:rPr>
        <w:t>J Natl Compr Canc Netw</w:t>
      </w:r>
      <w:r w:rsidRPr="00C469CA">
        <w:rPr>
          <w:rFonts w:ascii="Book Antiqua" w:hAnsi="Book Antiqua"/>
        </w:rPr>
        <w:t xml:space="preserve"> 2015; </w:t>
      </w:r>
      <w:r w:rsidRPr="00C469CA">
        <w:rPr>
          <w:rFonts w:ascii="Book Antiqua" w:hAnsi="Book Antiqua"/>
          <w:b/>
          <w:bCs/>
        </w:rPr>
        <w:t>13</w:t>
      </w:r>
      <w:r w:rsidRPr="00C469CA">
        <w:rPr>
          <w:rFonts w:ascii="Book Antiqua" w:hAnsi="Book Antiqua"/>
        </w:rPr>
        <w:t>: 166-170 [PMID: 25691608 DOI: 10.6004/jnccn.2015.0024]</w:t>
      </w:r>
    </w:p>
    <w:p w14:paraId="30B8328D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10 </w:t>
      </w:r>
      <w:r w:rsidRPr="00C469CA">
        <w:rPr>
          <w:rFonts w:ascii="Book Antiqua" w:hAnsi="Book Antiqua"/>
          <w:b/>
          <w:bCs/>
        </w:rPr>
        <w:t>Sharayah AM</w:t>
      </w:r>
      <w:r w:rsidRPr="00C469CA">
        <w:rPr>
          <w:rFonts w:ascii="Book Antiqua" w:hAnsi="Book Antiqua"/>
        </w:rPr>
        <w:t xml:space="preserve">, Hajjaj N, Osman R, Livornese D. Gastroparesis in a patient with diabetic ketoacidosis. </w:t>
      </w:r>
      <w:r w:rsidRPr="00C469CA">
        <w:rPr>
          <w:rFonts w:ascii="Book Antiqua" w:hAnsi="Book Antiqua"/>
          <w:i/>
          <w:iCs/>
        </w:rPr>
        <w:t>Cleve Clin J Med</w:t>
      </w:r>
      <w:r w:rsidRPr="00C469CA">
        <w:rPr>
          <w:rFonts w:ascii="Book Antiqua" w:hAnsi="Book Antiqua"/>
        </w:rPr>
        <w:t xml:space="preserve"> 2019; </w:t>
      </w:r>
      <w:r w:rsidRPr="00C469CA">
        <w:rPr>
          <w:rFonts w:ascii="Book Antiqua" w:hAnsi="Book Antiqua"/>
          <w:b/>
          <w:bCs/>
        </w:rPr>
        <w:t>86</w:t>
      </w:r>
      <w:r w:rsidRPr="00C469CA">
        <w:rPr>
          <w:rFonts w:ascii="Book Antiqua" w:hAnsi="Book Antiqua"/>
        </w:rPr>
        <w:t>: 238-239 [PMID: 30951455 DOI: 10.3949/ccjm.86a.18116]</w:t>
      </w:r>
    </w:p>
    <w:p w14:paraId="25781E3F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lastRenderedPageBreak/>
        <w:t xml:space="preserve">11 </w:t>
      </w:r>
      <w:r w:rsidRPr="00C469CA">
        <w:rPr>
          <w:rFonts w:ascii="Book Antiqua" w:hAnsi="Book Antiqua"/>
          <w:b/>
          <w:bCs/>
        </w:rPr>
        <w:t>Lacy BE</w:t>
      </w:r>
      <w:r w:rsidRPr="00C469CA">
        <w:rPr>
          <w:rFonts w:ascii="Book Antiqua" w:hAnsi="Book Antiqua"/>
        </w:rPr>
        <w:t xml:space="preserve">, Parkman HP, Camilleri M. Chronic nausea and vomiting: evaluation and treatment. </w:t>
      </w:r>
      <w:r w:rsidRPr="00C469CA">
        <w:rPr>
          <w:rFonts w:ascii="Book Antiqua" w:hAnsi="Book Antiqua"/>
          <w:i/>
          <w:iCs/>
        </w:rPr>
        <w:t>Am J Gastroenterol</w:t>
      </w:r>
      <w:r w:rsidRPr="00C469CA">
        <w:rPr>
          <w:rFonts w:ascii="Book Antiqua" w:hAnsi="Book Antiqua"/>
        </w:rPr>
        <w:t xml:space="preserve"> 2018; </w:t>
      </w:r>
      <w:r w:rsidRPr="00C469CA">
        <w:rPr>
          <w:rFonts w:ascii="Book Antiqua" w:hAnsi="Book Antiqua"/>
          <w:b/>
          <w:bCs/>
        </w:rPr>
        <w:t>113</w:t>
      </w:r>
      <w:r w:rsidRPr="00C469CA">
        <w:rPr>
          <w:rFonts w:ascii="Book Antiqua" w:hAnsi="Book Antiqua"/>
        </w:rPr>
        <w:t>: 647-659 [PMID: 29545633 DOI: 10.1038/s41395-018-0039-2]</w:t>
      </w:r>
    </w:p>
    <w:p w14:paraId="0C2D1442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12 </w:t>
      </w:r>
      <w:r w:rsidRPr="00C469CA">
        <w:rPr>
          <w:rFonts w:ascii="Book Antiqua" w:hAnsi="Book Antiqua"/>
          <w:b/>
          <w:bCs/>
        </w:rPr>
        <w:t>Shafi MA</w:t>
      </w:r>
      <w:r w:rsidRPr="00C469CA">
        <w:rPr>
          <w:rFonts w:ascii="Book Antiqua" w:hAnsi="Book Antiqua"/>
        </w:rPr>
        <w:t xml:space="preserve">, Pasricha PJ. Post-surgical and obstructive gastroparesis. </w:t>
      </w:r>
      <w:r w:rsidRPr="00C469CA">
        <w:rPr>
          <w:rFonts w:ascii="Book Antiqua" w:hAnsi="Book Antiqua"/>
          <w:i/>
          <w:iCs/>
        </w:rPr>
        <w:t>Curr Gastroenterol Rep</w:t>
      </w:r>
      <w:r w:rsidRPr="00C469CA">
        <w:rPr>
          <w:rFonts w:ascii="Book Antiqua" w:hAnsi="Book Antiqua"/>
        </w:rPr>
        <w:t xml:space="preserve"> 2007; </w:t>
      </w:r>
      <w:r w:rsidRPr="00C469CA">
        <w:rPr>
          <w:rFonts w:ascii="Book Antiqua" w:hAnsi="Book Antiqua"/>
          <w:b/>
          <w:bCs/>
        </w:rPr>
        <w:t>9</w:t>
      </w:r>
      <w:r w:rsidRPr="00C469CA">
        <w:rPr>
          <w:rFonts w:ascii="Book Antiqua" w:hAnsi="Book Antiqua"/>
        </w:rPr>
        <w:t>: 280-285 [PMID: 17883974 DOI: 10.1007/s11894-007-0031-2]</w:t>
      </w:r>
    </w:p>
    <w:p w14:paraId="386ED263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13 </w:t>
      </w:r>
      <w:r w:rsidRPr="00C469CA">
        <w:rPr>
          <w:rFonts w:ascii="Book Antiqua" w:hAnsi="Book Antiqua"/>
          <w:b/>
          <w:bCs/>
        </w:rPr>
        <w:t>Bianchi G</w:t>
      </w:r>
      <w:r w:rsidRPr="00C469CA">
        <w:rPr>
          <w:rFonts w:ascii="Book Antiqua" w:hAnsi="Book Antiqua"/>
        </w:rPr>
        <w:t xml:space="preserve">, Ferretti P, Recchia M, Rocchetti M, Tavani A, Manara L. Morphine tissue levels and reduction of gastrointestinal transit in rats. Correlation supports primary action site in the gut. </w:t>
      </w:r>
      <w:r w:rsidRPr="00C469CA">
        <w:rPr>
          <w:rFonts w:ascii="Book Antiqua" w:hAnsi="Book Antiqua"/>
          <w:i/>
          <w:iCs/>
        </w:rPr>
        <w:t>Gastroenterology</w:t>
      </w:r>
      <w:r w:rsidRPr="00C469CA">
        <w:rPr>
          <w:rFonts w:ascii="Book Antiqua" w:hAnsi="Book Antiqua"/>
        </w:rPr>
        <w:t xml:space="preserve"> 1983; </w:t>
      </w:r>
      <w:r w:rsidRPr="00C469CA">
        <w:rPr>
          <w:rFonts w:ascii="Book Antiqua" w:hAnsi="Book Antiqua"/>
          <w:b/>
          <w:bCs/>
        </w:rPr>
        <w:t>85</w:t>
      </w:r>
      <w:r w:rsidRPr="00C469CA">
        <w:rPr>
          <w:rFonts w:ascii="Book Antiqua" w:hAnsi="Book Antiqua"/>
        </w:rPr>
        <w:t>: 852-858 [PMID: 6193028]</w:t>
      </w:r>
    </w:p>
    <w:p w14:paraId="0E89F277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14 </w:t>
      </w:r>
      <w:r w:rsidRPr="00C469CA">
        <w:rPr>
          <w:rFonts w:ascii="Book Antiqua" w:hAnsi="Book Antiqua"/>
          <w:b/>
          <w:bCs/>
        </w:rPr>
        <w:t>Balbale SN</w:t>
      </w:r>
      <w:r w:rsidRPr="00C469CA">
        <w:rPr>
          <w:rFonts w:ascii="Book Antiqua" w:hAnsi="Book Antiqua"/>
        </w:rPr>
        <w:t xml:space="preserve">, Cao L, Trivedi I, Stulberg JJ, Suda KJ, Gellad WF, Evans CT, Lambert BL, Jordan N, Keefer LA. High-Dose Opioid Use Among Veterans with Unexplained Gastrointestinal Symptoms Versus Structural Gastrointestinal Diagnoses. </w:t>
      </w:r>
      <w:r w:rsidRPr="00C469CA">
        <w:rPr>
          <w:rFonts w:ascii="Book Antiqua" w:hAnsi="Book Antiqua"/>
          <w:i/>
          <w:iCs/>
        </w:rPr>
        <w:t>Dig Dis Sci</w:t>
      </w:r>
      <w:r w:rsidRPr="00C469CA">
        <w:rPr>
          <w:rFonts w:ascii="Book Antiqua" w:hAnsi="Book Antiqua"/>
        </w:rPr>
        <w:t xml:space="preserve"> 2021; </w:t>
      </w:r>
      <w:r w:rsidRPr="00C469CA">
        <w:rPr>
          <w:rFonts w:ascii="Book Antiqua" w:hAnsi="Book Antiqua"/>
          <w:b/>
          <w:bCs/>
        </w:rPr>
        <w:t>66</w:t>
      </w:r>
      <w:r w:rsidRPr="00C469CA">
        <w:rPr>
          <w:rFonts w:ascii="Book Antiqua" w:hAnsi="Book Antiqua"/>
        </w:rPr>
        <w:t>: 3938-3950 [PMID: 33385263 DOI: 10.1007/s10620-020-06742-0]</w:t>
      </w:r>
    </w:p>
    <w:p w14:paraId="5D27722E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15 </w:t>
      </w:r>
      <w:r w:rsidRPr="00C469CA">
        <w:rPr>
          <w:rFonts w:ascii="Book Antiqua" w:hAnsi="Book Antiqua"/>
          <w:b/>
          <w:bCs/>
        </w:rPr>
        <w:t>Bell TJ</w:t>
      </w:r>
      <w:r w:rsidRPr="00C469CA">
        <w:rPr>
          <w:rFonts w:ascii="Book Antiqua" w:hAnsi="Book Antiqua"/>
        </w:rPr>
        <w:t xml:space="preserve">, Panchal SJ, Miaskowski C, Bolge SC, Milanova T, Williamson R. The prevalence, severity, and impact of opioid-induced bowel dysfunction: results of a US and European Patient Survey (PROBE 1). </w:t>
      </w:r>
      <w:r w:rsidRPr="00C469CA">
        <w:rPr>
          <w:rFonts w:ascii="Book Antiqua" w:hAnsi="Book Antiqua"/>
          <w:i/>
          <w:iCs/>
        </w:rPr>
        <w:t>Pain Med</w:t>
      </w:r>
      <w:r w:rsidRPr="00C469CA">
        <w:rPr>
          <w:rFonts w:ascii="Book Antiqua" w:hAnsi="Book Antiqua"/>
        </w:rPr>
        <w:t xml:space="preserve"> 2009; </w:t>
      </w:r>
      <w:r w:rsidRPr="00C469CA">
        <w:rPr>
          <w:rFonts w:ascii="Book Antiqua" w:hAnsi="Book Antiqua"/>
          <w:b/>
          <w:bCs/>
        </w:rPr>
        <w:t>10</w:t>
      </w:r>
      <w:r w:rsidRPr="00C469CA">
        <w:rPr>
          <w:rFonts w:ascii="Book Antiqua" w:hAnsi="Book Antiqua"/>
        </w:rPr>
        <w:t>: 35-42 [PMID: 18721170 DOI: 10.1111/j.1526-4637.2008.00495.x]</w:t>
      </w:r>
    </w:p>
    <w:p w14:paraId="4D543C55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16 </w:t>
      </w:r>
      <w:r w:rsidRPr="00C469CA">
        <w:rPr>
          <w:rFonts w:ascii="Book Antiqua" w:hAnsi="Book Antiqua"/>
          <w:b/>
          <w:bCs/>
        </w:rPr>
        <w:t>Gillespie JS</w:t>
      </w:r>
      <w:r w:rsidRPr="00C469CA">
        <w:rPr>
          <w:rFonts w:ascii="Book Antiqua" w:hAnsi="Book Antiqua"/>
        </w:rPr>
        <w:t xml:space="preserve">, Maxwell JD. Adrenergic innervation of sphincteric and nonsphincteric smooth muscle in the rat intestine. </w:t>
      </w:r>
      <w:r w:rsidRPr="00C469CA">
        <w:rPr>
          <w:rFonts w:ascii="Book Antiqua" w:hAnsi="Book Antiqua"/>
          <w:i/>
          <w:iCs/>
        </w:rPr>
        <w:t>J Histochem Cytochem</w:t>
      </w:r>
      <w:r w:rsidRPr="00C469CA">
        <w:rPr>
          <w:rFonts w:ascii="Book Antiqua" w:hAnsi="Book Antiqua"/>
        </w:rPr>
        <w:t xml:space="preserve"> 1971; </w:t>
      </w:r>
      <w:r w:rsidRPr="00C469CA">
        <w:rPr>
          <w:rFonts w:ascii="Book Antiqua" w:hAnsi="Book Antiqua"/>
          <w:b/>
          <w:bCs/>
        </w:rPr>
        <w:t>19</w:t>
      </w:r>
      <w:r w:rsidRPr="00C469CA">
        <w:rPr>
          <w:rFonts w:ascii="Book Antiqua" w:hAnsi="Book Antiqua"/>
        </w:rPr>
        <w:t>: 676-681 [PMID: 5121868 DOI: 10.1177/19.11.676]</w:t>
      </w:r>
    </w:p>
    <w:p w14:paraId="339B58C1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17 </w:t>
      </w:r>
      <w:r w:rsidRPr="00C469CA">
        <w:rPr>
          <w:rFonts w:ascii="Book Antiqua" w:hAnsi="Book Antiqua"/>
          <w:b/>
          <w:bCs/>
        </w:rPr>
        <w:t>Jackson RG</w:t>
      </w:r>
      <w:r w:rsidRPr="00C469CA">
        <w:rPr>
          <w:rFonts w:ascii="Book Antiqua" w:hAnsi="Book Antiqua"/>
        </w:rPr>
        <w:t xml:space="preserve">. Anatomy of the vagus nerves in the region of the lower esophagus and the stomach. </w:t>
      </w:r>
      <w:r w:rsidRPr="00C469CA">
        <w:rPr>
          <w:rFonts w:ascii="Book Antiqua" w:hAnsi="Book Antiqua"/>
          <w:i/>
          <w:iCs/>
        </w:rPr>
        <w:t>Anat Rec</w:t>
      </w:r>
      <w:r w:rsidRPr="00C469CA">
        <w:rPr>
          <w:rFonts w:ascii="Book Antiqua" w:hAnsi="Book Antiqua"/>
        </w:rPr>
        <w:t xml:space="preserve"> 1949; </w:t>
      </w:r>
      <w:r w:rsidRPr="00C469CA">
        <w:rPr>
          <w:rFonts w:ascii="Book Antiqua" w:hAnsi="Book Antiqua"/>
          <w:b/>
          <w:bCs/>
        </w:rPr>
        <w:t>103</w:t>
      </w:r>
      <w:r w:rsidRPr="00C469CA">
        <w:rPr>
          <w:rFonts w:ascii="Book Antiqua" w:hAnsi="Book Antiqua"/>
        </w:rPr>
        <w:t>: 1-18 [PMID: 18108865 DOI: 10.1002/ar.1091030102]</w:t>
      </w:r>
    </w:p>
    <w:p w14:paraId="69A8AFB7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18 </w:t>
      </w:r>
      <w:r w:rsidRPr="00C469CA">
        <w:rPr>
          <w:rFonts w:ascii="Book Antiqua" w:hAnsi="Book Antiqua"/>
          <w:b/>
          <w:bCs/>
        </w:rPr>
        <w:t>Blackett JW</w:t>
      </w:r>
      <w:r w:rsidRPr="00C469CA">
        <w:rPr>
          <w:rFonts w:ascii="Book Antiqua" w:hAnsi="Book Antiqua"/>
        </w:rPr>
        <w:t xml:space="preserve">, Benvenuto L, Leiva-Juarez MM, D'Ovidio F, Arcasoy S, Jodorkovsky D. Risk Factors and Outcomes for Gastroparesis After Lung Transplantation. </w:t>
      </w:r>
      <w:r w:rsidRPr="00C469CA">
        <w:rPr>
          <w:rFonts w:ascii="Book Antiqua" w:hAnsi="Book Antiqua"/>
          <w:i/>
          <w:iCs/>
        </w:rPr>
        <w:t>Dig Dis Sci</w:t>
      </w:r>
      <w:r w:rsidRPr="00C469CA">
        <w:rPr>
          <w:rFonts w:ascii="Book Antiqua" w:hAnsi="Book Antiqua"/>
        </w:rPr>
        <w:t xml:space="preserve"> 2022; </w:t>
      </w:r>
      <w:r w:rsidRPr="00C469CA">
        <w:rPr>
          <w:rFonts w:ascii="Book Antiqua" w:hAnsi="Book Antiqua"/>
          <w:b/>
          <w:bCs/>
        </w:rPr>
        <w:t>67</w:t>
      </w:r>
      <w:r w:rsidRPr="00C469CA">
        <w:rPr>
          <w:rFonts w:ascii="Book Antiqua" w:hAnsi="Book Antiqua"/>
        </w:rPr>
        <w:t>: 2385-2394 [PMID: 34524597 DOI: 10.1007/s10620-021-07249-y]</w:t>
      </w:r>
    </w:p>
    <w:p w14:paraId="0769E3E3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19 </w:t>
      </w:r>
      <w:r w:rsidRPr="00C469CA">
        <w:rPr>
          <w:rFonts w:ascii="Book Antiqua" w:hAnsi="Book Antiqua"/>
          <w:b/>
          <w:bCs/>
        </w:rPr>
        <w:t>Akindipe OA</w:t>
      </w:r>
      <w:r w:rsidRPr="00C469CA">
        <w:rPr>
          <w:rFonts w:ascii="Book Antiqua" w:hAnsi="Book Antiqua"/>
        </w:rPr>
        <w:t xml:space="preserve">, Faul JL, Vierra MA, Triadafilopoulos G, Theodore J. The surgical management of severe gastroparesis in heart/lung transplant recipients. </w:t>
      </w:r>
      <w:r w:rsidRPr="00C469CA">
        <w:rPr>
          <w:rFonts w:ascii="Book Antiqua" w:hAnsi="Book Antiqua"/>
          <w:i/>
          <w:iCs/>
        </w:rPr>
        <w:t>Chest</w:t>
      </w:r>
      <w:r w:rsidRPr="00C469CA">
        <w:rPr>
          <w:rFonts w:ascii="Book Antiqua" w:hAnsi="Book Antiqua"/>
        </w:rPr>
        <w:t xml:space="preserve"> 2000; </w:t>
      </w:r>
      <w:r w:rsidRPr="00C469CA">
        <w:rPr>
          <w:rFonts w:ascii="Book Antiqua" w:hAnsi="Book Antiqua"/>
          <w:b/>
          <w:bCs/>
        </w:rPr>
        <w:t>117</w:t>
      </w:r>
      <w:r w:rsidRPr="00C469CA">
        <w:rPr>
          <w:rFonts w:ascii="Book Antiqua" w:hAnsi="Book Antiqua"/>
        </w:rPr>
        <w:t>: 907-910 [PMID: 10713028 DOI: 10.1378/chest.117.3.907]</w:t>
      </w:r>
    </w:p>
    <w:p w14:paraId="04583E3B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lastRenderedPageBreak/>
        <w:t xml:space="preserve">20 </w:t>
      </w:r>
      <w:r w:rsidRPr="00C469CA">
        <w:rPr>
          <w:rFonts w:ascii="Book Antiqua" w:hAnsi="Book Antiqua"/>
          <w:b/>
          <w:bCs/>
        </w:rPr>
        <w:t>Hibbard ML</w:t>
      </w:r>
      <w:r w:rsidRPr="00C469CA">
        <w:rPr>
          <w:rFonts w:ascii="Book Antiqua" w:hAnsi="Book Antiqua"/>
        </w:rPr>
        <w:t xml:space="preserve">, Dunst CM, Swanström LL. Laparoscopic and endoscopic pyloroplasty for gastroparesis results in sustained symptom improvement. </w:t>
      </w:r>
      <w:r w:rsidRPr="00C469CA">
        <w:rPr>
          <w:rFonts w:ascii="Book Antiqua" w:hAnsi="Book Antiqua"/>
          <w:i/>
          <w:iCs/>
        </w:rPr>
        <w:t>J Gastrointest Surg</w:t>
      </w:r>
      <w:r w:rsidRPr="00C469CA">
        <w:rPr>
          <w:rFonts w:ascii="Book Antiqua" w:hAnsi="Book Antiqua"/>
        </w:rPr>
        <w:t xml:space="preserve"> 2011; </w:t>
      </w:r>
      <w:r w:rsidRPr="00C469CA">
        <w:rPr>
          <w:rFonts w:ascii="Book Antiqua" w:hAnsi="Book Antiqua"/>
          <w:b/>
          <w:bCs/>
        </w:rPr>
        <w:t>15</w:t>
      </w:r>
      <w:r w:rsidRPr="00C469CA">
        <w:rPr>
          <w:rFonts w:ascii="Book Antiqua" w:hAnsi="Book Antiqua"/>
        </w:rPr>
        <w:t>: 1513-1519 [PMID: 21720926 DOI: 10.1007/s11605-011-1607-6]</w:t>
      </w:r>
    </w:p>
    <w:p w14:paraId="48580AD7" w14:textId="77777777" w:rsidR="00D132BC" w:rsidRPr="00C469CA" w:rsidRDefault="00D132BC" w:rsidP="00D132BC">
      <w:pPr>
        <w:spacing w:line="360" w:lineRule="auto"/>
        <w:jc w:val="both"/>
        <w:rPr>
          <w:rFonts w:ascii="Book Antiqua" w:hAnsi="Book Antiqua"/>
        </w:rPr>
      </w:pPr>
      <w:r w:rsidRPr="00C469CA">
        <w:rPr>
          <w:rFonts w:ascii="Book Antiqua" w:hAnsi="Book Antiqua"/>
        </w:rPr>
        <w:t xml:space="preserve">21 </w:t>
      </w:r>
      <w:r w:rsidRPr="00C469CA">
        <w:rPr>
          <w:rFonts w:ascii="Book Antiqua" w:hAnsi="Book Antiqua"/>
          <w:b/>
          <w:bCs/>
        </w:rPr>
        <w:t>Vijayvargiya P</w:t>
      </w:r>
      <w:r w:rsidRPr="00C469CA">
        <w:rPr>
          <w:rFonts w:ascii="Book Antiqua" w:hAnsi="Book Antiqua"/>
        </w:rPr>
        <w:t xml:space="preserve">, Jameie-Oskooei S, Camilleri M, Chedid V, Erwin PJ, Murad MH. Association between delayed gastric emptying and upper gastrointestinal symptoms: a systematic review and meta-analysis. </w:t>
      </w:r>
      <w:r w:rsidRPr="00C469CA">
        <w:rPr>
          <w:rFonts w:ascii="Book Antiqua" w:hAnsi="Book Antiqua"/>
          <w:i/>
          <w:iCs/>
        </w:rPr>
        <w:t>Gut</w:t>
      </w:r>
      <w:r w:rsidRPr="00C469CA">
        <w:rPr>
          <w:rFonts w:ascii="Book Antiqua" w:hAnsi="Book Antiqua"/>
        </w:rPr>
        <w:t xml:space="preserve"> 2019; </w:t>
      </w:r>
      <w:r w:rsidRPr="00C469CA">
        <w:rPr>
          <w:rFonts w:ascii="Book Antiqua" w:hAnsi="Book Antiqua"/>
          <w:b/>
          <w:bCs/>
        </w:rPr>
        <w:t>68</w:t>
      </w:r>
      <w:r w:rsidRPr="00C469CA">
        <w:rPr>
          <w:rFonts w:ascii="Book Antiqua" w:hAnsi="Book Antiqua"/>
        </w:rPr>
        <w:t>: 804-813 [PMID: 29860241 DOI: 10.1136/gutjnl-2018-316405]</w:t>
      </w:r>
      <w:bookmarkEnd w:id="36"/>
      <w:bookmarkEnd w:id="37"/>
    </w:p>
    <w:p w14:paraId="651865B0" w14:textId="77777777" w:rsidR="00A77B3E" w:rsidRPr="00C469CA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</w:p>
    <w:p w14:paraId="4A4AC649" w14:textId="77777777" w:rsidR="00FE1847" w:rsidRPr="00C469CA" w:rsidRDefault="00FE18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642FBA3" w14:textId="0674CF8B" w:rsidR="00FE1847" w:rsidRPr="00C469CA" w:rsidRDefault="00FE1847">
      <w:pPr>
        <w:spacing w:line="360" w:lineRule="auto"/>
        <w:jc w:val="both"/>
        <w:sectPr w:rsidR="00FE1847" w:rsidRPr="00C469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BC8FAF" w14:textId="7777777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6E0E7FF" w14:textId="23AC56A7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Informed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written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consent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obtained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from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patient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publication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report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accompanying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images.</w:t>
      </w:r>
    </w:p>
    <w:p w14:paraId="7D30D6AF" w14:textId="77777777" w:rsidR="00A77B3E" w:rsidRPr="00C469CA" w:rsidRDefault="00A77B3E">
      <w:pPr>
        <w:spacing w:line="360" w:lineRule="auto"/>
        <w:jc w:val="both"/>
      </w:pPr>
    </w:p>
    <w:p w14:paraId="55A8E87D" w14:textId="3801ED5D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authors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declare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that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they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have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no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conflict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interest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  <w:szCs w:val="21"/>
        </w:rPr>
        <w:t>disclose.</w:t>
      </w:r>
    </w:p>
    <w:p w14:paraId="4BEBF96C" w14:textId="77777777" w:rsidR="00A77B3E" w:rsidRPr="00C469CA" w:rsidRDefault="00A77B3E">
      <w:pPr>
        <w:spacing w:line="360" w:lineRule="auto"/>
        <w:jc w:val="both"/>
      </w:pPr>
    </w:p>
    <w:p w14:paraId="36CC814C" w14:textId="61A858A9" w:rsidR="00A77B3E" w:rsidRPr="00C469CA" w:rsidRDefault="00000000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>CARE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>Checklist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>(2016)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authors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have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read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Checklist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(2016),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manuscript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prepared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revised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according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Checklist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(2016)</w:t>
      </w:r>
      <w:r w:rsidR="009406ED" w:rsidRPr="00C469CA">
        <w:rPr>
          <w:rFonts w:ascii="Book Antiqua" w:eastAsia="Book Antiqua" w:hAnsi="Book Antiqua" w:cs="Book Antiqua"/>
          <w:color w:val="000000"/>
        </w:rPr>
        <w:t>.</w:t>
      </w:r>
    </w:p>
    <w:p w14:paraId="5E890B03" w14:textId="77777777" w:rsidR="00A77B3E" w:rsidRPr="00C469CA" w:rsidRDefault="00A77B3E">
      <w:pPr>
        <w:spacing w:line="360" w:lineRule="auto"/>
        <w:jc w:val="both"/>
      </w:pPr>
    </w:p>
    <w:p w14:paraId="4A785A17" w14:textId="5E296846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article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open-access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article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selected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in-house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editor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fully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peer-reviewed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external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reviewers.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distributed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accordance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with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Creative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Commons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Attribution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NonCommercial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(CC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BY-NC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4.0)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license,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which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permits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others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distribute,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remix,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adapt,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build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upon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work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non-commercially,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license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their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derivative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works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different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terms,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provided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original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work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properly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cited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use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non-commercial.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See: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62502B2" w14:textId="77777777" w:rsidR="00A77B3E" w:rsidRPr="00C469CA" w:rsidRDefault="00A77B3E">
      <w:pPr>
        <w:spacing w:line="360" w:lineRule="auto"/>
        <w:jc w:val="both"/>
      </w:pPr>
    </w:p>
    <w:p w14:paraId="54E50E13" w14:textId="75C5BBD9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Provenance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peer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review: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Unsolicited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article;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Externally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reviewed.</w:t>
      </w:r>
    </w:p>
    <w:p w14:paraId="7259DD92" w14:textId="2D5AC5F1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Peer-review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model: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Single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blind</w:t>
      </w:r>
    </w:p>
    <w:p w14:paraId="7C960EBD" w14:textId="77777777" w:rsidR="00A77B3E" w:rsidRPr="00C469CA" w:rsidRDefault="00A77B3E">
      <w:pPr>
        <w:spacing w:line="360" w:lineRule="auto"/>
        <w:jc w:val="both"/>
      </w:pPr>
    </w:p>
    <w:p w14:paraId="23C06DA9" w14:textId="7B17934C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Peer-review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started: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January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7,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2023</w:t>
      </w:r>
    </w:p>
    <w:p w14:paraId="283BAFC2" w14:textId="54ADDE9F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First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decision: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January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17,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2023</w:t>
      </w:r>
    </w:p>
    <w:p w14:paraId="14D26445" w14:textId="37B1035C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Article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press:</w:t>
      </w:r>
      <w:r w:rsidR="008C0CED" w:rsidRPr="00C469CA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412514" w:rsidRPr="00C469CA">
        <w:rPr>
          <w:rFonts w:ascii="Book Antiqua" w:eastAsia="Book Antiqua" w:hAnsi="Book Antiqua" w:cs="Book Antiqua"/>
          <w:bCs/>
          <w:color w:val="000000"/>
        </w:rPr>
        <w:t>February 21, 2023</w:t>
      </w:r>
    </w:p>
    <w:p w14:paraId="665D66C8" w14:textId="77777777" w:rsidR="00A77B3E" w:rsidRPr="00C469CA" w:rsidRDefault="00A77B3E">
      <w:pPr>
        <w:spacing w:line="360" w:lineRule="auto"/>
        <w:jc w:val="both"/>
      </w:pPr>
    </w:p>
    <w:p w14:paraId="283CFDF2" w14:textId="341E2431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Specialty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type: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Gastroenterology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D132BC" w:rsidRPr="00C469CA">
        <w:rPr>
          <w:rFonts w:ascii="Book Antiqua" w:eastAsia="Book Antiqua" w:hAnsi="Book Antiqua" w:cs="Book Antiqua"/>
          <w:color w:val="000000"/>
        </w:rPr>
        <w:t>h</w:t>
      </w:r>
      <w:r w:rsidRPr="00C469CA">
        <w:rPr>
          <w:rFonts w:ascii="Book Antiqua" w:eastAsia="Book Antiqua" w:hAnsi="Book Antiqua" w:cs="Book Antiqua"/>
          <w:color w:val="000000"/>
        </w:rPr>
        <w:t>epatology</w:t>
      </w:r>
    </w:p>
    <w:p w14:paraId="46E6E6FC" w14:textId="54E2B9D3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Country/Territory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origin: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China</w:t>
      </w:r>
    </w:p>
    <w:p w14:paraId="2338229F" w14:textId="3DDCFD9C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b/>
          <w:color w:val="000000"/>
        </w:rPr>
        <w:t>Peer-review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report’s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scientific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quality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B94F5C5" w14:textId="0D34090D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Grade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(Excellent):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0</w:t>
      </w:r>
    </w:p>
    <w:p w14:paraId="5CA54F65" w14:textId="7DFF3561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(Very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good):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0</w:t>
      </w:r>
    </w:p>
    <w:p w14:paraId="4CE3C4CF" w14:textId="5D5D6E78" w:rsidR="00A77B3E" w:rsidRPr="00C469CA" w:rsidRDefault="00000000">
      <w:pPr>
        <w:spacing w:line="360" w:lineRule="auto"/>
        <w:jc w:val="both"/>
        <w:rPr>
          <w:lang w:eastAsia="zh-CN"/>
        </w:rPr>
      </w:pPr>
      <w:r w:rsidRPr="00C469CA">
        <w:rPr>
          <w:rFonts w:ascii="Book Antiqua" w:eastAsia="Book Antiqua" w:hAnsi="Book Antiqua" w:cs="Book Antiqua"/>
          <w:color w:val="000000"/>
        </w:rPr>
        <w:t>Grade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(Good):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</w:t>
      </w:r>
      <w:r w:rsidR="00D132BC" w:rsidRPr="00C469CA">
        <w:rPr>
          <w:rFonts w:ascii="Book Antiqua" w:eastAsia="Book Antiqua" w:hAnsi="Book Antiqua" w:cs="Book Antiqua"/>
          <w:color w:val="000000"/>
        </w:rPr>
        <w:t>, C</w:t>
      </w:r>
    </w:p>
    <w:p w14:paraId="59022159" w14:textId="4C075FFD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Grade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(Fair):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0</w:t>
      </w:r>
    </w:p>
    <w:p w14:paraId="41C63F9B" w14:textId="5747F77C" w:rsidR="00A77B3E" w:rsidRPr="00C469CA" w:rsidRDefault="00000000">
      <w:pPr>
        <w:spacing w:line="360" w:lineRule="auto"/>
        <w:jc w:val="both"/>
      </w:pPr>
      <w:r w:rsidRPr="00C469CA">
        <w:rPr>
          <w:rFonts w:ascii="Book Antiqua" w:eastAsia="Book Antiqua" w:hAnsi="Book Antiqua" w:cs="Book Antiqua"/>
          <w:color w:val="000000"/>
        </w:rPr>
        <w:t>Grade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(Poor):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0</w:t>
      </w:r>
    </w:p>
    <w:p w14:paraId="6D82E2D7" w14:textId="77777777" w:rsidR="00A77B3E" w:rsidRPr="00C469CA" w:rsidRDefault="00A77B3E">
      <w:pPr>
        <w:spacing w:line="360" w:lineRule="auto"/>
        <w:jc w:val="both"/>
      </w:pPr>
    </w:p>
    <w:p w14:paraId="7480F9EB" w14:textId="77777777" w:rsidR="00A77B3E" w:rsidRPr="00C469CA" w:rsidRDefault="00000000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  <w:r w:rsidRPr="00C469CA">
        <w:rPr>
          <w:rFonts w:ascii="Book Antiqua" w:eastAsia="Book Antiqua" w:hAnsi="Book Antiqua" w:cs="Book Antiqua"/>
          <w:b/>
          <w:color w:val="000000"/>
        </w:rPr>
        <w:t>P-Reviewer: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Al-Ani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RM,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Iraq;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Rosboch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GL</w:t>
      </w:r>
      <w:r w:rsidR="00D132BC" w:rsidRPr="00C469CA">
        <w:rPr>
          <w:rFonts w:ascii="Book Antiqua" w:eastAsia="Book Antiqua" w:hAnsi="Book Antiqua" w:cs="Book Antiqua"/>
          <w:color w:val="000000"/>
        </w:rPr>
        <w:t>,</w:t>
      </w:r>
      <w:r w:rsidR="00D132BC" w:rsidRPr="00C469CA">
        <w:t xml:space="preserve"> </w:t>
      </w:r>
      <w:r w:rsidR="00D132BC" w:rsidRPr="00C469CA">
        <w:rPr>
          <w:rFonts w:ascii="Book Antiqua" w:eastAsia="Book Antiqua" w:hAnsi="Book Antiqua" w:cs="Book Antiqua"/>
          <w:color w:val="000000"/>
        </w:rPr>
        <w:t>Italy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S-Editor: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38" w:name="OLE_LINK942"/>
      <w:bookmarkStart w:id="39" w:name="OLE_LINK943"/>
      <w:r w:rsidR="00D132BC" w:rsidRPr="00C469CA">
        <w:rPr>
          <w:rFonts w:ascii="Book Antiqua" w:eastAsia="Book Antiqua" w:hAnsi="Book Antiqua" w:cs="Book Antiqua"/>
          <w:bCs/>
          <w:color w:val="000000"/>
        </w:rPr>
        <w:t>Y</w:t>
      </w:r>
      <w:r w:rsidR="00D132BC" w:rsidRPr="00C469CA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D132BC" w:rsidRPr="00C469CA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  <w:bookmarkEnd w:id="38"/>
      <w:bookmarkEnd w:id="39"/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L-Editor: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2BC" w:rsidRPr="00C469CA">
        <w:rPr>
          <w:rFonts w:ascii="Book Antiqua" w:eastAsia="Book Antiqua" w:hAnsi="Book Antiqua" w:cs="Book Antiqua"/>
          <w:bCs/>
          <w:color w:val="000000"/>
        </w:rPr>
        <w:t>A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P-Editor: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132BC" w:rsidRPr="00C469CA">
        <w:rPr>
          <w:rFonts w:ascii="Book Antiqua" w:eastAsia="Book Antiqua" w:hAnsi="Book Antiqua" w:cs="Book Antiqua"/>
          <w:bCs/>
          <w:color w:val="000000"/>
        </w:rPr>
        <w:t>Y</w:t>
      </w:r>
      <w:r w:rsidR="00D132BC" w:rsidRPr="00C469CA">
        <w:rPr>
          <w:rFonts w:ascii="Book Antiqua" w:eastAsia="Book Antiqua" w:hAnsi="Book Antiqua" w:cs="Book Antiqua" w:hint="eastAsia"/>
          <w:bCs/>
          <w:color w:val="000000"/>
          <w:lang w:eastAsia="zh-CN"/>
        </w:rPr>
        <w:t>an</w:t>
      </w:r>
      <w:r w:rsidR="00D132BC" w:rsidRPr="00C469CA">
        <w:rPr>
          <w:rFonts w:ascii="Book Antiqua" w:eastAsia="Book Antiqua" w:hAnsi="Book Antiqua" w:cs="Book Antiqua"/>
          <w:bCs/>
          <w:color w:val="000000"/>
          <w:lang w:eastAsia="zh-CN"/>
        </w:rPr>
        <w:t xml:space="preserve"> JP</w:t>
      </w:r>
    </w:p>
    <w:p w14:paraId="1C1A32E1" w14:textId="77777777" w:rsidR="00D132BC" w:rsidRPr="00C469CA" w:rsidRDefault="00D132B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</w:p>
    <w:p w14:paraId="153DC5EC" w14:textId="77777777" w:rsidR="00D132BC" w:rsidRPr="00C469CA" w:rsidRDefault="00D132B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</w:p>
    <w:p w14:paraId="1A810A81" w14:textId="2F6FB765" w:rsidR="00D132BC" w:rsidRPr="00C469CA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eastAsia="zh-CN"/>
        </w:rPr>
      </w:pPr>
      <w:r w:rsidRPr="00C469CA">
        <w:rPr>
          <w:rFonts w:ascii="Book Antiqua" w:eastAsia="Book Antiqua" w:hAnsi="Book Antiqua" w:cs="Book Antiqua"/>
          <w:b/>
          <w:color w:val="000000"/>
        </w:rPr>
        <w:t>Figure</w:t>
      </w:r>
      <w:r w:rsidR="008C0CED" w:rsidRPr="00C469C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color w:val="000000"/>
        </w:rPr>
        <w:t>Legends</w:t>
      </w:r>
    </w:p>
    <w:p w14:paraId="3FB6C7C1" w14:textId="6B0D36D7" w:rsidR="00D132BC" w:rsidRPr="00C469CA" w:rsidRDefault="00D132BC">
      <w:pPr>
        <w:spacing w:line="360" w:lineRule="auto"/>
        <w:jc w:val="both"/>
      </w:pPr>
    </w:p>
    <w:p w14:paraId="74FDCDB0" w14:textId="033A50A0" w:rsidR="006163F4" w:rsidRPr="00C469CA" w:rsidRDefault="001F3445">
      <w:pPr>
        <w:spacing w:line="360" w:lineRule="auto"/>
        <w:jc w:val="both"/>
      </w:pPr>
      <w:r>
        <w:rPr>
          <w:noProof/>
        </w:rPr>
        <w:drawing>
          <wp:inline distT="0" distB="0" distL="0" distR="0" wp14:anchorId="24CD7C40" wp14:editId="0BF2F8AA">
            <wp:extent cx="5524500" cy="1955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A27BD" w14:textId="16626F81" w:rsidR="00A77B3E" w:rsidRPr="00C469CA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1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Computed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tomography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axial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views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abdominopelvic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cavity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81BAE" w:rsidRPr="00C469CA">
        <w:rPr>
          <w:rFonts w:ascii="Book Antiqua" w:eastAsia="Book Antiqua" w:hAnsi="Book Antiqua" w:cs="Book Antiqua"/>
          <w:b/>
          <w:bCs/>
          <w:color w:val="000000"/>
        </w:rPr>
        <w:t>2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d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video-assisted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thoracic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surgery.</w:t>
      </w:r>
      <w:r w:rsidR="00D132BC" w:rsidRPr="00C469CA">
        <w:rPr>
          <w:rFonts w:hint="eastAsia"/>
          <w:lang w:eastAsia="zh-CN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circle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represents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scope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stomach.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abdominal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cavity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section,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severe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distention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stomach</w:t>
      </w:r>
      <w:r w:rsidR="00D132BC" w:rsidRPr="00C469CA">
        <w:rPr>
          <w:rFonts w:ascii="Book Antiqua" w:eastAsia="Book Antiqua" w:hAnsi="Book Antiqua" w:cs="Book Antiqua"/>
          <w:color w:val="000000"/>
        </w:rPr>
        <w:t>;</w:t>
      </w:r>
      <w:r w:rsidR="00D132BC" w:rsidRPr="00C469CA">
        <w:rPr>
          <w:rFonts w:ascii="宋体" w:eastAsia="宋体" w:hAnsi="宋体" w:cs="宋体" w:hint="eastAsia"/>
          <w:lang w:eastAsia="zh-CN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circle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represents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scope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stomach.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pelvic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cavity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section,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see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that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inferior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edge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stomach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reached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pelvic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cavity.</w:t>
      </w:r>
    </w:p>
    <w:p w14:paraId="578CE414" w14:textId="77777777" w:rsidR="0026450E" w:rsidRPr="00C469CA" w:rsidRDefault="0026450E">
      <w:pPr>
        <w:spacing w:line="360" w:lineRule="auto"/>
        <w:jc w:val="both"/>
        <w:rPr>
          <w:rFonts w:ascii="宋体" w:eastAsia="宋体" w:hAnsi="宋体" w:cs="宋体"/>
          <w:lang w:eastAsia="zh-CN"/>
        </w:rPr>
        <w:sectPr w:rsidR="0026450E" w:rsidRPr="00C469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5C5E8F" w14:textId="492ADCC6" w:rsidR="00D132BC" w:rsidRPr="00C469CA" w:rsidRDefault="001F3445">
      <w:pPr>
        <w:spacing w:line="360" w:lineRule="auto"/>
        <w:jc w:val="both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noProof/>
          <w:lang w:eastAsia="zh-CN"/>
        </w:rPr>
        <w:lastRenderedPageBreak/>
        <w:drawing>
          <wp:inline distT="0" distB="0" distL="0" distR="0" wp14:anchorId="2B16D3C4" wp14:editId="01A59AA8">
            <wp:extent cx="3695700" cy="30353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A4158" w14:textId="50EEEB90" w:rsidR="0026450E" w:rsidRPr="00C469CA" w:rsidRDefault="0026450E">
      <w:pPr>
        <w:spacing w:line="360" w:lineRule="auto"/>
        <w:jc w:val="both"/>
        <w:rPr>
          <w:rFonts w:ascii="宋体" w:eastAsia="宋体" w:hAnsi="宋体" w:cs="宋体"/>
          <w:lang w:eastAsia="zh-CN"/>
        </w:rPr>
      </w:pPr>
    </w:p>
    <w:p w14:paraId="04E6A024" w14:textId="154DCAE5" w:rsidR="00A77B3E" w:rsidRPr="00C469CA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C469CA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2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Oral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iohexol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X-ray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imaging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at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10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min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(left)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4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h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(right)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administration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contrast</w:t>
      </w:r>
      <w:r w:rsidR="008C0CED" w:rsidRPr="00C469C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b/>
          <w:bCs/>
          <w:color w:val="000000"/>
        </w:rPr>
        <w:t>agent.</w:t>
      </w:r>
      <w:r w:rsidR="00D132BC" w:rsidRPr="00C469CA">
        <w:rPr>
          <w:rFonts w:hint="eastAsia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="00F81BAE" w:rsidRPr="00C469CA">
        <w:rPr>
          <w:rFonts w:ascii="Book Antiqua" w:eastAsia="Book Antiqua" w:hAnsi="Book Antiqua" w:cs="Book Antiqua"/>
          <w:color w:val="000000"/>
        </w:rPr>
        <w:t>10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min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ingestion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iohexol,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first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sign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of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passage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to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duodenum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observed</w:t>
      </w:r>
      <w:r w:rsidR="00D132BC" w:rsidRPr="00C469CA">
        <w:rPr>
          <w:rFonts w:ascii="Book Antiqua" w:eastAsia="Book Antiqua" w:hAnsi="Book Antiqua" w:cs="Book Antiqua"/>
          <w:color w:val="000000"/>
        </w:rPr>
        <w:t>;</w:t>
      </w:r>
      <w:r w:rsidR="00D132BC" w:rsidRPr="00C469CA">
        <w:rPr>
          <w:rFonts w:hint="eastAsia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B: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Some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contrast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agent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was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retained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in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the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stomach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4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h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after</w:t>
      </w:r>
      <w:r w:rsidR="008C0CED" w:rsidRPr="00C469CA">
        <w:rPr>
          <w:rFonts w:ascii="Book Antiqua" w:eastAsia="Book Antiqua" w:hAnsi="Book Antiqua" w:cs="Book Antiqua"/>
          <w:color w:val="000000"/>
        </w:rPr>
        <w:t xml:space="preserve"> </w:t>
      </w:r>
      <w:r w:rsidRPr="00C469CA">
        <w:rPr>
          <w:rFonts w:ascii="Book Antiqua" w:eastAsia="Book Antiqua" w:hAnsi="Book Antiqua" w:cs="Book Antiqua"/>
          <w:color w:val="000000"/>
        </w:rPr>
        <w:t>administration.</w:t>
      </w:r>
    </w:p>
    <w:p w14:paraId="57E840D4" w14:textId="77777777" w:rsidR="0051000D" w:rsidRPr="00C469CA" w:rsidRDefault="0051000D">
      <w:pPr>
        <w:spacing w:line="360" w:lineRule="auto"/>
        <w:jc w:val="both"/>
        <w:sectPr w:rsidR="0051000D" w:rsidRPr="00C469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357B2E" w14:textId="7D4BBAB9" w:rsidR="0051000D" w:rsidRPr="00C469CA" w:rsidRDefault="0051000D" w:rsidP="0051000D">
      <w:pPr>
        <w:spacing w:line="360" w:lineRule="auto"/>
        <w:rPr>
          <w:rFonts w:ascii="Book Antiqua" w:hAnsi="Book Antiqua" w:cs="Calibri"/>
          <w:b/>
          <w:bCs/>
        </w:rPr>
      </w:pPr>
      <w:r w:rsidRPr="00C469CA">
        <w:rPr>
          <w:rFonts w:ascii="Book Antiqua" w:hAnsi="Book Antiqua" w:cs="Calibri"/>
          <w:b/>
          <w:bCs/>
          <w:noProof/>
          <w:color w:val="000000" w:themeColor="text1"/>
        </w:rPr>
        <w:lastRenderedPageBreak/>
        <w:t xml:space="preserve">Table 1 </w:t>
      </w:r>
      <w:r w:rsidRPr="00C469CA">
        <w:rPr>
          <w:rFonts w:ascii="Book Antiqua" w:hAnsi="Book Antiqua" w:cs="Calibri"/>
          <w:b/>
          <w:bCs/>
        </w:rPr>
        <w:t>Perioperative biochemical examination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013"/>
        <w:gridCol w:w="2268"/>
        <w:gridCol w:w="2268"/>
        <w:gridCol w:w="2552"/>
      </w:tblGrid>
      <w:tr w:rsidR="0051000D" w:rsidRPr="00C469CA" w14:paraId="7A28324B" w14:textId="77777777" w:rsidTr="0051000D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53C36F59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b/>
                <w:bCs/>
                <w:color w:val="000000" w:themeColor="text1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</w:tcPr>
          <w:p w14:paraId="0B9388CB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b/>
                <w:bCs/>
                <w:color w:val="000000" w:themeColor="text1"/>
              </w:rPr>
            </w:pPr>
            <w:r w:rsidRPr="00C469CA">
              <w:rPr>
                <w:rFonts w:ascii="Book Antiqua" w:hAnsi="Book Antiqua" w:cs="Calibri"/>
                <w:b/>
                <w:bCs/>
                <w:color w:val="000000" w:themeColor="text1"/>
              </w:rPr>
              <w:t>Before surgery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5F396F5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b/>
                <w:bCs/>
                <w:color w:val="000000" w:themeColor="text1"/>
              </w:rPr>
            </w:pPr>
            <w:r w:rsidRPr="00C469CA">
              <w:rPr>
                <w:rFonts w:ascii="Book Antiqua" w:hAnsi="Book Antiqua" w:cs="Calibri"/>
                <w:b/>
                <w:bCs/>
                <w:color w:val="000000" w:themeColor="text1"/>
              </w:rPr>
              <w:t>First day after surgery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F30C38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b/>
                <w:bCs/>
                <w:color w:val="000000" w:themeColor="text1"/>
              </w:rPr>
            </w:pPr>
            <w:r w:rsidRPr="00C469CA">
              <w:rPr>
                <w:rFonts w:ascii="Book Antiqua" w:hAnsi="Book Antiqua" w:cs="Calibri"/>
                <w:b/>
                <w:bCs/>
                <w:color w:val="000000" w:themeColor="text1"/>
              </w:rPr>
              <w:t>Third day after surgery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28AAAA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b/>
                <w:bCs/>
                <w:color w:val="000000" w:themeColor="text1"/>
              </w:rPr>
            </w:pPr>
            <w:r w:rsidRPr="00C469CA">
              <w:rPr>
                <w:rFonts w:ascii="Book Antiqua" w:hAnsi="Book Antiqua" w:cs="Calibri"/>
                <w:b/>
                <w:bCs/>
                <w:color w:val="000000" w:themeColor="text1"/>
              </w:rPr>
              <w:t>At discharge from hospital</w:t>
            </w:r>
          </w:p>
        </w:tc>
      </w:tr>
      <w:tr w:rsidR="0051000D" w:rsidRPr="00C469CA" w14:paraId="7CD2069E" w14:textId="77777777" w:rsidTr="0051000D">
        <w:tc>
          <w:tcPr>
            <w:tcW w:w="2660" w:type="dxa"/>
            <w:tcBorders>
              <w:top w:val="single" w:sz="4" w:space="0" w:color="auto"/>
            </w:tcBorders>
          </w:tcPr>
          <w:p w14:paraId="731E4EDE" w14:textId="0C130AEC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Albumin (g/L)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14:paraId="6CC4A2F1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31.9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ABE0F9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29.2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E2A02D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32.1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B27B185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29.8</w:t>
            </w:r>
          </w:p>
        </w:tc>
      </w:tr>
      <w:tr w:rsidR="0051000D" w:rsidRPr="00C469CA" w14:paraId="0222CEF9" w14:textId="77777777" w:rsidTr="0051000D">
        <w:tc>
          <w:tcPr>
            <w:tcW w:w="2660" w:type="dxa"/>
          </w:tcPr>
          <w:p w14:paraId="2054CA4B" w14:textId="5461981A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Creatinine (</w:t>
            </w:r>
            <w:r w:rsidRPr="00C469CA">
              <w:rPr>
                <w:rFonts w:ascii="Book Antiqua" w:eastAsia="Book Antiqua" w:hAnsi="Book Antiqua" w:cs="Book Antiqua"/>
                <w:color w:val="000000"/>
              </w:rPr>
              <w:t>µ</w:t>
            </w:r>
            <w:r w:rsidRPr="00C469CA">
              <w:rPr>
                <w:rFonts w:ascii="Book Antiqua" w:hAnsi="Book Antiqua" w:cs="Calibri"/>
                <w:color w:val="000000" w:themeColor="text1"/>
              </w:rPr>
              <w:t>mol/L)</w:t>
            </w:r>
          </w:p>
        </w:tc>
        <w:tc>
          <w:tcPr>
            <w:tcW w:w="2013" w:type="dxa"/>
          </w:tcPr>
          <w:p w14:paraId="6FE1727D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60.1</w:t>
            </w:r>
          </w:p>
        </w:tc>
        <w:tc>
          <w:tcPr>
            <w:tcW w:w="2268" w:type="dxa"/>
          </w:tcPr>
          <w:p w14:paraId="36F21E0C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65.08</w:t>
            </w:r>
          </w:p>
        </w:tc>
        <w:tc>
          <w:tcPr>
            <w:tcW w:w="2268" w:type="dxa"/>
          </w:tcPr>
          <w:p w14:paraId="017776EC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82.38</w:t>
            </w:r>
          </w:p>
        </w:tc>
        <w:tc>
          <w:tcPr>
            <w:tcW w:w="2552" w:type="dxa"/>
          </w:tcPr>
          <w:p w14:paraId="5F19F6ED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50.85</w:t>
            </w:r>
          </w:p>
        </w:tc>
      </w:tr>
      <w:tr w:rsidR="0051000D" w:rsidRPr="00C469CA" w14:paraId="389C16E6" w14:textId="77777777" w:rsidTr="0051000D">
        <w:tc>
          <w:tcPr>
            <w:tcW w:w="2660" w:type="dxa"/>
          </w:tcPr>
          <w:p w14:paraId="0C6AE27A" w14:textId="3219B96C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Natrium (mmol/L)</w:t>
            </w:r>
          </w:p>
        </w:tc>
        <w:tc>
          <w:tcPr>
            <w:tcW w:w="2013" w:type="dxa"/>
          </w:tcPr>
          <w:p w14:paraId="7B7F28C0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132.46</w:t>
            </w:r>
          </w:p>
        </w:tc>
        <w:tc>
          <w:tcPr>
            <w:tcW w:w="2268" w:type="dxa"/>
          </w:tcPr>
          <w:p w14:paraId="584B5B0E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137.61</w:t>
            </w:r>
          </w:p>
        </w:tc>
        <w:tc>
          <w:tcPr>
            <w:tcW w:w="2268" w:type="dxa"/>
          </w:tcPr>
          <w:p w14:paraId="5DF108D1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137.42</w:t>
            </w:r>
          </w:p>
        </w:tc>
        <w:tc>
          <w:tcPr>
            <w:tcW w:w="2552" w:type="dxa"/>
          </w:tcPr>
          <w:p w14:paraId="02EC26E0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136.54</w:t>
            </w:r>
          </w:p>
        </w:tc>
      </w:tr>
      <w:tr w:rsidR="0051000D" w:rsidRPr="00C469CA" w14:paraId="6EE6CE3B" w14:textId="77777777" w:rsidTr="0051000D">
        <w:tc>
          <w:tcPr>
            <w:tcW w:w="2660" w:type="dxa"/>
          </w:tcPr>
          <w:p w14:paraId="57273FE3" w14:textId="486442BF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Potassium (mmol/L)</w:t>
            </w:r>
          </w:p>
        </w:tc>
        <w:tc>
          <w:tcPr>
            <w:tcW w:w="2013" w:type="dxa"/>
          </w:tcPr>
          <w:p w14:paraId="17CAB924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4.06</w:t>
            </w:r>
          </w:p>
        </w:tc>
        <w:tc>
          <w:tcPr>
            <w:tcW w:w="2268" w:type="dxa"/>
          </w:tcPr>
          <w:p w14:paraId="572D4D1A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4.78</w:t>
            </w:r>
          </w:p>
        </w:tc>
        <w:tc>
          <w:tcPr>
            <w:tcW w:w="2268" w:type="dxa"/>
          </w:tcPr>
          <w:p w14:paraId="7FF3D308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4.29</w:t>
            </w:r>
          </w:p>
        </w:tc>
        <w:tc>
          <w:tcPr>
            <w:tcW w:w="2552" w:type="dxa"/>
          </w:tcPr>
          <w:p w14:paraId="47F3CC06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4.43</w:t>
            </w:r>
          </w:p>
        </w:tc>
      </w:tr>
      <w:tr w:rsidR="0051000D" w:rsidRPr="00C469CA" w14:paraId="7413270D" w14:textId="77777777" w:rsidTr="0051000D">
        <w:tc>
          <w:tcPr>
            <w:tcW w:w="2660" w:type="dxa"/>
          </w:tcPr>
          <w:p w14:paraId="27829549" w14:textId="0FBC499F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eastAsia="PingFang SC" w:hAnsi="Book Antiqua" w:cs="Calibri"/>
                <w:color w:val="000000" w:themeColor="text1"/>
                <w:shd w:val="clear" w:color="auto" w:fill="FFFFFF"/>
              </w:rPr>
              <w:t>Magnesium (mmol/L)</w:t>
            </w:r>
          </w:p>
        </w:tc>
        <w:tc>
          <w:tcPr>
            <w:tcW w:w="2013" w:type="dxa"/>
          </w:tcPr>
          <w:p w14:paraId="57A5E211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0.86</w:t>
            </w:r>
          </w:p>
        </w:tc>
        <w:tc>
          <w:tcPr>
            <w:tcW w:w="2268" w:type="dxa"/>
          </w:tcPr>
          <w:p w14:paraId="11DE8A22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0.86</w:t>
            </w:r>
          </w:p>
        </w:tc>
        <w:tc>
          <w:tcPr>
            <w:tcW w:w="2268" w:type="dxa"/>
          </w:tcPr>
          <w:p w14:paraId="2165F9AB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1.03</w:t>
            </w:r>
          </w:p>
        </w:tc>
        <w:tc>
          <w:tcPr>
            <w:tcW w:w="2552" w:type="dxa"/>
          </w:tcPr>
          <w:p w14:paraId="6027DB41" w14:textId="77777777" w:rsidR="0051000D" w:rsidRPr="00C469CA" w:rsidRDefault="0051000D" w:rsidP="003A753B">
            <w:pPr>
              <w:spacing w:line="360" w:lineRule="auto"/>
              <w:rPr>
                <w:rFonts w:ascii="Book Antiqua" w:hAnsi="Book Antiqua" w:cs="Calibri"/>
                <w:color w:val="000000" w:themeColor="text1"/>
              </w:rPr>
            </w:pPr>
            <w:r w:rsidRPr="00C469CA">
              <w:rPr>
                <w:rFonts w:ascii="Book Antiqua" w:hAnsi="Book Antiqua" w:cs="Calibri"/>
                <w:color w:val="000000" w:themeColor="text1"/>
              </w:rPr>
              <w:t>0.92</w:t>
            </w:r>
          </w:p>
        </w:tc>
      </w:tr>
    </w:tbl>
    <w:p w14:paraId="4EBC1CDC" w14:textId="77777777" w:rsidR="00C469CA" w:rsidRPr="00C469CA" w:rsidRDefault="00C469CA">
      <w:pPr>
        <w:spacing w:line="360" w:lineRule="auto"/>
        <w:jc w:val="both"/>
        <w:rPr>
          <w:lang w:eastAsia="zh-CN"/>
        </w:rPr>
        <w:sectPr w:rsidR="00C469CA" w:rsidRPr="00C469CA" w:rsidSect="00C30B1F">
          <w:pgSz w:w="14742" w:h="20860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14:paraId="21AC045B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40" w:name="_Hlk88512952"/>
    </w:p>
    <w:p w14:paraId="5F2FE821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BE9285B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ABE1A40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A01F85E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  <w:r w:rsidRPr="00C469CA">
        <w:rPr>
          <w:rFonts w:ascii="Book Antiqua" w:hAnsi="Book Antiqua"/>
          <w:noProof/>
          <w:lang w:eastAsia="zh-CN"/>
        </w:rPr>
        <w:drawing>
          <wp:inline distT="0" distB="0" distL="0" distR="0" wp14:anchorId="3B6B797F" wp14:editId="2520D8C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2164D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D3E4E08" w14:textId="77777777" w:rsidR="00C469CA" w:rsidRPr="00C469CA" w:rsidRDefault="00C469CA" w:rsidP="00C469C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C469C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C469C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A445C61" w14:textId="77777777" w:rsidR="00C469CA" w:rsidRPr="00C469CA" w:rsidRDefault="00C469CA" w:rsidP="00C469C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469C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B98B60D" w14:textId="77777777" w:rsidR="00C469CA" w:rsidRPr="00C469CA" w:rsidRDefault="00C469CA" w:rsidP="00C469C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C469C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C469C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C8CEF22" w14:textId="77777777" w:rsidR="00C469CA" w:rsidRPr="00C469CA" w:rsidRDefault="00C469CA" w:rsidP="00C469C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469C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C469C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5BEC019" w14:textId="77777777" w:rsidR="00C469CA" w:rsidRPr="00C469CA" w:rsidRDefault="00C469CA" w:rsidP="00C469C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C469C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C469C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1DC4345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  <w:r w:rsidRPr="00C469C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A0D6CC7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0130FC5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650E4B1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86211FA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  <w:r w:rsidRPr="00C469CA">
        <w:rPr>
          <w:rFonts w:ascii="Book Antiqua" w:hAnsi="Book Antiqua"/>
          <w:noProof/>
          <w:lang w:eastAsia="zh-CN"/>
        </w:rPr>
        <w:drawing>
          <wp:inline distT="0" distB="0" distL="0" distR="0" wp14:anchorId="78290363" wp14:editId="5873D68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855B9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8DD7300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29183D9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7BBBD4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CE17CFF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1853055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9C03B8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4797B0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6931FDF" w14:textId="77777777" w:rsidR="00C469CA" w:rsidRPr="00C469CA" w:rsidRDefault="00C469CA" w:rsidP="00C469C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53A54D3" w14:textId="77777777" w:rsidR="00C469CA" w:rsidRPr="00C469CA" w:rsidRDefault="00C469CA" w:rsidP="00C469C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9D4FFF0" w14:textId="77777777" w:rsidR="00C469CA" w:rsidRPr="00763D22" w:rsidRDefault="00C469CA" w:rsidP="00C469C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C469CA">
        <w:rPr>
          <w:rFonts w:ascii="Book Antiqua" w:eastAsia="BookAntiqua-Bold" w:hAnsi="Book Antiqua" w:cs="BookAntiqua-Bold"/>
          <w:b/>
          <w:bCs/>
          <w:color w:val="000000" w:themeColor="text1"/>
        </w:rPr>
        <w:t>© 2023 Baishideng Publishing Group Inc. All rights reserved.</w:t>
      </w:r>
      <w:r w:rsidRPr="00C469CA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C469CA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C469CA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40"/>
    </w:p>
    <w:p w14:paraId="646D8084" w14:textId="77777777" w:rsidR="0051000D" w:rsidRPr="00C469CA" w:rsidRDefault="0051000D">
      <w:pPr>
        <w:spacing w:line="360" w:lineRule="auto"/>
        <w:jc w:val="both"/>
        <w:rPr>
          <w:lang w:eastAsia="zh-CN"/>
        </w:rPr>
      </w:pPr>
    </w:p>
    <w:sectPr w:rsidR="0051000D" w:rsidRPr="00C469CA" w:rsidSect="00BD7A2A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2EC2" w14:textId="77777777" w:rsidR="00496942" w:rsidRDefault="00496942" w:rsidP="003864BA">
      <w:r>
        <w:separator/>
      </w:r>
    </w:p>
  </w:endnote>
  <w:endnote w:type="continuationSeparator" w:id="0">
    <w:p w14:paraId="5EF6EE4E" w14:textId="77777777" w:rsidR="00496942" w:rsidRDefault="00496942" w:rsidP="0038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C1B7" w14:textId="26BC22F1" w:rsidR="003864BA" w:rsidRPr="003864BA" w:rsidRDefault="008C0CED" w:rsidP="003864BA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3864BA" w:rsidRPr="003864BA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3864BA" w:rsidRPr="003864BA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3864BA" w:rsidRPr="003864BA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3864BA" w:rsidRPr="003864BA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3864BA" w:rsidRPr="003864BA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3864BA" w:rsidRPr="003864BA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4A516D2E" w14:textId="77777777" w:rsidR="003864BA" w:rsidRDefault="003864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EFA436C" w14:textId="77777777" w:rsidR="001204A0" w:rsidRDefault="00000000" w:rsidP="00134D2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F97787" w14:textId="77777777" w:rsidR="001204A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13A7" w14:textId="77777777" w:rsidR="00496942" w:rsidRDefault="00496942" w:rsidP="003864BA">
      <w:r>
        <w:separator/>
      </w:r>
    </w:p>
  </w:footnote>
  <w:footnote w:type="continuationSeparator" w:id="0">
    <w:p w14:paraId="33FB5ACD" w14:textId="77777777" w:rsidR="00496942" w:rsidRDefault="00496942" w:rsidP="0038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03B8"/>
    <w:rsid w:val="000346CE"/>
    <w:rsid w:val="001011D6"/>
    <w:rsid w:val="001369F1"/>
    <w:rsid w:val="001F3445"/>
    <w:rsid w:val="0026450E"/>
    <w:rsid w:val="002A4147"/>
    <w:rsid w:val="002D5C20"/>
    <w:rsid w:val="00353EE8"/>
    <w:rsid w:val="003864BA"/>
    <w:rsid w:val="0039659D"/>
    <w:rsid w:val="003D5EC8"/>
    <w:rsid w:val="00402232"/>
    <w:rsid w:val="00412514"/>
    <w:rsid w:val="00496942"/>
    <w:rsid w:val="0051000D"/>
    <w:rsid w:val="005155D3"/>
    <w:rsid w:val="00522AC6"/>
    <w:rsid w:val="005519EF"/>
    <w:rsid w:val="006163F4"/>
    <w:rsid w:val="00643135"/>
    <w:rsid w:val="006B314E"/>
    <w:rsid w:val="006C4D42"/>
    <w:rsid w:val="00730135"/>
    <w:rsid w:val="007604A7"/>
    <w:rsid w:val="007B5479"/>
    <w:rsid w:val="008468E1"/>
    <w:rsid w:val="008C0CED"/>
    <w:rsid w:val="008F531F"/>
    <w:rsid w:val="00903076"/>
    <w:rsid w:val="009406ED"/>
    <w:rsid w:val="00A77B3E"/>
    <w:rsid w:val="00C02652"/>
    <w:rsid w:val="00C469CA"/>
    <w:rsid w:val="00CA2A55"/>
    <w:rsid w:val="00CB1796"/>
    <w:rsid w:val="00D132BC"/>
    <w:rsid w:val="00D75C6F"/>
    <w:rsid w:val="00F81BAE"/>
    <w:rsid w:val="00FA4BD7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1B8C3"/>
  <w15:docId w15:val="{CF8FB76D-5CCF-7947-8980-62E0024E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8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864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64B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64BA"/>
    <w:rPr>
      <w:sz w:val="18"/>
      <w:szCs w:val="18"/>
    </w:rPr>
  </w:style>
  <w:style w:type="table" w:styleId="a7">
    <w:name w:val="Table Grid"/>
    <w:basedOn w:val="a1"/>
    <w:uiPriority w:val="39"/>
    <w:rsid w:val="0051000D"/>
    <w:rPr>
      <w:rFonts w:asciiTheme="minorHAnsi" w:hAnsiTheme="minorHAnsi" w:cstheme="minorBidi"/>
      <w:kern w:val="2"/>
      <w:sz w:val="21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34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26</cp:revision>
  <dcterms:created xsi:type="dcterms:W3CDTF">2023-02-15T09:36:00Z</dcterms:created>
  <dcterms:modified xsi:type="dcterms:W3CDTF">2023-03-06T04:54:00Z</dcterms:modified>
</cp:coreProperties>
</file>