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0316C"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1C34E210"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84185</w:t>
      </w:r>
    </w:p>
    <w:p w14:paraId="33D153E2"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08BD74D" w14:textId="77777777" w:rsidR="00C87744" w:rsidRDefault="00C87744">
      <w:pPr>
        <w:spacing w:line="360" w:lineRule="auto"/>
        <w:jc w:val="both"/>
        <w:rPr>
          <w:rFonts w:ascii="Book Antiqua" w:hAnsi="Book Antiqua"/>
        </w:rPr>
      </w:pPr>
    </w:p>
    <w:p w14:paraId="0FCF626B" w14:textId="77777777" w:rsidR="00C87744" w:rsidRDefault="00000000">
      <w:pPr>
        <w:spacing w:line="360" w:lineRule="auto"/>
        <w:jc w:val="both"/>
        <w:rPr>
          <w:rFonts w:ascii="Book Antiqua" w:hAnsi="Book Antiqua"/>
        </w:rPr>
      </w:pPr>
      <w:r>
        <w:rPr>
          <w:rFonts w:ascii="Book Antiqua" w:eastAsia="Book Antiqua" w:hAnsi="Book Antiqua" w:cs="Book Antiqua"/>
          <w:b/>
          <w:i/>
        </w:rPr>
        <w:t>Prospective Study</w:t>
      </w:r>
    </w:p>
    <w:p w14:paraId="21FF5441" w14:textId="77777777" w:rsidR="00C87744" w:rsidRDefault="00000000">
      <w:pPr>
        <w:spacing w:line="360" w:lineRule="auto"/>
        <w:jc w:val="both"/>
        <w:rPr>
          <w:rFonts w:ascii="Book Antiqua" w:hAnsi="Book Antiqua"/>
        </w:rPr>
      </w:pPr>
      <w:r>
        <w:rPr>
          <w:rFonts w:ascii="Book Antiqua" w:eastAsia="Book Antiqua" w:hAnsi="Book Antiqua" w:cs="Book Antiqua"/>
          <w:b/>
          <w:bCs/>
        </w:rPr>
        <w:t>Preoperative prediction of microvascular invasion in hepatocellular carcinoma using ultrasound features including elasticity</w:t>
      </w:r>
    </w:p>
    <w:p w14:paraId="5B4FF520" w14:textId="77777777" w:rsidR="00C87744" w:rsidRDefault="00C87744">
      <w:pPr>
        <w:spacing w:line="360" w:lineRule="auto"/>
        <w:jc w:val="both"/>
        <w:rPr>
          <w:rFonts w:ascii="Book Antiqua" w:hAnsi="Book Antiqua"/>
        </w:rPr>
      </w:pPr>
    </w:p>
    <w:p w14:paraId="257BB4F7" w14:textId="77777777" w:rsidR="00C87744" w:rsidRDefault="00000000">
      <w:pPr>
        <w:spacing w:line="360" w:lineRule="auto"/>
        <w:jc w:val="both"/>
        <w:rPr>
          <w:rFonts w:ascii="Book Antiqua" w:hAnsi="Book Antiqua"/>
        </w:rPr>
      </w:pPr>
      <w:r>
        <w:rPr>
          <w:rFonts w:ascii="Book Antiqua" w:eastAsia="Book Antiqua" w:hAnsi="Book Antiqua" w:cs="Book Antiqua"/>
        </w:rPr>
        <w:t xml:space="preserve">Jiang D </w:t>
      </w:r>
      <w:r>
        <w:rPr>
          <w:rFonts w:ascii="Book Antiqua" w:eastAsia="Book Antiqua" w:hAnsi="Book Antiqua" w:cs="Book Antiqua"/>
          <w:i/>
          <w:iCs/>
        </w:rPr>
        <w:t>et al</w:t>
      </w:r>
      <w:r>
        <w:rPr>
          <w:rFonts w:ascii="Book Antiqua" w:eastAsia="Book Antiqua" w:hAnsi="Book Antiqua" w:cs="Book Antiqua"/>
        </w:rPr>
        <w:t>. Predicting HCC MVI using SWE</w:t>
      </w:r>
    </w:p>
    <w:p w14:paraId="15DA2BEB" w14:textId="77777777" w:rsidR="00C87744" w:rsidRDefault="00C87744">
      <w:pPr>
        <w:spacing w:line="360" w:lineRule="auto"/>
        <w:jc w:val="both"/>
        <w:rPr>
          <w:rFonts w:ascii="Book Antiqua" w:hAnsi="Book Antiqua"/>
        </w:rPr>
      </w:pPr>
    </w:p>
    <w:p w14:paraId="6DD39515" w14:textId="77777777" w:rsidR="00C87744" w:rsidRDefault="00000000">
      <w:pPr>
        <w:spacing w:line="360" w:lineRule="auto"/>
        <w:jc w:val="both"/>
        <w:rPr>
          <w:rFonts w:ascii="Book Antiqua" w:hAnsi="Book Antiqua"/>
        </w:rPr>
      </w:pPr>
      <w:r>
        <w:rPr>
          <w:rFonts w:ascii="Book Antiqua" w:eastAsia="Book Antiqua" w:hAnsi="Book Antiqua" w:cs="Book Antiqua"/>
        </w:rPr>
        <w:t>Dong Jiang, Yi Qian, Bi-Bo Tan, Xia-Ling Zhu, Hui Dong, Rong Qian</w:t>
      </w:r>
    </w:p>
    <w:p w14:paraId="690B481A" w14:textId="77777777" w:rsidR="00C87744" w:rsidRDefault="00C87744">
      <w:pPr>
        <w:spacing w:line="360" w:lineRule="auto"/>
        <w:jc w:val="both"/>
        <w:rPr>
          <w:rFonts w:ascii="Book Antiqua" w:hAnsi="Book Antiqua"/>
        </w:rPr>
      </w:pPr>
    </w:p>
    <w:p w14:paraId="70DA08D9"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Dong Jiang, Yi Qian, Bi-Bo Tan, Xia-Ling Zhu, </w:t>
      </w:r>
      <w:r>
        <w:rPr>
          <w:rFonts w:ascii="Book Antiqua" w:eastAsia="Book Antiqua" w:hAnsi="Book Antiqua" w:cs="Book Antiqua"/>
        </w:rPr>
        <w:t>Department of</w:t>
      </w:r>
      <w:r>
        <w:rPr>
          <w:rFonts w:ascii="Book Antiqua" w:eastAsia="Book Antiqua" w:hAnsi="Book Antiqua" w:cs="Book Antiqua"/>
          <w:b/>
          <w:bCs/>
        </w:rPr>
        <w:t xml:space="preserve"> </w:t>
      </w:r>
      <w:r>
        <w:rPr>
          <w:rFonts w:ascii="Book Antiqua" w:eastAsia="Book Antiqua" w:hAnsi="Book Antiqua" w:cs="Book Antiqua"/>
        </w:rPr>
        <w:t>Ultrasound, Eastern Hepatobiliary Surgery Hospital, Naval Medical University, Shanghai 200438, China</w:t>
      </w:r>
    </w:p>
    <w:p w14:paraId="77927340" w14:textId="77777777" w:rsidR="00C87744" w:rsidRDefault="00C87744">
      <w:pPr>
        <w:spacing w:line="360" w:lineRule="auto"/>
        <w:jc w:val="both"/>
        <w:rPr>
          <w:rFonts w:ascii="Book Antiqua" w:hAnsi="Book Antiqua"/>
        </w:rPr>
      </w:pPr>
    </w:p>
    <w:p w14:paraId="485C595B"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Hui Dong, </w:t>
      </w:r>
      <w:r>
        <w:rPr>
          <w:rFonts w:ascii="Book Antiqua" w:eastAsia="Book Antiqua" w:hAnsi="Book Antiqua" w:cs="Book Antiqua"/>
        </w:rPr>
        <w:t>Department of</w:t>
      </w:r>
      <w:r>
        <w:rPr>
          <w:rFonts w:ascii="Book Antiqua" w:eastAsia="Book Antiqua" w:hAnsi="Book Antiqua" w:cs="Book Antiqua"/>
          <w:b/>
          <w:bCs/>
        </w:rPr>
        <w:t xml:space="preserve"> </w:t>
      </w:r>
      <w:r>
        <w:rPr>
          <w:rFonts w:ascii="Book Antiqua" w:eastAsia="Book Antiqua" w:hAnsi="Book Antiqua" w:cs="Book Antiqua"/>
        </w:rPr>
        <w:t>Pathology, Eastern Hepatobiliary Surgery Hospital, Naval Medical University, Shanghai 200438, China</w:t>
      </w:r>
    </w:p>
    <w:p w14:paraId="19DCE2AF" w14:textId="77777777" w:rsidR="00C87744" w:rsidRDefault="00C87744">
      <w:pPr>
        <w:spacing w:line="360" w:lineRule="auto"/>
        <w:jc w:val="both"/>
        <w:rPr>
          <w:rFonts w:ascii="Book Antiqua" w:hAnsi="Book Antiqua"/>
        </w:rPr>
      </w:pPr>
    </w:p>
    <w:p w14:paraId="49F11942"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Rong Qian, </w:t>
      </w:r>
      <w:r>
        <w:rPr>
          <w:rFonts w:ascii="Book Antiqua" w:eastAsia="Book Antiqua" w:hAnsi="Book Antiqua" w:cs="Book Antiqua"/>
        </w:rPr>
        <w:t>Department of</w:t>
      </w:r>
      <w:r>
        <w:rPr>
          <w:rFonts w:ascii="Book Antiqua" w:eastAsia="Book Antiqua" w:hAnsi="Book Antiqua" w:cs="Book Antiqua"/>
          <w:b/>
          <w:bCs/>
        </w:rPr>
        <w:t xml:space="preserve"> </w:t>
      </w:r>
      <w:r>
        <w:rPr>
          <w:rFonts w:ascii="Book Antiqua" w:eastAsia="Book Antiqua" w:hAnsi="Book Antiqua" w:cs="Book Antiqua"/>
        </w:rPr>
        <w:t>Ultrasound, No. 905 Hospital of PLA Navy, Shanghai 200052, China</w:t>
      </w:r>
    </w:p>
    <w:p w14:paraId="4162CFF8" w14:textId="77777777" w:rsidR="00C87744" w:rsidRDefault="00C87744">
      <w:pPr>
        <w:spacing w:line="360" w:lineRule="auto"/>
        <w:jc w:val="both"/>
        <w:rPr>
          <w:rFonts w:ascii="Book Antiqua" w:hAnsi="Book Antiqua"/>
        </w:rPr>
      </w:pPr>
    </w:p>
    <w:p w14:paraId="06D13284" w14:textId="642848D0" w:rsidR="00C87744" w:rsidRDefault="00000000">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Jiang D, Dong H, and Qian R designed the study; Qian Y, Tan BB</w:t>
      </w:r>
      <w:r>
        <w:rPr>
          <w:rFonts w:ascii="Book Antiqua" w:eastAsia="SimSun" w:hAnsi="Book Antiqua" w:cs="SimSun"/>
          <w:lang w:eastAsia="zh-CN"/>
        </w:rPr>
        <w:t>,</w:t>
      </w:r>
      <w:r>
        <w:rPr>
          <w:rFonts w:ascii="Book Antiqua" w:eastAsia="Book Antiqua" w:hAnsi="Book Antiqua" w:cs="Book Antiqua"/>
        </w:rPr>
        <w:t xml:space="preserve"> and Zhu XL performed the research and collected ultrasound data; Dong H reviewed and analyzed pathological specimens; Jiang D and Qian R performed statistical analysis; Jiang D and Qian R wrote the manuscript; All authors read and approved the final manuscript.</w:t>
      </w:r>
    </w:p>
    <w:p w14:paraId="228BA821" w14:textId="77777777" w:rsidR="00C87744" w:rsidRDefault="00C87744">
      <w:pPr>
        <w:spacing w:line="360" w:lineRule="auto"/>
        <w:jc w:val="both"/>
        <w:rPr>
          <w:rFonts w:ascii="Book Antiqua" w:hAnsi="Book Antiqua"/>
        </w:rPr>
      </w:pPr>
    </w:p>
    <w:p w14:paraId="62BDB9FA"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the Key Program of Science and Technology Commission Foundation of Chang</w:t>
      </w:r>
      <w:r>
        <w:rPr>
          <w:rFonts w:ascii="Book Antiqua" w:eastAsia="SimSun" w:hAnsi="Book Antiqua" w:cs="Book Antiqua" w:hint="eastAsia"/>
          <w:lang w:eastAsia="zh-CN"/>
        </w:rPr>
        <w:t>n</w:t>
      </w:r>
      <w:r>
        <w:rPr>
          <w:rFonts w:ascii="Book Antiqua" w:eastAsia="Book Antiqua" w:hAnsi="Book Antiqua" w:cs="Book Antiqua"/>
        </w:rPr>
        <w:t>ing, No. CNKW2022Y61.</w:t>
      </w:r>
    </w:p>
    <w:p w14:paraId="23948A4F" w14:textId="77777777" w:rsidR="00C87744" w:rsidRDefault="00C87744">
      <w:pPr>
        <w:spacing w:line="360" w:lineRule="auto"/>
        <w:jc w:val="both"/>
        <w:rPr>
          <w:rFonts w:ascii="Book Antiqua" w:hAnsi="Book Antiqua"/>
        </w:rPr>
      </w:pPr>
    </w:p>
    <w:p w14:paraId="148AAE0D" w14:textId="77777777" w:rsidR="00C87744"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Corresponding author: Rong Qian, Doctor, MD, Chief Physician, </w:t>
      </w:r>
      <w:r>
        <w:rPr>
          <w:rFonts w:ascii="Book Antiqua" w:eastAsia="Book Antiqua" w:hAnsi="Book Antiqua" w:cs="Book Antiqua"/>
        </w:rPr>
        <w:t>Department of</w:t>
      </w:r>
      <w:r>
        <w:rPr>
          <w:rFonts w:ascii="Book Antiqua" w:eastAsia="Book Antiqua" w:hAnsi="Book Antiqua" w:cs="Book Antiqua"/>
          <w:b/>
          <w:bCs/>
        </w:rPr>
        <w:t xml:space="preserve"> </w:t>
      </w:r>
      <w:r>
        <w:rPr>
          <w:rFonts w:ascii="Book Antiqua" w:eastAsia="Book Antiqua" w:hAnsi="Book Antiqua" w:cs="Book Antiqua"/>
        </w:rPr>
        <w:t>Ultrasound, No. 905 Hospital of PLA Navy, No. 1328 Huashan Road, Shanghai 200052, China. 2651184151@qq.com</w:t>
      </w:r>
    </w:p>
    <w:p w14:paraId="2743E8CA" w14:textId="77777777" w:rsidR="00C87744" w:rsidRDefault="00C87744">
      <w:pPr>
        <w:spacing w:line="360" w:lineRule="auto"/>
        <w:jc w:val="both"/>
        <w:rPr>
          <w:rFonts w:ascii="Book Antiqua" w:hAnsi="Book Antiqua"/>
        </w:rPr>
      </w:pPr>
    </w:p>
    <w:p w14:paraId="73464C78"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24, 2023</w:t>
      </w:r>
    </w:p>
    <w:p w14:paraId="6AF0958C"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June 23, 2023</w:t>
      </w:r>
    </w:p>
    <w:p w14:paraId="2AA602BD"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July 27, 2023</w:t>
      </w:r>
    </w:p>
    <w:p w14:paraId="3DC3CF46"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34360F6F" w14:textId="77777777" w:rsidR="00C87744" w:rsidRDefault="00C87744">
      <w:pPr>
        <w:spacing w:line="360" w:lineRule="auto"/>
        <w:jc w:val="both"/>
        <w:rPr>
          <w:rFonts w:ascii="Book Antiqua" w:eastAsia="Book Antiqua" w:hAnsi="Book Antiqua" w:cs="Book Antiqua"/>
          <w:b/>
        </w:rPr>
      </w:pPr>
    </w:p>
    <w:p w14:paraId="18FAE1E7" w14:textId="77777777" w:rsidR="00C87744" w:rsidRDefault="00000000">
      <w:pPr>
        <w:spacing w:line="360" w:lineRule="auto"/>
        <w:jc w:val="both"/>
        <w:rPr>
          <w:rFonts w:ascii="Book Antiqua" w:hAnsi="Book Antiqua"/>
        </w:rPr>
      </w:pPr>
      <w:r>
        <w:rPr>
          <w:rFonts w:ascii="Book Antiqua" w:eastAsia="Book Antiqua" w:hAnsi="Book Antiqua" w:cs="Book Antiqua"/>
          <w:b/>
        </w:rPr>
        <w:t>Abstract</w:t>
      </w:r>
    </w:p>
    <w:p w14:paraId="6BB926D1" w14:textId="77777777" w:rsidR="00C87744" w:rsidRDefault="00000000">
      <w:pPr>
        <w:spacing w:line="360" w:lineRule="auto"/>
        <w:jc w:val="both"/>
        <w:rPr>
          <w:rFonts w:ascii="Book Antiqua" w:hAnsi="Book Antiqua"/>
        </w:rPr>
      </w:pPr>
      <w:r>
        <w:rPr>
          <w:rFonts w:ascii="Book Antiqua" w:eastAsia="Book Antiqua" w:hAnsi="Book Antiqua" w:cs="Book Antiqua"/>
        </w:rPr>
        <w:t>BACKGROUND</w:t>
      </w:r>
    </w:p>
    <w:p w14:paraId="39132034" w14:textId="1FBF8AA1" w:rsidR="00C87744" w:rsidRDefault="00000000">
      <w:pPr>
        <w:spacing w:line="360" w:lineRule="auto"/>
        <w:jc w:val="both"/>
        <w:rPr>
          <w:rFonts w:ascii="Book Antiqua" w:hAnsi="Book Antiqua"/>
        </w:rPr>
      </w:pPr>
      <w:r>
        <w:rPr>
          <w:rFonts w:ascii="Book Antiqua" w:eastAsia="Book Antiqua" w:hAnsi="Book Antiqua" w:cs="Book Antiqua"/>
        </w:rPr>
        <w:t>M</w:t>
      </w:r>
      <w:r>
        <w:rPr>
          <w:rFonts w:ascii="Book Antiqua" w:eastAsia="Book Antiqua" w:hAnsi="Book Antiqua" w:cs="Book Antiqua"/>
          <w:shd w:val="clear" w:color="auto" w:fill="FFFFFF"/>
        </w:rPr>
        <w:t>icrovascular invasion (M</w:t>
      </w:r>
      <w:r>
        <w:rPr>
          <w:rFonts w:ascii="Book Antiqua" w:eastAsia="Book Antiqua" w:hAnsi="Book Antiqua" w:cs="Book Antiqua"/>
        </w:rPr>
        <w:t xml:space="preserve">VI) is an important predictor of poor prognosis in patients with </w:t>
      </w:r>
      <w:r>
        <w:rPr>
          <w:rFonts w:ascii="Book Antiqua" w:eastAsia="Book Antiqua" w:hAnsi="Book Antiqua" w:cs="Book Antiqua"/>
          <w:shd w:val="clear" w:color="auto" w:fill="FFFFFF"/>
        </w:rPr>
        <w:t>hepatocellular carcinoma (HCC). Accurate preoperative prediction of MVI in HCC would provide useful information to guide the choice of therapeutic strategy. S</w:t>
      </w:r>
      <w:r>
        <w:rPr>
          <w:rFonts w:ascii="Book Antiqua" w:eastAsia="Book Antiqua" w:hAnsi="Book Antiqua" w:cs="Book Antiqua"/>
        </w:rPr>
        <w:t>hear wave elastography (SWE) plays an important role in hepatic imaging, but its value in the preoperative prediction of MVI in HCC has not yet been proven.</w:t>
      </w:r>
    </w:p>
    <w:p w14:paraId="2DC74388" w14:textId="77777777" w:rsidR="00C87744" w:rsidRDefault="00C87744">
      <w:pPr>
        <w:spacing w:line="360" w:lineRule="auto"/>
        <w:jc w:val="both"/>
        <w:rPr>
          <w:rFonts w:ascii="Book Antiqua" w:hAnsi="Book Antiqua"/>
        </w:rPr>
      </w:pPr>
    </w:p>
    <w:p w14:paraId="50768DAD" w14:textId="77777777" w:rsidR="00C87744" w:rsidRDefault="00000000">
      <w:pPr>
        <w:spacing w:line="360" w:lineRule="auto"/>
        <w:jc w:val="both"/>
        <w:rPr>
          <w:rFonts w:ascii="Book Antiqua" w:hAnsi="Book Antiqua"/>
        </w:rPr>
      </w:pPr>
      <w:r>
        <w:rPr>
          <w:rFonts w:ascii="Book Antiqua" w:eastAsia="Book Antiqua" w:hAnsi="Book Antiqua" w:cs="Book Antiqua"/>
        </w:rPr>
        <w:t>AIM</w:t>
      </w:r>
    </w:p>
    <w:p w14:paraId="6F25F472" w14:textId="77777777" w:rsidR="00C87744" w:rsidRDefault="00000000">
      <w:pPr>
        <w:spacing w:line="360" w:lineRule="auto"/>
        <w:jc w:val="both"/>
        <w:rPr>
          <w:rFonts w:ascii="Book Antiqua" w:hAnsi="Book Antiqua"/>
        </w:rPr>
      </w:pPr>
      <w:r>
        <w:rPr>
          <w:rFonts w:ascii="Book Antiqua" w:eastAsia="Book Antiqua" w:hAnsi="Book Antiqua" w:cs="Book Antiqua"/>
        </w:rPr>
        <w:t xml:space="preserve">To </w:t>
      </w:r>
      <w:r>
        <w:rPr>
          <w:rFonts w:ascii="Book Antiqua" w:eastAsia="Book Antiqua" w:hAnsi="Book Antiqua" w:cs="Book Antiqua"/>
          <w:shd w:val="clear" w:color="auto" w:fill="FFFFFF"/>
        </w:rPr>
        <w:t>explore</w:t>
      </w:r>
      <w:r>
        <w:rPr>
          <w:rFonts w:ascii="Book Antiqua" w:eastAsia="Book Antiqua" w:hAnsi="Book Antiqua" w:cs="Book Antiqua"/>
        </w:rPr>
        <w:t xml:space="preserve"> the value of conventional ultrasound features and SWE in the preoperative prediction of MVI in HCC.</w:t>
      </w:r>
    </w:p>
    <w:p w14:paraId="1E1FA803" w14:textId="77777777" w:rsidR="00C87744" w:rsidRDefault="00C87744">
      <w:pPr>
        <w:spacing w:line="360" w:lineRule="auto"/>
        <w:jc w:val="both"/>
        <w:rPr>
          <w:rFonts w:ascii="Book Antiqua" w:hAnsi="Book Antiqua"/>
        </w:rPr>
      </w:pPr>
    </w:p>
    <w:p w14:paraId="3F7D3276" w14:textId="77777777" w:rsidR="00C87744" w:rsidRDefault="00000000">
      <w:pPr>
        <w:spacing w:line="360" w:lineRule="auto"/>
        <w:jc w:val="both"/>
        <w:rPr>
          <w:rFonts w:ascii="Book Antiqua" w:hAnsi="Book Antiqua"/>
        </w:rPr>
      </w:pPr>
      <w:r>
        <w:rPr>
          <w:rFonts w:ascii="Book Antiqua" w:eastAsia="Book Antiqua" w:hAnsi="Book Antiqua" w:cs="Book Antiqua"/>
        </w:rPr>
        <w:t>METHODS</w:t>
      </w:r>
    </w:p>
    <w:p w14:paraId="4105BB9F" w14:textId="3E6B70E6" w:rsidR="00C87744" w:rsidRDefault="00000000">
      <w:pPr>
        <w:spacing w:line="360" w:lineRule="auto"/>
        <w:jc w:val="both"/>
        <w:rPr>
          <w:rFonts w:ascii="Book Antiqua" w:hAnsi="Book Antiqua"/>
        </w:rPr>
      </w:pPr>
      <w:r>
        <w:rPr>
          <w:rFonts w:ascii="Book Antiqua" w:eastAsia="Book Antiqua" w:hAnsi="Book Antiqua" w:cs="Book Antiqua"/>
        </w:rPr>
        <w:t>Patients with a postoperative pathological diagnosis of HCC and a definite diagnosis of MVI were enrolled in this study. Conventional ultrasound features and SWE features such as maximal elasticity (Emax) of HCCs and Emax of the periphery of HCCs were acquired before surgery. These features were compared between MVI-positive HCCs and MVI-negative HCCs and between mild MVI HCCs and severe MVI HCCs.</w:t>
      </w:r>
    </w:p>
    <w:p w14:paraId="13FBAC0A" w14:textId="77777777" w:rsidR="00C87744" w:rsidRDefault="00C87744">
      <w:pPr>
        <w:spacing w:line="360" w:lineRule="auto"/>
        <w:jc w:val="both"/>
        <w:rPr>
          <w:rFonts w:ascii="Book Antiqua" w:hAnsi="Book Antiqua"/>
        </w:rPr>
      </w:pPr>
    </w:p>
    <w:p w14:paraId="3903B6FA" w14:textId="77777777" w:rsidR="00C87744" w:rsidRDefault="00000000">
      <w:pPr>
        <w:spacing w:line="360" w:lineRule="auto"/>
        <w:jc w:val="both"/>
        <w:rPr>
          <w:rFonts w:ascii="Book Antiqua" w:hAnsi="Book Antiqua"/>
        </w:rPr>
      </w:pPr>
      <w:r>
        <w:rPr>
          <w:rFonts w:ascii="Book Antiqua" w:eastAsia="Book Antiqua" w:hAnsi="Book Antiqua" w:cs="Book Antiqua"/>
        </w:rPr>
        <w:t>RESULTS</w:t>
      </w:r>
    </w:p>
    <w:p w14:paraId="5E8F6943" w14:textId="77777777" w:rsidR="00C87744" w:rsidRDefault="00000000">
      <w:pPr>
        <w:spacing w:line="360" w:lineRule="auto"/>
        <w:jc w:val="both"/>
        <w:rPr>
          <w:rFonts w:ascii="Book Antiqua" w:hAnsi="Book Antiqua"/>
        </w:rPr>
      </w:pPr>
      <w:r>
        <w:rPr>
          <w:rFonts w:ascii="Book Antiqua" w:eastAsia="Book Antiqua" w:hAnsi="Book Antiqua" w:cs="Book Antiqua"/>
        </w:rPr>
        <w:lastRenderedPageBreak/>
        <w:t>This study included 86 MVI-negative HCCs and 102 MVI-positive HCCs, including 54 with mild MVI and 48 with severe MVI. Maximal tumor diameters, surrounding liver tissue, color Doppler flow, Emax of HCCs, and Emax of the periphery of HCCs were significantly different between MVI-positive HCCs and MVI-negative HCCs. In addition, Emax of the periphery of HCCs was significantly different between mild MVI HCCs and severe MVI HCCs. Higher Emax of the periphery of HCCs and larger maximal diameters were independent risk factors for MVI, with odds ratios of 2.820 and 1.021, respectively.</w:t>
      </w:r>
    </w:p>
    <w:p w14:paraId="3EC62461" w14:textId="77777777" w:rsidR="00C87744" w:rsidRDefault="00C87744">
      <w:pPr>
        <w:spacing w:line="360" w:lineRule="auto"/>
        <w:jc w:val="both"/>
        <w:rPr>
          <w:rFonts w:ascii="Book Antiqua" w:hAnsi="Book Antiqua"/>
        </w:rPr>
      </w:pPr>
    </w:p>
    <w:p w14:paraId="526E6C70" w14:textId="77777777" w:rsidR="00C87744" w:rsidRDefault="00000000">
      <w:pPr>
        <w:spacing w:line="360" w:lineRule="auto"/>
        <w:jc w:val="both"/>
        <w:rPr>
          <w:rFonts w:ascii="Book Antiqua" w:hAnsi="Book Antiqua"/>
        </w:rPr>
      </w:pPr>
      <w:r>
        <w:rPr>
          <w:rFonts w:ascii="Book Antiqua" w:eastAsia="Book Antiqua" w:hAnsi="Book Antiqua" w:cs="Book Antiqua"/>
        </w:rPr>
        <w:t>CONCLUSION</w:t>
      </w:r>
    </w:p>
    <w:p w14:paraId="7142DE4D" w14:textId="77777777" w:rsidR="00C87744" w:rsidRDefault="00000000">
      <w:pPr>
        <w:spacing w:line="360" w:lineRule="auto"/>
        <w:jc w:val="both"/>
        <w:rPr>
          <w:rFonts w:ascii="Book Antiqua" w:hAnsi="Book Antiqua"/>
        </w:rPr>
      </w:pPr>
      <w:r>
        <w:rPr>
          <w:rFonts w:ascii="Book Antiqua" w:eastAsia="Book Antiqua" w:hAnsi="Book Antiqua" w:cs="Book Antiqua"/>
        </w:rPr>
        <w:t>HCC size and stiffness of the periphery of HCC are useful ultrasound criteria for predicting positive MVI. Preoperative ultrasound and SWE can provide useful information for the prediction of MVI in HCCs.</w:t>
      </w:r>
    </w:p>
    <w:p w14:paraId="2D57131B" w14:textId="77777777" w:rsidR="00C87744" w:rsidRDefault="00C87744">
      <w:pPr>
        <w:spacing w:line="360" w:lineRule="auto"/>
        <w:jc w:val="both"/>
        <w:rPr>
          <w:rFonts w:ascii="Book Antiqua" w:hAnsi="Book Antiqua"/>
        </w:rPr>
      </w:pPr>
    </w:p>
    <w:p w14:paraId="0084B247"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Hepatocellular carcinoma; Microvascular invasion; Conventional ultrasound; Shear wave elastography</w:t>
      </w:r>
    </w:p>
    <w:p w14:paraId="7DB7FB7F" w14:textId="77777777" w:rsidR="00C87744" w:rsidRDefault="00C87744">
      <w:pPr>
        <w:spacing w:line="360" w:lineRule="auto"/>
        <w:jc w:val="both"/>
        <w:rPr>
          <w:rFonts w:ascii="Book Antiqua" w:hAnsi="Book Antiqua"/>
        </w:rPr>
      </w:pPr>
    </w:p>
    <w:p w14:paraId="16382FB3" w14:textId="77777777" w:rsidR="00C87744" w:rsidRDefault="00000000">
      <w:pPr>
        <w:spacing w:line="360" w:lineRule="auto"/>
        <w:jc w:val="both"/>
        <w:rPr>
          <w:rFonts w:ascii="Book Antiqua" w:hAnsi="Book Antiqua"/>
        </w:rPr>
      </w:pPr>
      <w:r>
        <w:rPr>
          <w:rFonts w:ascii="Book Antiqua" w:eastAsia="Book Antiqua" w:hAnsi="Book Antiqua" w:cs="Book Antiqua"/>
        </w:rPr>
        <w:t xml:space="preserve">Jiang D, Qian Y, Tan BB, Zhu XL, Dong H, Qian R. Preoperative prediction of microvascular invasion in hepatocellular carcinoma using ultrasound features including elasticity. </w:t>
      </w:r>
      <w:r>
        <w:rPr>
          <w:rFonts w:ascii="Book Antiqua" w:eastAsia="Book Antiqua" w:hAnsi="Book Antiqua" w:cs="Book Antiqua"/>
          <w:i/>
          <w:iCs/>
        </w:rPr>
        <w:t>World J Gastrointest Surg</w:t>
      </w:r>
      <w:r>
        <w:rPr>
          <w:rFonts w:ascii="Book Antiqua" w:eastAsia="Book Antiqua" w:hAnsi="Book Antiqua" w:cs="Book Antiqua"/>
        </w:rPr>
        <w:t xml:space="preserve"> 2023; In press</w:t>
      </w:r>
    </w:p>
    <w:p w14:paraId="048AAF16" w14:textId="77777777" w:rsidR="00C87744" w:rsidRDefault="00C87744">
      <w:pPr>
        <w:spacing w:line="360" w:lineRule="auto"/>
        <w:jc w:val="both"/>
        <w:rPr>
          <w:rFonts w:ascii="Book Antiqua" w:hAnsi="Book Antiqua"/>
        </w:rPr>
      </w:pPr>
    </w:p>
    <w:p w14:paraId="576B964A" w14:textId="1186775F" w:rsidR="00C87744"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Shear wave elastography (SWE) plays an important role in differentiating benign and malignant liver tumors and different types of malignant liver tumors. However, its value in the preoperative prediction of microvascular invasion (MVI) in hepatocellular carcinoma (HCC) has not yet been proven. We used conventional ultrasound and SWE to evaluate the features of HCCs for preoperative prediction of MVI in HCCs. Our results showed that higher maximal elasticity of the periphery of HCCs and larger maximal diameters were independent risk factors for MVI. Preoperative conventional ultrasound and SWE can provide useful information for the prediction of MVI in HCCs.</w:t>
      </w:r>
    </w:p>
    <w:p w14:paraId="557170AB" w14:textId="77777777" w:rsidR="00C87744" w:rsidRDefault="00C87744">
      <w:pPr>
        <w:spacing w:line="360" w:lineRule="auto"/>
        <w:jc w:val="both"/>
        <w:rPr>
          <w:rFonts w:ascii="Book Antiqua" w:hAnsi="Book Antiqua"/>
        </w:rPr>
      </w:pPr>
    </w:p>
    <w:p w14:paraId="7BFC3D83" w14:textId="77777777" w:rsidR="00C87744" w:rsidRDefault="00000000">
      <w:pPr>
        <w:spacing w:line="360" w:lineRule="auto"/>
        <w:jc w:val="both"/>
        <w:rPr>
          <w:rFonts w:ascii="Book Antiqua" w:eastAsia="Book Antiqua" w:hAnsi="Book Antiqua" w:cs="Book Antiqua"/>
          <w:b/>
          <w:caps/>
          <w:u w:val="single"/>
        </w:rPr>
      </w:pPr>
      <w:r>
        <w:rPr>
          <w:rFonts w:ascii="Book Antiqua" w:eastAsia="Book Antiqua" w:hAnsi="Book Antiqua" w:cs="Book Antiqua"/>
          <w:b/>
          <w:caps/>
          <w:u w:val="single"/>
        </w:rPr>
        <w:lastRenderedPageBreak/>
        <w:t>INTRODUCTION</w:t>
      </w:r>
    </w:p>
    <w:p w14:paraId="16D0D24A" w14:textId="111175EE" w:rsidR="00C87744" w:rsidRDefault="00000000">
      <w:pPr>
        <w:spacing w:line="360" w:lineRule="auto"/>
        <w:jc w:val="both"/>
        <w:rPr>
          <w:rFonts w:ascii="Book Antiqua" w:hAnsi="Book Antiqua"/>
        </w:rPr>
      </w:pPr>
      <w:r>
        <w:rPr>
          <w:rFonts w:ascii="Book Antiqua" w:eastAsia="Book Antiqua" w:hAnsi="Book Antiqua" w:cs="Book Antiqua"/>
          <w:shd w:val="clear" w:color="auto" w:fill="FFFFFF"/>
        </w:rPr>
        <w:t xml:space="preserve">Hepatocellular carcinoma (HCC), as the third leading cause of cancer-related deaths worldwide and the second leading cause in China, represents a major health concern throughout the world, especially </w:t>
      </w:r>
      <w:r>
        <w:rPr>
          <w:rFonts w:ascii="Book Antiqua" w:eastAsia="Book Antiqua" w:hAnsi="Book Antiqua" w:cs="Book Antiqua"/>
        </w:rPr>
        <w:t>in China</w:t>
      </w:r>
      <w:r>
        <w:rPr>
          <w:rFonts w:ascii="Book Antiqua" w:eastAsia="Book Antiqua" w:hAnsi="Book Antiqua" w:cs="Book Antiqua"/>
          <w:vertAlign w:val="superscript"/>
        </w:rPr>
        <w:t>[1]</w:t>
      </w:r>
      <w:r>
        <w:rPr>
          <w:rFonts w:ascii="Book Antiqua" w:eastAsia="Book Antiqua" w:hAnsi="Book Antiqua" w:cs="Book Antiqua"/>
        </w:rPr>
        <w:t>. M</w:t>
      </w:r>
      <w:r>
        <w:rPr>
          <w:rFonts w:ascii="Book Antiqua" w:eastAsia="Book Antiqua" w:hAnsi="Book Antiqua" w:cs="Book Antiqua"/>
          <w:shd w:val="clear" w:color="auto" w:fill="FFFFFF"/>
        </w:rPr>
        <w:t>icrovascular invasion (M</w:t>
      </w:r>
      <w:r>
        <w:rPr>
          <w:rFonts w:ascii="Book Antiqua" w:eastAsia="Book Antiqua" w:hAnsi="Book Antiqua" w:cs="Book Antiqua"/>
        </w:rPr>
        <w:t xml:space="preserve">VI), the invasion of cancer cells into vascular lumen (including microbranches of the portal vein, hepatic artery, and lymphatic vessels), is a very important predictor of poor prognosis, postoperative recurrence, metastasis, and poor survival rate in patients with </w:t>
      </w:r>
      <w:r>
        <w:rPr>
          <w:rFonts w:ascii="Book Antiqua" w:eastAsia="Book Antiqua" w:hAnsi="Book Antiqua" w:cs="Book Antiqua"/>
          <w:shd w:val="clear" w:color="auto" w:fill="FFFFFF"/>
        </w:rPr>
        <w:t>HCC after surgical resection or liver transplantation</w:t>
      </w:r>
      <w:r>
        <w:rPr>
          <w:rFonts w:ascii="Book Antiqua" w:eastAsia="Book Antiqua" w:hAnsi="Book Antiqua" w:cs="Book Antiqua"/>
          <w:vertAlign w:val="superscript"/>
        </w:rPr>
        <w:t>[2-5]</w:t>
      </w:r>
      <w:r>
        <w:rPr>
          <w:rFonts w:ascii="Book Antiqua" w:eastAsia="Book Antiqua" w:hAnsi="Book Antiqua" w:cs="Book Antiqua"/>
        </w:rPr>
        <w:t xml:space="preserve">. </w:t>
      </w:r>
      <w:r>
        <w:rPr>
          <w:rFonts w:ascii="Book Antiqua" w:eastAsia="Book Antiqua" w:hAnsi="Book Antiqua" w:cs="Book Antiqua"/>
          <w:shd w:val="clear" w:color="auto" w:fill="FFFFFF"/>
        </w:rPr>
        <w:t>Accurate preoperative prediction of MVI in HCC would offer valuable insights to guide therapeutic strategy.</w:t>
      </w:r>
    </w:p>
    <w:p w14:paraId="6420128F" w14:textId="1F0B5171" w:rsidR="00C87744" w:rsidRDefault="00000000">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 xml:space="preserve">Some studies have demonstrated that preoperative imaging including contrast-enhanced computed tomography and contrast-enhanced magnetic resonance imaging (MRI) may help in </w:t>
      </w:r>
      <w:r>
        <w:rPr>
          <w:rFonts w:ascii="Book Antiqua" w:eastAsia="Book Antiqua" w:hAnsi="Book Antiqua" w:cs="Book Antiqua"/>
        </w:rPr>
        <w:t>the diagnosis of MVI</w:t>
      </w:r>
      <w:r>
        <w:rPr>
          <w:rFonts w:ascii="Book Antiqua" w:eastAsia="Book Antiqua" w:hAnsi="Book Antiqua" w:cs="Book Antiqua"/>
          <w:vertAlign w:val="superscript"/>
        </w:rPr>
        <w:t>[6-10]</w:t>
      </w:r>
      <w:r>
        <w:rPr>
          <w:rFonts w:ascii="Book Antiqua" w:eastAsia="Book Antiqua" w:hAnsi="Book Antiqua" w:cs="Book Antiqua"/>
        </w:rPr>
        <w:t xml:space="preserve">. </w:t>
      </w:r>
      <w:r>
        <w:rPr>
          <w:rFonts w:ascii="Book Antiqua" w:eastAsia="Book Antiqua" w:hAnsi="Book Antiqua" w:cs="Book Antiqua"/>
          <w:shd w:val="clear" w:color="auto" w:fill="FFFFFF"/>
        </w:rPr>
        <w:t>Related studies have focused on contrast-</w:t>
      </w:r>
      <w:r>
        <w:rPr>
          <w:rFonts w:ascii="Book Antiqua" w:eastAsia="Book Antiqua" w:hAnsi="Book Antiqua" w:cs="Book Antiqua"/>
        </w:rPr>
        <w:t>enhanced ultrasound (CEUS)</w:t>
      </w:r>
      <w:r>
        <w:rPr>
          <w:rFonts w:ascii="Book Antiqua" w:eastAsia="Book Antiqua" w:hAnsi="Book Antiqua" w:cs="Book Antiqua"/>
          <w:vertAlign w:val="superscript"/>
        </w:rPr>
        <w:t>[11-14]</w:t>
      </w:r>
      <w:r>
        <w:rPr>
          <w:rFonts w:ascii="Book Antiqua" w:eastAsia="Book Antiqua" w:hAnsi="Book Antiqua" w:cs="Book Antiqua"/>
        </w:rPr>
        <w:t xml:space="preserve">. The study </w:t>
      </w:r>
      <w:r>
        <w:rPr>
          <w:rFonts w:ascii="Book Antiqua" w:eastAsia="Book Antiqua" w:hAnsi="Book Antiqua" w:cs="Book Antiqua"/>
          <w:shd w:val="clear" w:color="auto" w:fill="FFFFFF"/>
        </w:rPr>
        <w:t xml:space="preserve">by Qin </w:t>
      </w:r>
      <w:r>
        <w:rPr>
          <w:rFonts w:ascii="Book Antiqua" w:eastAsia="Book Antiqua" w:hAnsi="Book Antiqua" w:cs="Book Antiqua"/>
          <w:i/>
          <w:iCs/>
          <w:shd w:val="clear" w:color="auto" w:fill="FFFFFF"/>
        </w:rPr>
        <w:t>et al</w:t>
      </w:r>
      <w:r>
        <w:rPr>
          <w:rFonts w:ascii="Book Antiqua" w:eastAsia="Book Antiqua" w:hAnsi="Book Antiqua" w:cs="Book Antiqua"/>
          <w:vertAlign w:val="superscript"/>
        </w:rPr>
        <w:t>[11]</w:t>
      </w:r>
      <w:r>
        <w:rPr>
          <w:rFonts w:ascii="Book Antiqua" w:eastAsia="Book Antiqua" w:hAnsi="Book Antiqua" w:cs="Book Antiqua"/>
        </w:rPr>
        <w:t xml:space="preserve"> showed that a deep learning model based on CEUS could accurately predict MVI</w:t>
      </w:r>
      <w:r>
        <w:rPr>
          <w:rFonts w:ascii="Book Antiqua" w:eastAsia="Book Antiqua" w:hAnsi="Book Antiqua" w:cs="Book Antiqua"/>
          <w:shd w:val="clear" w:color="auto" w:fill="FFFFFF"/>
        </w:rPr>
        <w:t xml:space="preserve"> in HCC and help identify high-risk patients. The study by Li </w:t>
      </w:r>
      <w:r>
        <w:rPr>
          <w:rFonts w:ascii="Book Antiqua" w:eastAsia="Book Antiqua" w:hAnsi="Book Antiqua" w:cs="Book Antiqua"/>
          <w:i/>
          <w:iCs/>
          <w:shd w:val="clear" w:color="auto" w:fill="FFFFFF"/>
        </w:rPr>
        <w:t>et al</w:t>
      </w:r>
      <w:r>
        <w:rPr>
          <w:rFonts w:ascii="Book Antiqua" w:eastAsia="Book Antiqua" w:hAnsi="Book Antiqua" w:cs="Book Antiqua"/>
          <w:vertAlign w:val="superscript"/>
        </w:rPr>
        <w:t>[12]</w:t>
      </w:r>
      <w:r>
        <w:rPr>
          <w:rFonts w:ascii="Book Antiqua" w:eastAsia="Book Antiqua" w:hAnsi="Book Antiqua" w:cs="Book Antiqua"/>
        </w:rPr>
        <w:t xml:space="preserve"> showed that feature</w:t>
      </w:r>
      <w:r>
        <w:rPr>
          <w:rFonts w:ascii="Book Antiqua" w:eastAsia="Book Antiqua" w:hAnsi="Book Antiqua" w:cs="Book Antiqua"/>
          <w:shd w:val="clear" w:color="auto" w:fill="FFFFFF"/>
        </w:rPr>
        <w:t>s such as non-single nodules in the postvascular phase of preoperative Sonazoid CEUS was an independent risk factor for MVI in HCC.</w:t>
      </w:r>
    </w:p>
    <w:p w14:paraId="3D74E233" w14:textId="688E162D" w:rsidR="00C87744" w:rsidRDefault="00000000">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 xml:space="preserve">Ultrasound elastography, especially quantitative </w:t>
      </w:r>
      <w:r>
        <w:rPr>
          <w:rFonts w:ascii="Book Antiqua" w:eastAsia="Book Antiqua" w:hAnsi="Book Antiqua" w:cs="Book Antiqua"/>
        </w:rPr>
        <w:t>shear wave elastography (SWE), plays an important role in hepatic imaging</w:t>
      </w:r>
      <w:r>
        <w:rPr>
          <w:rFonts w:ascii="Book Antiqua" w:eastAsia="Book Antiqua" w:hAnsi="Book Antiqua" w:cs="Book Antiqua"/>
          <w:vertAlign w:val="superscript"/>
        </w:rPr>
        <w:t>[15-17]</w:t>
      </w:r>
      <w:r>
        <w:rPr>
          <w:rFonts w:ascii="Book Antiqua" w:eastAsia="Book Antiqua" w:hAnsi="Book Antiqua" w:cs="Book Antiqua"/>
        </w:rPr>
        <w:t xml:space="preserve">. Compared with CEUS, contrast-enhanced computed tomography, or contrast-enhanced MRI, SWE has the advantage of the absence of contrast agent allergy and is generally less expensive and less time-consuming than other methods, making it a more practical option for many medical facilities. Zhang </w:t>
      </w:r>
      <w:r>
        <w:rPr>
          <w:rFonts w:ascii="Book Antiqua" w:eastAsia="Book Antiqua" w:hAnsi="Book Antiqua" w:cs="Book Antiqua"/>
          <w:i/>
          <w:iCs/>
        </w:rPr>
        <w:t>et al</w:t>
      </w:r>
      <w:r>
        <w:rPr>
          <w:rFonts w:ascii="Book Antiqua" w:eastAsia="Book Antiqua" w:hAnsi="Book Antiqua" w:cs="Book Antiqua"/>
          <w:vertAlign w:val="superscript"/>
        </w:rPr>
        <w:t>[7]</w:t>
      </w:r>
      <w:r>
        <w:rPr>
          <w:rFonts w:ascii="Book Antiqua" w:eastAsia="Book Antiqua" w:hAnsi="Book Antiqua" w:cs="Book Antiqua"/>
        </w:rPr>
        <w:t xml:space="preserve"> reported that the stiffness of HCCs based on MR-elastography was an independent risk factor for MVI and may be useful for the preoperative prediction of MVI. However, only a few studies have focused on the value of SWE in the prediction of MVI</w:t>
      </w:r>
      <w:r>
        <w:rPr>
          <w:rFonts w:ascii="Book Antiqua" w:eastAsia="Book Antiqua" w:hAnsi="Book Antiqua" w:cs="Book Antiqua"/>
          <w:vertAlign w:val="superscript"/>
        </w:rPr>
        <w:t>[18]</w:t>
      </w:r>
      <w:r>
        <w:rPr>
          <w:rFonts w:ascii="Book Antiqua" w:eastAsia="Book Antiqua" w:hAnsi="Book Antiqua" w:cs="Book Antiqua"/>
        </w:rPr>
        <w:t>.</w:t>
      </w:r>
    </w:p>
    <w:p w14:paraId="481687BB" w14:textId="77777777" w:rsidR="00C87744" w:rsidRDefault="00000000">
      <w:pPr>
        <w:spacing w:line="360" w:lineRule="auto"/>
        <w:ind w:firstLineChars="100" w:firstLine="240"/>
        <w:jc w:val="both"/>
        <w:rPr>
          <w:rFonts w:ascii="Book Antiqua" w:hAnsi="Book Antiqua"/>
        </w:rPr>
      </w:pPr>
      <w:r>
        <w:rPr>
          <w:rFonts w:ascii="Book Antiqua" w:eastAsia="Book Antiqua" w:hAnsi="Book Antiqua" w:cs="Book Antiqua"/>
        </w:rPr>
        <w:t>In the present study, we explored the value of conventional ultrasound features and SWE in the preoperative prediction of MVI in HCC.</w:t>
      </w:r>
    </w:p>
    <w:p w14:paraId="2361FC88" w14:textId="77777777" w:rsidR="00C87744" w:rsidRDefault="00C87744">
      <w:pPr>
        <w:spacing w:line="360" w:lineRule="auto"/>
        <w:jc w:val="both"/>
        <w:rPr>
          <w:rFonts w:ascii="Book Antiqua" w:hAnsi="Book Antiqua"/>
        </w:rPr>
      </w:pPr>
    </w:p>
    <w:p w14:paraId="0121C0F5" w14:textId="77777777" w:rsidR="00C87744" w:rsidRDefault="00000000">
      <w:pPr>
        <w:spacing w:line="360" w:lineRule="auto"/>
        <w:jc w:val="both"/>
        <w:rPr>
          <w:rFonts w:ascii="Book Antiqua" w:hAnsi="Book Antiqua"/>
        </w:rPr>
      </w:pPr>
      <w:r>
        <w:rPr>
          <w:rFonts w:ascii="Book Antiqua" w:eastAsia="Book Antiqua" w:hAnsi="Book Antiqua" w:cs="Book Antiqua"/>
          <w:b/>
          <w:caps/>
          <w:u w:val="single"/>
        </w:rPr>
        <w:t>MATERIALS AND METHODS</w:t>
      </w:r>
    </w:p>
    <w:p w14:paraId="06F4186D"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lastRenderedPageBreak/>
        <w:t>Study design</w:t>
      </w:r>
    </w:p>
    <w:p w14:paraId="5D59C186"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This prospective study was approved by the Ethics Committee of Eastern Hepatobiliary Surgery Hospital (Approval No. EHBHKY2021-K-017). Each patient provided written informed consent before the ultrasound examinations.</w:t>
      </w:r>
    </w:p>
    <w:p w14:paraId="5762124C" w14:textId="77777777" w:rsidR="00C87744" w:rsidRDefault="00C87744">
      <w:pPr>
        <w:spacing w:line="360" w:lineRule="auto"/>
        <w:jc w:val="both"/>
        <w:rPr>
          <w:rFonts w:ascii="Book Antiqua" w:hAnsi="Book Antiqua"/>
        </w:rPr>
      </w:pPr>
    </w:p>
    <w:p w14:paraId="6864E33F"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Patients</w:t>
      </w:r>
    </w:p>
    <w:p w14:paraId="016EC879" w14:textId="01CB147E"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Inpatients admitted to the Hepatobiliary Surgery Department at our hospital between November 2021 and July 2022 were included in this study if they met the following criteria: (1) Single liver tumor resected surgically and diagnosed as HCC pathologically; and (2) Ultrasound examinations including SWE successfully performed within 3 d before surgery. The exclusion criteria were: (1) A history of hepatectomy or abdominal malignant tumors; (2) A history of radiotherapy, chemotherapy, and other treatments before surgery; and (3) No definite pathological diagnosis of MVI.</w:t>
      </w:r>
    </w:p>
    <w:p w14:paraId="120D829B" w14:textId="77777777" w:rsidR="00C87744" w:rsidRDefault="00C87744">
      <w:pPr>
        <w:spacing w:line="360" w:lineRule="auto"/>
        <w:jc w:val="both"/>
        <w:rPr>
          <w:rFonts w:ascii="Book Antiqua" w:hAnsi="Book Antiqua"/>
        </w:rPr>
      </w:pPr>
    </w:p>
    <w:p w14:paraId="2B583413"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Conventional ultrasound examination</w:t>
      </w:r>
    </w:p>
    <w:p w14:paraId="71D291FB" w14:textId="77777777" w:rsidR="00C87744" w:rsidRDefault="00000000">
      <w:pPr>
        <w:spacing w:line="360" w:lineRule="auto"/>
        <w:jc w:val="both"/>
        <w:rPr>
          <w:rFonts w:ascii="Book Antiqua" w:hAnsi="Book Antiqua"/>
        </w:rPr>
      </w:pPr>
      <w:r>
        <w:rPr>
          <w:rFonts w:ascii="Book Antiqua" w:eastAsia="Book Antiqua" w:hAnsi="Book Antiqua" w:cs="Book Antiqua"/>
        </w:rPr>
        <w:t>All ultrasound examinations were performed within 3 d before surgery, using an Acuson Sequoia diagnostic ultrasound machine and a transabdominal 5C1 probe (Siemens Medical Solutions, Mountain View, CA, United States). The patients were instructed to fast for a minimum of 8 h prior to the examinations.</w:t>
      </w:r>
    </w:p>
    <w:p w14:paraId="363740E9" w14:textId="77777777"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All conventional ultrasound examinations were performed by a single ultrasound physician with 15 years of experience in liver ultrasound. Maximal tumor diameter, echogenicity (hypo- if the tumor was mainly hypoechoic compared with surrounding liver tissue, or hyper- if the tumor was mainly hyperechoic compared with surrounding liver tissue), boundary (clear or unclear), surrounding hepatic tissue (liver cirrhosis, fatty liver, or normal liver), and tumor vascularity (none if no vessels were seen in the tumor using color Doppler flow imaging, rich if more than three vessels were seen, or mild if one to three vessels were seen) were observed and recorded (Figure 1).</w:t>
      </w:r>
    </w:p>
    <w:p w14:paraId="00C1EA1D" w14:textId="77777777" w:rsidR="00C87744" w:rsidRDefault="00C87744">
      <w:pPr>
        <w:spacing w:line="360" w:lineRule="auto"/>
        <w:ind w:firstLineChars="100" w:firstLine="240"/>
        <w:jc w:val="both"/>
        <w:rPr>
          <w:rFonts w:ascii="Book Antiqua" w:hAnsi="Book Antiqua"/>
        </w:rPr>
      </w:pPr>
    </w:p>
    <w:p w14:paraId="2A3F083E"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SWE examination</w:t>
      </w:r>
    </w:p>
    <w:p w14:paraId="4F2C04B8" w14:textId="6762E3BE"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The same ultrasound equipment and probe were used for the SWE examination. Another ultrasound physician with 5 years of experience in both liver ultrasound and ultrasound elastography performed all the SWE examinations. During the examination, the patients were instructed to lie flat and breathe gently. They were instructed to hold their breath for a few seconds if necessary. The targeted tumor was shown on the screen before activation of the SWE mode. The whole tumor (or partial if the tumor was too large) and some surrounding hepatic tissues were included in the region of interest (ROI). Quality mode was used to evaluate the SWE image quality; green in the ROI means image quality is excellent and the results are reliable. In the velocity mode, the speed bar was set as 0.5-4.0 m/s. One circular ROI (diameter of 3 mm) was placed at the stiffest part of the tumor; another ROI of the same size was placed at the periphery of the tumor. The maximum values within the two ROIs were recorded as Emax for both the tumor and the periphery of the tumor, respectively. These values were then used for further analysis (Figure 2).</w:t>
      </w:r>
    </w:p>
    <w:p w14:paraId="66BDF626" w14:textId="77777777" w:rsidR="00C87744" w:rsidRDefault="00C87744">
      <w:pPr>
        <w:spacing w:line="360" w:lineRule="auto"/>
        <w:jc w:val="both"/>
        <w:rPr>
          <w:rFonts w:ascii="Book Antiqua" w:hAnsi="Book Antiqua"/>
        </w:rPr>
      </w:pPr>
    </w:p>
    <w:p w14:paraId="2098F629"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Pathological MVI examination</w:t>
      </w:r>
    </w:p>
    <w:p w14:paraId="27283B05"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One pathologist, who had 20 years of experience in HCC pathology and was blind to all clinical data, reviewed the specimens. The extent of MVI was graded as MVI-negative (no MVI detected), mild MVI (MVI ≤ 5, occurring in the proximal non-neoplastic adjacent hepatic tissues), and severe MVI (MVI </w:t>
      </w:r>
      <w:r>
        <w:rPr>
          <w:rFonts w:ascii="Book Antiqua" w:hAnsi="Book Antiqua" w:cs="Book Antiqua"/>
          <w:lang w:eastAsia="zh-CN"/>
        </w:rPr>
        <w:t xml:space="preserve">&gt; </w:t>
      </w:r>
      <w:r>
        <w:rPr>
          <w:rFonts w:ascii="Book Antiqua" w:eastAsia="Book Antiqua" w:hAnsi="Book Antiqua" w:cs="Book Antiqua"/>
        </w:rPr>
        <w:t>5, in non-neoplastic adjacent hepatic tissues, Figure 3)</w:t>
      </w:r>
      <w:r>
        <w:rPr>
          <w:rFonts w:ascii="Book Antiqua" w:eastAsia="Book Antiqua" w:hAnsi="Book Antiqua" w:cs="Book Antiqua"/>
          <w:vertAlign w:val="superscript"/>
        </w:rPr>
        <w:t>[2]</w:t>
      </w:r>
      <w:r>
        <w:rPr>
          <w:rFonts w:ascii="Book Antiqua" w:eastAsia="Book Antiqua" w:hAnsi="Book Antiqua" w:cs="Book Antiqua"/>
        </w:rPr>
        <w:t>.</w:t>
      </w:r>
    </w:p>
    <w:p w14:paraId="4D6CE42A" w14:textId="77777777" w:rsidR="00C87744" w:rsidRDefault="00C87744">
      <w:pPr>
        <w:spacing w:line="360" w:lineRule="auto"/>
        <w:jc w:val="both"/>
        <w:rPr>
          <w:rFonts w:ascii="Book Antiqua" w:hAnsi="Book Antiqua"/>
        </w:rPr>
      </w:pPr>
    </w:p>
    <w:p w14:paraId="657A05AF"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Statistical analysis</w:t>
      </w:r>
    </w:p>
    <w:p w14:paraId="1538F008" w14:textId="285380B7" w:rsidR="00C87744" w:rsidRDefault="00000000">
      <w:pPr>
        <w:spacing w:line="360" w:lineRule="auto"/>
        <w:jc w:val="both"/>
        <w:rPr>
          <w:rFonts w:ascii="Book Antiqua" w:hAnsi="Book Antiqua"/>
        </w:rPr>
      </w:pPr>
      <w:r>
        <w:rPr>
          <w:rFonts w:ascii="Book Antiqua" w:eastAsia="Book Antiqua" w:hAnsi="Book Antiqua" w:cs="Book Antiqua"/>
        </w:rPr>
        <w:t xml:space="preserve">For statistical analysis, SPSS version 24.0 software (IBM Corporation, Armonk, NY, United States) was used. </w:t>
      </w:r>
      <w:r>
        <w:rPr>
          <w:rFonts w:ascii="Book Antiqua" w:eastAsia="Book Antiqua" w:hAnsi="Book Antiqua" w:cs="Book Antiqua"/>
          <w:i/>
          <w:iCs/>
        </w:rPr>
        <w:t xml:space="preserve">P </w:t>
      </w:r>
      <w:r>
        <w:rPr>
          <w:rFonts w:ascii="Book Antiqua" w:eastAsia="Book Antiqua" w:hAnsi="Book Antiqua" w:cs="Book Antiqua"/>
        </w:rPr>
        <w:t xml:space="preserve">&lt; 0.05 was considered statistically significant. Measurement data with normal distribution were reported as mean ± standard deviation and compared using the independent sample </w:t>
      </w:r>
      <w:r>
        <w:rPr>
          <w:rFonts w:ascii="Book Antiqua" w:eastAsia="Book Antiqua" w:hAnsi="Book Antiqua" w:cs="Book Antiqua"/>
          <w:i/>
          <w:iCs/>
        </w:rPr>
        <w:t>t</w:t>
      </w:r>
      <w:r>
        <w:rPr>
          <w:rFonts w:ascii="Book Antiqua" w:eastAsia="Book Antiqua" w:hAnsi="Book Antiqua" w:cs="Book Antiqua"/>
        </w:rPr>
        <w:t>-test; otherwise, data were reported as median (25</w:t>
      </w:r>
      <w:r>
        <w:rPr>
          <w:rFonts w:ascii="Book Antiqua" w:eastAsia="Book Antiqua" w:hAnsi="Book Antiqua" w:cs="Book Antiqua"/>
          <w:vertAlign w:val="superscript"/>
        </w:rPr>
        <w:t>th</w:t>
      </w:r>
      <w:r>
        <w:rPr>
          <w:rFonts w:ascii="Book Antiqua" w:eastAsia="Book Antiqua" w:hAnsi="Book Antiqua" w:cs="Book Antiqua"/>
        </w:rPr>
        <w:t>-75</w:t>
      </w:r>
      <w:r>
        <w:rPr>
          <w:rFonts w:ascii="Book Antiqua" w:eastAsia="Book Antiqua" w:hAnsi="Book Antiqua" w:cs="Book Antiqua"/>
          <w:vertAlign w:val="superscript"/>
        </w:rPr>
        <w:t>th</w:t>
      </w:r>
      <w:r>
        <w:rPr>
          <w:rFonts w:ascii="Book Antiqua" w:eastAsia="Book Antiqua" w:hAnsi="Book Antiqua" w:cs="Book Antiqua"/>
        </w:rPr>
        <w:t xml:space="preserve"> percentile) and compared using the Mann-Whitney test. The cutoff point of Emax was calculated by a receiver operating characteristic curve.</w:t>
      </w:r>
    </w:p>
    <w:p w14:paraId="445D1422" w14:textId="267DBED4" w:rsidR="00C87744" w:rsidRDefault="00000000">
      <w:pPr>
        <w:spacing w:line="360" w:lineRule="auto"/>
        <w:ind w:firstLine="240"/>
        <w:jc w:val="both"/>
        <w:rPr>
          <w:rFonts w:ascii="Book Antiqua" w:hAnsi="Book Antiqua"/>
        </w:rPr>
      </w:pPr>
      <w:r>
        <w:rPr>
          <w:rFonts w:ascii="Book Antiqua" w:eastAsia="Book Antiqua" w:hAnsi="Book Antiqua" w:cs="Book Antiqua"/>
        </w:rPr>
        <w:t xml:space="preserve">Enumerative data were described as numbers and percentage and compared using the Pearson </w:t>
      </w:r>
      <w:r>
        <w:rPr>
          <w:rFonts w:ascii="Symbol" w:eastAsia="Book Antiqua" w:hAnsi="Symbol" w:cs="Book Antiqua"/>
          <w:i/>
          <w:iCs/>
        </w:rPr>
        <w:t>c</w:t>
      </w:r>
      <w:r>
        <w:rPr>
          <w:rFonts w:ascii="Book Antiqua" w:eastAsia="Book Antiqua" w:hAnsi="Book Antiqua" w:cs="Book Antiqua"/>
          <w:i/>
          <w:iCs/>
          <w:vertAlign w:val="superscript"/>
        </w:rPr>
        <w:t>2</w:t>
      </w:r>
      <w:r>
        <w:rPr>
          <w:rFonts w:ascii="Book Antiqua" w:eastAsia="Book Antiqua" w:hAnsi="Book Antiqua" w:cs="Book Antiqua"/>
        </w:rPr>
        <w:t xml:space="preserve"> test. Bivariate logistic regression analysis was performed to determine </w:t>
      </w:r>
      <w:r>
        <w:rPr>
          <w:rFonts w:ascii="Book Antiqua" w:eastAsia="Book Antiqua" w:hAnsi="Book Antiqua" w:cs="Book Antiqua"/>
        </w:rPr>
        <w:lastRenderedPageBreak/>
        <w:t>independent predictors of MVI from the ultrasound characteristics that showed statistical significance using univariate analysis.</w:t>
      </w:r>
    </w:p>
    <w:p w14:paraId="41DA4327" w14:textId="77777777" w:rsidR="00C87744" w:rsidRDefault="00C87744">
      <w:pPr>
        <w:spacing w:line="360" w:lineRule="auto"/>
        <w:jc w:val="both"/>
        <w:rPr>
          <w:rFonts w:ascii="Book Antiqua" w:hAnsi="Book Antiqua"/>
        </w:rPr>
      </w:pPr>
    </w:p>
    <w:p w14:paraId="6D4F1119" w14:textId="77777777" w:rsidR="00C87744" w:rsidRDefault="00000000">
      <w:pPr>
        <w:spacing w:line="360" w:lineRule="auto"/>
        <w:jc w:val="both"/>
        <w:rPr>
          <w:rFonts w:ascii="Book Antiqua" w:hAnsi="Book Antiqua"/>
        </w:rPr>
      </w:pPr>
      <w:r>
        <w:rPr>
          <w:rFonts w:ascii="Book Antiqua" w:eastAsia="Book Antiqua" w:hAnsi="Book Antiqua" w:cs="Book Antiqua"/>
          <w:b/>
          <w:caps/>
          <w:u w:val="single"/>
        </w:rPr>
        <w:t>RESULTS</w:t>
      </w:r>
    </w:p>
    <w:p w14:paraId="0D4FD56F"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Patients and MVI results</w:t>
      </w:r>
    </w:p>
    <w:p w14:paraId="4ABBC5C9" w14:textId="53F7CB39"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One hundred and eighty-eight patients with single HCCs (156 males and 32 females; aged 24-76 years, mean age 56.25 years ± 9.93 years) were enrolled in this study, including 86 who were MVI-negative and 102 who were MVI-positive (54 had mild MVI and 48 had severe MVI). Sex and age were not significantly different between the MVI-negative patients (70 males and 16 females; mean age 56.94 years ± 10.12 years) and the MVI-positive patients (86 males and 16 females; mean age 55.67 years ± 9.77 years).</w:t>
      </w:r>
    </w:p>
    <w:p w14:paraId="209F8E48" w14:textId="77777777" w:rsidR="00C87744" w:rsidRDefault="00C87744">
      <w:pPr>
        <w:spacing w:line="360" w:lineRule="auto"/>
        <w:jc w:val="both"/>
        <w:rPr>
          <w:rFonts w:ascii="Book Antiqua" w:hAnsi="Book Antiqua"/>
        </w:rPr>
      </w:pPr>
    </w:p>
    <w:p w14:paraId="242226F7"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Conventional ultrasound results</w:t>
      </w:r>
    </w:p>
    <w:p w14:paraId="4D3D9E28" w14:textId="643C2FD5" w:rsidR="00C87744" w:rsidRDefault="00000000">
      <w:pPr>
        <w:spacing w:line="360" w:lineRule="auto"/>
        <w:jc w:val="both"/>
        <w:rPr>
          <w:rFonts w:ascii="Book Antiqua" w:hAnsi="Book Antiqua"/>
        </w:rPr>
      </w:pPr>
      <w:r>
        <w:rPr>
          <w:rFonts w:ascii="Book Antiqua" w:eastAsia="Book Antiqua" w:hAnsi="Book Antiqua" w:cs="Book Antiqua"/>
        </w:rPr>
        <w:t>Comparisons of conventional ultrasound results between MVI-negative and MVI-positive HCCs are shown in Table 1. The maximal diameters of MVI-positive HCCs were significantly greater than those of MVI-negative HCCs. The cutoff point for maximal tumor diameters was 61.95 mm with an area under the curve (AUC) of 0.663. MVI-positive HCCs were more likely to have a background of liver cirrhosis and a rich blood flow and less likely to have a fatty liver background.</w:t>
      </w:r>
    </w:p>
    <w:p w14:paraId="4FE948DC" w14:textId="77777777" w:rsidR="00C87744" w:rsidRDefault="00000000">
      <w:pPr>
        <w:spacing w:line="360" w:lineRule="auto"/>
        <w:ind w:firstLine="240"/>
        <w:jc w:val="both"/>
        <w:rPr>
          <w:rFonts w:ascii="Book Antiqua" w:eastAsia="Book Antiqua" w:hAnsi="Book Antiqua" w:cs="Book Antiqua"/>
        </w:rPr>
      </w:pPr>
      <w:r>
        <w:rPr>
          <w:rFonts w:ascii="Book Antiqua" w:eastAsia="Book Antiqua" w:hAnsi="Book Antiqua" w:cs="Book Antiqua"/>
        </w:rPr>
        <w:t>Comparisons of conventional ultrasound results between mild MVI and severe MVI HCCs are shown in Table 2. There were no statistically significant differences in either maximal tumor diameter or other ultrasound characteristics between the two groups.</w:t>
      </w:r>
    </w:p>
    <w:p w14:paraId="439D0214" w14:textId="77777777" w:rsidR="00C87744" w:rsidRDefault="00C87744">
      <w:pPr>
        <w:spacing w:line="360" w:lineRule="auto"/>
        <w:jc w:val="both"/>
        <w:rPr>
          <w:rFonts w:ascii="Book Antiqua" w:hAnsi="Book Antiqua"/>
        </w:rPr>
      </w:pPr>
    </w:p>
    <w:p w14:paraId="79659127"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SWE results</w:t>
      </w:r>
    </w:p>
    <w:p w14:paraId="487E87D8" w14:textId="55DAA7DD" w:rsidR="00C87744" w:rsidRDefault="00000000">
      <w:pPr>
        <w:spacing w:line="360" w:lineRule="auto"/>
        <w:jc w:val="both"/>
        <w:rPr>
          <w:rFonts w:ascii="Book Antiqua" w:hAnsi="Book Antiqua"/>
        </w:rPr>
      </w:pPr>
      <w:r>
        <w:rPr>
          <w:rFonts w:ascii="Book Antiqua" w:eastAsia="Book Antiqua" w:hAnsi="Book Antiqua" w:cs="Book Antiqua"/>
        </w:rPr>
        <w:t>The differences in SWE results between MVI-negative and MVI-positive HCCs are shown in Table 3. The Emax of MVI-positive HCCs was significantly higher than that of MVI-negative HCCs. The Emax of the periphery of MVI-positive HCCs was significantly higher than that of MVI-negative HCCs. The cutoff point for the Emax of HCCs was 2.340 with an AUC of 0.598; the cutoff point for the Emax of the periphery of HCCs was 1.305 with an AUC of 0.622 (Figure 4).</w:t>
      </w:r>
    </w:p>
    <w:p w14:paraId="392E3AEB" w14:textId="77777777"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lastRenderedPageBreak/>
        <w:t>The differences in SWE results between mild MVI and severe MVI HCCs are shown in Table 4. There were no significant differences between the Emax of mild MVI and severe MVI HCCs. However, the Emax of the periphery of severe MVI HCCs was significantly higher than that of mild MVI HCCs.</w:t>
      </w:r>
    </w:p>
    <w:p w14:paraId="3D970DDB" w14:textId="77777777" w:rsidR="00C87744" w:rsidRDefault="00C87744">
      <w:pPr>
        <w:spacing w:line="360" w:lineRule="auto"/>
        <w:ind w:firstLineChars="100" w:firstLine="240"/>
        <w:jc w:val="both"/>
        <w:rPr>
          <w:rFonts w:ascii="Book Antiqua" w:hAnsi="Book Antiqua"/>
        </w:rPr>
      </w:pPr>
    </w:p>
    <w:p w14:paraId="66FB6525" w14:textId="77777777" w:rsidR="00C87744" w:rsidRDefault="00000000">
      <w:pPr>
        <w:spacing w:line="360" w:lineRule="auto"/>
        <w:jc w:val="both"/>
        <w:rPr>
          <w:rFonts w:ascii="Book Antiqua" w:hAnsi="Book Antiqua"/>
          <w:i/>
          <w:iCs/>
        </w:rPr>
      </w:pPr>
      <w:r>
        <w:rPr>
          <w:rFonts w:ascii="Book Antiqua" w:eastAsia="Book Antiqua" w:hAnsi="Book Antiqua" w:cs="Book Antiqua"/>
          <w:b/>
          <w:bCs/>
          <w:i/>
          <w:iCs/>
        </w:rPr>
        <w:t>Bivariate logistic regression results</w:t>
      </w:r>
    </w:p>
    <w:p w14:paraId="55642D6F"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 </w:t>
      </w:r>
      <w:r>
        <w:rPr>
          <w:rFonts w:ascii="Book Antiqua" w:eastAsia="Book Antiqua" w:hAnsi="Book Antiqua" w:cs="Book Antiqua"/>
        </w:rPr>
        <w:t>The results of bivariate logistic regression of the features suggestive of positive MVI are shown in Table 5. Higher Emax of the periphery of HCCs and larger maximal diameters were independent risk factors for MVI, with odds ratios of 2.820 and 1.021, respectively.</w:t>
      </w:r>
    </w:p>
    <w:p w14:paraId="7F2FD1DD" w14:textId="77777777" w:rsidR="00C87744" w:rsidRDefault="00C87744">
      <w:pPr>
        <w:spacing w:line="360" w:lineRule="auto"/>
        <w:jc w:val="both"/>
        <w:rPr>
          <w:rFonts w:ascii="Book Antiqua" w:eastAsia="Book Antiqua" w:hAnsi="Book Antiqua" w:cs="Book Antiqua"/>
          <w:b/>
          <w:caps/>
          <w:u w:val="single"/>
        </w:rPr>
      </w:pPr>
    </w:p>
    <w:p w14:paraId="6893039E" w14:textId="77777777" w:rsidR="00C87744" w:rsidRDefault="00000000">
      <w:pPr>
        <w:spacing w:line="360" w:lineRule="auto"/>
        <w:jc w:val="both"/>
        <w:rPr>
          <w:rFonts w:ascii="Book Antiqua" w:eastAsia="SimSun" w:hAnsi="Book Antiqua"/>
          <w:b/>
          <w:u w:val="single"/>
        </w:rPr>
      </w:pPr>
      <w:r>
        <w:rPr>
          <w:rFonts w:ascii="Book Antiqua" w:eastAsia="SimSun" w:hAnsi="Book Antiqua"/>
          <w:b/>
          <w:u w:val="single"/>
        </w:rPr>
        <w:t>DISCUSSION</w:t>
      </w:r>
    </w:p>
    <w:p w14:paraId="6AFEB9CF" w14:textId="7082EAA5"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In this study, we investigated the efficacy of conventional ultrasound features and SWE in the preoperative prediction of MVI in HCC. Our findings revealed that </w:t>
      </w:r>
      <w:r>
        <w:rPr>
          <w:rFonts w:ascii="Book Antiqua" w:eastAsia="Book Antiqua" w:hAnsi="Book Antiqua" w:cs="Book Antiqua"/>
          <w:lang w:eastAsia="zh-CN"/>
        </w:rPr>
        <w:t xml:space="preserve">a </w:t>
      </w:r>
      <w:r>
        <w:rPr>
          <w:rFonts w:ascii="Book Antiqua" w:eastAsia="Book Antiqua" w:hAnsi="Book Antiqua" w:cs="Book Antiqua"/>
        </w:rPr>
        <w:t xml:space="preserve">higher Emax </w:t>
      </w:r>
      <w:r>
        <w:rPr>
          <w:rFonts w:ascii="Book Antiqua" w:eastAsia="Book Antiqua" w:hAnsi="Book Antiqua" w:cs="Book Antiqua"/>
          <w:lang w:eastAsia="zh-CN"/>
        </w:rPr>
        <w:t>in</w:t>
      </w:r>
      <w:r>
        <w:rPr>
          <w:rFonts w:ascii="Book Antiqua" w:eastAsia="Book Antiqua" w:hAnsi="Book Antiqua" w:cs="Book Antiqua"/>
        </w:rPr>
        <w:t xml:space="preserve"> the periphery of HCCs</w:t>
      </w:r>
      <w:r>
        <w:rPr>
          <w:rFonts w:ascii="Book Antiqua" w:eastAsia="Book Antiqua" w:hAnsi="Book Antiqua" w:cs="Book Antiqua"/>
          <w:lang w:eastAsia="zh-CN"/>
        </w:rPr>
        <w:t xml:space="preserve"> coupled with </w:t>
      </w:r>
      <w:r>
        <w:rPr>
          <w:rFonts w:ascii="Book Antiqua" w:eastAsia="Book Antiqua" w:hAnsi="Book Antiqua" w:cs="Book Antiqua"/>
        </w:rPr>
        <w:t>larger maximal diameters</w:t>
      </w:r>
      <w:r>
        <w:rPr>
          <w:rFonts w:ascii="Book Antiqua" w:eastAsia="Book Antiqua" w:hAnsi="Book Antiqua" w:cs="Book Antiqua"/>
          <w:lang w:eastAsia="zh-CN"/>
        </w:rPr>
        <w:t xml:space="preserve"> </w:t>
      </w:r>
      <w:r>
        <w:rPr>
          <w:rFonts w:ascii="Book Antiqua" w:eastAsia="Book Antiqua" w:hAnsi="Book Antiqua" w:cs="Book Antiqua"/>
        </w:rPr>
        <w:t>were independent risk factors for MVI.</w:t>
      </w:r>
    </w:p>
    <w:p w14:paraId="492B2C3D" w14:textId="6970B938"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There were no significant differences in the distributions of sex and age between patients with </w:t>
      </w:r>
      <w:r>
        <w:rPr>
          <w:rFonts w:ascii="Book Antiqua" w:eastAsia="Book Antiqua" w:hAnsi="Book Antiqua" w:cs="Book Antiqua"/>
          <w:lang w:eastAsia="zh-CN"/>
        </w:rPr>
        <w:t>MVI-positive</w:t>
      </w:r>
      <w:r>
        <w:rPr>
          <w:rFonts w:ascii="Book Antiqua" w:eastAsia="Book Antiqua" w:hAnsi="Book Antiqua" w:cs="Book Antiqua"/>
        </w:rPr>
        <w:t xml:space="preserve"> HCCs and those with </w:t>
      </w:r>
      <w:r>
        <w:rPr>
          <w:rFonts w:ascii="Book Antiqua" w:eastAsia="Book Antiqua" w:hAnsi="Book Antiqua" w:cs="Book Antiqua"/>
          <w:lang w:eastAsia="zh-CN"/>
        </w:rPr>
        <w:t>MVI-negative</w:t>
      </w:r>
      <w:r>
        <w:rPr>
          <w:rFonts w:ascii="Book Antiqua" w:eastAsia="Book Antiqua" w:hAnsi="Book Antiqua" w:cs="Book Antiqua"/>
        </w:rPr>
        <w:t xml:space="preserve"> HCCs. These results were similar to those in a previous study</w:t>
      </w:r>
      <w:r>
        <w:rPr>
          <w:rFonts w:ascii="Book Antiqua" w:eastAsia="Book Antiqua" w:hAnsi="Book Antiqua" w:cs="Book Antiqua"/>
          <w:vertAlign w:val="superscript"/>
        </w:rPr>
        <w:t>[19]</w:t>
      </w:r>
      <w:r>
        <w:rPr>
          <w:rFonts w:ascii="Book Antiqua" w:eastAsia="Book Antiqua" w:hAnsi="Book Antiqua" w:cs="Book Antiqua"/>
        </w:rPr>
        <w:t xml:space="preserve">. Our results also showed that the maximal diameters of </w:t>
      </w:r>
      <w:r>
        <w:rPr>
          <w:rFonts w:ascii="Book Antiqua" w:eastAsia="Book Antiqua" w:hAnsi="Book Antiqua" w:cs="Book Antiqua"/>
          <w:lang w:eastAsia="zh-CN"/>
        </w:rPr>
        <w:t>MVI-positive</w:t>
      </w:r>
      <w:r>
        <w:rPr>
          <w:rFonts w:ascii="Book Antiqua" w:eastAsia="Book Antiqua" w:hAnsi="Book Antiqua" w:cs="Book Antiqua"/>
        </w:rPr>
        <w:t xml:space="preserve"> HCCs were significantly larger than those of </w:t>
      </w:r>
      <w:r>
        <w:rPr>
          <w:rFonts w:ascii="Book Antiqua" w:eastAsia="Book Antiqua" w:hAnsi="Book Antiqua" w:cs="Book Antiqua"/>
          <w:lang w:eastAsia="zh-CN"/>
        </w:rPr>
        <w:t>MVI-negative</w:t>
      </w:r>
      <w:r>
        <w:rPr>
          <w:rFonts w:ascii="Book Antiqua" w:eastAsia="Book Antiqua" w:hAnsi="Book Antiqua" w:cs="Book Antiqua"/>
        </w:rPr>
        <w:t xml:space="preserve"> HCC, and a larger maximal diameter was an independent risk factor for </w:t>
      </w:r>
      <w:r>
        <w:rPr>
          <w:rFonts w:ascii="Book Antiqua" w:eastAsia="Book Antiqua" w:hAnsi="Book Antiqua" w:cs="Book Antiqua"/>
          <w:lang w:eastAsia="zh-CN"/>
        </w:rPr>
        <w:t>MVI-positive</w:t>
      </w:r>
      <w:r>
        <w:rPr>
          <w:rFonts w:ascii="Book Antiqua" w:eastAsia="Book Antiqua" w:hAnsi="Book Antiqua" w:cs="Book Antiqua"/>
        </w:rPr>
        <w:t xml:space="preserve"> HCCs with an odds ratio of 1.021. Tumor size is an established independent prognostic factor for HCC</w:t>
      </w:r>
      <w:r>
        <w:rPr>
          <w:rFonts w:ascii="Book Antiqua" w:eastAsia="Book Antiqua" w:hAnsi="Book Antiqua" w:cs="Book Antiqua"/>
          <w:vertAlign w:val="superscript"/>
        </w:rPr>
        <w:t>[20,21]</w:t>
      </w:r>
      <w:r>
        <w:rPr>
          <w:rFonts w:ascii="Book Antiqua" w:eastAsia="Book Antiqua" w:hAnsi="Book Antiqua" w:cs="Book Antiqua"/>
        </w:rPr>
        <w:t>. Our research has revealed that HCC size was also an independent prognostic factor for positive MVI. Consequently, it is of utmost importance to have precise preoperative measurements of HCC size for accurate prediction of MVI status and prognosis.</w:t>
      </w:r>
    </w:p>
    <w:p w14:paraId="184D0BAF" w14:textId="7373E402"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Conventional ultrasound is the first imaging choice for hepatology and plays an important role in both focal hepatic lesions and diffuse liver diseases. Our study showed that ultrasound features such as tumor boundary or tumor echogenicity were not significantly different between </w:t>
      </w:r>
      <w:r>
        <w:rPr>
          <w:rFonts w:ascii="Book Antiqua" w:eastAsia="Book Antiqua" w:hAnsi="Book Antiqua" w:cs="Book Antiqua"/>
          <w:lang w:eastAsia="zh-CN"/>
        </w:rPr>
        <w:t>MVI-positive</w:t>
      </w:r>
      <w:r>
        <w:rPr>
          <w:rFonts w:ascii="Book Antiqua" w:eastAsia="Book Antiqua" w:hAnsi="Book Antiqua" w:cs="Book Antiqua"/>
        </w:rPr>
        <w:t xml:space="preserve"> and </w:t>
      </w:r>
      <w:r>
        <w:rPr>
          <w:rFonts w:ascii="Book Antiqua" w:eastAsia="Book Antiqua" w:hAnsi="Book Antiqua" w:cs="Book Antiqua"/>
          <w:lang w:eastAsia="zh-CN"/>
        </w:rPr>
        <w:t>MVI-negative</w:t>
      </w:r>
      <w:r>
        <w:rPr>
          <w:rFonts w:ascii="Book Antiqua" w:eastAsia="Book Antiqua" w:hAnsi="Book Antiqua" w:cs="Book Antiqua"/>
        </w:rPr>
        <w:t xml:space="preserve"> HCCs, similar to the results of Zhou </w:t>
      </w:r>
      <w:r w:rsidRPr="00EE12B8">
        <w:rPr>
          <w:rFonts w:ascii="Book Antiqua" w:eastAsia="Book Antiqua" w:hAnsi="Book Antiqua" w:cs="Book Antiqua"/>
          <w:i/>
          <w:iCs/>
        </w:rPr>
        <w:t>et</w:t>
      </w:r>
      <w:r>
        <w:rPr>
          <w:rFonts w:ascii="Book Antiqua" w:eastAsia="Book Antiqua" w:hAnsi="Book Antiqua" w:cs="Book Antiqua"/>
        </w:rPr>
        <w:t xml:space="preserve"> </w:t>
      </w:r>
      <w:r w:rsidRPr="00EE12B8">
        <w:rPr>
          <w:rFonts w:ascii="Book Antiqua" w:eastAsia="Book Antiqua" w:hAnsi="Book Antiqua" w:cs="Book Antiqua"/>
          <w:i/>
          <w:iCs/>
        </w:rPr>
        <w:t>al</w:t>
      </w:r>
      <w:r>
        <w:rPr>
          <w:rFonts w:ascii="Book Antiqua" w:eastAsia="Book Antiqua" w:hAnsi="Book Antiqua" w:cs="Book Antiqua"/>
          <w:vertAlign w:val="superscript"/>
        </w:rPr>
        <w:t>[22]</w:t>
      </w:r>
      <w:r>
        <w:rPr>
          <w:rFonts w:ascii="Book Antiqua" w:eastAsia="Book Antiqua" w:hAnsi="Book Antiqua" w:cs="Book Antiqua"/>
        </w:rPr>
        <w:t xml:space="preserve">, which showed that ultrasound features including echogenicity, </w:t>
      </w:r>
      <w:r>
        <w:rPr>
          <w:rFonts w:ascii="Book Antiqua" w:eastAsia="Book Antiqua" w:hAnsi="Book Antiqua" w:cs="Book Antiqua"/>
        </w:rPr>
        <w:lastRenderedPageBreak/>
        <w:t xml:space="preserve">margin, shape, and halo sign were not significantly different between </w:t>
      </w:r>
      <w:r>
        <w:rPr>
          <w:rFonts w:ascii="Book Antiqua" w:eastAsia="Book Antiqua" w:hAnsi="Book Antiqua" w:cs="Book Antiqua"/>
          <w:lang w:eastAsia="zh-CN"/>
        </w:rPr>
        <w:t>MVI-positive</w:t>
      </w:r>
      <w:r>
        <w:rPr>
          <w:rFonts w:ascii="Book Antiqua" w:eastAsia="Book Antiqua" w:hAnsi="Book Antiqua" w:cs="Book Antiqua"/>
        </w:rPr>
        <w:t xml:space="preserve"> and </w:t>
      </w:r>
      <w:r>
        <w:rPr>
          <w:rFonts w:ascii="Book Antiqua" w:eastAsia="Book Antiqua" w:hAnsi="Book Antiqua" w:cs="Book Antiqua"/>
          <w:lang w:eastAsia="zh-CN"/>
        </w:rPr>
        <w:t>MVI-negative</w:t>
      </w:r>
      <w:r>
        <w:rPr>
          <w:rFonts w:ascii="Book Antiqua" w:eastAsia="Book Antiqua" w:hAnsi="Book Antiqua" w:cs="Book Antiqua"/>
        </w:rPr>
        <w:t xml:space="preserve"> HCCs. According to our findings, </w:t>
      </w:r>
      <w:r>
        <w:rPr>
          <w:rFonts w:ascii="Book Antiqua" w:eastAsia="Book Antiqua" w:hAnsi="Book Antiqua" w:cs="Book Antiqua"/>
          <w:lang w:eastAsia="zh-CN"/>
        </w:rPr>
        <w:t>MVI-positive</w:t>
      </w:r>
      <w:r>
        <w:rPr>
          <w:rFonts w:ascii="Book Antiqua" w:eastAsia="Book Antiqua" w:hAnsi="Book Antiqua" w:cs="Book Antiqua"/>
        </w:rPr>
        <w:t xml:space="preserve"> HCCs were more likely to have a rich blood flow. As MVI reflects the invasion of cancer cells into microvessels, it may cause a change in the blood supply in tumors. Some CEUS studies have also confirmed that </w:t>
      </w:r>
      <w:r>
        <w:rPr>
          <w:rFonts w:ascii="Book Antiqua" w:eastAsia="Book Antiqua" w:hAnsi="Book Antiqua" w:cs="Book Antiqua"/>
          <w:lang w:eastAsia="zh-CN"/>
        </w:rPr>
        <w:t>MVI-positive</w:t>
      </w:r>
      <w:r>
        <w:rPr>
          <w:rFonts w:ascii="Book Antiqua" w:eastAsia="Book Antiqua" w:hAnsi="Book Antiqua" w:cs="Book Antiqua"/>
        </w:rPr>
        <w:t xml:space="preserve"> HCCs have increased blood flow perfusion, compared with </w:t>
      </w:r>
      <w:r>
        <w:rPr>
          <w:rFonts w:ascii="Book Antiqua" w:eastAsia="Book Antiqua" w:hAnsi="Book Antiqua" w:cs="Book Antiqua"/>
          <w:lang w:eastAsia="zh-CN"/>
        </w:rPr>
        <w:t>MVI-negative</w:t>
      </w:r>
      <w:r>
        <w:rPr>
          <w:rFonts w:ascii="Book Antiqua" w:eastAsia="Book Antiqua" w:hAnsi="Book Antiqua" w:cs="Book Antiqua"/>
        </w:rPr>
        <w:t xml:space="preserve"> HCCs</w:t>
      </w:r>
      <w:r>
        <w:rPr>
          <w:rFonts w:ascii="Book Antiqua" w:eastAsia="Book Antiqua" w:hAnsi="Book Antiqua" w:cs="Book Antiqua"/>
          <w:vertAlign w:val="superscript"/>
        </w:rPr>
        <w:t>[13,14]</w:t>
      </w:r>
      <w:r>
        <w:rPr>
          <w:rFonts w:ascii="Book Antiqua" w:eastAsia="Book Antiqua" w:hAnsi="Book Antiqua" w:cs="Book Antiqua"/>
        </w:rPr>
        <w:t xml:space="preserve">. However, the study by Zhou </w:t>
      </w:r>
      <w:r>
        <w:rPr>
          <w:rFonts w:ascii="Book Antiqua" w:eastAsia="Book Antiqua" w:hAnsi="Book Antiqua" w:cs="Book Antiqua"/>
          <w:i/>
          <w:iCs/>
        </w:rPr>
        <w:t>et al</w:t>
      </w:r>
      <w:r>
        <w:rPr>
          <w:rFonts w:ascii="Book Antiqua" w:eastAsia="Book Antiqua" w:hAnsi="Book Antiqua" w:cs="Book Antiqua"/>
          <w:vertAlign w:val="superscript"/>
        </w:rPr>
        <w:t>[22]</w:t>
      </w:r>
      <w:r>
        <w:rPr>
          <w:rFonts w:ascii="Book Antiqua" w:eastAsia="Book Antiqua" w:hAnsi="Book Antiqua" w:cs="Book Antiqua"/>
        </w:rPr>
        <w:t xml:space="preserve"> showed different results as the distribution of blood flow was not significantly different between </w:t>
      </w:r>
      <w:r>
        <w:rPr>
          <w:rFonts w:ascii="Book Antiqua" w:eastAsia="Book Antiqua" w:hAnsi="Book Antiqua" w:cs="Book Antiqua"/>
          <w:lang w:eastAsia="zh-CN"/>
        </w:rPr>
        <w:t>MVI-positive</w:t>
      </w:r>
      <w:r>
        <w:rPr>
          <w:rFonts w:ascii="Book Antiqua" w:eastAsia="Book Antiqua" w:hAnsi="Book Antiqua" w:cs="Book Antiqua"/>
        </w:rPr>
        <w:t xml:space="preserve"> and </w:t>
      </w:r>
      <w:r>
        <w:rPr>
          <w:rFonts w:ascii="Book Antiqua" w:eastAsia="Book Antiqua" w:hAnsi="Book Antiqua" w:cs="Book Antiqua"/>
          <w:lang w:eastAsia="zh-CN"/>
        </w:rPr>
        <w:t>MVI-negative</w:t>
      </w:r>
      <w:r>
        <w:rPr>
          <w:rFonts w:ascii="Book Antiqua" w:eastAsia="Book Antiqua" w:hAnsi="Book Antiqua" w:cs="Book Antiqua"/>
        </w:rPr>
        <w:t xml:space="preserve"> HCCs.</w:t>
      </w:r>
      <w:r>
        <w:rPr>
          <w:rFonts w:ascii="Book Antiqua" w:eastAsia="Book Antiqua" w:hAnsi="Book Antiqua" w:cs="Book Antiqua"/>
          <w:lang w:eastAsia="zh-CN"/>
        </w:rPr>
        <w:t xml:space="preserve"> </w:t>
      </w:r>
      <w:r>
        <w:rPr>
          <w:rFonts w:ascii="Book Antiqua" w:eastAsia="Book Antiqua" w:hAnsi="Book Antiqua" w:cs="Book Antiqua"/>
        </w:rPr>
        <w:t>The reason for this may be due to the different ultrasound machines used. The sensitivity of color Doppler can vary greatly between ultrasound machines. Also, the correct setting of machine parameters is very important</w:t>
      </w:r>
      <w:r>
        <w:rPr>
          <w:rFonts w:ascii="Book Antiqua" w:eastAsia="Book Antiqua" w:hAnsi="Book Antiqua" w:cs="Book Antiqua"/>
          <w:vertAlign w:val="superscript"/>
          <w:lang w:eastAsia="zh-CN"/>
        </w:rPr>
        <w:t>[23]</w:t>
      </w:r>
      <w:r>
        <w:rPr>
          <w:rFonts w:ascii="Book Antiqua" w:eastAsia="Book Antiqua" w:hAnsi="Book Antiqua" w:cs="Book Antiqua"/>
        </w:rPr>
        <w:t xml:space="preserve">. </w:t>
      </w:r>
      <w:r>
        <w:rPr>
          <w:rFonts w:ascii="Book Antiqua" w:eastAsia="Book Antiqua" w:hAnsi="Book Antiqua" w:cs="Book Antiqua"/>
          <w:lang w:eastAsia="zh-CN"/>
        </w:rPr>
        <w:t xml:space="preserve">The application of new Doppler techniques, such as </w:t>
      </w:r>
      <w:r>
        <w:rPr>
          <w:rFonts w:ascii="Book Antiqua" w:eastAsia="Book Antiqua" w:hAnsi="Book Antiqua" w:cs="Book Antiqua"/>
        </w:rPr>
        <w:t>superb microvascular imaging,</w:t>
      </w:r>
      <w:r>
        <w:rPr>
          <w:rFonts w:ascii="Book Antiqua" w:eastAsia="Book Antiqua" w:hAnsi="Book Antiqua" w:cs="Book Antiqua"/>
          <w:lang w:eastAsia="zh-CN"/>
        </w:rPr>
        <w:t xml:space="preserve"> would be useful</w:t>
      </w:r>
      <w:r>
        <w:rPr>
          <w:rFonts w:ascii="Book Antiqua" w:eastAsia="Book Antiqua" w:hAnsi="Book Antiqua" w:cs="Book Antiqua"/>
          <w:vertAlign w:val="superscript"/>
          <w:lang w:eastAsia="zh-CN"/>
        </w:rPr>
        <w:t>[24]</w:t>
      </w:r>
      <w:r>
        <w:rPr>
          <w:rFonts w:ascii="Book Antiqua" w:eastAsia="Book Antiqua" w:hAnsi="Book Antiqua" w:cs="Book Antiqua"/>
          <w:lang w:eastAsia="zh-CN"/>
        </w:rPr>
        <w:t xml:space="preserve">. </w:t>
      </w:r>
      <w:r>
        <w:rPr>
          <w:rFonts w:ascii="Book Antiqua" w:eastAsia="Book Antiqua" w:hAnsi="Book Antiqua" w:cs="Book Antiqua"/>
        </w:rPr>
        <w:t xml:space="preserve">Our study revealed that </w:t>
      </w:r>
      <w:r>
        <w:rPr>
          <w:rFonts w:ascii="Book Antiqua" w:eastAsia="Book Antiqua" w:hAnsi="Book Antiqua" w:cs="Book Antiqua"/>
          <w:lang w:eastAsia="zh-CN"/>
        </w:rPr>
        <w:t>MVI-positive</w:t>
      </w:r>
      <w:r>
        <w:rPr>
          <w:rFonts w:ascii="Book Antiqua" w:eastAsia="Book Antiqua" w:hAnsi="Book Antiqua" w:cs="Book Antiqua"/>
        </w:rPr>
        <w:t xml:space="preserve"> HCCs were more likely to have a background of liver cirrhosis and less likely to have a background of fatty liver, indicating that</w:t>
      </w:r>
      <w:r>
        <w:rPr>
          <w:rFonts w:ascii="Book Antiqua" w:eastAsia="Book Antiqua" w:hAnsi="Book Antiqua" w:cs="Book Antiqua"/>
          <w:lang w:eastAsia="zh-CN"/>
        </w:rPr>
        <w:t xml:space="preserve"> HCCs with a background of liver cirrhosis are likely MVI-positive. T</w:t>
      </w:r>
      <w:r>
        <w:rPr>
          <w:rFonts w:ascii="Book Antiqua" w:eastAsia="Book Antiqua" w:hAnsi="Book Antiqua" w:cs="Book Antiqua"/>
        </w:rPr>
        <w:t>he surrounding liver background of HCCs should be taken into consideration</w:t>
      </w:r>
      <w:r>
        <w:rPr>
          <w:rFonts w:ascii="Book Antiqua" w:eastAsia="Book Antiqua" w:hAnsi="Book Antiqua" w:cs="Book Antiqua"/>
          <w:lang w:eastAsia="zh-CN"/>
        </w:rPr>
        <w:t xml:space="preserve"> for preoperative evaluation</w:t>
      </w:r>
      <w:r>
        <w:rPr>
          <w:rFonts w:ascii="Book Antiqua" w:eastAsia="Book Antiqua" w:hAnsi="Book Antiqua" w:cs="Book Antiqua"/>
        </w:rPr>
        <w:t>.</w:t>
      </w:r>
    </w:p>
    <w:p w14:paraId="5EC60526" w14:textId="1AF62B5A"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Our previous studies have shown that the value of SWE with Emax in the differential diagnosis between benign and malignant focal liver lesions or among different pathological types of malignant focal liver lesions</w:t>
      </w:r>
      <w:r>
        <w:rPr>
          <w:rFonts w:ascii="Book Antiqua" w:eastAsia="Book Antiqua" w:hAnsi="Book Antiqua" w:cs="Book Antiqua"/>
          <w:vertAlign w:val="superscript"/>
        </w:rPr>
        <w:t>[15]</w:t>
      </w:r>
      <w:r>
        <w:rPr>
          <w:rFonts w:ascii="Book Antiqua" w:eastAsia="Book Antiqua" w:hAnsi="Book Antiqua" w:cs="Book Antiqua"/>
        </w:rPr>
        <w:t xml:space="preserve">. In this study, we found that the Emax of HCCs and the Emax of the periphery of HCCs were significantly different between </w:t>
      </w:r>
      <w:r>
        <w:rPr>
          <w:rFonts w:ascii="Book Antiqua" w:eastAsia="Book Antiqua" w:hAnsi="Book Antiqua" w:cs="Book Antiqua"/>
          <w:lang w:eastAsia="zh-CN"/>
        </w:rPr>
        <w:t>MVI-positive</w:t>
      </w:r>
      <w:r>
        <w:rPr>
          <w:rFonts w:ascii="Book Antiqua" w:eastAsia="Book Antiqua" w:hAnsi="Book Antiqua" w:cs="Book Antiqua"/>
        </w:rPr>
        <w:t xml:space="preserve"> HCCs and </w:t>
      </w:r>
      <w:r>
        <w:rPr>
          <w:rFonts w:ascii="Book Antiqua" w:eastAsia="Book Antiqua" w:hAnsi="Book Antiqua" w:cs="Book Antiqua"/>
          <w:lang w:eastAsia="zh-CN"/>
        </w:rPr>
        <w:t>MVI-negative</w:t>
      </w:r>
      <w:r>
        <w:rPr>
          <w:rFonts w:ascii="Book Antiqua" w:eastAsia="Book Antiqua" w:hAnsi="Book Antiqua" w:cs="Book Antiqua"/>
        </w:rPr>
        <w:t xml:space="preserve"> HCCs. The Emax of the periphery of HCCs was an independent risk factor for </w:t>
      </w:r>
      <w:r>
        <w:rPr>
          <w:rFonts w:ascii="Book Antiqua" w:eastAsia="Book Antiqua" w:hAnsi="Book Antiqua" w:cs="Book Antiqua"/>
          <w:lang w:eastAsia="zh-CN"/>
        </w:rPr>
        <w:t>MVI-positive</w:t>
      </w:r>
      <w:r>
        <w:rPr>
          <w:rFonts w:ascii="Book Antiqua" w:eastAsia="Book Antiqua" w:hAnsi="Book Antiqua" w:cs="Book Antiqua"/>
        </w:rPr>
        <w:t xml:space="preserve"> HCC with an odds ratio of 2.820. Our results indicated that </w:t>
      </w:r>
      <w:r>
        <w:rPr>
          <w:rFonts w:ascii="Book Antiqua" w:eastAsia="Book Antiqua" w:hAnsi="Book Antiqua" w:cs="Book Antiqua"/>
          <w:lang w:eastAsia="zh-CN"/>
        </w:rPr>
        <w:t>MVI-positive</w:t>
      </w:r>
      <w:r>
        <w:rPr>
          <w:rFonts w:ascii="Book Antiqua" w:eastAsia="Book Antiqua" w:hAnsi="Book Antiqua" w:cs="Book Antiqua"/>
        </w:rPr>
        <w:t xml:space="preserve"> HCCs were stiffer than </w:t>
      </w:r>
      <w:r>
        <w:rPr>
          <w:rFonts w:ascii="Book Antiqua" w:eastAsia="Book Antiqua" w:hAnsi="Book Antiqua" w:cs="Book Antiqua"/>
          <w:lang w:eastAsia="zh-CN"/>
        </w:rPr>
        <w:t>MVI-negative</w:t>
      </w:r>
      <w:r>
        <w:rPr>
          <w:rFonts w:ascii="Book Antiqua" w:eastAsia="Book Antiqua" w:hAnsi="Book Antiqua" w:cs="Book Antiqua"/>
        </w:rPr>
        <w:t xml:space="preserve"> HCCs, and this was similar to the results of other studies based on MR-elastography</w:t>
      </w:r>
      <w:r>
        <w:rPr>
          <w:rFonts w:ascii="Book Antiqua" w:eastAsia="Book Antiqua" w:hAnsi="Book Antiqua" w:cs="Book Antiqua"/>
          <w:vertAlign w:val="superscript"/>
        </w:rPr>
        <w:t>[7,2</w:t>
      </w:r>
      <w:r>
        <w:rPr>
          <w:rFonts w:ascii="Book Antiqua" w:eastAsia="Book Antiqua" w:hAnsi="Book Antiqua" w:cs="Book Antiqua"/>
          <w:vertAlign w:val="superscript"/>
          <w:lang w:eastAsia="zh-CN"/>
        </w:rPr>
        <w:t>5</w:t>
      </w:r>
      <w:r>
        <w:rPr>
          <w:rFonts w:ascii="Book Antiqua" w:eastAsia="Book Antiqua" w:hAnsi="Book Antiqua" w:cs="Book Antiqua"/>
          <w:vertAlign w:val="superscript"/>
        </w:rPr>
        <w:t>]</w:t>
      </w:r>
      <w:r>
        <w:rPr>
          <w:rFonts w:ascii="Book Antiqua" w:eastAsia="Book Antiqua" w:hAnsi="Book Antiqua" w:cs="Book Antiqua"/>
        </w:rPr>
        <w:t>. One probable reason is that positive MVI may change the blood supply in the tumor and then modify its stiffness. As MVI usually invades the capsule of HCCs first, the periphery of the HCC is usually involved early</w:t>
      </w:r>
      <w:r>
        <w:rPr>
          <w:rFonts w:ascii="Book Antiqua" w:eastAsia="Book Antiqua" w:hAnsi="Book Antiqua" w:cs="Book Antiqua"/>
          <w:vertAlign w:val="superscript"/>
        </w:rPr>
        <w:t>[2]</w:t>
      </w:r>
      <w:r>
        <w:rPr>
          <w:rFonts w:ascii="Book Antiqua" w:eastAsia="Book Antiqua" w:hAnsi="Book Antiqua" w:cs="Book Antiqua"/>
        </w:rPr>
        <w:t xml:space="preserve">. This early change in blood flow and tissue stiffness could potentially have significant implications. Zhang </w:t>
      </w:r>
      <w:r w:rsidRPr="00EE12B8">
        <w:rPr>
          <w:rFonts w:ascii="Book Antiqua" w:eastAsia="Book Antiqua" w:hAnsi="Book Antiqua" w:cs="Book Antiqua"/>
          <w:i/>
          <w:iCs/>
        </w:rPr>
        <w:t>et</w:t>
      </w:r>
      <w:r>
        <w:rPr>
          <w:rFonts w:ascii="Book Antiqua" w:eastAsia="Book Antiqua" w:hAnsi="Book Antiqua" w:cs="Book Antiqua"/>
        </w:rPr>
        <w:t xml:space="preserve"> </w:t>
      </w:r>
      <w:r w:rsidRPr="00EE12B8">
        <w:rPr>
          <w:rFonts w:ascii="Book Antiqua" w:eastAsia="Book Antiqua" w:hAnsi="Book Antiqua" w:cs="Book Antiqua"/>
          <w:i/>
          <w:iCs/>
        </w:rPr>
        <w:t>al</w:t>
      </w:r>
      <w:r>
        <w:rPr>
          <w:rFonts w:ascii="Book Antiqua" w:eastAsia="Book Antiqua" w:hAnsi="Book Antiqua" w:cs="Book Antiqua"/>
          <w:vertAlign w:val="superscript"/>
        </w:rPr>
        <w:t>[2</w:t>
      </w:r>
      <w:r>
        <w:rPr>
          <w:rFonts w:ascii="Book Antiqua" w:eastAsia="Book Antiqua" w:hAnsi="Book Antiqua" w:cs="Book Antiqua"/>
          <w:vertAlign w:val="superscript"/>
          <w:lang w:eastAsia="zh-CN"/>
        </w:rPr>
        <w:t>6</w:t>
      </w:r>
      <w:r>
        <w:rPr>
          <w:rFonts w:ascii="Book Antiqua" w:eastAsia="Book Antiqua" w:hAnsi="Book Antiqua" w:cs="Book Antiqua"/>
          <w:vertAlign w:val="superscript"/>
        </w:rPr>
        <w:t>]</w:t>
      </w:r>
      <w:r>
        <w:rPr>
          <w:rFonts w:ascii="Book Antiqua" w:eastAsia="Book Antiqua" w:hAnsi="Book Antiqua" w:cs="Book Antiqua"/>
        </w:rPr>
        <w:t xml:space="preserve"> reported rim enhancement in the arterial phase and peritumoral hypointensity in the hepatobiliary phase in gadobenate-enhanced MRI as independent risk factors for MVI. In addition, our findings </w:t>
      </w:r>
      <w:r>
        <w:rPr>
          <w:rFonts w:ascii="Book Antiqua" w:eastAsia="Book Antiqua" w:hAnsi="Book Antiqua" w:cs="Book Antiqua"/>
        </w:rPr>
        <w:lastRenderedPageBreak/>
        <w:t>suggest that the stiffness of the periphery of HCCs may serve as an important independent predictor of MVI risk. Specifically, we observed that higher stiffness in this region of HCCs was significantly associated with an increased risk of developing MVI. Furthermore, differences in Emax values at the periphery of HCCs were found to distinguish between HCCs with mild and severe MVI, highlighting the potential diagnostic value of this parameter in MVI detection.</w:t>
      </w:r>
    </w:p>
    <w:p w14:paraId="6DC07511" w14:textId="051416C3" w:rsidR="00C87744"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There were some limitations to our study that should be acknowledged. First, laboratory data, including total bilirubin and alpha fetoprotein, were not taken into account. The inclusion of these laboratory indices in conjunction with the ultrasound indices would be valuable in developing a predictive model. This will be a focus of our future research.</w:t>
      </w:r>
    </w:p>
    <w:p w14:paraId="0B580D75" w14:textId="77777777" w:rsidR="00C87744" w:rsidRDefault="00C87744">
      <w:pPr>
        <w:spacing w:line="360" w:lineRule="auto"/>
        <w:jc w:val="both"/>
        <w:rPr>
          <w:rFonts w:ascii="Book Antiqua" w:eastAsia="Book Antiqua" w:hAnsi="Book Antiqua" w:cs="Book Antiqua"/>
          <w:b/>
          <w:caps/>
          <w:u w:val="single"/>
        </w:rPr>
      </w:pPr>
    </w:p>
    <w:p w14:paraId="4C08F3C8" w14:textId="77777777" w:rsidR="00C87744"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0E7D14EE" w14:textId="77777777" w:rsidR="00C87744" w:rsidRDefault="00000000">
      <w:pPr>
        <w:spacing w:line="360" w:lineRule="auto"/>
        <w:jc w:val="both"/>
        <w:rPr>
          <w:rFonts w:ascii="Book Antiqua" w:hAnsi="Book Antiqua"/>
        </w:rPr>
      </w:pPr>
      <w:r>
        <w:rPr>
          <w:rFonts w:ascii="Book Antiqua" w:eastAsia="Book Antiqua" w:hAnsi="Book Antiqua" w:cs="Book Antiqua"/>
        </w:rPr>
        <w:t>In summary, HCC size and stiffness of the periphery of HCCs are useful ultrasound criteria for predicting positive MVI. Thus, preoperative ultrasound and SWE could provide useful information for the prediction of MVI in HCCs.</w:t>
      </w:r>
    </w:p>
    <w:p w14:paraId="6F9896B2" w14:textId="77777777" w:rsidR="00C87744" w:rsidRDefault="00C87744">
      <w:pPr>
        <w:spacing w:line="360" w:lineRule="auto"/>
        <w:jc w:val="both"/>
        <w:rPr>
          <w:rFonts w:ascii="Book Antiqua" w:hAnsi="Book Antiqua"/>
        </w:rPr>
      </w:pPr>
    </w:p>
    <w:p w14:paraId="4BDA1942" w14:textId="77777777" w:rsidR="00C87744" w:rsidRDefault="00000000">
      <w:pPr>
        <w:spacing w:line="360" w:lineRule="auto"/>
        <w:jc w:val="both"/>
        <w:rPr>
          <w:rFonts w:ascii="Book Antiqua" w:hAnsi="Book Antiqua"/>
        </w:rPr>
      </w:pPr>
      <w:r>
        <w:rPr>
          <w:rFonts w:ascii="Book Antiqua" w:eastAsia="Book Antiqua" w:hAnsi="Book Antiqua" w:cs="Book Antiqua"/>
          <w:b/>
          <w:caps/>
          <w:u w:val="single"/>
        </w:rPr>
        <w:t>ARTICLE HIGHLIGHTS</w:t>
      </w:r>
    </w:p>
    <w:p w14:paraId="0907D6B7"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background</w:t>
      </w:r>
    </w:p>
    <w:p w14:paraId="0CC4E6E0" w14:textId="69093300" w:rsidR="00C87744" w:rsidRDefault="00000000">
      <w:pPr>
        <w:spacing w:line="360" w:lineRule="auto"/>
        <w:jc w:val="both"/>
        <w:rPr>
          <w:rFonts w:ascii="Book Antiqua" w:hAnsi="Book Antiqua"/>
        </w:rPr>
      </w:pPr>
      <w:r>
        <w:rPr>
          <w:rFonts w:ascii="Book Antiqua" w:eastAsia="Book Antiqua" w:hAnsi="Book Antiqua" w:cs="Book Antiqua"/>
          <w:shd w:val="clear" w:color="auto" w:fill="FFFFFF"/>
        </w:rPr>
        <w:t xml:space="preserve">Hepatocellular carcinoma (HCC), as the third leading cause of cancer-related deaths worldwide and the second leading cause in China, represents a major health concern throughout the world, especially in China. </w:t>
      </w:r>
      <w:r>
        <w:rPr>
          <w:rFonts w:ascii="Book Antiqua" w:eastAsia="Book Antiqua" w:hAnsi="Book Antiqua" w:cs="Book Antiqua"/>
        </w:rPr>
        <w:t>M</w:t>
      </w:r>
      <w:r>
        <w:rPr>
          <w:rFonts w:ascii="Book Antiqua" w:eastAsia="Book Antiqua" w:hAnsi="Book Antiqua" w:cs="Book Antiqua"/>
          <w:shd w:val="clear" w:color="auto" w:fill="FFFFFF"/>
        </w:rPr>
        <w:t>icrovascular invasion (M</w:t>
      </w:r>
      <w:r>
        <w:rPr>
          <w:rFonts w:ascii="Book Antiqua" w:eastAsia="Book Antiqua" w:hAnsi="Book Antiqua" w:cs="Book Antiqua"/>
        </w:rPr>
        <w:t xml:space="preserve">VI) is a very important predictor of poor prognosis in patients with </w:t>
      </w:r>
      <w:r>
        <w:rPr>
          <w:rFonts w:ascii="Book Antiqua" w:eastAsia="Book Antiqua" w:hAnsi="Book Antiqua" w:cs="Book Antiqua"/>
          <w:shd w:val="clear" w:color="auto" w:fill="FFFFFF"/>
        </w:rPr>
        <w:t>HCC after surgical resection or liver transplantation. Accurate preoperative prediction of MVI in HCC would offer valuable insights to guide therapeutic strategy. Preoperative imaging including contrast-enhanced computed tomography, contrast-enhanced magnetic resonance imaging, and contrast-enhanced ultrasound may help in the diagnosis of MVI.</w:t>
      </w:r>
    </w:p>
    <w:p w14:paraId="78D9E248" w14:textId="77777777" w:rsidR="00C87744" w:rsidRDefault="00C87744">
      <w:pPr>
        <w:spacing w:line="360" w:lineRule="auto"/>
        <w:jc w:val="both"/>
        <w:rPr>
          <w:rFonts w:ascii="Book Antiqua" w:hAnsi="Book Antiqua"/>
        </w:rPr>
      </w:pPr>
    </w:p>
    <w:p w14:paraId="59CAEC3A"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motivation</w:t>
      </w:r>
    </w:p>
    <w:p w14:paraId="58D54183" w14:textId="698CADEC" w:rsidR="00C87744" w:rsidRDefault="00000000">
      <w:pPr>
        <w:spacing w:line="360" w:lineRule="auto"/>
        <w:jc w:val="both"/>
        <w:rPr>
          <w:rFonts w:ascii="Book Antiqua" w:hAnsi="Book Antiqua"/>
        </w:rPr>
      </w:pPr>
      <w:r>
        <w:rPr>
          <w:rFonts w:ascii="Book Antiqua" w:eastAsia="Book Antiqua" w:hAnsi="Book Antiqua" w:cs="Book Antiqua"/>
        </w:rPr>
        <w:lastRenderedPageBreak/>
        <w:t>Shear wave elastography (SWE) has the advantage of the absence of contrast agent allergy and is generally less expensive and less time-consuming than other methods, making it a more practical option for many medical facilities. Our previous study showed promising results using SWE with maximal elasticity (Emax) as the parameter to differentiate malignant focal liver lesions from benign lesions and to differentiate among different pathological types of malignant focal liver lesions. However, only a few studies have focused on the value of SWE in the prediction of MVI.</w:t>
      </w:r>
    </w:p>
    <w:p w14:paraId="083F33A2" w14:textId="77777777" w:rsidR="00C87744" w:rsidRDefault="00C87744">
      <w:pPr>
        <w:spacing w:line="360" w:lineRule="auto"/>
        <w:jc w:val="both"/>
        <w:rPr>
          <w:rFonts w:ascii="Book Antiqua" w:hAnsi="Book Antiqua"/>
        </w:rPr>
      </w:pPr>
    </w:p>
    <w:p w14:paraId="7BAC76AF"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objectives</w:t>
      </w:r>
    </w:p>
    <w:p w14:paraId="2252178E" w14:textId="77777777" w:rsidR="00C87744" w:rsidRDefault="00000000">
      <w:pPr>
        <w:spacing w:line="360" w:lineRule="auto"/>
        <w:jc w:val="both"/>
        <w:rPr>
          <w:rFonts w:ascii="Book Antiqua" w:hAnsi="Book Antiqua"/>
        </w:rPr>
      </w:pPr>
      <w:r>
        <w:rPr>
          <w:rFonts w:ascii="Book Antiqua" w:eastAsia="Book Antiqua" w:hAnsi="Book Antiqua" w:cs="Book Antiqua"/>
        </w:rPr>
        <w:t>We aimed to explore the value of conventional ultrasound features and SWE in the preoperative prediction of MVI in HCC.</w:t>
      </w:r>
    </w:p>
    <w:p w14:paraId="425E5F5A" w14:textId="77777777" w:rsidR="00C87744" w:rsidRDefault="00C87744">
      <w:pPr>
        <w:spacing w:line="360" w:lineRule="auto"/>
        <w:jc w:val="both"/>
        <w:rPr>
          <w:rFonts w:ascii="Book Antiqua" w:hAnsi="Book Antiqua"/>
        </w:rPr>
      </w:pPr>
    </w:p>
    <w:p w14:paraId="397CE573"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methods</w:t>
      </w:r>
    </w:p>
    <w:p w14:paraId="077B39E2" w14:textId="6759BB3B" w:rsidR="00C87744" w:rsidRDefault="00000000">
      <w:pPr>
        <w:spacing w:line="360" w:lineRule="auto"/>
        <w:jc w:val="both"/>
        <w:rPr>
          <w:rFonts w:ascii="Book Antiqua" w:hAnsi="Book Antiqua"/>
        </w:rPr>
      </w:pPr>
      <w:r>
        <w:rPr>
          <w:rFonts w:ascii="Book Antiqua" w:eastAsia="Book Antiqua" w:hAnsi="Book Antiqua" w:cs="Book Antiqua"/>
        </w:rPr>
        <w:t>In this study, we enrolled patients with a postoperative pathological diagnosis of HCC and a definite diagnosis of MVI. Conventional ultrasound features and SWE features such as Emax of HCCs and Emax of the periphery of HCCs were acquired before surgery. These features were compared between MVI-positive HCCs and MVI-negative HCC and between mild MVI HCCs and severe MVI HCCs.</w:t>
      </w:r>
    </w:p>
    <w:p w14:paraId="1D68430F" w14:textId="77777777" w:rsidR="00C87744" w:rsidRDefault="00C87744">
      <w:pPr>
        <w:spacing w:line="360" w:lineRule="auto"/>
        <w:jc w:val="both"/>
        <w:rPr>
          <w:rFonts w:ascii="Book Antiqua" w:hAnsi="Book Antiqua"/>
        </w:rPr>
      </w:pPr>
    </w:p>
    <w:p w14:paraId="43E15384"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results</w:t>
      </w:r>
    </w:p>
    <w:p w14:paraId="364DCA37" w14:textId="33230891" w:rsidR="00C87744" w:rsidRDefault="00000000">
      <w:pPr>
        <w:spacing w:line="360" w:lineRule="auto"/>
        <w:jc w:val="both"/>
        <w:rPr>
          <w:rFonts w:ascii="Book Antiqua" w:hAnsi="Book Antiqua"/>
        </w:rPr>
      </w:pPr>
      <w:r>
        <w:rPr>
          <w:rFonts w:ascii="Book Antiqua" w:eastAsia="Book Antiqua" w:hAnsi="Book Antiqua" w:cs="Book Antiqua"/>
        </w:rPr>
        <w:t>There were a total of 86 MVI-negative HCCs and 102 MVI-positive HCCs in this study, including 54 with mild MVI and 48 with severe MVI. Maximal tumor diameters, surrounding liver tissue, color Doppler flow, Emax of HCCs, and Emax of the periphery of HCCs were significantly different between MVI-positive HCCs and MVI-negative HCCs. In addition, Emax of the periphery of HCCs was significantly different between mild MVI HCCs and severe MVI HCCs. Higher Emax of the periphery of HCCs (&gt; 2.340 m/s, area under the curve as 0.598) and larger maximal diameters (&gt; 61.95 mm, area under the curve as 0.663) were independent risk factors for MVI, with odds ratios of 2.820 and 1.021, respectively.</w:t>
      </w:r>
    </w:p>
    <w:p w14:paraId="615382F6" w14:textId="77777777" w:rsidR="00C87744" w:rsidRDefault="00C87744">
      <w:pPr>
        <w:spacing w:line="360" w:lineRule="auto"/>
        <w:jc w:val="both"/>
        <w:rPr>
          <w:rFonts w:ascii="Book Antiqua" w:hAnsi="Book Antiqua"/>
        </w:rPr>
      </w:pPr>
    </w:p>
    <w:p w14:paraId="5BD3EF2F" w14:textId="77777777" w:rsidR="00C87744" w:rsidRDefault="00000000">
      <w:pPr>
        <w:spacing w:line="360" w:lineRule="auto"/>
        <w:jc w:val="both"/>
        <w:rPr>
          <w:rFonts w:ascii="Book Antiqua" w:hAnsi="Book Antiqua"/>
        </w:rPr>
      </w:pPr>
      <w:r>
        <w:rPr>
          <w:rFonts w:ascii="Book Antiqua" w:eastAsia="Book Antiqua" w:hAnsi="Book Antiqua" w:cs="Book Antiqua"/>
          <w:b/>
          <w:i/>
        </w:rPr>
        <w:lastRenderedPageBreak/>
        <w:t>Research conclusions</w:t>
      </w:r>
    </w:p>
    <w:p w14:paraId="6C8BB36A" w14:textId="77777777" w:rsidR="00C87744" w:rsidRDefault="00000000">
      <w:pPr>
        <w:spacing w:line="360" w:lineRule="auto"/>
        <w:jc w:val="both"/>
        <w:rPr>
          <w:rFonts w:ascii="Book Antiqua" w:hAnsi="Book Antiqua"/>
        </w:rPr>
      </w:pPr>
      <w:r>
        <w:rPr>
          <w:rFonts w:ascii="Book Antiqua" w:eastAsia="Book Antiqua" w:hAnsi="Book Antiqua" w:cs="Book Antiqua"/>
        </w:rPr>
        <w:t>HCC size and stiffness of the periphery of HCCs are useful ultrasound criteria for predicting positive MVI. Thus, preoperative ultrasound and SWE could provide useful information for the prediction of MVI in HCCs.</w:t>
      </w:r>
    </w:p>
    <w:p w14:paraId="466EE570" w14:textId="77777777" w:rsidR="00C87744" w:rsidRDefault="00C87744">
      <w:pPr>
        <w:spacing w:line="360" w:lineRule="auto"/>
        <w:jc w:val="both"/>
        <w:rPr>
          <w:rFonts w:ascii="Book Antiqua" w:hAnsi="Book Antiqua"/>
        </w:rPr>
      </w:pPr>
    </w:p>
    <w:p w14:paraId="2764E450" w14:textId="77777777" w:rsidR="00C87744" w:rsidRDefault="00000000">
      <w:pPr>
        <w:spacing w:line="360" w:lineRule="auto"/>
        <w:jc w:val="both"/>
        <w:rPr>
          <w:rFonts w:ascii="Book Antiqua" w:hAnsi="Book Antiqua"/>
        </w:rPr>
      </w:pPr>
      <w:r>
        <w:rPr>
          <w:rFonts w:ascii="Book Antiqua" w:eastAsia="Book Antiqua" w:hAnsi="Book Antiqua" w:cs="Book Antiqua"/>
          <w:b/>
          <w:i/>
        </w:rPr>
        <w:t>Research perspectives</w:t>
      </w:r>
    </w:p>
    <w:p w14:paraId="649796BE" w14:textId="6E1CC433" w:rsidR="00C87744" w:rsidRDefault="00000000">
      <w:pPr>
        <w:spacing w:line="360" w:lineRule="auto"/>
        <w:jc w:val="both"/>
        <w:rPr>
          <w:rFonts w:ascii="Book Antiqua" w:hAnsi="Book Antiqua"/>
        </w:rPr>
      </w:pPr>
      <w:r>
        <w:rPr>
          <w:rFonts w:ascii="Book Antiqua" w:eastAsia="Book Antiqua" w:hAnsi="Book Antiqua" w:cs="Book Antiqua"/>
        </w:rPr>
        <w:t>In this study, we demonstrated the value of conventional ultrasound features and SWE in the preoperative prediction of MVI in HCC. Prospective studies to explore the value of multimodal ultrasound imaging including conventional ultrasound, ultrasound elastography, superb microvascular imaging, and contrast-enhanced ultrasound in the preoperative prediction of MVI in HCC would be beneficial.</w:t>
      </w:r>
    </w:p>
    <w:p w14:paraId="267EF461" w14:textId="77777777" w:rsidR="00C87744" w:rsidRDefault="00C87744">
      <w:pPr>
        <w:spacing w:line="360" w:lineRule="auto"/>
        <w:jc w:val="both"/>
        <w:rPr>
          <w:rFonts w:ascii="Book Antiqua" w:hAnsi="Book Antiqua"/>
        </w:rPr>
      </w:pPr>
    </w:p>
    <w:p w14:paraId="6F7202A7" w14:textId="77777777" w:rsidR="00C87744" w:rsidRDefault="00000000">
      <w:pPr>
        <w:spacing w:line="360" w:lineRule="auto"/>
        <w:jc w:val="both"/>
        <w:rPr>
          <w:rFonts w:ascii="Book Antiqua" w:hAnsi="Book Antiqua"/>
        </w:rPr>
      </w:pPr>
      <w:r>
        <w:rPr>
          <w:rFonts w:ascii="Book Antiqua" w:eastAsia="Book Antiqua" w:hAnsi="Book Antiqua" w:cs="Book Antiqua"/>
          <w:b/>
        </w:rPr>
        <w:t>REFERENCES</w:t>
      </w:r>
    </w:p>
    <w:p w14:paraId="03DCC392" w14:textId="77777777" w:rsidR="00C87744" w:rsidRDefault="00000000">
      <w:pPr>
        <w:spacing w:line="360" w:lineRule="auto"/>
        <w:jc w:val="both"/>
        <w:rPr>
          <w:rFonts w:ascii="Book Antiqua" w:eastAsia="Book Antiqua" w:hAnsi="Book Antiqua" w:cs="Book Antiqua"/>
          <w:lang w:eastAsia="zh-CN"/>
        </w:rPr>
      </w:pPr>
      <w:r>
        <w:rPr>
          <w:rFonts w:ascii="Book Antiqua" w:eastAsia="Book Antiqua" w:hAnsi="Book Antiqua" w:cs="Book Antiqua"/>
        </w:rPr>
        <w:t>1</w:t>
      </w:r>
      <w:r>
        <w:rPr>
          <w:rFonts w:ascii="Book Antiqua" w:eastAsia="Book Antiqua" w:hAnsi="Book Antiqua" w:cs="Book Antiqua"/>
          <w:b/>
          <w:bCs/>
        </w:rPr>
        <w:t xml:space="preserve"> International Agency for Research on Cancer</w:t>
      </w:r>
      <w:r>
        <w:rPr>
          <w:rFonts w:ascii="Book Antiqua" w:eastAsia="SimSun" w:hAnsi="Book Antiqua" w:cs="SimSun"/>
          <w:lang w:eastAsia="zh-CN"/>
        </w:rPr>
        <w:t xml:space="preserve">; </w:t>
      </w:r>
      <w:r>
        <w:rPr>
          <w:rFonts w:ascii="Book Antiqua" w:eastAsia="Book Antiqua" w:hAnsi="Book Antiqua" w:cs="Book Antiqua"/>
        </w:rPr>
        <w:t>World Health Organization. Liver Source: Globocan 2020. [cited 7 July 2023]. Available from: https://gco.iarc.fr/today/data/factsheets/cancers/11-Liver-fact-sheet.pdf</w:t>
      </w:r>
      <w:r>
        <w:rPr>
          <w:rFonts w:ascii="Book Antiqua" w:eastAsia="SimSun" w:hAnsi="Book Antiqua" w:cs="SimSun"/>
          <w:lang w:eastAsia="zh-CN"/>
        </w:rPr>
        <w:t>.</w:t>
      </w:r>
    </w:p>
    <w:p w14:paraId="4747781A"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Zhou J</w:t>
      </w:r>
      <w:r>
        <w:rPr>
          <w:rFonts w:ascii="Book Antiqua" w:eastAsia="Book Antiqua" w:hAnsi="Book Antiqua" w:cs="Book Antiqua"/>
        </w:rPr>
        <w:t xml:space="preserve">, Sun H, Wang Z, Cong W, Wang J, Zeng M, Zhou W, Bie P, Liu L, Wen T, Han G, Wang M, Liu R, Lu L, Ren Z, Chen M, Zeng Z, Liang P, Liang C, Chen M, Yan F, Wang W, Ji Y, Yun J, Cai D, Chen Y, Cheng W, Cheng S, Dai C, Guo W, Hua B, Huang X, Jia W, Li Y, Li Y, Liang J, Liu T, Lv G, Mao Y, Peng T, Ren W, Shi H, Shi G, Tao K, Wang W, Wang X, Wang Z, Xiang B, Xing B, Xu J, Yang J, Yang J, Yang Y, Yang Y, Ye S, Yin Z, Zhang B, Zhang B, Zhang L, Zhang S, Zhang T, Zhao Y, Zheng H, Zhu J, Zhu K, Liu R, Shi Y, Xiao Y, Dai Z, Teng G, Cai J, Wang W, Cai X, Li Q, Shen F, Qin S, Dong J, Fan J. Guidelines for the Diagnosis and Treatment of Hepatocellular Carcinoma (2019 Edition). </w:t>
      </w:r>
      <w:r>
        <w:rPr>
          <w:rFonts w:ascii="Book Antiqua" w:eastAsia="Book Antiqua" w:hAnsi="Book Antiqua" w:cs="Book Antiqua"/>
          <w:i/>
          <w:iCs/>
        </w:rPr>
        <w:t>Liver Cancer</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682-720 [PMID: 33442540 DOI: 10.1159/000509424]</w:t>
      </w:r>
    </w:p>
    <w:p w14:paraId="1BD762E7"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Chen ZH</w:t>
      </w:r>
      <w:r>
        <w:rPr>
          <w:rFonts w:ascii="Book Antiqua" w:eastAsia="Book Antiqua" w:hAnsi="Book Antiqua" w:cs="Book Antiqua"/>
        </w:rPr>
        <w:t xml:space="preserve">, Zhang XP, Wang H, Chai ZT, Sun JX, Guo WX, Shi J, Cheng SQ. Effect of microvascular invasion on the postoperative long-term prognosis of solitary small HCC: a systematic review and meta-analysis. </w:t>
      </w:r>
      <w:r>
        <w:rPr>
          <w:rFonts w:ascii="Book Antiqua" w:eastAsia="Book Antiqua" w:hAnsi="Book Antiqua" w:cs="Book Antiqua"/>
          <w:i/>
          <w:iCs/>
        </w:rPr>
        <w:t>HPB (Oxford)</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935-944 [PMID: 30871805 DOI: 10.1016/j.hpb.2019.02.003]</w:t>
      </w:r>
    </w:p>
    <w:p w14:paraId="30F9E926"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 </w:t>
      </w:r>
      <w:r>
        <w:rPr>
          <w:rFonts w:ascii="Book Antiqua" w:eastAsia="Book Antiqua" w:hAnsi="Book Antiqua" w:cs="Book Antiqua"/>
          <w:b/>
          <w:bCs/>
        </w:rPr>
        <w:t>Beaufrère A</w:t>
      </w:r>
      <w:r>
        <w:rPr>
          <w:rFonts w:ascii="Book Antiqua" w:eastAsia="Book Antiqua" w:hAnsi="Book Antiqua" w:cs="Book Antiqua"/>
        </w:rPr>
        <w:t xml:space="preserve">, Caruso S, Calderaro J, Poté N, Bijot JC, Couchy G, Cauchy F, Vilgrain V, Zucman-Rossi J, Paradis V. Gene expression signature as a surrogate marker of microvascular invasion on routine hepatocellular carcinoma biopsies.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76</w:t>
      </w:r>
      <w:r>
        <w:rPr>
          <w:rFonts w:ascii="Book Antiqua" w:eastAsia="Book Antiqua" w:hAnsi="Book Antiqua" w:cs="Book Antiqua"/>
        </w:rPr>
        <w:t>: 343-352 [PMID: 34624411 DOI: 10.1016/j.jhep.2021.09.034]</w:t>
      </w:r>
    </w:p>
    <w:p w14:paraId="7E72173D"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Wu F</w:t>
      </w:r>
      <w:r>
        <w:rPr>
          <w:rFonts w:ascii="Book Antiqua" w:eastAsia="Book Antiqua" w:hAnsi="Book Antiqua" w:cs="Book Antiqua"/>
        </w:rPr>
        <w:t xml:space="preserve">, Sun H, Zhou C, Huang P, Xiao Y, Yang C, Zeng M. Prognostic factors for long-term outcome in bifocal hepatocellular carcinoma after resection. </w:t>
      </w:r>
      <w:r>
        <w:rPr>
          <w:rFonts w:ascii="Book Antiqua" w:eastAsia="Book Antiqua" w:hAnsi="Book Antiqua" w:cs="Book Antiqua"/>
          <w:i/>
          <w:iCs/>
        </w:rPr>
        <w:t>Eur Radiol</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3604-3616 [PMID: 36700957 DOI: 10.1007/s00330-023-09398-2]</w:t>
      </w:r>
    </w:p>
    <w:p w14:paraId="79F28774"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Liu HF</w:t>
      </w:r>
      <w:r>
        <w:rPr>
          <w:rFonts w:ascii="Book Antiqua" w:eastAsia="Book Antiqua" w:hAnsi="Book Antiqua" w:cs="Book Antiqua"/>
        </w:rPr>
        <w:t xml:space="preserve">, Zhang YZ, Wang Q, Zhu ZH, Xing W. A nomogram model integrating LI-RADS features and radiomics based on contrast-enhanced magnetic resonance imaging for predicting microvascular invasion in hepatocellular carcinoma falling the Milan criteria. </w:t>
      </w:r>
      <w:r>
        <w:rPr>
          <w:rFonts w:ascii="Book Antiqua" w:eastAsia="Book Antiqua" w:hAnsi="Book Antiqua" w:cs="Book Antiqua"/>
          <w:i/>
          <w:iCs/>
        </w:rPr>
        <w:t>Transl Oncol</w:t>
      </w:r>
      <w:r>
        <w:rPr>
          <w:rFonts w:ascii="Book Antiqua" w:eastAsia="Book Antiqua" w:hAnsi="Book Antiqua" w:cs="Book Antiqua"/>
        </w:rPr>
        <w:t xml:space="preserve"> 2023; </w:t>
      </w:r>
      <w:r>
        <w:rPr>
          <w:rFonts w:ascii="Book Antiqua" w:eastAsia="Book Antiqua" w:hAnsi="Book Antiqua" w:cs="Book Antiqua"/>
          <w:b/>
          <w:bCs/>
        </w:rPr>
        <w:t>27</w:t>
      </w:r>
      <w:r>
        <w:rPr>
          <w:rFonts w:ascii="Book Antiqua" w:eastAsia="Book Antiqua" w:hAnsi="Book Antiqua" w:cs="Book Antiqua"/>
        </w:rPr>
        <w:t>: 101597 [PMID: 36502701 DOI: 10.1016/j.tranon.2022.101597]</w:t>
      </w:r>
    </w:p>
    <w:p w14:paraId="68435690"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Zhang L</w:t>
      </w:r>
      <w:r>
        <w:rPr>
          <w:rFonts w:ascii="Book Antiqua" w:eastAsia="Book Antiqua" w:hAnsi="Book Antiqua" w:cs="Book Antiqua"/>
        </w:rPr>
        <w:t xml:space="preserve">, Li M, Zhu J, Zhang Y, Xiao Y, Dong M, Zhang L, Wang J. The value of quantitative MR elastography-based stiffness for assessing the microvascular invasion grade in hepatocellular carcinoma. </w:t>
      </w:r>
      <w:r>
        <w:rPr>
          <w:rFonts w:ascii="Book Antiqua" w:eastAsia="Book Antiqua" w:hAnsi="Book Antiqua" w:cs="Book Antiqua"/>
          <w:i/>
          <w:iCs/>
        </w:rPr>
        <w:t>Eur Radiol</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4103-4114 [PMID: 36435877 DOI: 10.1007/s00330-022-09290-5]</w:t>
      </w:r>
    </w:p>
    <w:p w14:paraId="7A5CC207"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Shi H</w:t>
      </w:r>
      <w:r>
        <w:rPr>
          <w:rFonts w:ascii="Book Antiqua" w:eastAsia="Book Antiqua" w:hAnsi="Book Antiqua" w:cs="Book Antiqua"/>
        </w:rPr>
        <w:t xml:space="preserve">, Duan Y, Shi J, Zhang W, Liu W, Shen B, Liu F, Mei X, Li X, Yuan Z. Role of preoperative prediction of microvascular invasion in hepatocellular carcinoma based on the texture of FDG PET image: A comparison of quantitative metabolic parameters and MRI. </w:t>
      </w:r>
      <w:r>
        <w:rPr>
          <w:rFonts w:ascii="Book Antiqua" w:eastAsia="Book Antiqua" w:hAnsi="Book Antiqua" w:cs="Book Antiqua"/>
          <w:i/>
          <w:iCs/>
        </w:rPr>
        <w:t>Front Physiol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928969 [PMID: 36035488 DOI: 10.3389/fphys.2022.928969]</w:t>
      </w:r>
    </w:p>
    <w:p w14:paraId="538C8013"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Park S</w:t>
      </w:r>
      <w:r>
        <w:rPr>
          <w:rFonts w:ascii="Book Antiqua" w:eastAsia="Book Antiqua" w:hAnsi="Book Antiqua" w:cs="Book Antiqua"/>
        </w:rPr>
        <w:t xml:space="preserve">, Kim JH, Kim J, Joseph W, Lee D, Park SJ. Development of a deep learning-based auto-segmentation algorithm for hepatocellular carcinoma (HCC) and application to predict microvascular invasion of HCC using CT texture analysis: preliminary results. </w:t>
      </w:r>
      <w:r>
        <w:rPr>
          <w:rFonts w:ascii="Book Antiqua" w:eastAsia="Book Antiqua" w:hAnsi="Book Antiqua" w:cs="Book Antiqua"/>
          <w:i/>
          <w:iCs/>
        </w:rPr>
        <w:t>Acta Radiol</w:t>
      </w:r>
      <w:r>
        <w:rPr>
          <w:rFonts w:ascii="Book Antiqua" w:eastAsia="Book Antiqua" w:hAnsi="Book Antiqua" w:cs="Book Antiqua"/>
        </w:rPr>
        <w:t xml:space="preserve"> 2023; </w:t>
      </w:r>
      <w:r>
        <w:rPr>
          <w:rFonts w:ascii="Book Antiqua" w:eastAsia="Book Antiqua" w:hAnsi="Book Antiqua" w:cs="Book Antiqua"/>
          <w:b/>
          <w:bCs/>
        </w:rPr>
        <w:t>64</w:t>
      </w:r>
      <w:r>
        <w:rPr>
          <w:rFonts w:ascii="Book Antiqua" w:eastAsia="Book Antiqua" w:hAnsi="Book Antiqua" w:cs="Book Antiqua"/>
        </w:rPr>
        <w:t>: 907-917 [PMID: 35570797 DOI: 10.1177/02841851221100318]</w:t>
      </w:r>
    </w:p>
    <w:p w14:paraId="501A4AB8"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Liu P</w:t>
      </w:r>
      <w:r>
        <w:rPr>
          <w:rFonts w:ascii="Book Antiqua" w:eastAsia="Book Antiqua" w:hAnsi="Book Antiqua" w:cs="Book Antiqua"/>
        </w:rPr>
        <w:t xml:space="preserve">, Tan XZ, Zhang T, Gu QB, Mao XH, Li YC, He YQ. Prediction of microvascular invasion in solitary hepatocellular carcinoma ≤ 5 cm based on computed tomography radiomics. </w:t>
      </w:r>
      <w:r>
        <w:rPr>
          <w:rFonts w:ascii="Book Antiqua" w:eastAsia="Book Antiqua" w:hAnsi="Book Antiqua" w:cs="Book Antiqua"/>
          <w:i/>
          <w:iCs/>
        </w:rPr>
        <w:t>World J Gastroenterol</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2015-2024 [PMID: 34007136 DOI: 10.3748/wjg.v27.i17.2015]</w:t>
      </w:r>
    </w:p>
    <w:p w14:paraId="1BB14B50"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Qin X</w:t>
      </w:r>
      <w:r>
        <w:rPr>
          <w:rFonts w:ascii="Book Antiqua" w:eastAsia="Book Antiqua" w:hAnsi="Book Antiqua" w:cs="Book Antiqua"/>
        </w:rPr>
        <w:t xml:space="preserve">, Zhu J, Tu Z, Ma Q, Tang J, Zhang C. Contrast-Enhanced Ultrasound with Deep Learning with Attention Mechanisms for Predicting Microvascular Invasion in Single </w:t>
      </w:r>
      <w:r>
        <w:rPr>
          <w:rFonts w:ascii="Book Antiqua" w:eastAsia="Book Antiqua" w:hAnsi="Book Antiqua" w:cs="Book Antiqua"/>
        </w:rPr>
        <w:lastRenderedPageBreak/>
        <w:t xml:space="preserve">Hepatocellular Carcinoma. </w:t>
      </w:r>
      <w:r>
        <w:rPr>
          <w:rFonts w:ascii="Book Antiqua" w:eastAsia="Book Antiqua" w:hAnsi="Book Antiqua" w:cs="Book Antiqua"/>
          <w:i/>
          <w:iCs/>
        </w:rPr>
        <w:t>Acad Radiol</w:t>
      </w:r>
      <w:r>
        <w:rPr>
          <w:rFonts w:ascii="Book Antiqua" w:eastAsia="Book Antiqua" w:hAnsi="Book Antiqua" w:cs="Book Antiqua"/>
        </w:rPr>
        <w:t xml:space="preserve"> 2022 [PMID: 36567144 DOI: 10.1016/j.acra.2022.12.005]</w:t>
      </w:r>
    </w:p>
    <w:p w14:paraId="7BA30710"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Li X</w:t>
      </w:r>
      <w:r>
        <w:rPr>
          <w:rFonts w:ascii="Book Antiqua" w:eastAsia="Book Antiqua" w:hAnsi="Book Antiqua" w:cs="Book Antiqua"/>
        </w:rPr>
        <w:t xml:space="preserve">, Han X, Li L, Su C, Sun J, Zhan C, Feng D, Cheng W. Dynamic Contrast-Enhanced Ultrasonography with Sonazoid for Diagnosis of Microvascular Invasion in Hepatocellular Carcinoma. </w:t>
      </w:r>
      <w:r>
        <w:rPr>
          <w:rFonts w:ascii="Book Antiqua" w:eastAsia="Book Antiqua" w:hAnsi="Book Antiqua" w:cs="Book Antiqua"/>
          <w:i/>
          <w:iCs/>
        </w:rPr>
        <w:t>Ultrasound Med Biol</w:t>
      </w:r>
      <w:r>
        <w:rPr>
          <w:rFonts w:ascii="Book Antiqua" w:eastAsia="Book Antiqua" w:hAnsi="Book Antiqua" w:cs="Book Antiqua"/>
        </w:rPr>
        <w:t xml:space="preserve"> 2022; </w:t>
      </w:r>
      <w:r>
        <w:rPr>
          <w:rFonts w:ascii="Book Antiqua" w:eastAsia="Book Antiqua" w:hAnsi="Book Antiqua" w:cs="Book Antiqua"/>
          <w:b/>
          <w:bCs/>
        </w:rPr>
        <w:t>48</w:t>
      </w:r>
      <w:r>
        <w:rPr>
          <w:rFonts w:ascii="Book Antiqua" w:eastAsia="Book Antiqua" w:hAnsi="Book Antiqua" w:cs="Book Antiqua"/>
        </w:rPr>
        <w:t>: 575-581 [PMID: 34933756 DOI: 10.1016/j.ultrasmedbio.2021.11.005]</w:t>
      </w:r>
    </w:p>
    <w:p w14:paraId="3852EA32"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Dong Y</w:t>
      </w:r>
      <w:r>
        <w:rPr>
          <w:rFonts w:ascii="Book Antiqua" w:eastAsia="Book Antiqua" w:hAnsi="Book Antiqua" w:cs="Book Antiqua"/>
        </w:rPr>
        <w:t xml:space="preserve">, Qiu Y, Yang D, Yu L, Zuo D, Zhang Q, Tian X, Wang WP, Jung EM. Potential application of dynamic contrast enhanced ultrasound in predicting microvascular invasion of hepatocellular carcinoma. </w:t>
      </w:r>
      <w:r>
        <w:rPr>
          <w:rFonts w:ascii="Book Antiqua" w:eastAsia="Book Antiqua" w:hAnsi="Book Antiqua" w:cs="Book Antiqua"/>
          <w:i/>
          <w:iCs/>
        </w:rPr>
        <w:t>Clin Hemorheol Microcirc</w:t>
      </w:r>
      <w:r>
        <w:rPr>
          <w:rFonts w:ascii="Book Antiqua" w:eastAsia="Book Antiqua" w:hAnsi="Book Antiqua" w:cs="Book Antiqua"/>
        </w:rPr>
        <w:t xml:space="preserve"> 2021; </w:t>
      </w:r>
      <w:r>
        <w:rPr>
          <w:rFonts w:ascii="Book Antiqua" w:eastAsia="Book Antiqua" w:hAnsi="Book Antiqua" w:cs="Book Antiqua"/>
          <w:b/>
          <w:bCs/>
        </w:rPr>
        <w:t>77</w:t>
      </w:r>
      <w:r>
        <w:rPr>
          <w:rFonts w:ascii="Book Antiqua" w:eastAsia="Book Antiqua" w:hAnsi="Book Antiqua" w:cs="Book Antiqua"/>
        </w:rPr>
        <w:t>: 461-469 [PMID: 33459703 DOI: 10.3233/CH-201085]</w:t>
      </w:r>
    </w:p>
    <w:p w14:paraId="5FEF63E4"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Dong Y</w:t>
      </w:r>
      <w:r>
        <w:rPr>
          <w:rFonts w:ascii="Book Antiqua" w:eastAsia="Book Antiqua" w:hAnsi="Book Antiqua" w:cs="Book Antiqua"/>
        </w:rPr>
        <w:t xml:space="preserve">, Zuo D, Qiu YJ, Cao JY, Wang HZ, Yu LY, Wang WP. Preoperative prediction of microvascular invasion (MVI) in hepatocellular carcinoma based on kupffer phase radiomics features of sonazoid contrast-enhanced ultrasound (SCEUS): A prospective study. </w:t>
      </w:r>
      <w:r>
        <w:rPr>
          <w:rFonts w:ascii="Book Antiqua" w:eastAsia="Book Antiqua" w:hAnsi="Book Antiqua" w:cs="Book Antiqua"/>
          <w:i/>
          <w:iCs/>
        </w:rPr>
        <w:t>Clin Hemorheol Microcirc</w:t>
      </w:r>
      <w:r>
        <w:rPr>
          <w:rFonts w:ascii="Book Antiqua" w:eastAsia="Book Antiqua" w:hAnsi="Book Antiqua" w:cs="Book Antiqua"/>
        </w:rPr>
        <w:t xml:space="preserve"> 2022; </w:t>
      </w:r>
      <w:r>
        <w:rPr>
          <w:rFonts w:ascii="Book Antiqua" w:eastAsia="Book Antiqua" w:hAnsi="Book Antiqua" w:cs="Book Antiqua"/>
          <w:b/>
          <w:bCs/>
        </w:rPr>
        <w:t>81</w:t>
      </w:r>
      <w:r>
        <w:rPr>
          <w:rFonts w:ascii="Book Antiqua" w:eastAsia="Book Antiqua" w:hAnsi="Book Antiqua" w:cs="Book Antiqua"/>
        </w:rPr>
        <w:t>: 97-107 [PMID: 35001883 DOI: 10.3233/CH-211363]</w:t>
      </w:r>
    </w:p>
    <w:p w14:paraId="7DD818F6"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Guo J</w:t>
      </w:r>
      <w:r>
        <w:rPr>
          <w:rFonts w:ascii="Book Antiqua" w:eastAsia="Book Antiqua" w:hAnsi="Book Antiqua" w:cs="Book Antiqua"/>
        </w:rPr>
        <w:t xml:space="preserve">, Jiang D, Qian Y, Yu J, Gu YJ, Zhou YQ, Zhang HP. Differential diagnosis of different types of solid focal liver lesions using two-dimensional shear wave elastography.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4716-4725 [PMID: 36157921 DOI: 10.3748/wjg.v28.i32.4716]</w:t>
      </w:r>
    </w:p>
    <w:p w14:paraId="66428E39"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Naganuma H</w:t>
      </w:r>
      <w:r>
        <w:rPr>
          <w:rFonts w:ascii="Book Antiqua" w:eastAsia="Book Antiqua" w:hAnsi="Book Antiqua" w:cs="Book Antiqua"/>
        </w:rPr>
        <w:t xml:space="preserve">, Ishida H. Factors other than fibrosis that increase measured shear wave velocity.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6512-6521 [PMID: 36569278 DOI: 10.3748/wjg.v28.i46.6512]</w:t>
      </w:r>
    </w:p>
    <w:p w14:paraId="22572076"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Fang C</w:t>
      </w:r>
      <w:r>
        <w:rPr>
          <w:rFonts w:ascii="Book Antiqua" w:eastAsia="Book Antiqua" w:hAnsi="Book Antiqua" w:cs="Book Antiqua"/>
        </w:rPr>
        <w:t xml:space="preserve">, Rafailidis V, Konstantatou E, Yusuf GT, Barrow I, Pagkalidou E, Romanos O, Agarwal K, Quaglia A, Sidhu PS. Comparison Between Different Manufacturers' 2-D and Point Shear Wave Elastography Techniques in Staging Liver Fibrosis in Chronic Liver Disease Using Liver Biopsy as the Reference Standard: A Prospective Study. </w:t>
      </w:r>
      <w:r>
        <w:rPr>
          <w:rFonts w:ascii="Book Antiqua" w:eastAsia="Book Antiqua" w:hAnsi="Book Antiqua" w:cs="Book Antiqua"/>
          <w:i/>
          <w:iCs/>
        </w:rPr>
        <w:t>Ultrasound Med Biol</w:t>
      </w:r>
      <w:r>
        <w:rPr>
          <w:rFonts w:ascii="Book Antiqua" w:eastAsia="Book Antiqua" w:hAnsi="Book Antiqua" w:cs="Book Antiqua"/>
        </w:rPr>
        <w:t xml:space="preserve"> 2022; </w:t>
      </w:r>
      <w:r>
        <w:rPr>
          <w:rFonts w:ascii="Book Antiqua" w:eastAsia="Book Antiqua" w:hAnsi="Book Antiqua" w:cs="Book Antiqua"/>
          <w:b/>
          <w:bCs/>
        </w:rPr>
        <w:t>48</w:t>
      </w:r>
      <w:r>
        <w:rPr>
          <w:rFonts w:ascii="Book Antiqua" w:eastAsia="Book Antiqua" w:hAnsi="Book Antiqua" w:cs="Book Antiqua"/>
        </w:rPr>
        <w:t>: 2229-2236 [PMID: 36008215 DOI: 10.1016/j.ultrasmedbio.2022.06.009]</w:t>
      </w:r>
    </w:p>
    <w:p w14:paraId="03851D19"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Xu C</w:t>
      </w:r>
      <w:r>
        <w:rPr>
          <w:rFonts w:ascii="Book Antiqua" w:eastAsia="Book Antiqua" w:hAnsi="Book Antiqua" w:cs="Book Antiqua"/>
        </w:rPr>
        <w:t xml:space="preserve">, Jiang D, Tan B, Shen C, Guo J. Preoperative diagnosis and prediction of microvascular invasion in hepatocellularcarcinoma by ultrasound elastography. </w:t>
      </w:r>
      <w:r>
        <w:rPr>
          <w:rFonts w:ascii="Book Antiqua" w:eastAsia="Book Antiqua" w:hAnsi="Book Antiqua" w:cs="Book Antiqua"/>
          <w:i/>
          <w:iCs/>
        </w:rPr>
        <w:t>BMC Med Imaging</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88 [PMID: 35562688 DOI: 10.1186/s12880-022-00819-0]</w:t>
      </w:r>
    </w:p>
    <w:p w14:paraId="24B9ED79" w14:textId="77777777" w:rsidR="00C87744" w:rsidRDefault="00000000">
      <w:pPr>
        <w:pStyle w:val="ListParagraph"/>
        <w:numPr>
          <w:ilvl w:val="255"/>
          <w:numId w:val="0"/>
        </w:numPr>
        <w:spacing w:line="360" w:lineRule="auto"/>
        <w:jc w:val="both"/>
        <w:rPr>
          <w:rFonts w:ascii="Book Antiqua" w:hAnsi="Book Antiqua" w:cs="Book Antiqua"/>
        </w:rPr>
      </w:pPr>
      <w:r>
        <w:rPr>
          <w:rFonts w:ascii="Book Antiqua" w:hAnsi="Book Antiqua" w:cs="Book Antiqua"/>
          <w:b/>
          <w:color w:val="212121"/>
          <w:shd w:val="clear" w:color="auto" w:fill="FFFFFF"/>
          <w:lang w:eastAsia="zh-CN"/>
        </w:rPr>
        <w:lastRenderedPageBreak/>
        <w:t xml:space="preserve">19 </w:t>
      </w:r>
      <w:r>
        <w:rPr>
          <w:rFonts w:ascii="Book Antiqua" w:hAnsi="Book Antiqua" w:cs="Book Antiqua"/>
          <w:b/>
          <w:color w:val="212121"/>
          <w:shd w:val="clear" w:color="auto" w:fill="FFFFFF"/>
        </w:rPr>
        <w:t>Wang WT</w:t>
      </w:r>
      <w:r>
        <w:rPr>
          <w:rFonts w:ascii="Book Antiqua" w:hAnsi="Book Antiqua" w:cs="Book Antiqua"/>
          <w:color w:val="212121"/>
          <w:shd w:val="clear" w:color="auto" w:fill="FFFFFF"/>
        </w:rPr>
        <w:t xml:space="preserve">, Yang L, Yang ZX, Hu XX, Ding Y, Yan X, Fu CX, Grimm R, Zeng MS, Rao SX. Assessment of Microvascular Invasion of Hepatocellular Carcinoma with Diffusion Kurtosis Imaging. </w:t>
      </w:r>
      <w:r>
        <w:rPr>
          <w:rFonts w:ascii="Book Antiqua" w:hAnsi="Book Antiqua" w:cs="Book Antiqua"/>
          <w:i/>
          <w:color w:val="212121"/>
          <w:shd w:val="clear" w:color="auto" w:fill="FFFFFF"/>
        </w:rPr>
        <w:t>Radiology</w:t>
      </w:r>
      <w:r>
        <w:rPr>
          <w:rFonts w:ascii="Book Antiqua" w:hAnsi="Book Antiqua" w:cs="Book Antiqua"/>
          <w:color w:val="212121"/>
          <w:shd w:val="clear" w:color="auto" w:fill="FFFFFF"/>
        </w:rPr>
        <w:t xml:space="preserve"> 2018; 286:571-580 [PMID: 28937853 doi: 10.1148/radiol.2017170515]</w:t>
      </w:r>
    </w:p>
    <w:p w14:paraId="0BD806F0" w14:textId="77777777" w:rsidR="00C87744" w:rsidRDefault="00000000">
      <w:pPr>
        <w:pStyle w:val="ListParagraph"/>
        <w:numPr>
          <w:ilvl w:val="255"/>
          <w:numId w:val="0"/>
        </w:numPr>
        <w:spacing w:line="360" w:lineRule="auto"/>
        <w:jc w:val="both"/>
        <w:rPr>
          <w:rFonts w:ascii="Book Antiqua" w:hAnsi="Book Antiqua" w:cs="Book Antiqua"/>
        </w:rPr>
      </w:pPr>
      <w:r>
        <w:rPr>
          <w:rFonts w:ascii="Book Antiqua" w:hAnsi="Book Antiqua" w:cs="Book Antiqua"/>
          <w:b/>
          <w:color w:val="212121"/>
          <w:shd w:val="clear" w:color="auto" w:fill="FFFFFF"/>
          <w:lang w:eastAsia="zh-CN"/>
        </w:rPr>
        <w:t xml:space="preserve">20 </w:t>
      </w:r>
      <w:r>
        <w:rPr>
          <w:rFonts w:ascii="Book Antiqua" w:hAnsi="Book Antiqua" w:cs="Book Antiqua"/>
          <w:b/>
          <w:color w:val="212121"/>
          <w:shd w:val="clear" w:color="auto" w:fill="FFFFFF"/>
        </w:rPr>
        <w:t>Wang X</w:t>
      </w:r>
      <w:r>
        <w:rPr>
          <w:rFonts w:ascii="Book Antiqua" w:hAnsi="Book Antiqua" w:cs="Book Antiqua"/>
          <w:color w:val="212121"/>
          <w:shd w:val="clear" w:color="auto" w:fill="FFFFFF"/>
        </w:rPr>
        <w:t xml:space="preserve">, Fu Y, Zhu C, Hu X, Zou H, Sun C. New insights into a microvascular invasion prediction model in hepatocellular carcinoma: A retrospective study from the SEER database and China. </w:t>
      </w:r>
      <w:r>
        <w:rPr>
          <w:rFonts w:ascii="Book Antiqua" w:hAnsi="Book Antiqua" w:cs="Book Antiqua"/>
          <w:i/>
          <w:color w:val="212121"/>
          <w:shd w:val="clear" w:color="auto" w:fill="FFFFFF"/>
        </w:rPr>
        <w:t>Front Surg</w:t>
      </w:r>
      <w:r>
        <w:rPr>
          <w:rFonts w:ascii="Book Antiqua" w:hAnsi="Book Antiqua" w:cs="Book Antiqua"/>
          <w:color w:val="212121"/>
          <w:shd w:val="clear" w:color="auto" w:fill="FFFFFF"/>
        </w:rPr>
        <w:t xml:space="preserve"> 2023; 9:1046713 [PMID: 36684226 doi: 10.3389/fsurg.2022.1046713]</w:t>
      </w:r>
    </w:p>
    <w:p w14:paraId="798EDFB4" w14:textId="77777777" w:rsidR="00C87744" w:rsidRDefault="00000000">
      <w:pPr>
        <w:pStyle w:val="ListParagraph"/>
        <w:numPr>
          <w:ilvl w:val="255"/>
          <w:numId w:val="0"/>
        </w:numPr>
        <w:spacing w:line="360" w:lineRule="auto"/>
        <w:jc w:val="both"/>
        <w:rPr>
          <w:rFonts w:ascii="Book Antiqua" w:hAnsi="Book Antiqua" w:cs="Book Antiqua"/>
        </w:rPr>
      </w:pPr>
      <w:r>
        <w:rPr>
          <w:rFonts w:ascii="Book Antiqua" w:hAnsi="Book Antiqua" w:cs="Book Antiqua"/>
          <w:b/>
          <w:color w:val="212121"/>
          <w:shd w:val="clear" w:color="auto" w:fill="FFFFFF"/>
          <w:lang w:eastAsia="zh-CN"/>
        </w:rPr>
        <w:t xml:space="preserve">21 </w:t>
      </w:r>
      <w:r>
        <w:rPr>
          <w:rFonts w:ascii="Book Antiqua" w:hAnsi="Book Antiqua" w:cs="Book Antiqua"/>
          <w:b/>
          <w:color w:val="212121"/>
          <w:shd w:val="clear" w:color="auto" w:fill="FFFFFF"/>
        </w:rPr>
        <w:t>Hu J</w:t>
      </w:r>
      <w:r>
        <w:rPr>
          <w:rFonts w:ascii="Book Antiqua" w:hAnsi="Book Antiqua" w:cs="Book Antiqua"/>
          <w:color w:val="212121"/>
          <w:shd w:val="clear" w:color="auto" w:fill="FFFFFF"/>
        </w:rPr>
        <w:t xml:space="preserve">, Gong N, Li D, Deng Y, Chen J, Luo D, Zhou W, Xu K. Identifying hepatocellular carcinoma patients with survival benefits from surgery combined with chemotherapy: based on machine learning model. </w:t>
      </w:r>
      <w:r>
        <w:rPr>
          <w:rFonts w:ascii="Book Antiqua" w:hAnsi="Book Antiqua" w:cs="Book Antiqua"/>
          <w:i/>
          <w:color w:val="212121"/>
          <w:shd w:val="clear" w:color="auto" w:fill="FFFFFF"/>
        </w:rPr>
        <w:t>World J Surg Oncol</w:t>
      </w:r>
      <w:r>
        <w:rPr>
          <w:rFonts w:ascii="Book Antiqua" w:hAnsi="Book Antiqua" w:cs="Book Antiqua"/>
          <w:color w:val="212121"/>
          <w:shd w:val="clear" w:color="auto" w:fill="FFFFFF"/>
        </w:rPr>
        <w:t xml:space="preserve"> 2022; 20:377 [PMID: 36451200 doi: 10.1186/s12957-022-02837-2]</w:t>
      </w:r>
    </w:p>
    <w:p w14:paraId="7928F745" w14:textId="77777777" w:rsidR="00C87744" w:rsidRDefault="00000000">
      <w:pPr>
        <w:pStyle w:val="ListParagraph"/>
        <w:numPr>
          <w:ilvl w:val="255"/>
          <w:numId w:val="0"/>
        </w:numPr>
        <w:spacing w:line="360" w:lineRule="auto"/>
        <w:jc w:val="both"/>
        <w:rPr>
          <w:rFonts w:ascii="Book Antiqua" w:hAnsi="Book Antiqua" w:cs="Book Antiqua"/>
          <w:color w:val="212121"/>
          <w:shd w:val="clear" w:color="auto" w:fill="FFFFFF"/>
        </w:rPr>
      </w:pPr>
      <w:r>
        <w:rPr>
          <w:rFonts w:ascii="Book Antiqua" w:hAnsi="Book Antiqua" w:cs="Book Antiqua"/>
          <w:b/>
          <w:color w:val="212121"/>
          <w:shd w:val="clear" w:color="auto" w:fill="FFFFFF"/>
          <w:lang w:eastAsia="zh-CN"/>
        </w:rPr>
        <w:t xml:space="preserve">22 </w:t>
      </w:r>
      <w:r>
        <w:rPr>
          <w:rFonts w:ascii="Book Antiqua" w:hAnsi="Book Antiqua" w:cs="Book Antiqua"/>
          <w:b/>
          <w:color w:val="212121"/>
          <w:shd w:val="clear" w:color="auto" w:fill="FFFFFF"/>
        </w:rPr>
        <w:t>Zhou H</w:t>
      </w:r>
      <w:r>
        <w:rPr>
          <w:rFonts w:ascii="Book Antiqua" w:hAnsi="Book Antiqua" w:cs="Book Antiqua"/>
          <w:color w:val="212121"/>
          <w:shd w:val="clear" w:color="auto" w:fill="FFFFFF"/>
        </w:rPr>
        <w:t>, Sun J, Jiang T, Wu J, Li Q, Zhang C, Zhang Y, Cao J, Sun Y, Jiang Y, Liu Y, Zhou X, Huang P. A Nomogram Based on Combining Clinical Features and Contrast Enhanced Ultrasound LI-RADS Improves Prediction of Microvascular Invasion in Hepatocellular Carcinoma. Front Oncol 2021; 11:699290 [PMID: 34307168 doi: 10.3389/fonc.2021.699290]</w:t>
      </w:r>
    </w:p>
    <w:p w14:paraId="33A30E13" w14:textId="77777777" w:rsidR="00C87744" w:rsidRDefault="00000000">
      <w:pPr>
        <w:pStyle w:val="ListParagraph"/>
        <w:numPr>
          <w:ilvl w:val="255"/>
          <w:numId w:val="0"/>
        </w:numPr>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lang w:eastAsia="zh-CN"/>
        </w:rPr>
        <w:t xml:space="preserve">23 </w:t>
      </w:r>
      <w:r>
        <w:rPr>
          <w:rFonts w:ascii="Book Antiqua" w:hAnsi="Book Antiqua" w:cs="Book Antiqua"/>
          <w:b/>
          <w:bCs/>
          <w:color w:val="212121"/>
          <w:shd w:val="clear" w:color="auto" w:fill="FFFFFF"/>
        </w:rPr>
        <w:t>Bhide A</w:t>
      </w:r>
      <w:r>
        <w:rPr>
          <w:rFonts w:ascii="Book Antiqua" w:hAnsi="Book Antiqua" w:cs="Book Antiqua"/>
          <w:color w:val="212121"/>
          <w:shd w:val="clear" w:color="auto" w:fill="FFFFFF"/>
        </w:rPr>
        <w:t>, Acharya G, Baschat A, Bilardo CM, Brezinka C, Cafici D, Ebbing C, Hernandez-Andrade E, Kalache K, Kingdom J, Kiserud T, Kumar S, Lee W, Lees C, Leung KY, Malinger G, Mari G, Prefumo F, Sepulveda W, Trudinger B. ISUOG Practice Guidelines (updated): use of Doppler velocimetry in obstetrics. Ultrasound Obstet Gynecol 2021;</w:t>
      </w:r>
      <w:r>
        <w:rPr>
          <w:rFonts w:ascii="Book Antiqua" w:hAnsi="Book Antiqua" w:cs="Book Antiqua"/>
          <w:color w:val="212121"/>
          <w:shd w:val="clear" w:color="auto" w:fill="FFFFFF"/>
          <w:lang w:eastAsia="zh-CN"/>
        </w:rPr>
        <w:t xml:space="preserve"> </w:t>
      </w:r>
      <w:r>
        <w:rPr>
          <w:rFonts w:ascii="Book Antiqua" w:hAnsi="Book Antiqua" w:cs="Book Antiqua"/>
          <w:color w:val="212121"/>
          <w:shd w:val="clear" w:color="auto" w:fill="FFFFFF"/>
        </w:rPr>
        <w:t xml:space="preserve">58:331-339 </w:t>
      </w:r>
      <w:r>
        <w:rPr>
          <w:rFonts w:ascii="Book Antiqua" w:hAnsi="Book Antiqua" w:cs="Book Antiqua"/>
          <w:color w:val="212121"/>
          <w:shd w:val="clear" w:color="auto" w:fill="FFFFFF"/>
          <w:lang w:eastAsia="zh-CN"/>
        </w:rPr>
        <w:t>[</w:t>
      </w:r>
      <w:r>
        <w:rPr>
          <w:rFonts w:ascii="Book Antiqua" w:hAnsi="Book Antiqua" w:cs="Book Antiqua"/>
          <w:color w:val="212121"/>
          <w:shd w:val="clear" w:color="auto" w:fill="FFFFFF"/>
        </w:rPr>
        <w:t>PMID: 34278615</w:t>
      </w:r>
      <w:r>
        <w:rPr>
          <w:rFonts w:ascii="Book Antiqua" w:hAnsi="Book Antiqua" w:cs="Book Antiqua"/>
          <w:color w:val="212121"/>
          <w:shd w:val="clear" w:color="auto" w:fill="FFFFFF"/>
          <w:lang w:eastAsia="zh-CN"/>
        </w:rPr>
        <w:t xml:space="preserve"> </w:t>
      </w:r>
      <w:r>
        <w:rPr>
          <w:rFonts w:ascii="Book Antiqua" w:hAnsi="Book Antiqua" w:cs="Book Antiqua"/>
          <w:color w:val="212121"/>
          <w:shd w:val="clear" w:color="auto" w:fill="FFFFFF"/>
        </w:rPr>
        <w:t>doi: 10.1002/uog.23698</w:t>
      </w:r>
      <w:r>
        <w:rPr>
          <w:rFonts w:ascii="Book Antiqua" w:hAnsi="Book Antiqua" w:cs="Book Antiqua"/>
          <w:color w:val="212121"/>
          <w:shd w:val="clear" w:color="auto" w:fill="FFFFFF"/>
          <w:lang w:eastAsia="zh-CN"/>
        </w:rPr>
        <w:t>]</w:t>
      </w:r>
    </w:p>
    <w:p w14:paraId="115FBA0F" w14:textId="77777777" w:rsidR="00C87744" w:rsidRDefault="00000000">
      <w:pPr>
        <w:pStyle w:val="ListParagraph"/>
        <w:numPr>
          <w:ilvl w:val="255"/>
          <w:numId w:val="0"/>
        </w:numPr>
        <w:spacing w:line="360" w:lineRule="auto"/>
        <w:jc w:val="both"/>
        <w:rPr>
          <w:rFonts w:ascii="Book Antiqua" w:hAnsi="Book Antiqua" w:cs="Book Antiqua"/>
          <w:color w:val="212121"/>
          <w:shd w:val="clear" w:color="auto" w:fill="FFFFFF"/>
        </w:rPr>
      </w:pPr>
      <w:r>
        <w:rPr>
          <w:rFonts w:ascii="Book Antiqua" w:hAnsi="Book Antiqua" w:cs="Book Antiqua"/>
          <w:b/>
          <w:bCs/>
          <w:color w:val="212121"/>
          <w:shd w:val="clear" w:color="auto" w:fill="FFFFFF"/>
          <w:lang w:eastAsia="zh-CN"/>
        </w:rPr>
        <w:t xml:space="preserve">24 </w:t>
      </w:r>
      <w:r>
        <w:rPr>
          <w:rFonts w:ascii="Book Antiqua" w:hAnsi="Book Antiqua" w:cs="Book Antiqua"/>
          <w:b/>
          <w:bCs/>
          <w:color w:val="212121"/>
          <w:shd w:val="clear" w:color="auto" w:fill="FFFFFF"/>
        </w:rPr>
        <w:t xml:space="preserve">Jeon SK, </w:t>
      </w:r>
      <w:r>
        <w:rPr>
          <w:rFonts w:ascii="Book Antiqua" w:hAnsi="Book Antiqua" w:cs="Book Antiqua"/>
          <w:color w:val="212121"/>
          <w:shd w:val="clear" w:color="auto" w:fill="FFFFFF"/>
        </w:rPr>
        <w:t>Lee JY, Kang HJ, Han JK. Additional value of superb microvascular imaging of ultrasound examinations to evaluate focal liver lesions. Eur J Radiol</w:t>
      </w:r>
      <w:r>
        <w:rPr>
          <w:rFonts w:ascii="Book Antiqua" w:hAnsi="Book Antiqua" w:cs="Book Antiqua"/>
          <w:color w:val="212121"/>
          <w:shd w:val="clear" w:color="auto" w:fill="FFFFFF"/>
          <w:lang w:eastAsia="zh-CN"/>
        </w:rPr>
        <w:t xml:space="preserve"> </w:t>
      </w:r>
      <w:r>
        <w:rPr>
          <w:rFonts w:ascii="Book Antiqua" w:hAnsi="Book Antiqua" w:cs="Book Antiqua"/>
          <w:color w:val="212121"/>
          <w:shd w:val="clear" w:color="auto" w:fill="FFFFFF"/>
        </w:rPr>
        <w:t xml:space="preserve">2022;152:110332 </w:t>
      </w:r>
      <w:r>
        <w:rPr>
          <w:rFonts w:ascii="Book Antiqua" w:hAnsi="Book Antiqua" w:cs="Book Antiqua"/>
          <w:color w:val="212121"/>
          <w:shd w:val="clear" w:color="auto" w:fill="FFFFFF"/>
          <w:lang w:eastAsia="zh-CN"/>
        </w:rPr>
        <w:t>[</w:t>
      </w:r>
      <w:r>
        <w:rPr>
          <w:rFonts w:ascii="Book Antiqua" w:hAnsi="Book Antiqua" w:cs="Book Antiqua"/>
          <w:color w:val="212121"/>
          <w:shd w:val="clear" w:color="auto" w:fill="FFFFFF"/>
        </w:rPr>
        <w:t>PMID: 35552066</w:t>
      </w:r>
      <w:r>
        <w:rPr>
          <w:rFonts w:ascii="Book Antiqua" w:hAnsi="Book Antiqua" w:cs="Book Antiqua"/>
          <w:color w:val="212121"/>
          <w:shd w:val="clear" w:color="auto" w:fill="FFFFFF"/>
          <w:lang w:eastAsia="zh-CN"/>
        </w:rPr>
        <w:t xml:space="preserve"> </w:t>
      </w:r>
      <w:r>
        <w:rPr>
          <w:rFonts w:ascii="Book Antiqua" w:hAnsi="Book Antiqua" w:cs="Book Antiqua"/>
          <w:color w:val="212121"/>
          <w:shd w:val="clear" w:color="auto" w:fill="FFFFFF"/>
        </w:rPr>
        <w:t>doi: 10.1016/j.ejrad.2022.110332</w:t>
      </w:r>
      <w:r>
        <w:rPr>
          <w:rFonts w:ascii="Book Antiqua" w:hAnsi="Book Antiqua" w:cs="Book Antiqua"/>
          <w:color w:val="212121"/>
          <w:shd w:val="clear" w:color="auto" w:fill="FFFFFF"/>
          <w:lang w:eastAsia="zh-CN"/>
        </w:rPr>
        <w:t>]</w:t>
      </w:r>
    </w:p>
    <w:p w14:paraId="20718C0C" w14:textId="77777777" w:rsidR="00C87744" w:rsidRDefault="00000000">
      <w:pPr>
        <w:pStyle w:val="ListParagraph"/>
        <w:numPr>
          <w:ilvl w:val="255"/>
          <w:numId w:val="0"/>
        </w:numPr>
        <w:spacing w:line="360" w:lineRule="auto"/>
        <w:jc w:val="both"/>
        <w:rPr>
          <w:rFonts w:ascii="Book Antiqua" w:hAnsi="Book Antiqua" w:cs="Book Antiqua"/>
        </w:rPr>
      </w:pPr>
      <w:r>
        <w:rPr>
          <w:rFonts w:ascii="Book Antiqua" w:hAnsi="Book Antiqua" w:cs="Book Antiqua"/>
          <w:b/>
          <w:bCs/>
          <w:color w:val="212121"/>
          <w:shd w:val="clear" w:color="auto" w:fill="FFFFFF"/>
          <w:lang w:eastAsia="zh-CN"/>
        </w:rPr>
        <w:t xml:space="preserve">25 </w:t>
      </w:r>
      <w:r>
        <w:rPr>
          <w:rFonts w:ascii="Book Antiqua" w:hAnsi="Book Antiqua" w:cs="Book Antiqua"/>
          <w:b/>
          <w:bCs/>
          <w:color w:val="212121"/>
          <w:shd w:val="clear" w:color="auto" w:fill="FFFFFF"/>
        </w:rPr>
        <w:t>Gao S,</w:t>
      </w:r>
      <w:r>
        <w:rPr>
          <w:rFonts w:ascii="Book Antiqua" w:hAnsi="Book Antiqua" w:cs="Book Antiqua"/>
          <w:color w:val="212121"/>
          <w:shd w:val="clear" w:color="auto" w:fill="FFFFFF"/>
        </w:rPr>
        <w:t xml:space="preserve"> Zhang Y, Sun W, Jin K, Dai Y, Wang F, Qian X, Han J, Sheng R, Zeng M. Assessment of an MR Elastography-Based Nomogram as a Potential Imaging Biomarker for Predicting Microvascular Invasion of Hepatocellular Carcinoma. </w:t>
      </w:r>
      <w:r>
        <w:rPr>
          <w:rFonts w:ascii="Book Antiqua" w:hAnsi="Book Antiqua" w:cs="Book Antiqua"/>
          <w:i/>
          <w:color w:val="212121"/>
          <w:shd w:val="clear" w:color="auto" w:fill="FFFFFF"/>
        </w:rPr>
        <w:t>J Magn Reson Imaging</w:t>
      </w:r>
      <w:r>
        <w:rPr>
          <w:rFonts w:ascii="Book Antiqua" w:hAnsi="Book Antiqua" w:cs="Book Antiqua"/>
          <w:color w:val="212121"/>
          <w:shd w:val="clear" w:color="auto" w:fill="FFFFFF"/>
        </w:rPr>
        <w:t xml:space="preserve"> 2022; 8 [PMID: 36479914 doi: 10.1002/jmri.28553]</w:t>
      </w:r>
    </w:p>
    <w:p w14:paraId="3F165D7C" w14:textId="77777777" w:rsidR="00C87744" w:rsidRDefault="00000000">
      <w:pPr>
        <w:pStyle w:val="ListParagraph"/>
        <w:numPr>
          <w:ilvl w:val="255"/>
          <w:numId w:val="0"/>
        </w:numPr>
        <w:spacing w:line="360" w:lineRule="auto"/>
        <w:jc w:val="both"/>
        <w:rPr>
          <w:rFonts w:ascii="Book Antiqua" w:hAnsi="Book Antiqua" w:cs="Book Antiqua"/>
        </w:rPr>
      </w:pPr>
      <w:r>
        <w:rPr>
          <w:rFonts w:ascii="Book Antiqua" w:hAnsi="Book Antiqua" w:cs="Book Antiqua"/>
          <w:b/>
          <w:color w:val="212121"/>
          <w:shd w:val="clear" w:color="auto" w:fill="FFFFFF"/>
          <w:lang w:eastAsia="zh-CN"/>
        </w:rPr>
        <w:lastRenderedPageBreak/>
        <w:t xml:space="preserve">26 </w:t>
      </w:r>
      <w:r>
        <w:rPr>
          <w:rFonts w:ascii="Book Antiqua" w:hAnsi="Book Antiqua" w:cs="Book Antiqua"/>
          <w:b/>
          <w:color w:val="212121"/>
          <w:shd w:val="clear" w:color="auto" w:fill="FFFFFF"/>
        </w:rPr>
        <w:t>Zhang L</w:t>
      </w:r>
      <w:r>
        <w:rPr>
          <w:rFonts w:ascii="Book Antiqua" w:hAnsi="Book Antiqua" w:cs="Book Antiqua"/>
          <w:color w:val="212121"/>
          <w:shd w:val="clear" w:color="auto" w:fill="FFFFFF"/>
        </w:rPr>
        <w:t>, Yu X, Wei W, Pan X, Lu L, Xia J, Zheng W, Jia N, Huo L. Prediction of HCC microvascular invasion with gadobenate-enhanced MRI: correlation with pathology.</w:t>
      </w:r>
      <w:r>
        <w:rPr>
          <w:rFonts w:ascii="Book Antiqua" w:hAnsi="Book Antiqua" w:cs="Book Antiqua"/>
          <w:i/>
          <w:color w:val="212121"/>
          <w:shd w:val="clear" w:color="auto" w:fill="FFFFFF"/>
        </w:rPr>
        <w:t xml:space="preserve"> Eur Radiol</w:t>
      </w:r>
      <w:r>
        <w:rPr>
          <w:rFonts w:ascii="Book Antiqua" w:hAnsi="Book Antiqua" w:cs="Book Antiqua"/>
          <w:color w:val="212121"/>
          <w:shd w:val="clear" w:color="auto" w:fill="FFFFFF"/>
        </w:rPr>
        <w:t xml:space="preserve"> 2020; 30:5327-5336 [PMID: 32367417 doi: 10.1007/s00330-020-06895-6]</w:t>
      </w:r>
    </w:p>
    <w:p w14:paraId="580D2F91" w14:textId="77777777" w:rsidR="00C87744" w:rsidRDefault="00C87744">
      <w:pPr>
        <w:spacing w:line="360" w:lineRule="auto"/>
        <w:jc w:val="both"/>
        <w:rPr>
          <w:rFonts w:ascii="Book Antiqua" w:hAnsi="Book Antiqua"/>
        </w:rPr>
      </w:pPr>
    </w:p>
    <w:p w14:paraId="0B4D1B3F" w14:textId="77777777" w:rsidR="00C87744" w:rsidRDefault="00000000">
      <w:pPr>
        <w:spacing w:line="360" w:lineRule="auto"/>
        <w:jc w:val="both"/>
        <w:rPr>
          <w:rFonts w:ascii="Book Antiqua" w:hAnsi="Book Antiqua"/>
        </w:rPr>
      </w:pPr>
      <w:r>
        <w:rPr>
          <w:rFonts w:ascii="Book Antiqua" w:eastAsia="Book Antiqua" w:hAnsi="Book Antiqua" w:cs="Book Antiqua"/>
          <w:b/>
        </w:rPr>
        <w:t>Footnotes</w:t>
      </w:r>
    </w:p>
    <w:p w14:paraId="281AE487"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prospective study was approved by the Ethics Committee of Eastern Hepatobiliary Surgery Hospital (Approval No. EHBHKY2021-K-017).</w:t>
      </w:r>
    </w:p>
    <w:p w14:paraId="2ABDE211" w14:textId="77777777" w:rsidR="00C87744" w:rsidRDefault="00C87744">
      <w:pPr>
        <w:spacing w:line="360" w:lineRule="auto"/>
        <w:jc w:val="both"/>
        <w:rPr>
          <w:rFonts w:ascii="Book Antiqua" w:hAnsi="Book Antiqua"/>
        </w:rPr>
      </w:pPr>
    </w:p>
    <w:p w14:paraId="5196638B"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Clinical trial registration statement: </w:t>
      </w:r>
      <w:r>
        <w:rPr>
          <w:rFonts w:ascii="Book Antiqua" w:eastAsia="Book Antiqua" w:hAnsi="Book Antiqua" w:cs="Book Antiqua"/>
        </w:rPr>
        <w:t>This study is registered at clinical hospital center “Eastern Hepatobiliary Surgery Hospital, Naval Medical University” trial registry. The registration identification number is ChiCTR2100049831.</w:t>
      </w:r>
    </w:p>
    <w:p w14:paraId="11759C46" w14:textId="77777777" w:rsidR="00C87744" w:rsidRDefault="00C87744">
      <w:pPr>
        <w:spacing w:line="360" w:lineRule="auto"/>
        <w:jc w:val="both"/>
        <w:rPr>
          <w:rFonts w:ascii="Book Antiqua" w:hAnsi="Book Antiqua"/>
        </w:rPr>
      </w:pPr>
    </w:p>
    <w:p w14:paraId="67F8D58F"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Each patient provided written informed consent before the ultrasound examinations.</w:t>
      </w:r>
    </w:p>
    <w:p w14:paraId="5025CEA0" w14:textId="77777777" w:rsidR="00C87744" w:rsidRDefault="00C87744">
      <w:pPr>
        <w:spacing w:line="360" w:lineRule="auto"/>
        <w:jc w:val="both"/>
        <w:rPr>
          <w:rFonts w:ascii="Book Antiqua" w:hAnsi="Book Antiqua"/>
        </w:rPr>
      </w:pPr>
    </w:p>
    <w:p w14:paraId="5574BDBE" w14:textId="45ED4BCA" w:rsidR="00C87744"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confirm having no conflicts of interest.</w:t>
      </w:r>
    </w:p>
    <w:p w14:paraId="7AA01842" w14:textId="77777777" w:rsidR="00C87744" w:rsidRDefault="00C87744">
      <w:pPr>
        <w:spacing w:line="360" w:lineRule="auto"/>
        <w:jc w:val="both"/>
        <w:rPr>
          <w:rFonts w:ascii="Book Antiqua" w:hAnsi="Book Antiqua"/>
        </w:rPr>
      </w:pPr>
    </w:p>
    <w:p w14:paraId="6ACF8DF1"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37853B08" w14:textId="77777777" w:rsidR="00C87744" w:rsidRDefault="00C87744">
      <w:pPr>
        <w:spacing w:line="360" w:lineRule="auto"/>
        <w:jc w:val="both"/>
        <w:rPr>
          <w:rFonts w:ascii="Book Antiqua" w:hAnsi="Book Antiqua"/>
        </w:rPr>
      </w:pPr>
    </w:p>
    <w:p w14:paraId="0D366BB7"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CONSORT 2010 statement: </w:t>
      </w:r>
      <w:r>
        <w:rPr>
          <w:rFonts w:ascii="Book Antiqua" w:eastAsia="Book Antiqua" w:hAnsi="Book Antiqua" w:cs="Book Antiqua"/>
          <w:shd w:val="clear" w:color="auto" w:fill="FFFFFF"/>
        </w:rPr>
        <w:t>The authors have read the CONSORT 2010 statement, and the manuscript was prepared and revised according to the CONSORT 2010 statement.</w:t>
      </w:r>
    </w:p>
    <w:p w14:paraId="7BCEFBBB" w14:textId="77777777" w:rsidR="00C87744" w:rsidRDefault="00C87744">
      <w:pPr>
        <w:spacing w:line="360" w:lineRule="auto"/>
        <w:jc w:val="both"/>
        <w:rPr>
          <w:rFonts w:ascii="Book Antiqua" w:hAnsi="Book Antiqua"/>
        </w:rPr>
      </w:pPr>
    </w:p>
    <w:p w14:paraId="4E9C343C" w14:textId="77777777" w:rsidR="00C87744"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8CD303" w14:textId="77777777" w:rsidR="00C87744" w:rsidRDefault="00C87744">
      <w:pPr>
        <w:spacing w:line="360" w:lineRule="auto"/>
        <w:jc w:val="both"/>
        <w:rPr>
          <w:rFonts w:ascii="Book Antiqua" w:hAnsi="Book Antiqua"/>
        </w:rPr>
      </w:pPr>
    </w:p>
    <w:p w14:paraId="0A88058A" w14:textId="77777777" w:rsidR="00C87744" w:rsidRDefault="00000000">
      <w:pPr>
        <w:spacing w:line="360" w:lineRule="auto"/>
        <w:jc w:val="both"/>
        <w:rPr>
          <w:rFonts w:ascii="Book Antiqua" w:hAnsi="Book Antiqua"/>
        </w:rPr>
      </w:pPr>
      <w:r>
        <w:rPr>
          <w:rFonts w:ascii="Book Antiqua" w:eastAsia="Book Antiqua" w:hAnsi="Book Antiqua" w:cs="Book Antiqua"/>
          <w:b/>
        </w:rPr>
        <w:lastRenderedPageBreak/>
        <w:t xml:space="preserve">Provenance and peer review: </w:t>
      </w:r>
      <w:r>
        <w:rPr>
          <w:rFonts w:ascii="Book Antiqua" w:eastAsia="Book Antiqua" w:hAnsi="Book Antiqua" w:cs="Book Antiqua"/>
        </w:rPr>
        <w:t>Unsolicited article; Externally peer reviewed.</w:t>
      </w:r>
    </w:p>
    <w:p w14:paraId="1F4944BE"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58DEFD0C" w14:textId="77777777" w:rsidR="00C87744" w:rsidRDefault="00C87744">
      <w:pPr>
        <w:spacing w:line="360" w:lineRule="auto"/>
        <w:jc w:val="both"/>
        <w:rPr>
          <w:rFonts w:ascii="Book Antiqua" w:hAnsi="Book Antiqua"/>
        </w:rPr>
      </w:pPr>
    </w:p>
    <w:p w14:paraId="7D9E8EE5"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24, 2023</w:t>
      </w:r>
    </w:p>
    <w:p w14:paraId="46DCE9B7"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June 12, 2023</w:t>
      </w:r>
    </w:p>
    <w:p w14:paraId="23FEFB82"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Article in press: </w:t>
      </w:r>
    </w:p>
    <w:p w14:paraId="08035E88" w14:textId="77777777" w:rsidR="00C87744" w:rsidRDefault="00C87744">
      <w:pPr>
        <w:spacing w:line="360" w:lineRule="auto"/>
        <w:jc w:val="both"/>
        <w:rPr>
          <w:rFonts w:ascii="Book Antiqua" w:hAnsi="Book Antiqua"/>
        </w:rPr>
      </w:pPr>
    </w:p>
    <w:p w14:paraId="044E32A5"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Radiology, nuclear medicine and medical imaging</w:t>
      </w:r>
    </w:p>
    <w:p w14:paraId="46F99000" w14:textId="77777777" w:rsidR="00C87744"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6F162258" w14:textId="77777777" w:rsidR="00C87744"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3F307BB6" w14:textId="77777777" w:rsidR="00C87744" w:rsidRDefault="00000000">
      <w:pPr>
        <w:spacing w:line="360" w:lineRule="auto"/>
        <w:jc w:val="both"/>
        <w:rPr>
          <w:rFonts w:ascii="Book Antiqua" w:hAnsi="Book Antiqua"/>
        </w:rPr>
      </w:pPr>
      <w:r>
        <w:rPr>
          <w:rFonts w:ascii="Book Antiqua" w:eastAsia="Book Antiqua" w:hAnsi="Book Antiqua" w:cs="Book Antiqua"/>
        </w:rPr>
        <w:t>Grade A (Excellent): 0</w:t>
      </w:r>
    </w:p>
    <w:p w14:paraId="4206C4C4" w14:textId="77777777" w:rsidR="00C87744" w:rsidRDefault="00000000">
      <w:pPr>
        <w:spacing w:line="360" w:lineRule="auto"/>
        <w:jc w:val="both"/>
        <w:rPr>
          <w:rFonts w:ascii="Book Antiqua" w:hAnsi="Book Antiqua"/>
        </w:rPr>
      </w:pPr>
      <w:r>
        <w:rPr>
          <w:rFonts w:ascii="Book Antiqua" w:eastAsia="Book Antiqua" w:hAnsi="Book Antiqua" w:cs="Book Antiqua"/>
        </w:rPr>
        <w:t>Grade B (Very good): 0</w:t>
      </w:r>
    </w:p>
    <w:p w14:paraId="18B77044" w14:textId="77777777" w:rsidR="00C87744" w:rsidRDefault="00000000">
      <w:pPr>
        <w:spacing w:line="360" w:lineRule="auto"/>
        <w:jc w:val="both"/>
        <w:rPr>
          <w:rFonts w:ascii="Book Antiqua" w:hAnsi="Book Antiqua"/>
        </w:rPr>
      </w:pPr>
      <w:r>
        <w:rPr>
          <w:rFonts w:ascii="Book Antiqua" w:eastAsia="Book Antiqua" w:hAnsi="Book Antiqua" w:cs="Book Antiqua"/>
        </w:rPr>
        <w:t>Grade C (Good): C, C</w:t>
      </w:r>
    </w:p>
    <w:p w14:paraId="505AAB1B" w14:textId="77777777" w:rsidR="00C87744" w:rsidRDefault="00000000">
      <w:pPr>
        <w:spacing w:line="360" w:lineRule="auto"/>
        <w:jc w:val="both"/>
        <w:rPr>
          <w:rFonts w:ascii="Book Antiqua" w:hAnsi="Book Antiqua"/>
        </w:rPr>
      </w:pPr>
      <w:r>
        <w:rPr>
          <w:rFonts w:ascii="Book Antiqua" w:eastAsia="Book Antiqua" w:hAnsi="Book Antiqua" w:cs="Book Antiqua"/>
        </w:rPr>
        <w:t>Grade D (Fair): 0</w:t>
      </w:r>
    </w:p>
    <w:p w14:paraId="416312CF" w14:textId="77777777" w:rsidR="00C87744" w:rsidRDefault="00000000">
      <w:pPr>
        <w:spacing w:line="360" w:lineRule="auto"/>
        <w:jc w:val="both"/>
        <w:rPr>
          <w:rFonts w:ascii="Book Antiqua" w:hAnsi="Book Antiqua"/>
        </w:rPr>
      </w:pPr>
      <w:r>
        <w:rPr>
          <w:rFonts w:ascii="Book Antiqua" w:eastAsia="Book Antiqua" w:hAnsi="Book Antiqua" w:cs="Book Antiqua"/>
        </w:rPr>
        <w:t>Grade E (Poor): 0</w:t>
      </w:r>
    </w:p>
    <w:p w14:paraId="10D56D8A" w14:textId="77777777" w:rsidR="00C87744" w:rsidRDefault="00C87744">
      <w:pPr>
        <w:spacing w:line="360" w:lineRule="auto"/>
        <w:jc w:val="both"/>
        <w:rPr>
          <w:rFonts w:ascii="Book Antiqua" w:hAnsi="Book Antiqua"/>
        </w:rPr>
      </w:pPr>
    </w:p>
    <w:p w14:paraId="66D7EE8B" w14:textId="77777777" w:rsidR="00C87744" w:rsidRDefault="00000000">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Garcia-Tsao G, United States; Tam PKH, China</w:t>
      </w:r>
      <w:r>
        <w:rPr>
          <w:rFonts w:ascii="Book Antiqua" w:eastAsia="Book Antiqua" w:hAnsi="Book Antiqua" w:cs="Book Antiqua"/>
          <w:b/>
        </w:rPr>
        <w:t xml:space="preserve"> S-Editor: </w:t>
      </w:r>
      <w:r>
        <w:rPr>
          <w:rFonts w:ascii="Book Antiqua" w:eastAsia="Book Antiqua" w:hAnsi="Book Antiqua" w:cs="Book Antiqua"/>
          <w:bCs/>
        </w:rPr>
        <w:t xml:space="preserve">Chen YL </w:t>
      </w:r>
      <w:r>
        <w:rPr>
          <w:rFonts w:ascii="Book Antiqua" w:eastAsia="Book Antiqua" w:hAnsi="Book Antiqua" w:cs="Book Antiqua"/>
          <w:b/>
        </w:rPr>
        <w:t>L-Editor:</w:t>
      </w:r>
      <w:r>
        <w:rPr>
          <w:rFonts w:ascii="Book Antiqua" w:eastAsia="Book Antiqua" w:hAnsi="Book Antiqua" w:cs="Book Antiqua"/>
          <w:bCs/>
        </w:rPr>
        <w:t xml:space="preserve"> Filipodia</w:t>
      </w:r>
      <w:r>
        <w:rPr>
          <w:rFonts w:ascii="Book Antiqua" w:eastAsia="Book Antiqua" w:hAnsi="Book Antiqua" w:cs="Book Antiqua"/>
          <w:b/>
        </w:rPr>
        <w:t xml:space="preserve"> P-Editor: </w:t>
      </w:r>
      <w:r>
        <w:rPr>
          <w:rFonts w:ascii="Book Antiqua" w:eastAsia="Book Antiqua" w:hAnsi="Book Antiqua" w:cs="Book Antiqua"/>
          <w:bCs/>
        </w:rPr>
        <w:t>Chen YL</w:t>
      </w:r>
      <w:r>
        <w:rPr>
          <w:rFonts w:ascii="Book Antiqua" w:eastAsia="Book Antiqua" w:hAnsi="Book Antiqua" w:cs="Book Antiqua"/>
          <w:b/>
        </w:rPr>
        <w:t xml:space="preserve"> </w:t>
      </w:r>
    </w:p>
    <w:p w14:paraId="04E7392B" w14:textId="77777777" w:rsidR="00C87744" w:rsidRDefault="00C87744">
      <w:pPr>
        <w:spacing w:line="360" w:lineRule="auto"/>
        <w:jc w:val="both"/>
        <w:rPr>
          <w:rFonts w:ascii="Book Antiqua" w:eastAsia="Book Antiqua" w:hAnsi="Book Antiqua" w:cs="Book Antiqua"/>
          <w:b/>
        </w:rPr>
      </w:pPr>
    </w:p>
    <w:p w14:paraId="5FC49000" w14:textId="77777777" w:rsidR="00C87744" w:rsidRDefault="00000000">
      <w:pPr>
        <w:spacing w:line="360" w:lineRule="auto"/>
        <w:jc w:val="both"/>
        <w:rPr>
          <w:rFonts w:ascii="Book Antiqua" w:eastAsia="Book Antiqua" w:hAnsi="Book Antiqua" w:cs="Book Antiqua"/>
          <w:b/>
        </w:rPr>
      </w:pPr>
      <w:r>
        <w:rPr>
          <w:rFonts w:ascii="Book Antiqua" w:eastAsia="Book Antiqua" w:hAnsi="Book Antiqua" w:cs="Book Antiqua"/>
          <w:b/>
        </w:rPr>
        <w:t>Figure Legends</w:t>
      </w:r>
    </w:p>
    <w:p w14:paraId="12D539A7" w14:textId="77777777" w:rsidR="00C87744" w:rsidRDefault="00000000">
      <w:pPr>
        <w:spacing w:line="360" w:lineRule="auto"/>
        <w:jc w:val="both"/>
        <w:rPr>
          <w:rFonts w:ascii="Book Antiqua" w:hAnsi="Book Antiqua"/>
        </w:rPr>
      </w:pPr>
      <w:r>
        <w:rPr>
          <w:rFonts w:ascii="Book Antiqua" w:hAnsi="Book Antiqua"/>
          <w:noProof/>
        </w:rPr>
        <w:lastRenderedPageBreak/>
        <w:drawing>
          <wp:inline distT="0" distB="0" distL="0" distR="0">
            <wp:extent cx="4931410" cy="3861435"/>
            <wp:effectExtent l="0" t="0" r="0" b="0"/>
            <wp:docPr id="112288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8203"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31674" cy="3861824"/>
                    </a:xfrm>
                    <a:prstGeom prst="rect">
                      <a:avLst/>
                    </a:prstGeom>
                  </pic:spPr>
                </pic:pic>
              </a:graphicData>
            </a:graphic>
          </wp:inline>
        </w:drawing>
      </w:r>
    </w:p>
    <w:p w14:paraId="1911737E" w14:textId="77777777"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Conventional ultrasound images in patients with a hepatic tumor pathologically diagnosed as hepatocellular carcinoma.</w:t>
      </w:r>
      <w:r>
        <w:rPr>
          <w:rFonts w:ascii="Book Antiqua" w:eastAsia="Book Antiqua" w:hAnsi="Book Antiqua" w:cs="Book Antiqua"/>
        </w:rPr>
        <w:t xml:space="preserve"> A: Conventional ultrasound showed the tumor to be hypoechoic with an unclear boundary and cirrhosis in the surrounding liver tissue; B: Conventional ultrasound measured the maximal diameter of the tumor to be 32.7 mm; C: Color Doppler flow imaging showed one vessel in the tumor, and microvascular invasion was recorded as mild.</w:t>
      </w:r>
    </w:p>
    <w:p w14:paraId="4D88689D" w14:textId="77777777" w:rsidR="00C87744" w:rsidRDefault="00C87744">
      <w:pPr>
        <w:spacing w:line="360" w:lineRule="auto"/>
        <w:jc w:val="both"/>
        <w:rPr>
          <w:rFonts w:ascii="Book Antiqua" w:eastAsia="Book Antiqua" w:hAnsi="Book Antiqua" w:cs="Book Antiqua"/>
        </w:rPr>
      </w:pPr>
    </w:p>
    <w:p w14:paraId="05221F96" w14:textId="3B8165B7" w:rsidR="00C87744" w:rsidRDefault="00000000">
      <w:pPr>
        <w:spacing w:line="360" w:lineRule="auto"/>
        <w:jc w:val="both"/>
        <w:rPr>
          <w:rFonts w:ascii="Book Antiqua" w:hAnsi="Book Antiqua"/>
        </w:rPr>
      </w:pPr>
      <w:r>
        <w:rPr>
          <w:rFonts w:ascii="Book Antiqua" w:hAnsi="Book Antiqua"/>
          <w:noProof/>
        </w:rPr>
        <w:lastRenderedPageBreak/>
        <w:drawing>
          <wp:inline distT="0" distB="0" distL="0" distR="0">
            <wp:extent cx="4928235" cy="3843020"/>
            <wp:effectExtent l="0" t="0" r="0" b="0"/>
            <wp:docPr id="6797997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9972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8626" cy="3843536"/>
                    </a:xfrm>
                    <a:prstGeom prst="rect">
                      <a:avLst/>
                    </a:prstGeom>
                  </pic:spPr>
                </pic:pic>
              </a:graphicData>
            </a:graphic>
          </wp:inline>
        </w:drawing>
      </w:r>
    </w:p>
    <w:p w14:paraId="09227B16" w14:textId="14522B02"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Shear wave elastography images in a pathologically confirmed hepatocellular carcinoma. </w:t>
      </w:r>
      <w:r>
        <w:rPr>
          <w:rFonts w:ascii="Book Antiqua" w:eastAsia="Book Antiqua" w:hAnsi="Book Antiqua" w:cs="Book Antiqua"/>
        </w:rPr>
        <w:t>A: Quality mode showed hepatocellular carcinoma (HCC) as green, indicating that the 2D-shear wave elastography image was of good quality; B: Velocity mode showed that the HCC was stiffer than the surrounding liver tissue. The speed barb was set as 0.5-4.0 m/s; C: Two circular regions of interest (with a diameter of 3 mm) were placed at the stiffest part of the HCC and at the periphery of the HCC; D: Maximal values of the two regions of interest were recorded as maximal elasticity.</w:t>
      </w:r>
    </w:p>
    <w:p w14:paraId="0AD8BA4F" w14:textId="77777777" w:rsidR="00C87744" w:rsidRDefault="00C87744">
      <w:pPr>
        <w:spacing w:line="360" w:lineRule="auto"/>
        <w:jc w:val="both"/>
        <w:rPr>
          <w:rFonts w:ascii="Book Antiqua" w:eastAsia="Book Antiqua" w:hAnsi="Book Antiqua" w:cs="Book Antiqua"/>
        </w:rPr>
      </w:pPr>
    </w:p>
    <w:p w14:paraId="37702ED5" w14:textId="2F48984F" w:rsidR="00C87744" w:rsidRDefault="00000000">
      <w:pPr>
        <w:spacing w:line="360" w:lineRule="auto"/>
        <w:jc w:val="both"/>
        <w:rPr>
          <w:rFonts w:ascii="Book Antiqua" w:hAnsi="Book Antiqua"/>
        </w:rPr>
      </w:pPr>
      <w:r>
        <w:rPr>
          <w:rFonts w:ascii="Book Antiqua" w:hAnsi="Book Antiqua"/>
          <w:noProof/>
        </w:rPr>
        <w:lastRenderedPageBreak/>
        <w:drawing>
          <wp:inline distT="0" distB="0" distL="0" distR="0">
            <wp:extent cx="4787900" cy="3803650"/>
            <wp:effectExtent l="0" t="0" r="0" b="0"/>
            <wp:docPr id="16842299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29930"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8418" cy="3803912"/>
                    </a:xfrm>
                    <a:prstGeom prst="rect">
                      <a:avLst/>
                    </a:prstGeom>
                  </pic:spPr>
                </pic:pic>
              </a:graphicData>
            </a:graphic>
          </wp:inline>
        </w:drawing>
      </w:r>
    </w:p>
    <w:p w14:paraId="65C17BD1" w14:textId="715ECE33" w:rsidR="00C87744"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3 Pathological images showed microvascular invasion in hepatocellular carcinoma. </w:t>
      </w:r>
      <w:r>
        <w:rPr>
          <w:rFonts w:ascii="Book Antiqua" w:eastAsia="Book Antiqua" w:hAnsi="Book Antiqua" w:cs="Book Antiqua"/>
        </w:rPr>
        <w:t>H</w:t>
      </w:r>
      <w:r w:rsidRPr="00EE12B8">
        <w:rPr>
          <w:rFonts w:ascii="Book Antiqua" w:eastAsia="Book Antiqua" w:hAnsi="Book Antiqua" w:cs="Book Antiqua"/>
        </w:rPr>
        <w:t>ematoxylin and eosin</w:t>
      </w:r>
      <w:r>
        <w:rPr>
          <w:rFonts w:ascii="Book Antiqua" w:eastAsia="Book Antiqua" w:hAnsi="Book Antiqua" w:cs="Book Antiqua"/>
        </w:rPr>
        <w:t xml:space="preserve"> stain</w:t>
      </w:r>
      <w:r w:rsidRPr="00EE12B8">
        <w:rPr>
          <w:rFonts w:ascii="Book Antiqua" w:eastAsia="Book Antiqua" w:hAnsi="Book Antiqua" w:cs="Book Antiqua"/>
        </w:rPr>
        <w:t xml:space="preserve">, </w:t>
      </w:r>
      <w:r>
        <w:rPr>
          <w:rFonts w:ascii="Book Antiqua" w:eastAsia="Book Antiqua" w:hAnsi="Book Antiqua" w:cs="Book Antiqua"/>
        </w:rPr>
        <w:t xml:space="preserve">magnification: </w:t>
      </w:r>
      <w:r w:rsidRPr="00EE12B8">
        <w:rPr>
          <w:rFonts w:ascii="Book Antiqua" w:eastAsia="Book Antiqua" w:hAnsi="Book Antiqua" w:cs="Book Antiqua"/>
        </w:rPr>
        <w:t>× 100.</w:t>
      </w:r>
      <w:r>
        <w:rPr>
          <w:rFonts w:ascii="Book Antiqua" w:eastAsia="Book Antiqua" w:hAnsi="Book Antiqua" w:cs="Book Antiqua"/>
          <w:b/>
          <w:bCs/>
        </w:rPr>
        <w:t xml:space="preserve"> </w:t>
      </w:r>
      <w:r>
        <w:rPr>
          <w:rFonts w:ascii="Book Antiqua" w:eastAsia="Book Antiqua" w:hAnsi="Book Antiqua" w:cs="Book Antiqua"/>
        </w:rPr>
        <w:t>A: No microvascular invasion (MVI) detected, recorded as MVI-negative; B: One MVI detected, recorded as mild MVI; C: More than 5 MVIs detected, recorded as severe MVI. S</w:t>
      </w:r>
      <w:r>
        <w:rPr>
          <w:rFonts w:ascii="Book Antiqua" w:hAnsi="Book Antiqua" w:cs="Book Antiqua"/>
          <w:lang w:eastAsia="zh-CN"/>
        </w:rPr>
        <w:t>cale</w:t>
      </w:r>
      <w:r>
        <w:rPr>
          <w:rFonts w:ascii="Book Antiqua" w:eastAsia="Book Antiqua" w:hAnsi="Book Antiqua" w:cs="Book Antiqua"/>
        </w:rPr>
        <w:t xml:space="preserve"> bar: 100 μ</w:t>
      </w:r>
      <w:r>
        <w:rPr>
          <w:rFonts w:ascii="Book Antiqua" w:hAnsi="Book Antiqua" w:cs="Book Antiqua"/>
          <w:lang w:eastAsia="zh-CN"/>
        </w:rPr>
        <w:t>m.</w:t>
      </w:r>
    </w:p>
    <w:p w14:paraId="4AB7E3FB" w14:textId="77777777" w:rsidR="00C87744" w:rsidRDefault="00C87744">
      <w:pPr>
        <w:spacing w:line="360" w:lineRule="auto"/>
        <w:jc w:val="both"/>
        <w:rPr>
          <w:rFonts w:ascii="Book Antiqua" w:hAnsi="Book Antiqua" w:cs="Book Antiqua"/>
          <w:lang w:eastAsia="zh-CN"/>
        </w:rPr>
      </w:pPr>
    </w:p>
    <w:p w14:paraId="0BB1F2F9" w14:textId="5D197CD4" w:rsidR="00C87744" w:rsidRDefault="00000000">
      <w:pPr>
        <w:spacing w:line="360" w:lineRule="auto"/>
        <w:jc w:val="both"/>
        <w:rPr>
          <w:rFonts w:ascii="Book Antiqua" w:hAnsi="Book Antiqua"/>
        </w:rPr>
      </w:pPr>
      <w:r>
        <w:rPr>
          <w:rFonts w:ascii="Book Antiqua" w:hAnsi="Book Antiqua"/>
          <w:noProof/>
        </w:rPr>
        <w:drawing>
          <wp:inline distT="0" distB="0" distL="0" distR="0">
            <wp:extent cx="3358515" cy="2724785"/>
            <wp:effectExtent l="0" t="0" r="0" b="0"/>
            <wp:docPr id="12827007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00710"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903" cy="2724918"/>
                    </a:xfrm>
                    <a:prstGeom prst="rect">
                      <a:avLst/>
                    </a:prstGeom>
                  </pic:spPr>
                </pic:pic>
              </a:graphicData>
            </a:graphic>
          </wp:inline>
        </w:drawing>
      </w:r>
    </w:p>
    <w:p w14:paraId="44C2E551" w14:textId="464EE8D2" w:rsidR="00C87744"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4 Receiver operating characteristic curve for maximal elasticity of the periphery of the hepatocellular carcinoma and maximal elasticity of the hepatocellular carcinoma. </w:t>
      </w:r>
      <w:r>
        <w:rPr>
          <w:rFonts w:ascii="Book Antiqua" w:eastAsia="Book Antiqua" w:hAnsi="Book Antiqua" w:cs="Book Antiqua"/>
        </w:rPr>
        <w:t>Emax: Maximal elasticity; HCC: Hepatocellular carcinoma.</w:t>
      </w:r>
    </w:p>
    <w:p w14:paraId="03E42A5F" w14:textId="77777777" w:rsidR="00C87744" w:rsidRDefault="00C87744">
      <w:pPr>
        <w:spacing w:line="360" w:lineRule="auto"/>
        <w:jc w:val="both"/>
        <w:rPr>
          <w:rFonts w:ascii="Book Antiqua" w:hAnsi="Book Antiqua"/>
        </w:rPr>
        <w:sectPr w:rsidR="00C87744">
          <w:footerReference w:type="default" r:id="rId10"/>
          <w:type w:val="continuous"/>
          <w:pgSz w:w="12240" w:h="15840"/>
          <w:pgMar w:top="1440" w:right="1440" w:bottom="1440" w:left="1440" w:header="720" w:footer="720" w:gutter="0"/>
          <w:cols w:space="720"/>
          <w:docGrid w:linePitch="360"/>
        </w:sectPr>
      </w:pPr>
    </w:p>
    <w:p w14:paraId="633A3F19" w14:textId="77777777" w:rsidR="00C87744" w:rsidRDefault="00000000">
      <w:pPr>
        <w:spacing w:line="360" w:lineRule="auto"/>
        <w:jc w:val="both"/>
        <w:rPr>
          <w:rFonts w:ascii="Book Antiqua" w:hAnsi="Book Antiqua"/>
          <w:b/>
          <w:bCs/>
        </w:rPr>
      </w:pPr>
      <w:r>
        <w:rPr>
          <w:rFonts w:ascii="Book Antiqua" w:hAnsi="Book Antiqua"/>
          <w:b/>
        </w:rPr>
        <w:lastRenderedPageBreak/>
        <w:t xml:space="preserve">Table 1 </w:t>
      </w:r>
      <w:r>
        <w:rPr>
          <w:rFonts w:ascii="Book Antiqua" w:hAnsi="Book Antiqua"/>
          <w:b/>
          <w:bCs/>
        </w:rPr>
        <w:t xml:space="preserve">Comparisons of conventional ultrasound results between microvascular invasion-negative and microvascular invasion-positive hepatocellular carcinomas, </w:t>
      </w:r>
      <w:r>
        <w:rPr>
          <w:rFonts w:ascii="Book Antiqua" w:hAnsi="Book Antiqua"/>
          <w:b/>
          <w:bCs/>
          <w:i/>
          <w:iCs/>
        </w:rPr>
        <w:t xml:space="preserve">n </w:t>
      </w:r>
      <w:r>
        <w:rPr>
          <w:rFonts w:ascii="Book Antiqua" w:hAnsi="Book Antiqua"/>
          <w:b/>
          <w:bC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204"/>
        <w:gridCol w:w="1178"/>
        <w:gridCol w:w="1007"/>
        <w:gridCol w:w="1318"/>
        <w:gridCol w:w="1077"/>
        <w:gridCol w:w="1163"/>
        <w:gridCol w:w="763"/>
        <w:gridCol w:w="1057"/>
        <w:gridCol w:w="1061"/>
        <w:gridCol w:w="1118"/>
        <w:gridCol w:w="796"/>
      </w:tblGrid>
      <w:tr w:rsidR="00C87744" w14:paraId="2B16BC69" w14:textId="77777777">
        <w:tc>
          <w:tcPr>
            <w:tcW w:w="472" w:type="pct"/>
            <w:vMerge w:val="restart"/>
            <w:tcBorders>
              <w:top w:val="single" w:sz="4" w:space="0" w:color="auto"/>
            </w:tcBorders>
          </w:tcPr>
          <w:p w14:paraId="4C9391F3" w14:textId="7CDA3BBC" w:rsidR="00C87744" w:rsidRDefault="00000000">
            <w:pPr>
              <w:spacing w:line="360" w:lineRule="auto"/>
              <w:jc w:val="both"/>
              <w:rPr>
                <w:rFonts w:ascii="Book Antiqua" w:eastAsia="SimSun" w:hAnsi="Book Antiqua"/>
                <w:b/>
                <w:bCs/>
                <w:lang w:eastAsia="zh-CN"/>
              </w:rPr>
            </w:pPr>
            <w:r>
              <w:rPr>
                <w:rFonts w:ascii="Book Antiqua" w:eastAsia="SimSun" w:hAnsi="Book Antiqua" w:hint="eastAsia"/>
                <w:b/>
                <w:bCs/>
                <w:lang w:eastAsia="zh-CN"/>
              </w:rPr>
              <w:t xml:space="preserve">MVI </w:t>
            </w:r>
          </w:p>
        </w:tc>
        <w:tc>
          <w:tcPr>
            <w:tcW w:w="466" w:type="pct"/>
            <w:vMerge w:val="restart"/>
            <w:tcBorders>
              <w:top w:val="single" w:sz="4" w:space="0" w:color="auto"/>
            </w:tcBorders>
          </w:tcPr>
          <w:p w14:paraId="0B0722D4" w14:textId="3FDA8B5E"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Tumor maximal diameter in mm</w:t>
            </w:r>
          </w:p>
        </w:tc>
        <w:tc>
          <w:tcPr>
            <w:tcW w:w="846" w:type="pct"/>
            <w:gridSpan w:val="2"/>
            <w:tcBorders>
              <w:top w:val="single" w:sz="4" w:space="0" w:color="auto"/>
              <w:bottom w:val="single" w:sz="4" w:space="0" w:color="auto"/>
            </w:tcBorders>
          </w:tcPr>
          <w:p w14:paraId="2BCFC4DB"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Echogenecity</w:t>
            </w:r>
          </w:p>
        </w:tc>
        <w:tc>
          <w:tcPr>
            <w:tcW w:w="927" w:type="pct"/>
            <w:gridSpan w:val="2"/>
            <w:tcBorders>
              <w:top w:val="single" w:sz="4" w:space="0" w:color="auto"/>
              <w:bottom w:val="single" w:sz="4" w:space="0" w:color="auto"/>
            </w:tcBorders>
          </w:tcPr>
          <w:p w14:paraId="5CBFD4FB"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Boundary</w:t>
            </w:r>
          </w:p>
        </w:tc>
        <w:tc>
          <w:tcPr>
            <w:tcW w:w="1141" w:type="pct"/>
            <w:gridSpan w:val="3"/>
            <w:tcBorders>
              <w:top w:val="single" w:sz="4" w:space="0" w:color="auto"/>
              <w:bottom w:val="single" w:sz="4" w:space="0" w:color="auto"/>
            </w:tcBorders>
          </w:tcPr>
          <w:p w14:paraId="465A8FB4"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Surrounding liver tissue</w:t>
            </w:r>
          </w:p>
        </w:tc>
        <w:tc>
          <w:tcPr>
            <w:tcW w:w="1148" w:type="pct"/>
            <w:gridSpan w:val="3"/>
            <w:tcBorders>
              <w:top w:val="single" w:sz="4" w:space="0" w:color="auto"/>
              <w:bottom w:val="single" w:sz="4" w:space="0" w:color="auto"/>
            </w:tcBorders>
          </w:tcPr>
          <w:p w14:paraId="1B47C329"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Color Doppler flow</w:t>
            </w:r>
          </w:p>
        </w:tc>
      </w:tr>
      <w:tr w:rsidR="00C87744" w14:paraId="41A26FC2" w14:textId="77777777">
        <w:tc>
          <w:tcPr>
            <w:tcW w:w="472" w:type="pct"/>
            <w:vMerge/>
            <w:tcBorders>
              <w:bottom w:val="single" w:sz="4" w:space="0" w:color="auto"/>
            </w:tcBorders>
          </w:tcPr>
          <w:p w14:paraId="2246CAAF" w14:textId="77777777" w:rsidR="00C87744" w:rsidRDefault="00C87744">
            <w:pPr>
              <w:spacing w:line="360" w:lineRule="auto"/>
              <w:jc w:val="both"/>
              <w:rPr>
                <w:rFonts w:ascii="Book Antiqua" w:eastAsia="SimSun" w:hAnsi="Book Antiqua"/>
                <w:b/>
                <w:bCs/>
                <w:lang w:eastAsia="zh-CN"/>
              </w:rPr>
            </w:pPr>
          </w:p>
        </w:tc>
        <w:tc>
          <w:tcPr>
            <w:tcW w:w="466" w:type="pct"/>
            <w:vMerge/>
            <w:tcBorders>
              <w:bottom w:val="single" w:sz="4" w:space="0" w:color="auto"/>
            </w:tcBorders>
          </w:tcPr>
          <w:p w14:paraId="10DA5A71" w14:textId="77777777" w:rsidR="00C87744" w:rsidRDefault="00C87744">
            <w:pPr>
              <w:spacing w:line="360" w:lineRule="auto"/>
              <w:jc w:val="both"/>
              <w:rPr>
                <w:rFonts w:ascii="Book Antiqua" w:eastAsia="SimSun" w:hAnsi="Book Antiqua"/>
                <w:b/>
                <w:bCs/>
                <w:lang w:eastAsia="zh-CN"/>
              </w:rPr>
            </w:pPr>
          </w:p>
        </w:tc>
        <w:tc>
          <w:tcPr>
            <w:tcW w:w="456" w:type="pct"/>
            <w:tcBorders>
              <w:top w:val="single" w:sz="4" w:space="0" w:color="auto"/>
              <w:bottom w:val="single" w:sz="4" w:space="0" w:color="auto"/>
            </w:tcBorders>
          </w:tcPr>
          <w:p w14:paraId="23CC63BD"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Hypo-</w:t>
            </w:r>
          </w:p>
        </w:tc>
        <w:tc>
          <w:tcPr>
            <w:tcW w:w="390" w:type="pct"/>
            <w:tcBorders>
              <w:top w:val="single" w:sz="4" w:space="0" w:color="auto"/>
              <w:bottom w:val="single" w:sz="4" w:space="0" w:color="auto"/>
            </w:tcBorders>
          </w:tcPr>
          <w:p w14:paraId="731B1675"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Hyper-</w:t>
            </w:r>
          </w:p>
        </w:tc>
        <w:tc>
          <w:tcPr>
            <w:tcW w:w="510" w:type="pct"/>
            <w:tcBorders>
              <w:top w:val="single" w:sz="4" w:space="0" w:color="auto"/>
              <w:bottom w:val="single" w:sz="4" w:space="0" w:color="auto"/>
            </w:tcBorders>
          </w:tcPr>
          <w:p w14:paraId="71398DAC"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Clear</w:t>
            </w:r>
          </w:p>
        </w:tc>
        <w:tc>
          <w:tcPr>
            <w:tcW w:w="417" w:type="pct"/>
            <w:tcBorders>
              <w:top w:val="single" w:sz="4" w:space="0" w:color="auto"/>
              <w:bottom w:val="single" w:sz="4" w:space="0" w:color="auto"/>
            </w:tcBorders>
          </w:tcPr>
          <w:p w14:paraId="47FCF366"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Unclear</w:t>
            </w:r>
          </w:p>
        </w:tc>
        <w:tc>
          <w:tcPr>
            <w:tcW w:w="449" w:type="pct"/>
            <w:tcBorders>
              <w:top w:val="single" w:sz="4" w:space="0" w:color="auto"/>
              <w:bottom w:val="single" w:sz="4" w:space="0" w:color="auto"/>
            </w:tcBorders>
          </w:tcPr>
          <w:p w14:paraId="4E1269E5"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Liver cirrhosis</w:t>
            </w:r>
          </w:p>
        </w:tc>
        <w:tc>
          <w:tcPr>
            <w:tcW w:w="296" w:type="pct"/>
            <w:tcBorders>
              <w:top w:val="single" w:sz="4" w:space="0" w:color="auto"/>
              <w:bottom w:val="single" w:sz="4" w:space="0" w:color="auto"/>
            </w:tcBorders>
          </w:tcPr>
          <w:p w14:paraId="337547DD"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Fatty liver</w:t>
            </w:r>
          </w:p>
        </w:tc>
        <w:tc>
          <w:tcPr>
            <w:tcW w:w="396" w:type="pct"/>
            <w:tcBorders>
              <w:top w:val="single" w:sz="4" w:space="0" w:color="auto"/>
              <w:bottom w:val="single" w:sz="4" w:space="0" w:color="auto"/>
            </w:tcBorders>
          </w:tcPr>
          <w:p w14:paraId="3552C2AD"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Normal</w:t>
            </w:r>
          </w:p>
        </w:tc>
        <w:tc>
          <w:tcPr>
            <w:tcW w:w="412" w:type="pct"/>
            <w:tcBorders>
              <w:top w:val="single" w:sz="4" w:space="0" w:color="auto"/>
              <w:bottom w:val="single" w:sz="4" w:space="0" w:color="auto"/>
            </w:tcBorders>
          </w:tcPr>
          <w:p w14:paraId="43033513"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None</w:t>
            </w:r>
          </w:p>
        </w:tc>
        <w:tc>
          <w:tcPr>
            <w:tcW w:w="433" w:type="pct"/>
            <w:tcBorders>
              <w:top w:val="single" w:sz="4" w:space="0" w:color="auto"/>
              <w:bottom w:val="single" w:sz="4" w:space="0" w:color="auto"/>
            </w:tcBorders>
          </w:tcPr>
          <w:p w14:paraId="6D17E5A7"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Mild</w:t>
            </w:r>
          </w:p>
        </w:tc>
        <w:tc>
          <w:tcPr>
            <w:tcW w:w="303" w:type="pct"/>
            <w:tcBorders>
              <w:top w:val="single" w:sz="4" w:space="0" w:color="auto"/>
              <w:bottom w:val="single" w:sz="4" w:space="0" w:color="auto"/>
            </w:tcBorders>
          </w:tcPr>
          <w:p w14:paraId="48D22A02"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Rich</w:t>
            </w:r>
          </w:p>
        </w:tc>
      </w:tr>
      <w:tr w:rsidR="00C87744" w14:paraId="431CA03F" w14:textId="77777777">
        <w:tc>
          <w:tcPr>
            <w:tcW w:w="472" w:type="pct"/>
            <w:tcBorders>
              <w:top w:val="single" w:sz="4" w:space="0" w:color="auto"/>
            </w:tcBorders>
          </w:tcPr>
          <w:p w14:paraId="0FA647F0"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 xml:space="preserve">MVI negative, </w:t>
            </w:r>
            <w:r>
              <w:rPr>
                <w:rFonts w:ascii="Book Antiqua" w:eastAsia="SimSun" w:hAnsi="Book Antiqua"/>
                <w:i/>
                <w:iCs/>
                <w:lang w:eastAsia="zh-CN"/>
              </w:rPr>
              <w:t>n</w:t>
            </w:r>
            <w:r>
              <w:rPr>
                <w:rFonts w:ascii="Book Antiqua" w:eastAsia="SimSun" w:hAnsi="Book Antiqua"/>
                <w:lang w:eastAsia="zh-CN"/>
              </w:rPr>
              <w:t xml:space="preserve"> = 86</w:t>
            </w:r>
          </w:p>
        </w:tc>
        <w:tc>
          <w:tcPr>
            <w:tcW w:w="466" w:type="pct"/>
            <w:tcBorders>
              <w:top w:val="single" w:sz="4" w:space="0" w:color="auto"/>
            </w:tcBorders>
          </w:tcPr>
          <w:p w14:paraId="79226939"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35.45 (24.00-49.28)</w:t>
            </w:r>
          </w:p>
        </w:tc>
        <w:tc>
          <w:tcPr>
            <w:tcW w:w="456" w:type="pct"/>
            <w:tcBorders>
              <w:top w:val="single" w:sz="4" w:space="0" w:color="auto"/>
            </w:tcBorders>
          </w:tcPr>
          <w:p w14:paraId="382BA1E6"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55 (29.3)</w:t>
            </w:r>
          </w:p>
        </w:tc>
        <w:tc>
          <w:tcPr>
            <w:tcW w:w="390" w:type="pct"/>
            <w:tcBorders>
              <w:top w:val="single" w:sz="4" w:space="0" w:color="auto"/>
            </w:tcBorders>
          </w:tcPr>
          <w:p w14:paraId="7CEEC77F"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31 (16.5)</w:t>
            </w:r>
          </w:p>
        </w:tc>
        <w:tc>
          <w:tcPr>
            <w:tcW w:w="510" w:type="pct"/>
            <w:tcBorders>
              <w:top w:val="single" w:sz="4" w:space="0" w:color="auto"/>
            </w:tcBorders>
          </w:tcPr>
          <w:p w14:paraId="6F68564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55 (29.3)</w:t>
            </w:r>
          </w:p>
        </w:tc>
        <w:tc>
          <w:tcPr>
            <w:tcW w:w="417" w:type="pct"/>
            <w:tcBorders>
              <w:top w:val="single" w:sz="4" w:space="0" w:color="auto"/>
            </w:tcBorders>
          </w:tcPr>
          <w:p w14:paraId="10C21D63"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31 (16.5)</w:t>
            </w:r>
          </w:p>
        </w:tc>
        <w:tc>
          <w:tcPr>
            <w:tcW w:w="449" w:type="pct"/>
            <w:tcBorders>
              <w:top w:val="single" w:sz="4" w:space="0" w:color="auto"/>
            </w:tcBorders>
          </w:tcPr>
          <w:p w14:paraId="01EE18BD"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38 (20.2)</w:t>
            </w:r>
          </w:p>
        </w:tc>
        <w:tc>
          <w:tcPr>
            <w:tcW w:w="296" w:type="pct"/>
            <w:tcBorders>
              <w:top w:val="single" w:sz="4" w:space="0" w:color="auto"/>
            </w:tcBorders>
          </w:tcPr>
          <w:p w14:paraId="2637BFDC"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17 (9.0)</w:t>
            </w:r>
          </w:p>
        </w:tc>
        <w:tc>
          <w:tcPr>
            <w:tcW w:w="396" w:type="pct"/>
            <w:tcBorders>
              <w:top w:val="single" w:sz="4" w:space="0" w:color="auto"/>
            </w:tcBorders>
          </w:tcPr>
          <w:p w14:paraId="43C8336A"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31 (16.5)</w:t>
            </w:r>
          </w:p>
        </w:tc>
        <w:tc>
          <w:tcPr>
            <w:tcW w:w="412" w:type="pct"/>
            <w:tcBorders>
              <w:top w:val="single" w:sz="4" w:space="0" w:color="auto"/>
            </w:tcBorders>
          </w:tcPr>
          <w:p w14:paraId="726947D7"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34 (18.1)</w:t>
            </w:r>
          </w:p>
        </w:tc>
        <w:tc>
          <w:tcPr>
            <w:tcW w:w="433" w:type="pct"/>
            <w:tcBorders>
              <w:top w:val="single" w:sz="4" w:space="0" w:color="auto"/>
            </w:tcBorders>
          </w:tcPr>
          <w:p w14:paraId="4BF5F73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12 (6.4)</w:t>
            </w:r>
          </w:p>
        </w:tc>
        <w:tc>
          <w:tcPr>
            <w:tcW w:w="303" w:type="pct"/>
            <w:tcBorders>
              <w:top w:val="single" w:sz="4" w:space="0" w:color="auto"/>
            </w:tcBorders>
          </w:tcPr>
          <w:p w14:paraId="361AF458"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40 (21.3)</w:t>
            </w:r>
          </w:p>
        </w:tc>
      </w:tr>
      <w:tr w:rsidR="00C87744" w14:paraId="63F6986E" w14:textId="77777777">
        <w:tc>
          <w:tcPr>
            <w:tcW w:w="472" w:type="pct"/>
          </w:tcPr>
          <w:p w14:paraId="3C3C6748"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 xml:space="preserve">MVI positive, </w:t>
            </w:r>
            <w:r>
              <w:rPr>
                <w:rFonts w:ascii="Book Antiqua" w:eastAsia="SimSun" w:hAnsi="Book Antiqua"/>
                <w:i/>
                <w:iCs/>
                <w:lang w:eastAsia="zh-CN"/>
              </w:rPr>
              <w:t>n</w:t>
            </w:r>
            <w:r>
              <w:rPr>
                <w:rFonts w:ascii="Book Antiqua" w:eastAsia="SimSun" w:hAnsi="Book Antiqua"/>
                <w:lang w:eastAsia="zh-CN"/>
              </w:rPr>
              <w:t xml:space="preserve"> = 102</w:t>
            </w:r>
          </w:p>
        </w:tc>
        <w:tc>
          <w:tcPr>
            <w:tcW w:w="466" w:type="pct"/>
          </w:tcPr>
          <w:p w14:paraId="7452F930"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46.95 (32.75-71.03)</w:t>
            </w:r>
          </w:p>
        </w:tc>
        <w:tc>
          <w:tcPr>
            <w:tcW w:w="456" w:type="pct"/>
          </w:tcPr>
          <w:p w14:paraId="2E2EA3F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63 (33.5)</w:t>
            </w:r>
          </w:p>
        </w:tc>
        <w:tc>
          <w:tcPr>
            <w:tcW w:w="390" w:type="pct"/>
          </w:tcPr>
          <w:p w14:paraId="4E5437FB"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39 (20.7)</w:t>
            </w:r>
          </w:p>
        </w:tc>
        <w:tc>
          <w:tcPr>
            <w:tcW w:w="510" w:type="pct"/>
          </w:tcPr>
          <w:p w14:paraId="0FF47373"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58 (30.9)</w:t>
            </w:r>
          </w:p>
        </w:tc>
        <w:tc>
          <w:tcPr>
            <w:tcW w:w="417" w:type="pct"/>
          </w:tcPr>
          <w:p w14:paraId="2FFDBF65"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44 (23.4)</w:t>
            </w:r>
          </w:p>
        </w:tc>
        <w:tc>
          <w:tcPr>
            <w:tcW w:w="449" w:type="pct"/>
          </w:tcPr>
          <w:p w14:paraId="34A45D8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52 (27.7)</w:t>
            </w:r>
          </w:p>
        </w:tc>
        <w:tc>
          <w:tcPr>
            <w:tcW w:w="296" w:type="pct"/>
          </w:tcPr>
          <w:p w14:paraId="20A4199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7 (3.7)</w:t>
            </w:r>
          </w:p>
        </w:tc>
        <w:tc>
          <w:tcPr>
            <w:tcW w:w="396" w:type="pct"/>
          </w:tcPr>
          <w:p w14:paraId="5275CB9B"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43 (22.9)</w:t>
            </w:r>
          </w:p>
        </w:tc>
        <w:tc>
          <w:tcPr>
            <w:tcW w:w="412" w:type="pct"/>
          </w:tcPr>
          <w:p w14:paraId="0C10E3C9"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20 (10.6)</w:t>
            </w:r>
          </w:p>
        </w:tc>
        <w:tc>
          <w:tcPr>
            <w:tcW w:w="433" w:type="pct"/>
          </w:tcPr>
          <w:p w14:paraId="7EFF4DC3"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20 (10.6)</w:t>
            </w:r>
          </w:p>
        </w:tc>
        <w:tc>
          <w:tcPr>
            <w:tcW w:w="303" w:type="pct"/>
          </w:tcPr>
          <w:p w14:paraId="23573770"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62 (33.0)</w:t>
            </w:r>
          </w:p>
        </w:tc>
      </w:tr>
      <w:tr w:rsidR="00C87744" w14:paraId="092F357A" w14:textId="77777777">
        <w:tc>
          <w:tcPr>
            <w:tcW w:w="472" w:type="pct"/>
          </w:tcPr>
          <w:p w14:paraId="06429E83" w14:textId="77777777" w:rsidR="00C87744" w:rsidRDefault="00000000">
            <w:pPr>
              <w:spacing w:line="360" w:lineRule="auto"/>
              <w:jc w:val="both"/>
              <w:rPr>
                <w:rFonts w:ascii="Book Antiqua" w:eastAsia="SimSun" w:hAnsi="Book Antiqua"/>
                <w:lang w:eastAsia="zh-CN"/>
              </w:rPr>
            </w:pPr>
            <w:r>
              <w:rPr>
                <w:rFonts w:ascii="Book Antiqua" w:eastAsia="SimSun" w:hAnsi="Book Antiqua"/>
                <w:i/>
                <w:iCs/>
                <w:lang w:eastAsia="zh-CN"/>
              </w:rPr>
              <w:t>Z</w:t>
            </w:r>
            <w:r>
              <w:rPr>
                <w:rFonts w:ascii="Book Antiqua" w:eastAsia="SimSun" w:hAnsi="Book Antiqua"/>
                <w:lang w:eastAsia="zh-CN"/>
              </w:rPr>
              <w:t>/</w:t>
            </w:r>
            <w:bookmarkStart w:id="0" w:name="_Hlk131693408"/>
            <w:r>
              <w:rPr>
                <w:rFonts w:ascii="Book Antiqua" w:eastAsia="SimSun" w:hAnsi="Book Antiqua" w:cs="Book Antiqua"/>
                <w:i/>
                <w:lang w:eastAsia="zh-CN"/>
              </w:rPr>
              <w:t>χ</w:t>
            </w:r>
            <w:r>
              <w:rPr>
                <w:rFonts w:ascii="Book Antiqua" w:eastAsia="SimSun" w:hAnsi="Book Antiqua" w:cs="Book Antiqua"/>
                <w:i/>
                <w:iCs/>
                <w:vertAlign w:val="superscript"/>
                <w:lang w:eastAsia="zh-CN"/>
              </w:rPr>
              <w:t>2</w:t>
            </w:r>
            <w:bookmarkEnd w:id="0"/>
          </w:p>
        </w:tc>
        <w:tc>
          <w:tcPr>
            <w:tcW w:w="466" w:type="pct"/>
          </w:tcPr>
          <w:p w14:paraId="44C7C64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3.841</w:t>
            </w:r>
          </w:p>
        </w:tc>
        <w:tc>
          <w:tcPr>
            <w:tcW w:w="456" w:type="pct"/>
          </w:tcPr>
          <w:p w14:paraId="3F0F7973"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0.096</w:t>
            </w:r>
          </w:p>
        </w:tc>
        <w:tc>
          <w:tcPr>
            <w:tcW w:w="390" w:type="pct"/>
          </w:tcPr>
          <w:p w14:paraId="4FB305D2" w14:textId="77777777" w:rsidR="00C87744" w:rsidRDefault="00C87744">
            <w:pPr>
              <w:spacing w:line="360" w:lineRule="auto"/>
              <w:jc w:val="both"/>
              <w:rPr>
                <w:rFonts w:ascii="Book Antiqua" w:eastAsia="SimSun" w:hAnsi="Book Antiqua"/>
                <w:lang w:eastAsia="zh-CN"/>
              </w:rPr>
            </w:pPr>
          </w:p>
        </w:tc>
        <w:tc>
          <w:tcPr>
            <w:tcW w:w="510" w:type="pct"/>
          </w:tcPr>
          <w:p w14:paraId="21F32959"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0.978</w:t>
            </w:r>
          </w:p>
        </w:tc>
        <w:tc>
          <w:tcPr>
            <w:tcW w:w="417" w:type="pct"/>
          </w:tcPr>
          <w:p w14:paraId="08860FEE" w14:textId="77777777" w:rsidR="00C87744" w:rsidRDefault="00C87744">
            <w:pPr>
              <w:spacing w:line="360" w:lineRule="auto"/>
              <w:jc w:val="both"/>
              <w:rPr>
                <w:rFonts w:ascii="Book Antiqua" w:eastAsia="SimSun" w:hAnsi="Book Antiqua"/>
                <w:lang w:eastAsia="zh-CN"/>
              </w:rPr>
            </w:pPr>
          </w:p>
        </w:tc>
        <w:tc>
          <w:tcPr>
            <w:tcW w:w="449" w:type="pct"/>
          </w:tcPr>
          <w:p w14:paraId="1A1DD3B6"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7.255</w:t>
            </w:r>
          </w:p>
        </w:tc>
        <w:tc>
          <w:tcPr>
            <w:tcW w:w="296" w:type="pct"/>
          </w:tcPr>
          <w:p w14:paraId="054FB414" w14:textId="77777777" w:rsidR="00C87744" w:rsidRDefault="00C87744">
            <w:pPr>
              <w:spacing w:line="360" w:lineRule="auto"/>
              <w:jc w:val="both"/>
              <w:rPr>
                <w:rFonts w:ascii="Book Antiqua" w:eastAsia="SimSun" w:hAnsi="Book Antiqua"/>
                <w:lang w:eastAsia="zh-CN"/>
              </w:rPr>
            </w:pPr>
          </w:p>
        </w:tc>
        <w:tc>
          <w:tcPr>
            <w:tcW w:w="396" w:type="pct"/>
          </w:tcPr>
          <w:p w14:paraId="5DBC1744" w14:textId="77777777" w:rsidR="00C87744" w:rsidRDefault="00C87744">
            <w:pPr>
              <w:spacing w:line="360" w:lineRule="auto"/>
              <w:jc w:val="both"/>
              <w:rPr>
                <w:rFonts w:ascii="Book Antiqua" w:eastAsia="SimSun" w:hAnsi="Book Antiqua"/>
                <w:lang w:eastAsia="zh-CN"/>
              </w:rPr>
            </w:pPr>
          </w:p>
        </w:tc>
        <w:tc>
          <w:tcPr>
            <w:tcW w:w="412" w:type="pct"/>
          </w:tcPr>
          <w:p w14:paraId="13D567CB"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9.079</w:t>
            </w:r>
          </w:p>
        </w:tc>
        <w:tc>
          <w:tcPr>
            <w:tcW w:w="433" w:type="pct"/>
          </w:tcPr>
          <w:p w14:paraId="7CFB9349" w14:textId="77777777" w:rsidR="00C87744" w:rsidRDefault="00C87744">
            <w:pPr>
              <w:spacing w:line="360" w:lineRule="auto"/>
              <w:jc w:val="both"/>
              <w:rPr>
                <w:rFonts w:ascii="Book Antiqua" w:eastAsia="SimSun" w:hAnsi="Book Antiqua"/>
                <w:lang w:eastAsia="zh-CN"/>
              </w:rPr>
            </w:pPr>
          </w:p>
        </w:tc>
        <w:tc>
          <w:tcPr>
            <w:tcW w:w="303" w:type="pct"/>
          </w:tcPr>
          <w:p w14:paraId="5A4E4EBB" w14:textId="77777777" w:rsidR="00C87744" w:rsidRDefault="00C87744">
            <w:pPr>
              <w:spacing w:line="360" w:lineRule="auto"/>
              <w:jc w:val="both"/>
              <w:rPr>
                <w:rFonts w:ascii="Book Antiqua" w:eastAsia="SimSun" w:hAnsi="Book Antiqua"/>
                <w:lang w:eastAsia="zh-CN"/>
              </w:rPr>
            </w:pPr>
          </w:p>
        </w:tc>
      </w:tr>
      <w:tr w:rsidR="00C87744" w14:paraId="65487F91" w14:textId="77777777">
        <w:tc>
          <w:tcPr>
            <w:tcW w:w="472" w:type="pct"/>
            <w:tcBorders>
              <w:bottom w:val="single" w:sz="4" w:space="0" w:color="auto"/>
            </w:tcBorders>
          </w:tcPr>
          <w:p w14:paraId="73233F1E" w14:textId="77777777" w:rsidR="00C87744" w:rsidRDefault="00000000">
            <w:pPr>
              <w:spacing w:line="360" w:lineRule="auto"/>
              <w:jc w:val="both"/>
              <w:rPr>
                <w:rFonts w:ascii="Book Antiqua" w:eastAsia="SimSun" w:hAnsi="Book Antiqua"/>
                <w:lang w:eastAsia="zh-CN"/>
              </w:rPr>
            </w:pPr>
            <w:r>
              <w:rPr>
                <w:rFonts w:ascii="Book Antiqua" w:eastAsia="SimSun" w:hAnsi="Book Antiqua"/>
                <w:i/>
                <w:iCs/>
                <w:lang w:eastAsia="zh-CN"/>
              </w:rPr>
              <w:t>P</w:t>
            </w:r>
            <w:r>
              <w:rPr>
                <w:rFonts w:ascii="Book Antiqua" w:eastAsia="SimSun" w:hAnsi="Book Antiqua"/>
                <w:lang w:eastAsia="zh-CN"/>
              </w:rPr>
              <w:t xml:space="preserve"> value</w:t>
            </w:r>
          </w:p>
        </w:tc>
        <w:tc>
          <w:tcPr>
            <w:tcW w:w="466" w:type="pct"/>
            <w:tcBorders>
              <w:bottom w:val="single" w:sz="4" w:space="0" w:color="auto"/>
            </w:tcBorders>
          </w:tcPr>
          <w:p w14:paraId="2A394BC6"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0.000</w:t>
            </w:r>
          </w:p>
        </w:tc>
        <w:tc>
          <w:tcPr>
            <w:tcW w:w="456" w:type="pct"/>
            <w:tcBorders>
              <w:bottom w:val="single" w:sz="4" w:space="0" w:color="auto"/>
            </w:tcBorders>
          </w:tcPr>
          <w:p w14:paraId="731CB7BA"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0.757</w:t>
            </w:r>
          </w:p>
        </w:tc>
        <w:tc>
          <w:tcPr>
            <w:tcW w:w="390" w:type="pct"/>
            <w:tcBorders>
              <w:bottom w:val="single" w:sz="4" w:space="0" w:color="auto"/>
            </w:tcBorders>
          </w:tcPr>
          <w:p w14:paraId="2FC161BE" w14:textId="77777777" w:rsidR="00C87744" w:rsidRDefault="00C87744">
            <w:pPr>
              <w:spacing w:line="360" w:lineRule="auto"/>
              <w:jc w:val="both"/>
              <w:rPr>
                <w:rFonts w:ascii="Book Antiqua" w:eastAsia="SimSun" w:hAnsi="Book Antiqua"/>
                <w:lang w:eastAsia="zh-CN"/>
              </w:rPr>
            </w:pPr>
          </w:p>
        </w:tc>
        <w:tc>
          <w:tcPr>
            <w:tcW w:w="510" w:type="pct"/>
            <w:tcBorders>
              <w:bottom w:val="single" w:sz="4" w:space="0" w:color="auto"/>
            </w:tcBorders>
          </w:tcPr>
          <w:p w14:paraId="28CF8393"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0.323</w:t>
            </w:r>
          </w:p>
        </w:tc>
        <w:tc>
          <w:tcPr>
            <w:tcW w:w="417" w:type="pct"/>
            <w:tcBorders>
              <w:bottom w:val="single" w:sz="4" w:space="0" w:color="auto"/>
            </w:tcBorders>
          </w:tcPr>
          <w:p w14:paraId="3BF7782B" w14:textId="77777777" w:rsidR="00C87744" w:rsidRDefault="00C87744">
            <w:pPr>
              <w:spacing w:line="360" w:lineRule="auto"/>
              <w:jc w:val="both"/>
              <w:rPr>
                <w:rFonts w:ascii="Book Antiqua" w:eastAsia="SimSun" w:hAnsi="Book Antiqua"/>
                <w:lang w:eastAsia="zh-CN"/>
              </w:rPr>
            </w:pPr>
          </w:p>
        </w:tc>
        <w:tc>
          <w:tcPr>
            <w:tcW w:w="449" w:type="pct"/>
            <w:tcBorders>
              <w:bottom w:val="single" w:sz="4" w:space="0" w:color="auto"/>
            </w:tcBorders>
          </w:tcPr>
          <w:p w14:paraId="1FC9D454"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0.027</w:t>
            </w:r>
          </w:p>
        </w:tc>
        <w:tc>
          <w:tcPr>
            <w:tcW w:w="296" w:type="pct"/>
            <w:tcBorders>
              <w:bottom w:val="single" w:sz="4" w:space="0" w:color="auto"/>
            </w:tcBorders>
          </w:tcPr>
          <w:p w14:paraId="1CE351AA" w14:textId="77777777" w:rsidR="00C87744" w:rsidRDefault="00C87744">
            <w:pPr>
              <w:spacing w:line="360" w:lineRule="auto"/>
              <w:jc w:val="both"/>
              <w:rPr>
                <w:rFonts w:ascii="Book Antiqua" w:eastAsia="SimSun" w:hAnsi="Book Antiqua"/>
                <w:lang w:eastAsia="zh-CN"/>
              </w:rPr>
            </w:pPr>
          </w:p>
        </w:tc>
        <w:tc>
          <w:tcPr>
            <w:tcW w:w="396" w:type="pct"/>
            <w:tcBorders>
              <w:bottom w:val="single" w:sz="4" w:space="0" w:color="auto"/>
            </w:tcBorders>
          </w:tcPr>
          <w:p w14:paraId="57C0B49B" w14:textId="77777777" w:rsidR="00C87744" w:rsidRDefault="00C87744">
            <w:pPr>
              <w:spacing w:line="360" w:lineRule="auto"/>
              <w:jc w:val="both"/>
              <w:rPr>
                <w:rFonts w:ascii="Book Antiqua" w:eastAsia="SimSun" w:hAnsi="Book Antiqua"/>
                <w:lang w:eastAsia="zh-CN"/>
              </w:rPr>
            </w:pPr>
          </w:p>
        </w:tc>
        <w:tc>
          <w:tcPr>
            <w:tcW w:w="412" w:type="pct"/>
            <w:tcBorders>
              <w:bottom w:val="single" w:sz="4" w:space="0" w:color="auto"/>
            </w:tcBorders>
          </w:tcPr>
          <w:p w14:paraId="16DD93F3"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0.011</w:t>
            </w:r>
          </w:p>
        </w:tc>
        <w:tc>
          <w:tcPr>
            <w:tcW w:w="433" w:type="pct"/>
            <w:tcBorders>
              <w:bottom w:val="single" w:sz="4" w:space="0" w:color="auto"/>
            </w:tcBorders>
          </w:tcPr>
          <w:p w14:paraId="4D818B7F" w14:textId="77777777" w:rsidR="00C87744" w:rsidRDefault="00C87744">
            <w:pPr>
              <w:spacing w:line="360" w:lineRule="auto"/>
              <w:jc w:val="both"/>
              <w:rPr>
                <w:rFonts w:ascii="Book Antiqua" w:eastAsia="SimSun" w:hAnsi="Book Antiqua"/>
                <w:lang w:eastAsia="zh-CN"/>
              </w:rPr>
            </w:pPr>
          </w:p>
        </w:tc>
        <w:tc>
          <w:tcPr>
            <w:tcW w:w="303" w:type="pct"/>
            <w:tcBorders>
              <w:bottom w:val="single" w:sz="4" w:space="0" w:color="auto"/>
            </w:tcBorders>
          </w:tcPr>
          <w:p w14:paraId="7DD16624" w14:textId="77777777" w:rsidR="00C87744" w:rsidRDefault="00C87744">
            <w:pPr>
              <w:spacing w:line="360" w:lineRule="auto"/>
              <w:jc w:val="both"/>
              <w:rPr>
                <w:rFonts w:ascii="Book Antiqua" w:eastAsia="SimSun" w:hAnsi="Book Antiqua"/>
                <w:lang w:eastAsia="zh-CN"/>
              </w:rPr>
            </w:pPr>
          </w:p>
        </w:tc>
      </w:tr>
    </w:tbl>
    <w:p w14:paraId="2952CDB2" w14:textId="3E216CF7" w:rsidR="00C87744" w:rsidRDefault="00000000">
      <w:pPr>
        <w:spacing w:line="360" w:lineRule="auto"/>
        <w:jc w:val="both"/>
        <w:rPr>
          <w:rFonts w:ascii="Book Antiqua" w:hAnsi="Book Antiqua"/>
          <w:shd w:val="clear" w:color="auto" w:fill="FFFFFF"/>
        </w:rPr>
      </w:pPr>
      <w:r>
        <w:rPr>
          <w:rFonts w:ascii="Book Antiqua" w:hAnsi="Book Antiqua"/>
        </w:rPr>
        <w:t xml:space="preserve">MVI: </w:t>
      </w:r>
      <w:r>
        <w:rPr>
          <w:rFonts w:ascii="Book Antiqua" w:hAnsi="Book Antiqua"/>
          <w:shd w:val="clear" w:color="auto" w:fill="FFFFFF"/>
        </w:rPr>
        <w:t>Microvascular invasion.</w:t>
      </w:r>
    </w:p>
    <w:p w14:paraId="68A9EE58" w14:textId="77777777" w:rsidR="00C87744" w:rsidRDefault="00C87744">
      <w:pPr>
        <w:spacing w:line="360" w:lineRule="auto"/>
        <w:jc w:val="both"/>
        <w:rPr>
          <w:rFonts w:ascii="Book Antiqua" w:hAnsi="Book Antiqua"/>
        </w:rPr>
      </w:pPr>
    </w:p>
    <w:p w14:paraId="5A298726" w14:textId="235E1513" w:rsidR="00C87744" w:rsidRDefault="00000000">
      <w:pPr>
        <w:spacing w:line="360" w:lineRule="auto"/>
        <w:jc w:val="both"/>
        <w:rPr>
          <w:rFonts w:ascii="Book Antiqua" w:hAnsi="Book Antiqua"/>
          <w:b/>
          <w:bCs/>
        </w:rPr>
      </w:pPr>
      <w:r>
        <w:rPr>
          <w:rFonts w:ascii="Book Antiqua" w:hAnsi="Book Antiqua"/>
          <w:b/>
        </w:rPr>
        <w:t>Table 2</w:t>
      </w:r>
      <w:r>
        <w:rPr>
          <w:rFonts w:ascii="Book Antiqua" w:hAnsi="Book Antiqua"/>
        </w:rPr>
        <w:t xml:space="preserve"> </w:t>
      </w:r>
      <w:r>
        <w:rPr>
          <w:rFonts w:ascii="Book Antiqua" w:hAnsi="Book Antiqua"/>
          <w:b/>
          <w:bCs/>
        </w:rPr>
        <w:t>Comparisons of conventional ultrasound results between mild microvascular invasion and severe microvascular invasion hepatocellular carcinomas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204"/>
        <w:gridCol w:w="1178"/>
        <w:gridCol w:w="1007"/>
        <w:gridCol w:w="1318"/>
        <w:gridCol w:w="1077"/>
        <w:gridCol w:w="1163"/>
        <w:gridCol w:w="763"/>
        <w:gridCol w:w="1057"/>
        <w:gridCol w:w="1061"/>
        <w:gridCol w:w="1118"/>
        <w:gridCol w:w="796"/>
      </w:tblGrid>
      <w:tr w:rsidR="00C87744" w14:paraId="7984A5AA" w14:textId="77777777">
        <w:tc>
          <w:tcPr>
            <w:tcW w:w="472" w:type="pct"/>
            <w:vMerge w:val="restart"/>
            <w:tcBorders>
              <w:top w:val="single" w:sz="4" w:space="0" w:color="auto"/>
            </w:tcBorders>
          </w:tcPr>
          <w:p w14:paraId="0632AD33" w14:textId="29049912" w:rsidR="00C87744" w:rsidRDefault="00000000">
            <w:pPr>
              <w:spacing w:line="360" w:lineRule="auto"/>
              <w:jc w:val="both"/>
              <w:rPr>
                <w:rFonts w:ascii="Book Antiqua" w:eastAsia="SimSun" w:hAnsi="Book Antiqua"/>
                <w:b/>
                <w:bCs/>
                <w:lang w:eastAsia="zh-CN"/>
              </w:rPr>
            </w:pPr>
            <w:r>
              <w:rPr>
                <w:rFonts w:ascii="Book Antiqua" w:eastAsia="SimSun" w:hAnsi="Book Antiqua" w:hint="eastAsia"/>
                <w:b/>
                <w:bCs/>
                <w:lang w:eastAsia="zh-CN"/>
              </w:rPr>
              <w:t xml:space="preserve">MVI </w:t>
            </w:r>
          </w:p>
        </w:tc>
        <w:tc>
          <w:tcPr>
            <w:tcW w:w="466" w:type="pct"/>
            <w:vMerge w:val="restart"/>
            <w:tcBorders>
              <w:top w:val="single" w:sz="4" w:space="0" w:color="auto"/>
            </w:tcBorders>
          </w:tcPr>
          <w:p w14:paraId="53AA2683" w14:textId="7A01529F"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 xml:space="preserve">Tumor maximal </w:t>
            </w:r>
            <w:r>
              <w:rPr>
                <w:rFonts w:ascii="Book Antiqua" w:eastAsia="SimSun" w:hAnsi="Book Antiqua"/>
                <w:b/>
                <w:bCs/>
                <w:lang w:eastAsia="zh-CN"/>
              </w:rPr>
              <w:lastRenderedPageBreak/>
              <w:t>diameter in mm</w:t>
            </w:r>
          </w:p>
        </w:tc>
        <w:tc>
          <w:tcPr>
            <w:tcW w:w="846" w:type="pct"/>
            <w:gridSpan w:val="2"/>
            <w:tcBorders>
              <w:top w:val="single" w:sz="4" w:space="0" w:color="auto"/>
              <w:bottom w:val="single" w:sz="4" w:space="0" w:color="auto"/>
            </w:tcBorders>
          </w:tcPr>
          <w:p w14:paraId="419461DB"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lastRenderedPageBreak/>
              <w:t>Echogenecity</w:t>
            </w:r>
          </w:p>
        </w:tc>
        <w:tc>
          <w:tcPr>
            <w:tcW w:w="927" w:type="pct"/>
            <w:gridSpan w:val="2"/>
            <w:tcBorders>
              <w:top w:val="single" w:sz="4" w:space="0" w:color="auto"/>
              <w:bottom w:val="single" w:sz="4" w:space="0" w:color="auto"/>
            </w:tcBorders>
          </w:tcPr>
          <w:p w14:paraId="747AE878"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Boundary</w:t>
            </w:r>
          </w:p>
        </w:tc>
        <w:tc>
          <w:tcPr>
            <w:tcW w:w="1141" w:type="pct"/>
            <w:gridSpan w:val="3"/>
            <w:tcBorders>
              <w:top w:val="single" w:sz="4" w:space="0" w:color="auto"/>
              <w:bottom w:val="single" w:sz="4" w:space="0" w:color="auto"/>
            </w:tcBorders>
          </w:tcPr>
          <w:p w14:paraId="2A354299"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Surrounding liver tissue</w:t>
            </w:r>
          </w:p>
        </w:tc>
        <w:tc>
          <w:tcPr>
            <w:tcW w:w="1148" w:type="pct"/>
            <w:gridSpan w:val="3"/>
            <w:tcBorders>
              <w:top w:val="single" w:sz="4" w:space="0" w:color="auto"/>
              <w:bottom w:val="single" w:sz="4" w:space="0" w:color="auto"/>
            </w:tcBorders>
          </w:tcPr>
          <w:p w14:paraId="5848BCED"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Color Doppler flow</w:t>
            </w:r>
          </w:p>
        </w:tc>
      </w:tr>
      <w:tr w:rsidR="00C87744" w14:paraId="40AD51DB" w14:textId="77777777">
        <w:tc>
          <w:tcPr>
            <w:tcW w:w="472" w:type="pct"/>
            <w:vMerge/>
            <w:tcBorders>
              <w:bottom w:val="single" w:sz="4" w:space="0" w:color="auto"/>
            </w:tcBorders>
          </w:tcPr>
          <w:p w14:paraId="70D4553A" w14:textId="77777777" w:rsidR="00C87744" w:rsidRDefault="00C87744">
            <w:pPr>
              <w:spacing w:line="360" w:lineRule="auto"/>
              <w:jc w:val="both"/>
              <w:rPr>
                <w:rFonts w:ascii="Book Antiqua" w:eastAsia="SimSun" w:hAnsi="Book Antiqua"/>
                <w:b/>
                <w:bCs/>
                <w:lang w:eastAsia="zh-CN"/>
              </w:rPr>
            </w:pPr>
          </w:p>
        </w:tc>
        <w:tc>
          <w:tcPr>
            <w:tcW w:w="466" w:type="pct"/>
            <w:vMerge/>
            <w:tcBorders>
              <w:bottom w:val="single" w:sz="4" w:space="0" w:color="auto"/>
            </w:tcBorders>
          </w:tcPr>
          <w:p w14:paraId="1CD6969F" w14:textId="77777777" w:rsidR="00C87744" w:rsidRDefault="00C87744">
            <w:pPr>
              <w:spacing w:line="360" w:lineRule="auto"/>
              <w:jc w:val="both"/>
              <w:rPr>
                <w:rFonts w:ascii="Book Antiqua" w:eastAsia="SimSun" w:hAnsi="Book Antiqua"/>
                <w:b/>
                <w:bCs/>
                <w:lang w:eastAsia="zh-CN"/>
              </w:rPr>
            </w:pPr>
          </w:p>
        </w:tc>
        <w:tc>
          <w:tcPr>
            <w:tcW w:w="456" w:type="pct"/>
            <w:tcBorders>
              <w:top w:val="single" w:sz="4" w:space="0" w:color="auto"/>
              <w:bottom w:val="single" w:sz="4" w:space="0" w:color="auto"/>
            </w:tcBorders>
          </w:tcPr>
          <w:p w14:paraId="6F5D11AC"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Hypo-</w:t>
            </w:r>
          </w:p>
        </w:tc>
        <w:tc>
          <w:tcPr>
            <w:tcW w:w="390" w:type="pct"/>
            <w:tcBorders>
              <w:top w:val="single" w:sz="4" w:space="0" w:color="auto"/>
              <w:bottom w:val="single" w:sz="4" w:space="0" w:color="auto"/>
            </w:tcBorders>
          </w:tcPr>
          <w:p w14:paraId="607BF15D"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Hyper-</w:t>
            </w:r>
          </w:p>
        </w:tc>
        <w:tc>
          <w:tcPr>
            <w:tcW w:w="510" w:type="pct"/>
            <w:tcBorders>
              <w:top w:val="single" w:sz="4" w:space="0" w:color="auto"/>
              <w:bottom w:val="single" w:sz="4" w:space="0" w:color="auto"/>
            </w:tcBorders>
          </w:tcPr>
          <w:p w14:paraId="0DE75C9F"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Clear</w:t>
            </w:r>
          </w:p>
        </w:tc>
        <w:tc>
          <w:tcPr>
            <w:tcW w:w="417" w:type="pct"/>
            <w:tcBorders>
              <w:top w:val="single" w:sz="4" w:space="0" w:color="auto"/>
              <w:bottom w:val="single" w:sz="4" w:space="0" w:color="auto"/>
            </w:tcBorders>
          </w:tcPr>
          <w:p w14:paraId="7FD8FF72"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Unclear</w:t>
            </w:r>
          </w:p>
        </w:tc>
        <w:tc>
          <w:tcPr>
            <w:tcW w:w="449" w:type="pct"/>
            <w:tcBorders>
              <w:top w:val="single" w:sz="4" w:space="0" w:color="auto"/>
              <w:bottom w:val="single" w:sz="4" w:space="0" w:color="auto"/>
            </w:tcBorders>
          </w:tcPr>
          <w:p w14:paraId="42CCC7C1"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Liver cirrhosis</w:t>
            </w:r>
          </w:p>
        </w:tc>
        <w:tc>
          <w:tcPr>
            <w:tcW w:w="296" w:type="pct"/>
            <w:tcBorders>
              <w:top w:val="single" w:sz="4" w:space="0" w:color="auto"/>
              <w:bottom w:val="single" w:sz="4" w:space="0" w:color="auto"/>
            </w:tcBorders>
          </w:tcPr>
          <w:p w14:paraId="4517FD05"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Fatty liver</w:t>
            </w:r>
          </w:p>
        </w:tc>
        <w:tc>
          <w:tcPr>
            <w:tcW w:w="396" w:type="pct"/>
            <w:tcBorders>
              <w:top w:val="single" w:sz="4" w:space="0" w:color="auto"/>
              <w:bottom w:val="single" w:sz="4" w:space="0" w:color="auto"/>
            </w:tcBorders>
          </w:tcPr>
          <w:p w14:paraId="445294B7"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Normal</w:t>
            </w:r>
          </w:p>
        </w:tc>
        <w:tc>
          <w:tcPr>
            <w:tcW w:w="412" w:type="pct"/>
            <w:tcBorders>
              <w:top w:val="single" w:sz="4" w:space="0" w:color="auto"/>
              <w:bottom w:val="single" w:sz="4" w:space="0" w:color="auto"/>
            </w:tcBorders>
          </w:tcPr>
          <w:p w14:paraId="2F1FF989"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None</w:t>
            </w:r>
          </w:p>
        </w:tc>
        <w:tc>
          <w:tcPr>
            <w:tcW w:w="433" w:type="pct"/>
            <w:tcBorders>
              <w:top w:val="single" w:sz="4" w:space="0" w:color="auto"/>
              <w:bottom w:val="single" w:sz="4" w:space="0" w:color="auto"/>
            </w:tcBorders>
          </w:tcPr>
          <w:p w14:paraId="78B4DA6D"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Mild</w:t>
            </w:r>
          </w:p>
        </w:tc>
        <w:tc>
          <w:tcPr>
            <w:tcW w:w="303" w:type="pct"/>
            <w:tcBorders>
              <w:top w:val="single" w:sz="4" w:space="0" w:color="auto"/>
              <w:bottom w:val="single" w:sz="4" w:space="0" w:color="auto"/>
            </w:tcBorders>
          </w:tcPr>
          <w:p w14:paraId="4D2C89BF"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Rich</w:t>
            </w:r>
          </w:p>
        </w:tc>
      </w:tr>
      <w:tr w:rsidR="00C87744" w14:paraId="29DF0383" w14:textId="77777777">
        <w:tc>
          <w:tcPr>
            <w:tcW w:w="472" w:type="pct"/>
            <w:tcBorders>
              <w:top w:val="single" w:sz="4" w:space="0" w:color="auto"/>
            </w:tcBorders>
          </w:tcPr>
          <w:p w14:paraId="542A26DC"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 xml:space="preserve">Mild MVI, </w:t>
            </w:r>
            <w:r>
              <w:rPr>
                <w:rFonts w:ascii="Book Antiqua" w:eastAsia="SimSun" w:hAnsi="Book Antiqua"/>
                <w:i/>
                <w:iCs/>
                <w:lang w:eastAsia="zh-CN"/>
              </w:rPr>
              <w:t>n</w:t>
            </w:r>
            <w:r>
              <w:rPr>
                <w:rFonts w:ascii="Book Antiqua" w:eastAsia="SimSun" w:hAnsi="Book Antiqua"/>
                <w:lang w:eastAsia="zh-CN"/>
              </w:rPr>
              <w:t xml:space="preserve"> = 54</w:t>
            </w:r>
          </w:p>
        </w:tc>
        <w:tc>
          <w:tcPr>
            <w:tcW w:w="466" w:type="pct"/>
            <w:tcBorders>
              <w:top w:val="single" w:sz="4" w:space="0" w:color="auto"/>
            </w:tcBorders>
          </w:tcPr>
          <w:p w14:paraId="702199C4"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50.15 (33.80-65.90)</w:t>
            </w:r>
          </w:p>
        </w:tc>
        <w:tc>
          <w:tcPr>
            <w:tcW w:w="456" w:type="pct"/>
            <w:tcBorders>
              <w:top w:val="single" w:sz="4" w:space="0" w:color="auto"/>
            </w:tcBorders>
          </w:tcPr>
          <w:p w14:paraId="5414D7DB"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36 (35.3)</w:t>
            </w:r>
          </w:p>
        </w:tc>
        <w:tc>
          <w:tcPr>
            <w:tcW w:w="390" w:type="pct"/>
            <w:tcBorders>
              <w:top w:val="single" w:sz="4" w:space="0" w:color="auto"/>
            </w:tcBorders>
          </w:tcPr>
          <w:p w14:paraId="3EA9DCE0"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18 (17.6)</w:t>
            </w:r>
          </w:p>
        </w:tc>
        <w:tc>
          <w:tcPr>
            <w:tcW w:w="510" w:type="pct"/>
            <w:tcBorders>
              <w:top w:val="single" w:sz="4" w:space="0" w:color="auto"/>
            </w:tcBorders>
          </w:tcPr>
          <w:p w14:paraId="158B61EF"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33 (32.4)</w:t>
            </w:r>
          </w:p>
        </w:tc>
        <w:tc>
          <w:tcPr>
            <w:tcW w:w="417" w:type="pct"/>
            <w:tcBorders>
              <w:top w:val="single" w:sz="4" w:space="0" w:color="auto"/>
            </w:tcBorders>
          </w:tcPr>
          <w:p w14:paraId="1F38B829"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21 (20.6)</w:t>
            </w:r>
          </w:p>
        </w:tc>
        <w:tc>
          <w:tcPr>
            <w:tcW w:w="449" w:type="pct"/>
            <w:tcBorders>
              <w:top w:val="single" w:sz="4" w:space="0" w:color="auto"/>
            </w:tcBorders>
          </w:tcPr>
          <w:p w14:paraId="5DFDC86C"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25 (24.5)</w:t>
            </w:r>
          </w:p>
        </w:tc>
        <w:tc>
          <w:tcPr>
            <w:tcW w:w="296" w:type="pct"/>
            <w:tcBorders>
              <w:top w:val="single" w:sz="4" w:space="0" w:color="auto"/>
            </w:tcBorders>
          </w:tcPr>
          <w:p w14:paraId="6BFEB4AB"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4 (3.9)</w:t>
            </w:r>
          </w:p>
        </w:tc>
        <w:tc>
          <w:tcPr>
            <w:tcW w:w="396" w:type="pct"/>
            <w:tcBorders>
              <w:top w:val="single" w:sz="4" w:space="0" w:color="auto"/>
            </w:tcBorders>
          </w:tcPr>
          <w:p w14:paraId="2565F15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25 (24.5)</w:t>
            </w:r>
          </w:p>
        </w:tc>
        <w:tc>
          <w:tcPr>
            <w:tcW w:w="412" w:type="pct"/>
            <w:tcBorders>
              <w:top w:val="single" w:sz="4" w:space="0" w:color="auto"/>
            </w:tcBorders>
          </w:tcPr>
          <w:p w14:paraId="52E976B1"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8 (7.8)</w:t>
            </w:r>
          </w:p>
        </w:tc>
        <w:tc>
          <w:tcPr>
            <w:tcW w:w="433" w:type="pct"/>
            <w:tcBorders>
              <w:top w:val="single" w:sz="4" w:space="0" w:color="auto"/>
            </w:tcBorders>
          </w:tcPr>
          <w:p w14:paraId="617B527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9 (8.8)</w:t>
            </w:r>
          </w:p>
        </w:tc>
        <w:tc>
          <w:tcPr>
            <w:tcW w:w="303" w:type="pct"/>
            <w:tcBorders>
              <w:top w:val="single" w:sz="4" w:space="0" w:color="auto"/>
            </w:tcBorders>
          </w:tcPr>
          <w:p w14:paraId="5316B9B4"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37 (36.3)</w:t>
            </w:r>
          </w:p>
        </w:tc>
      </w:tr>
      <w:tr w:rsidR="00C87744" w14:paraId="6881F0ED" w14:textId="77777777">
        <w:tc>
          <w:tcPr>
            <w:tcW w:w="472" w:type="pct"/>
          </w:tcPr>
          <w:p w14:paraId="6B967940"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 xml:space="preserve">Severe MVI, </w:t>
            </w:r>
            <w:r>
              <w:rPr>
                <w:rFonts w:ascii="Book Antiqua" w:eastAsia="SimSun" w:hAnsi="Book Antiqua"/>
                <w:i/>
                <w:iCs/>
                <w:lang w:eastAsia="zh-CN"/>
              </w:rPr>
              <w:t>n</w:t>
            </w:r>
            <w:r>
              <w:rPr>
                <w:rFonts w:ascii="Book Antiqua" w:eastAsia="SimSun" w:hAnsi="Book Antiqua"/>
                <w:lang w:eastAsia="zh-CN"/>
              </w:rPr>
              <w:t xml:space="preserve"> = 48</w:t>
            </w:r>
          </w:p>
        </w:tc>
        <w:tc>
          <w:tcPr>
            <w:tcW w:w="466" w:type="pct"/>
          </w:tcPr>
          <w:p w14:paraId="06B68317"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43.20 (30.83-73.68)</w:t>
            </w:r>
          </w:p>
        </w:tc>
        <w:tc>
          <w:tcPr>
            <w:tcW w:w="456" w:type="pct"/>
          </w:tcPr>
          <w:p w14:paraId="22CFC021"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27 (26.5)</w:t>
            </w:r>
          </w:p>
        </w:tc>
        <w:tc>
          <w:tcPr>
            <w:tcW w:w="390" w:type="pct"/>
          </w:tcPr>
          <w:p w14:paraId="170A835D"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21 (20.6)</w:t>
            </w:r>
          </w:p>
        </w:tc>
        <w:tc>
          <w:tcPr>
            <w:tcW w:w="510" w:type="pct"/>
          </w:tcPr>
          <w:p w14:paraId="095E444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25 (24.5)</w:t>
            </w:r>
          </w:p>
        </w:tc>
        <w:tc>
          <w:tcPr>
            <w:tcW w:w="417" w:type="pct"/>
          </w:tcPr>
          <w:p w14:paraId="006F1CB0"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23 (22.5)</w:t>
            </w:r>
          </w:p>
        </w:tc>
        <w:tc>
          <w:tcPr>
            <w:tcW w:w="449" w:type="pct"/>
          </w:tcPr>
          <w:p w14:paraId="41AC2FD4"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27 (26.5)</w:t>
            </w:r>
          </w:p>
        </w:tc>
        <w:tc>
          <w:tcPr>
            <w:tcW w:w="296" w:type="pct"/>
          </w:tcPr>
          <w:p w14:paraId="05B3B216"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3 (2.9)</w:t>
            </w:r>
          </w:p>
        </w:tc>
        <w:tc>
          <w:tcPr>
            <w:tcW w:w="396" w:type="pct"/>
          </w:tcPr>
          <w:p w14:paraId="59C39B4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18 (17.6)</w:t>
            </w:r>
          </w:p>
        </w:tc>
        <w:tc>
          <w:tcPr>
            <w:tcW w:w="412" w:type="pct"/>
          </w:tcPr>
          <w:p w14:paraId="4029EAB5"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12 (11.8)</w:t>
            </w:r>
          </w:p>
        </w:tc>
        <w:tc>
          <w:tcPr>
            <w:tcW w:w="433" w:type="pct"/>
          </w:tcPr>
          <w:p w14:paraId="231E06C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11 (10.8)</w:t>
            </w:r>
          </w:p>
        </w:tc>
        <w:tc>
          <w:tcPr>
            <w:tcW w:w="303" w:type="pct"/>
          </w:tcPr>
          <w:p w14:paraId="51F6149F"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25 (24.5)</w:t>
            </w:r>
          </w:p>
        </w:tc>
      </w:tr>
      <w:tr w:rsidR="00C87744" w14:paraId="1E143AEB" w14:textId="77777777">
        <w:tc>
          <w:tcPr>
            <w:tcW w:w="472" w:type="pct"/>
          </w:tcPr>
          <w:p w14:paraId="5C0493C8" w14:textId="77777777" w:rsidR="00C87744" w:rsidRDefault="00000000">
            <w:pPr>
              <w:spacing w:line="360" w:lineRule="auto"/>
              <w:jc w:val="both"/>
              <w:rPr>
                <w:rFonts w:ascii="Book Antiqua" w:eastAsia="SimSun" w:hAnsi="Book Antiqua"/>
                <w:lang w:eastAsia="zh-CN"/>
              </w:rPr>
            </w:pPr>
            <w:r>
              <w:rPr>
                <w:rFonts w:ascii="Book Antiqua" w:eastAsia="SimSun" w:hAnsi="Book Antiqua"/>
                <w:i/>
                <w:iCs/>
                <w:lang w:eastAsia="zh-CN"/>
              </w:rPr>
              <w:t>Z</w:t>
            </w:r>
            <w:r>
              <w:rPr>
                <w:rFonts w:ascii="Book Antiqua" w:eastAsia="SimSun" w:hAnsi="Book Antiqua"/>
                <w:lang w:eastAsia="zh-CN"/>
              </w:rPr>
              <w:t>/</w:t>
            </w:r>
            <w:r>
              <w:rPr>
                <w:rFonts w:ascii="Book Antiqua" w:eastAsia="SimSun" w:hAnsi="Book Antiqua" w:cs="Book Antiqua"/>
                <w:i/>
                <w:lang w:eastAsia="zh-CN"/>
              </w:rPr>
              <w:t>χ</w:t>
            </w:r>
            <w:r>
              <w:rPr>
                <w:rFonts w:ascii="Book Antiqua" w:eastAsia="SimSun" w:hAnsi="Book Antiqua" w:cs="Book Antiqua"/>
                <w:i/>
                <w:iCs/>
                <w:vertAlign w:val="superscript"/>
                <w:lang w:eastAsia="zh-CN"/>
              </w:rPr>
              <w:t>2</w:t>
            </w:r>
          </w:p>
        </w:tc>
        <w:tc>
          <w:tcPr>
            <w:tcW w:w="466" w:type="pct"/>
          </w:tcPr>
          <w:p w14:paraId="36A637C6"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0.496</w:t>
            </w:r>
          </w:p>
        </w:tc>
        <w:tc>
          <w:tcPr>
            <w:tcW w:w="456" w:type="pct"/>
          </w:tcPr>
          <w:p w14:paraId="21B671C9"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1.168</w:t>
            </w:r>
          </w:p>
        </w:tc>
        <w:tc>
          <w:tcPr>
            <w:tcW w:w="390" w:type="pct"/>
          </w:tcPr>
          <w:p w14:paraId="6F37F11A" w14:textId="77777777" w:rsidR="00C87744" w:rsidRDefault="00C87744">
            <w:pPr>
              <w:spacing w:line="360" w:lineRule="auto"/>
              <w:jc w:val="both"/>
              <w:rPr>
                <w:rFonts w:ascii="Book Antiqua" w:eastAsia="SimSun" w:hAnsi="Book Antiqua"/>
                <w:lang w:eastAsia="zh-CN"/>
              </w:rPr>
            </w:pPr>
          </w:p>
        </w:tc>
        <w:tc>
          <w:tcPr>
            <w:tcW w:w="510" w:type="pct"/>
          </w:tcPr>
          <w:p w14:paraId="50295E6B"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0.844</w:t>
            </w:r>
          </w:p>
        </w:tc>
        <w:tc>
          <w:tcPr>
            <w:tcW w:w="417" w:type="pct"/>
          </w:tcPr>
          <w:p w14:paraId="5E17FEF8" w14:textId="77777777" w:rsidR="00C87744" w:rsidRDefault="00C87744">
            <w:pPr>
              <w:spacing w:line="360" w:lineRule="auto"/>
              <w:jc w:val="both"/>
              <w:rPr>
                <w:rFonts w:ascii="Book Antiqua" w:eastAsia="SimSun" w:hAnsi="Book Antiqua"/>
                <w:lang w:eastAsia="zh-CN"/>
              </w:rPr>
            </w:pPr>
          </w:p>
        </w:tc>
        <w:tc>
          <w:tcPr>
            <w:tcW w:w="449" w:type="pct"/>
          </w:tcPr>
          <w:p w14:paraId="599D509A"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1.063</w:t>
            </w:r>
          </w:p>
        </w:tc>
        <w:tc>
          <w:tcPr>
            <w:tcW w:w="296" w:type="pct"/>
          </w:tcPr>
          <w:p w14:paraId="0329FBFD" w14:textId="77777777" w:rsidR="00C87744" w:rsidRDefault="00C87744">
            <w:pPr>
              <w:spacing w:line="360" w:lineRule="auto"/>
              <w:jc w:val="both"/>
              <w:rPr>
                <w:rFonts w:ascii="Book Antiqua" w:eastAsia="SimSun" w:hAnsi="Book Antiqua"/>
                <w:lang w:eastAsia="zh-CN"/>
              </w:rPr>
            </w:pPr>
          </w:p>
        </w:tc>
        <w:tc>
          <w:tcPr>
            <w:tcW w:w="396" w:type="pct"/>
          </w:tcPr>
          <w:p w14:paraId="7CB4DCCB" w14:textId="77777777" w:rsidR="00C87744" w:rsidRDefault="00C87744">
            <w:pPr>
              <w:spacing w:line="360" w:lineRule="auto"/>
              <w:jc w:val="both"/>
              <w:rPr>
                <w:rFonts w:ascii="Book Antiqua" w:eastAsia="SimSun" w:hAnsi="Book Antiqua"/>
                <w:lang w:eastAsia="zh-CN"/>
              </w:rPr>
            </w:pPr>
          </w:p>
        </w:tc>
        <w:tc>
          <w:tcPr>
            <w:tcW w:w="412" w:type="pct"/>
          </w:tcPr>
          <w:p w14:paraId="41874751"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2.980</w:t>
            </w:r>
          </w:p>
        </w:tc>
        <w:tc>
          <w:tcPr>
            <w:tcW w:w="433" w:type="pct"/>
          </w:tcPr>
          <w:p w14:paraId="7DC7CAA9" w14:textId="77777777" w:rsidR="00C87744" w:rsidRDefault="00C87744">
            <w:pPr>
              <w:spacing w:line="360" w:lineRule="auto"/>
              <w:jc w:val="both"/>
              <w:rPr>
                <w:rFonts w:ascii="Book Antiqua" w:eastAsia="SimSun" w:hAnsi="Book Antiqua"/>
                <w:lang w:eastAsia="zh-CN"/>
              </w:rPr>
            </w:pPr>
          </w:p>
        </w:tc>
        <w:tc>
          <w:tcPr>
            <w:tcW w:w="303" w:type="pct"/>
          </w:tcPr>
          <w:p w14:paraId="74B6A63C" w14:textId="77777777" w:rsidR="00C87744" w:rsidRDefault="00C87744">
            <w:pPr>
              <w:spacing w:line="360" w:lineRule="auto"/>
              <w:jc w:val="both"/>
              <w:rPr>
                <w:rFonts w:ascii="Book Antiqua" w:eastAsia="SimSun" w:hAnsi="Book Antiqua"/>
                <w:lang w:eastAsia="zh-CN"/>
              </w:rPr>
            </w:pPr>
          </w:p>
        </w:tc>
      </w:tr>
      <w:tr w:rsidR="00C87744" w14:paraId="5EF05A7F" w14:textId="77777777">
        <w:tc>
          <w:tcPr>
            <w:tcW w:w="472" w:type="pct"/>
            <w:tcBorders>
              <w:bottom w:val="single" w:sz="4" w:space="0" w:color="auto"/>
            </w:tcBorders>
          </w:tcPr>
          <w:p w14:paraId="09250B3D" w14:textId="77777777" w:rsidR="00C87744" w:rsidRDefault="00000000">
            <w:pPr>
              <w:spacing w:line="360" w:lineRule="auto"/>
              <w:jc w:val="both"/>
              <w:rPr>
                <w:rFonts w:ascii="Book Antiqua" w:eastAsia="SimSun" w:hAnsi="Book Antiqua"/>
                <w:lang w:eastAsia="zh-CN"/>
              </w:rPr>
            </w:pPr>
            <w:r>
              <w:rPr>
                <w:rFonts w:ascii="Book Antiqua" w:eastAsia="SimSun" w:hAnsi="Book Antiqua"/>
                <w:i/>
                <w:iCs/>
                <w:lang w:eastAsia="zh-CN"/>
              </w:rPr>
              <w:t>P</w:t>
            </w:r>
            <w:r>
              <w:rPr>
                <w:rFonts w:ascii="Book Antiqua" w:eastAsia="SimSun" w:hAnsi="Book Antiqua"/>
                <w:lang w:eastAsia="zh-CN"/>
              </w:rPr>
              <w:t xml:space="preserve"> value</w:t>
            </w:r>
          </w:p>
        </w:tc>
        <w:tc>
          <w:tcPr>
            <w:tcW w:w="466" w:type="pct"/>
            <w:tcBorders>
              <w:bottom w:val="single" w:sz="4" w:space="0" w:color="auto"/>
            </w:tcBorders>
          </w:tcPr>
          <w:p w14:paraId="6D2CC9AC"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0.622</w:t>
            </w:r>
          </w:p>
        </w:tc>
        <w:tc>
          <w:tcPr>
            <w:tcW w:w="456" w:type="pct"/>
            <w:tcBorders>
              <w:bottom w:val="single" w:sz="4" w:space="0" w:color="auto"/>
            </w:tcBorders>
          </w:tcPr>
          <w:p w14:paraId="6A41B34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0.280</w:t>
            </w:r>
          </w:p>
        </w:tc>
        <w:tc>
          <w:tcPr>
            <w:tcW w:w="390" w:type="pct"/>
            <w:tcBorders>
              <w:bottom w:val="single" w:sz="4" w:space="0" w:color="auto"/>
            </w:tcBorders>
          </w:tcPr>
          <w:p w14:paraId="7586DAD7" w14:textId="77777777" w:rsidR="00C87744" w:rsidRDefault="00C87744">
            <w:pPr>
              <w:spacing w:line="360" w:lineRule="auto"/>
              <w:jc w:val="both"/>
              <w:rPr>
                <w:rFonts w:ascii="Book Antiqua" w:eastAsia="SimSun" w:hAnsi="Book Antiqua"/>
                <w:lang w:eastAsia="zh-CN"/>
              </w:rPr>
            </w:pPr>
          </w:p>
        </w:tc>
        <w:tc>
          <w:tcPr>
            <w:tcW w:w="510" w:type="pct"/>
            <w:tcBorders>
              <w:bottom w:val="single" w:sz="4" w:space="0" w:color="auto"/>
            </w:tcBorders>
          </w:tcPr>
          <w:p w14:paraId="51867193"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0.358</w:t>
            </w:r>
          </w:p>
        </w:tc>
        <w:tc>
          <w:tcPr>
            <w:tcW w:w="417" w:type="pct"/>
            <w:tcBorders>
              <w:bottom w:val="single" w:sz="4" w:space="0" w:color="auto"/>
            </w:tcBorders>
          </w:tcPr>
          <w:p w14:paraId="2DBFFDD4" w14:textId="77777777" w:rsidR="00C87744" w:rsidRDefault="00C87744">
            <w:pPr>
              <w:spacing w:line="360" w:lineRule="auto"/>
              <w:jc w:val="both"/>
              <w:rPr>
                <w:rFonts w:ascii="Book Antiqua" w:eastAsia="SimSun" w:hAnsi="Book Antiqua"/>
                <w:lang w:eastAsia="zh-CN"/>
              </w:rPr>
            </w:pPr>
          </w:p>
        </w:tc>
        <w:tc>
          <w:tcPr>
            <w:tcW w:w="449" w:type="pct"/>
            <w:tcBorders>
              <w:bottom w:val="single" w:sz="4" w:space="0" w:color="auto"/>
            </w:tcBorders>
          </w:tcPr>
          <w:p w14:paraId="3979774C"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0.641</w:t>
            </w:r>
          </w:p>
        </w:tc>
        <w:tc>
          <w:tcPr>
            <w:tcW w:w="296" w:type="pct"/>
            <w:tcBorders>
              <w:bottom w:val="single" w:sz="4" w:space="0" w:color="auto"/>
            </w:tcBorders>
          </w:tcPr>
          <w:p w14:paraId="03E26AD1" w14:textId="77777777" w:rsidR="00C87744" w:rsidRDefault="00C87744">
            <w:pPr>
              <w:spacing w:line="360" w:lineRule="auto"/>
              <w:jc w:val="both"/>
              <w:rPr>
                <w:rFonts w:ascii="Book Antiqua" w:eastAsia="SimSun" w:hAnsi="Book Antiqua"/>
                <w:lang w:eastAsia="zh-CN"/>
              </w:rPr>
            </w:pPr>
          </w:p>
        </w:tc>
        <w:tc>
          <w:tcPr>
            <w:tcW w:w="396" w:type="pct"/>
            <w:tcBorders>
              <w:bottom w:val="single" w:sz="4" w:space="0" w:color="auto"/>
            </w:tcBorders>
          </w:tcPr>
          <w:p w14:paraId="20287CFD" w14:textId="77777777" w:rsidR="00C87744" w:rsidRDefault="00C87744">
            <w:pPr>
              <w:spacing w:line="360" w:lineRule="auto"/>
              <w:jc w:val="both"/>
              <w:rPr>
                <w:rFonts w:ascii="Book Antiqua" w:eastAsia="SimSun" w:hAnsi="Book Antiqua"/>
                <w:lang w:eastAsia="zh-CN"/>
              </w:rPr>
            </w:pPr>
          </w:p>
        </w:tc>
        <w:tc>
          <w:tcPr>
            <w:tcW w:w="412" w:type="pct"/>
            <w:tcBorders>
              <w:bottom w:val="single" w:sz="4" w:space="0" w:color="auto"/>
            </w:tcBorders>
          </w:tcPr>
          <w:p w14:paraId="4C4FBE11"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0.254</w:t>
            </w:r>
          </w:p>
        </w:tc>
        <w:tc>
          <w:tcPr>
            <w:tcW w:w="433" w:type="pct"/>
            <w:tcBorders>
              <w:bottom w:val="single" w:sz="4" w:space="0" w:color="auto"/>
            </w:tcBorders>
          </w:tcPr>
          <w:p w14:paraId="2A3B68F2" w14:textId="77777777" w:rsidR="00C87744" w:rsidRDefault="00C87744">
            <w:pPr>
              <w:spacing w:line="360" w:lineRule="auto"/>
              <w:jc w:val="both"/>
              <w:rPr>
                <w:rFonts w:ascii="Book Antiqua" w:eastAsia="SimSun" w:hAnsi="Book Antiqua"/>
                <w:lang w:eastAsia="zh-CN"/>
              </w:rPr>
            </w:pPr>
          </w:p>
        </w:tc>
        <w:tc>
          <w:tcPr>
            <w:tcW w:w="303" w:type="pct"/>
            <w:tcBorders>
              <w:bottom w:val="single" w:sz="4" w:space="0" w:color="auto"/>
            </w:tcBorders>
          </w:tcPr>
          <w:p w14:paraId="4435CC6D" w14:textId="77777777" w:rsidR="00C87744" w:rsidRDefault="00C87744">
            <w:pPr>
              <w:spacing w:line="360" w:lineRule="auto"/>
              <w:jc w:val="both"/>
              <w:rPr>
                <w:rFonts w:ascii="Book Antiqua" w:eastAsia="SimSun" w:hAnsi="Book Antiqua"/>
                <w:lang w:eastAsia="zh-CN"/>
              </w:rPr>
            </w:pPr>
          </w:p>
        </w:tc>
      </w:tr>
    </w:tbl>
    <w:p w14:paraId="45CC9F5D" w14:textId="1FCB94AD" w:rsidR="00C87744" w:rsidRDefault="00000000">
      <w:pPr>
        <w:spacing w:line="360" w:lineRule="auto"/>
        <w:jc w:val="both"/>
        <w:rPr>
          <w:rFonts w:ascii="Book Antiqua" w:hAnsi="Book Antiqua"/>
        </w:rPr>
      </w:pPr>
      <w:r>
        <w:rPr>
          <w:rFonts w:ascii="Book Antiqua" w:hAnsi="Book Antiqua"/>
        </w:rPr>
        <w:t xml:space="preserve">MVI: </w:t>
      </w:r>
      <w:r>
        <w:rPr>
          <w:rFonts w:ascii="Book Antiqua" w:hAnsi="Book Antiqua"/>
          <w:shd w:val="clear" w:color="auto" w:fill="FFFFFF"/>
        </w:rPr>
        <w:t>Microvascular invasion.</w:t>
      </w:r>
    </w:p>
    <w:p w14:paraId="560A9BD5" w14:textId="77777777" w:rsidR="00C87744" w:rsidRDefault="00C87744">
      <w:pPr>
        <w:spacing w:line="360" w:lineRule="auto"/>
        <w:jc w:val="both"/>
        <w:rPr>
          <w:rFonts w:ascii="Book Antiqua" w:hAnsi="Book Antiqua"/>
        </w:rPr>
      </w:pPr>
    </w:p>
    <w:p w14:paraId="70092D8B" w14:textId="60136E83" w:rsidR="00C87744" w:rsidRDefault="00000000">
      <w:pPr>
        <w:spacing w:line="360" w:lineRule="auto"/>
        <w:jc w:val="both"/>
        <w:rPr>
          <w:rFonts w:ascii="Book Antiqua" w:hAnsi="Book Antiqua"/>
          <w:b/>
          <w:bCs/>
        </w:rPr>
      </w:pPr>
      <w:r>
        <w:rPr>
          <w:rFonts w:ascii="Book Antiqua" w:hAnsi="Book Antiqua"/>
          <w:b/>
        </w:rPr>
        <w:t>Table 3</w:t>
      </w:r>
      <w:r>
        <w:rPr>
          <w:rFonts w:ascii="Book Antiqua" w:hAnsi="Book Antiqua"/>
        </w:rPr>
        <w:t xml:space="preserve"> </w:t>
      </w:r>
      <w:r>
        <w:rPr>
          <w:rFonts w:ascii="Book Antiqua" w:hAnsi="Book Antiqua"/>
          <w:b/>
          <w:bCs/>
        </w:rPr>
        <w:t>Comparisons of shear wave elastography results between microvascular invasion-negative and microvascular invasion-positive hepatocellular carcinomas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5796"/>
        <w:gridCol w:w="3976"/>
      </w:tblGrid>
      <w:tr w:rsidR="00C87744" w14:paraId="4DB1233A" w14:textId="77777777">
        <w:tc>
          <w:tcPr>
            <w:tcW w:w="1230" w:type="pct"/>
            <w:tcBorders>
              <w:top w:val="single" w:sz="4" w:space="0" w:color="000000"/>
              <w:left w:val="nil"/>
              <w:bottom w:val="single" w:sz="4" w:space="0" w:color="000000"/>
              <w:right w:val="nil"/>
            </w:tcBorders>
          </w:tcPr>
          <w:p w14:paraId="2B250E4E" w14:textId="2474DA2D" w:rsidR="00C87744" w:rsidRDefault="00000000">
            <w:pPr>
              <w:spacing w:line="360" w:lineRule="auto"/>
              <w:jc w:val="both"/>
              <w:rPr>
                <w:rFonts w:ascii="Book Antiqua" w:eastAsia="SimSun" w:hAnsi="Book Antiqua"/>
                <w:b/>
                <w:bCs/>
                <w:lang w:eastAsia="zh-CN"/>
              </w:rPr>
            </w:pPr>
            <w:r>
              <w:rPr>
                <w:rFonts w:ascii="Book Antiqua" w:eastAsia="SimSun" w:hAnsi="Book Antiqua" w:hint="eastAsia"/>
                <w:b/>
                <w:bCs/>
                <w:lang w:eastAsia="zh-CN"/>
              </w:rPr>
              <w:t xml:space="preserve">MVI </w:t>
            </w:r>
          </w:p>
        </w:tc>
        <w:tc>
          <w:tcPr>
            <w:tcW w:w="2236" w:type="pct"/>
            <w:tcBorders>
              <w:top w:val="single" w:sz="4" w:space="0" w:color="000000"/>
              <w:left w:val="nil"/>
              <w:bottom w:val="single" w:sz="4" w:space="0" w:color="000000"/>
              <w:right w:val="nil"/>
            </w:tcBorders>
          </w:tcPr>
          <w:p w14:paraId="4310453B" w14:textId="5ED905A4"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Emax of the periphery of tumors in m/s</w:t>
            </w:r>
          </w:p>
        </w:tc>
        <w:tc>
          <w:tcPr>
            <w:tcW w:w="1534" w:type="pct"/>
            <w:tcBorders>
              <w:top w:val="single" w:sz="4" w:space="0" w:color="000000"/>
              <w:left w:val="nil"/>
              <w:bottom w:val="single" w:sz="4" w:space="0" w:color="000000"/>
              <w:right w:val="nil"/>
            </w:tcBorders>
          </w:tcPr>
          <w:p w14:paraId="623CB323" w14:textId="7560595B"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Emax of the tumors in m/s</w:t>
            </w:r>
          </w:p>
        </w:tc>
      </w:tr>
      <w:tr w:rsidR="00C87744" w14:paraId="1F2A6CB6" w14:textId="77777777">
        <w:tc>
          <w:tcPr>
            <w:tcW w:w="1230" w:type="pct"/>
            <w:tcBorders>
              <w:top w:val="single" w:sz="4" w:space="0" w:color="000000"/>
              <w:left w:val="nil"/>
              <w:bottom w:val="nil"/>
              <w:right w:val="nil"/>
            </w:tcBorders>
          </w:tcPr>
          <w:p w14:paraId="1FA135EC" w14:textId="0C50E2C3"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 xml:space="preserve">MVI negative, </w:t>
            </w:r>
            <w:r>
              <w:rPr>
                <w:rFonts w:ascii="Book Antiqua" w:eastAsia="SimSun" w:hAnsi="Book Antiqua"/>
                <w:i/>
                <w:iCs/>
                <w:lang w:eastAsia="zh-CN"/>
              </w:rPr>
              <w:t>n</w:t>
            </w:r>
            <w:r>
              <w:rPr>
                <w:rFonts w:ascii="Book Antiqua" w:eastAsia="SimSun" w:hAnsi="Book Antiqua"/>
                <w:lang w:eastAsia="zh-CN"/>
              </w:rPr>
              <w:t xml:space="preserve"> = 86</w:t>
            </w:r>
          </w:p>
        </w:tc>
        <w:tc>
          <w:tcPr>
            <w:tcW w:w="2236" w:type="pct"/>
            <w:tcBorders>
              <w:top w:val="single" w:sz="4" w:space="0" w:color="000000"/>
              <w:left w:val="nil"/>
              <w:bottom w:val="nil"/>
              <w:right w:val="nil"/>
            </w:tcBorders>
          </w:tcPr>
          <w:p w14:paraId="069E6E03" w14:textId="77777777" w:rsidR="00C87744" w:rsidRDefault="00000000">
            <w:pPr>
              <w:spacing w:line="360" w:lineRule="auto"/>
              <w:jc w:val="both"/>
              <w:rPr>
                <w:rFonts w:ascii="Book Antiqua" w:eastAsia="SimSun" w:hAnsi="Book Antiqua"/>
                <w:kern w:val="2"/>
                <w:lang w:eastAsia="zh-CN"/>
              </w:rPr>
            </w:pPr>
            <w:r>
              <w:rPr>
                <w:rFonts w:ascii="Book Antiqua" w:eastAsia="SimSun" w:hAnsi="Book Antiqua"/>
                <w:lang w:eastAsia="zh-CN"/>
              </w:rPr>
              <w:t>1.38 (1.18-1.65)</w:t>
            </w:r>
          </w:p>
        </w:tc>
        <w:tc>
          <w:tcPr>
            <w:tcW w:w="1534" w:type="pct"/>
            <w:tcBorders>
              <w:top w:val="single" w:sz="4" w:space="0" w:color="000000"/>
              <w:left w:val="nil"/>
              <w:bottom w:val="nil"/>
              <w:right w:val="nil"/>
            </w:tcBorders>
          </w:tcPr>
          <w:p w14:paraId="06EF2350"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2.14 (1.71-2.49)</w:t>
            </w:r>
          </w:p>
        </w:tc>
      </w:tr>
      <w:tr w:rsidR="00C87744" w14:paraId="113568D3" w14:textId="77777777">
        <w:tc>
          <w:tcPr>
            <w:tcW w:w="1230" w:type="pct"/>
            <w:tcBorders>
              <w:top w:val="nil"/>
              <w:left w:val="nil"/>
              <w:bottom w:val="nil"/>
              <w:right w:val="nil"/>
            </w:tcBorders>
          </w:tcPr>
          <w:p w14:paraId="399941E2" w14:textId="1617F922"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 xml:space="preserve">MVI positive, </w:t>
            </w:r>
            <w:r>
              <w:rPr>
                <w:rFonts w:ascii="Book Antiqua" w:eastAsia="SimSun" w:hAnsi="Book Antiqua"/>
                <w:i/>
                <w:iCs/>
                <w:lang w:eastAsia="zh-CN"/>
              </w:rPr>
              <w:t>n</w:t>
            </w:r>
            <w:r>
              <w:rPr>
                <w:rFonts w:ascii="Book Antiqua" w:eastAsia="SimSun" w:hAnsi="Book Antiqua"/>
                <w:lang w:eastAsia="zh-CN"/>
              </w:rPr>
              <w:t xml:space="preserve"> = 102</w:t>
            </w:r>
          </w:p>
        </w:tc>
        <w:tc>
          <w:tcPr>
            <w:tcW w:w="2236" w:type="pct"/>
            <w:tcBorders>
              <w:top w:val="nil"/>
              <w:left w:val="nil"/>
              <w:bottom w:val="nil"/>
              <w:right w:val="nil"/>
            </w:tcBorders>
          </w:tcPr>
          <w:p w14:paraId="478144AE" w14:textId="77777777" w:rsidR="00C87744" w:rsidRDefault="00000000">
            <w:pPr>
              <w:spacing w:line="360" w:lineRule="auto"/>
              <w:jc w:val="both"/>
              <w:rPr>
                <w:rFonts w:ascii="Book Antiqua" w:eastAsia="SimSun" w:hAnsi="Book Antiqua"/>
                <w:kern w:val="2"/>
                <w:lang w:eastAsia="zh-CN"/>
              </w:rPr>
            </w:pPr>
            <w:r>
              <w:rPr>
                <w:rFonts w:ascii="Book Antiqua" w:eastAsia="SimSun" w:hAnsi="Book Antiqua"/>
                <w:lang w:eastAsia="zh-CN"/>
              </w:rPr>
              <w:t>1.50 (1.31-1.88)</w:t>
            </w:r>
          </w:p>
        </w:tc>
        <w:tc>
          <w:tcPr>
            <w:tcW w:w="1534" w:type="pct"/>
            <w:tcBorders>
              <w:top w:val="nil"/>
              <w:left w:val="nil"/>
              <w:bottom w:val="nil"/>
              <w:right w:val="nil"/>
            </w:tcBorders>
          </w:tcPr>
          <w:p w14:paraId="4534AF49"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2.29 (2.00-2.63)</w:t>
            </w:r>
          </w:p>
        </w:tc>
      </w:tr>
      <w:tr w:rsidR="00C87744" w14:paraId="15164244" w14:textId="77777777">
        <w:tc>
          <w:tcPr>
            <w:tcW w:w="1230" w:type="pct"/>
            <w:tcBorders>
              <w:top w:val="nil"/>
              <w:left w:val="nil"/>
              <w:bottom w:val="nil"/>
              <w:right w:val="nil"/>
            </w:tcBorders>
          </w:tcPr>
          <w:p w14:paraId="4903304E" w14:textId="77777777" w:rsidR="00C87744" w:rsidRDefault="00000000">
            <w:pPr>
              <w:spacing w:line="360" w:lineRule="auto"/>
              <w:jc w:val="both"/>
              <w:rPr>
                <w:rFonts w:ascii="Book Antiqua" w:eastAsia="SimSun" w:hAnsi="Book Antiqua"/>
                <w:i/>
                <w:iCs/>
                <w:lang w:eastAsia="zh-CN"/>
              </w:rPr>
            </w:pPr>
            <w:r>
              <w:rPr>
                <w:rFonts w:ascii="Book Antiqua" w:eastAsia="SimSun" w:hAnsi="Book Antiqua"/>
                <w:i/>
                <w:iCs/>
                <w:lang w:eastAsia="zh-CN"/>
              </w:rPr>
              <w:t>Z</w:t>
            </w:r>
          </w:p>
        </w:tc>
        <w:tc>
          <w:tcPr>
            <w:tcW w:w="2236" w:type="pct"/>
            <w:tcBorders>
              <w:top w:val="nil"/>
              <w:left w:val="nil"/>
              <w:bottom w:val="nil"/>
              <w:right w:val="nil"/>
            </w:tcBorders>
          </w:tcPr>
          <w:p w14:paraId="1A610F6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2.879</w:t>
            </w:r>
          </w:p>
        </w:tc>
        <w:tc>
          <w:tcPr>
            <w:tcW w:w="1534" w:type="pct"/>
            <w:tcBorders>
              <w:top w:val="nil"/>
              <w:left w:val="nil"/>
              <w:bottom w:val="nil"/>
              <w:right w:val="nil"/>
            </w:tcBorders>
          </w:tcPr>
          <w:p w14:paraId="1897DD6C"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2.312</w:t>
            </w:r>
          </w:p>
        </w:tc>
      </w:tr>
      <w:tr w:rsidR="00C87744" w14:paraId="6FE17259" w14:textId="77777777">
        <w:tc>
          <w:tcPr>
            <w:tcW w:w="1230" w:type="pct"/>
            <w:tcBorders>
              <w:top w:val="nil"/>
              <w:left w:val="nil"/>
              <w:bottom w:val="single" w:sz="4" w:space="0" w:color="000000"/>
              <w:right w:val="nil"/>
            </w:tcBorders>
          </w:tcPr>
          <w:p w14:paraId="11F8EFDD" w14:textId="77777777" w:rsidR="00C87744" w:rsidRDefault="00000000">
            <w:pPr>
              <w:spacing w:line="360" w:lineRule="auto"/>
              <w:jc w:val="both"/>
              <w:rPr>
                <w:rFonts w:ascii="Book Antiqua" w:eastAsia="SimSun" w:hAnsi="Book Antiqua"/>
                <w:i/>
                <w:iCs/>
                <w:lang w:eastAsia="zh-CN"/>
              </w:rPr>
            </w:pPr>
            <w:r>
              <w:rPr>
                <w:rFonts w:ascii="Book Antiqua" w:eastAsia="SimSun" w:hAnsi="Book Antiqua"/>
                <w:i/>
                <w:iCs/>
                <w:lang w:eastAsia="zh-CN"/>
              </w:rPr>
              <w:t>P</w:t>
            </w:r>
            <w:r>
              <w:rPr>
                <w:rFonts w:ascii="Book Antiqua" w:eastAsia="SimSun" w:hAnsi="Book Antiqua"/>
                <w:lang w:eastAsia="zh-CN"/>
              </w:rPr>
              <w:t xml:space="preserve"> value</w:t>
            </w:r>
          </w:p>
        </w:tc>
        <w:tc>
          <w:tcPr>
            <w:tcW w:w="2236" w:type="pct"/>
            <w:tcBorders>
              <w:top w:val="nil"/>
              <w:left w:val="nil"/>
              <w:bottom w:val="single" w:sz="4" w:space="0" w:color="000000"/>
              <w:right w:val="nil"/>
            </w:tcBorders>
          </w:tcPr>
          <w:p w14:paraId="1616BDDD"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0.004</w:t>
            </w:r>
          </w:p>
        </w:tc>
        <w:tc>
          <w:tcPr>
            <w:tcW w:w="1534" w:type="pct"/>
            <w:tcBorders>
              <w:top w:val="nil"/>
              <w:left w:val="nil"/>
              <w:bottom w:val="single" w:sz="4" w:space="0" w:color="000000"/>
              <w:right w:val="nil"/>
            </w:tcBorders>
          </w:tcPr>
          <w:p w14:paraId="017E9331"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0.021</w:t>
            </w:r>
          </w:p>
        </w:tc>
      </w:tr>
    </w:tbl>
    <w:p w14:paraId="36ECBF56" w14:textId="45E07F7F" w:rsidR="00C87744" w:rsidRDefault="00000000">
      <w:pPr>
        <w:spacing w:line="360" w:lineRule="auto"/>
        <w:jc w:val="both"/>
        <w:rPr>
          <w:rFonts w:ascii="Book Antiqua" w:hAnsi="Book Antiqua"/>
          <w:shd w:val="clear" w:color="auto" w:fill="FFFFFF"/>
        </w:rPr>
      </w:pPr>
      <w:r>
        <w:rPr>
          <w:rFonts w:ascii="Book Antiqua" w:hAnsi="Book Antiqua"/>
          <w:shd w:val="clear" w:color="auto" w:fill="FFFFFF"/>
        </w:rPr>
        <w:t>Emax: Maximal elasticity;</w:t>
      </w:r>
      <w:r>
        <w:rPr>
          <w:rFonts w:ascii="Book Antiqua" w:hAnsi="Book Antiqua"/>
        </w:rPr>
        <w:t xml:space="preserve"> MVI: </w:t>
      </w:r>
      <w:r>
        <w:rPr>
          <w:rFonts w:ascii="Book Antiqua" w:hAnsi="Book Antiqua"/>
          <w:shd w:val="clear" w:color="auto" w:fill="FFFFFF"/>
        </w:rPr>
        <w:t>Microvascular invasion.</w:t>
      </w:r>
    </w:p>
    <w:p w14:paraId="33752720" w14:textId="77777777" w:rsidR="00C87744" w:rsidRDefault="00C87744">
      <w:pPr>
        <w:spacing w:line="360" w:lineRule="auto"/>
        <w:jc w:val="both"/>
        <w:rPr>
          <w:rFonts w:ascii="Book Antiqua" w:hAnsi="Book Antiqua"/>
          <w:b/>
        </w:rPr>
      </w:pPr>
    </w:p>
    <w:p w14:paraId="306ACB25" w14:textId="5087FCE2" w:rsidR="00C87744" w:rsidRDefault="00000000">
      <w:pPr>
        <w:spacing w:line="360" w:lineRule="auto"/>
        <w:jc w:val="both"/>
        <w:rPr>
          <w:rFonts w:ascii="Book Antiqua" w:hAnsi="Book Antiqua"/>
          <w:kern w:val="2"/>
        </w:rPr>
      </w:pPr>
      <w:r>
        <w:rPr>
          <w:rFonts w:ascii="Book Antiqua" w:hAnsi="Book Antiqua"/>
          <w:b/>
        </w:rPr>
        <w:lastRenderedPageBreak/>
        <w:t>Table 4</w:t>
      </w:r>
      <w:r>
        <w:rPr>
          <w:rFonts w:ascii="Book Antiqua" w:hAnsi="Book Antiqua"/>
        </w:rPr>
        <w:t xml:space="preserve"> </w:t>
      </w:r>
      <w:r>
        <w:rPr>
          <w:rFonts w:ascii="Book Antiqua" w:hAnsi="Book Antiqua"/>
          <w:b/>
          <w:bCs/>
        </w:rPr>
        <w:t>Comparisons of shear wave elastography results between mild microvascular invasion and severe microvascular invasion hepatocellular carcinomas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710"/>
        <w:gridCol w:w="3904"/>
      </w:tblGrid>
      <w:tr w:rsidR="00C87744" w14:paraId="74DEA8AF" w14:textId="77777777">
        <w:tc>
          <w:tcPr>
            <w:tcW w:w="1291" w:type="pct"/>
            <w:tcBorders>
              <w:top w:val="single" w:sz="4" w:space="0" w:color="auto"/>
              <w:bottom w:val="single" w:sz="4" w:space="0" w:color="auto"/>
            </w:tcBorders>
          </w:tcPr>
          <w:p w14:paraId="0C002017" w14:textId="0F1E5AF9" w:rsidR="00C87744" w:rsidRDefault="00000000">
            <w:pPr>
              <w:spacing w:line="360" w:lineRule="auto"/>
              <w:jc w:val="both"/>
              <w:rPr>
                <w:rFonts w:ascii="Book Antiqua" w:eastAsia="SimSun" w:hAnsi="Book Antiqua"/>
                <w:b/>
                <w:bCs/>
                <w:lang w:eastAsia="zh-CN"/>
              </w:rPr>
            </w:pPr>
            <w:r>
              <w:rPr>
                <w:rFonts w:ascii="Book Antiqua" w:eastAsia="SimSun" w:hAnsi="Book Antiqua" w:hint="eastAsia"/>
                <w:b/>
                <w:bCs/>
                <w:lang w:eastAsia="zh-CN"/>
              </w:rPr>
              <w:t xml:space="preserve">MVI </w:t>
            </w:r>
          </w:p>
        </w:tc>
        <w:tc>
          <w:tcPr>
            <w:tcW w:w="2203" w:type="pct"/>
            <w:tcBorders>
              <w:top w:val="single" w:sz="4" w:space="0" w:color="auto"/>
              <w:bottom w:val="single" w:sz="4" w:space="0" w:color="auto"/>
            </w:tcBorders>
          </w:tcPr>
          <w:p w14:paraId="370B0787" w14:textId="59C618F2"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Emax of the periphery of tumors in m/s</w:t>
            </w:r>
          </w:p>
        </w:tc>
        <w:tc>
          <w:tcPr>
            <w:tcW w:w="1506" w:type="pct"/>
            <w:tcBorders>
              <w:top w:val="single" w:sz="4" w:space="0" w:color="auto"/>
              <w:bottom w:val="single" w:sz="4" w:space="0" w:color="auto"/>
            </w:tcBorders>
          </w:tcPr>
          <w:p w14:paraId="3D2CA5BA" w14:textId="6E4793FA"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Emax of the tumors in m/s</w:t>
            </w:r>
          </w:p>
        </w:tc>
      </w:tr>
      <w:tr w:rsidR="00C87744" w14:paraId="5020BDD3" w14:textId="77777777">
        <w:tc>
          <w:tcPr>
            <w:tcW w:w="1291" w:type="pct"/>
            <w:tcBorders>
              <w:top w:val="single" w:sz="4" w:space="0" w:color="auto"/>
            </w:tcBorders>
          </w:tcPr>
          <w:p w14:paraId="1CFA32CB"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 xml:space="preserve">Mild MVI, </w:t>
            </w:r>
            <w:r>
              <w:rPr>
                <w:rFonts w:ascii="Book Antiqua" w:eastAsia="SimSun" w:hAnsi="Book Antiqua"/>
                <w:i/>
                <w:iCs/>
                <w:lang w:eastAsia="zh-CN"/>
              </w:rPr>
              <w:t>n</w:t>
            </w:r>
            <w:r>
              <w:rPr>
                <w:rFonts w:ascii="Book Antiqua" w:eastAsia="SimSun" w:hAnsi="Book Antiqua"/>
                <w:lang w:eastAsia="zh-CN"/>
              </w:rPr>
              <w:t xml:space="preserve"> = 54</w:t>
            </w:r>
          </w:p>
        </w:tc>
        <w:tc>
          <w:tcPr>
            <w:tcW w:w="2203" w:type="pct"/>
            <w:tcBorders>
              <w:top w:val="single" w:sz="4" w:space="0" w:color="auto"/>
            </w:tcBorders>
          </w:tcPr>
          <w:p w14:paraId="457B5AE8" w14:textId="77777777" w:rsidR="00C87744" w:rsidRDefault="00000000">
            <w:pPr>
              <w:spacing w:line="360" w:lineRule="auto"/>
              <w:jc w:val="both"/>
              <w:rPr>
                <w:rFonts w:ascii="Book Antiqua" w:eastAsia="SimSun" w:hAnsi="Book Antiqua"/>
                <w:kern w:val="2"/>
                <w:lang w:eastAsia="zh-CN"/>
              </w:rPr>
            </w:pPr>
            <w:r>
              <w:rPr>
                <w:rFonts w:ascii="Book Antiqua" w:eastAsia="SimSun" w:hAnsi="Book Antiqua"/>
                <w:lang w:eastAsia="zh-CN"/>
              </w:rPr>
              <w:t>1.42 (1.23-1.84)</w:t>
            </w:r>
          </w:p>
        </w:tc>
        <w:tc>
          <w:tcPr>
            <w:tcW w:w="1506" w:type="pct"/>
            <w:tcBorders>
              <w:top w:val="single" w:sz="4" w:space="0" w:color="auto"/>
            </w:tcBorders>
          </w:tcPr>
          <w:p w14:paraId="285B42DC"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2.24 (2.00-2.56)</w:t>
            </w:r>
          </w:p>
        </w:tc>
      </w:tr>
      <w:tr w:rsidR="00C87744" w14:paraId="0E19A344" w14:textId="77777777">
        <w:tc>
          <w:tcPr>
            <w:tcW w:w="1291" w:type="pct"/>
          </w:tcPr>
          <w:p w14:paraId="131F219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 xml:space="preserve">Severe MVI, </w:t>
            </w:r>
            <w:r>
              <w:rPr>
                <w:rFonts w:ascii="Book Antiqua" w:eastAsia="SimSun" w:hAnsi="Book Antiqua"/>
                <w:i/>
                <w:iCs/>
                <w:lang w:eastAsia="zh-CN"/>
              </w:rPr>
              <w:t>n</w:t>
            </w:r>
            <w:r>
              <w:rPr>
                <w:rFonts w:ascii="Book Antiqua" w:eastAsia="SimSun" w:hAnsi="Book Antiqua"/>
                <w:lang w:eastAsia="zh-CN"/>
              </w:rPr>
              <w:t xml:space="preserve"> = 48</w:t>
            </w:r>
          </w:p>
        </w:tc>
        <w:tc>
          <w:tcPr>
            <w:tcW w:w="2203" w:type="pct"/>
          </w:tcPr>
          <w:p w14:paraId="2C579051" w14:textId="77777777" w:rsidR="00C87744" w:rsidRDefault="00000000">
            <w:pPr>
              <w:spacing w:line="360" w:lineRule="auto"/>
              <w:jc w:val="both"/>
              <w:rPr>
                <w:rFonts w:ascii="Book Antiqua" w:eastAsia="SimSun" w:hAnsi="Book Antiqua"/>
                <w:kern w:val="2"/>
                <w:lang w:eastAsia="zh-CN"/>
              </w:rPr>
            </w:pPr>
            <w:r>
              <w:rPr>
                <w:rFonts w:ascii="Book Antiqua" w:eastAsia="SimSun" w:hAnsi="Book Antiqua"/>
                <w:lang w:eastAsia="zh-CN"/>
              </w:rPr>
              <w:t>1.67 (1.37-1.98)</w:t>
            </w:r>
          </w:p>
        </w:tc>
        <w:tc>
          <w:tcPr>
            <w:tcW w:w="1506" w:type="pct"/>
          </w:tcPr>
          <w:p w14:paraId="364848B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2.37 (2.03-2.67)</w:t>
            </w:r>
          </w:p>
        </w:tc>
      </w:tr>
      <w:tr w:rsidR="00C87744" w14:paraId="3EE37BD1" w14:textId="77777777">
        <w:tc>
          <w:tcPr>
            <w:tcW w:w="1291" w:type="pct"/>
          </w:tcPr>
          <w:p w14:paraId="08992FF0" w14:textId="77777777" w:rsidR="00C87744" w:rsidRDefault="00000000">
            <w:pPr>
              <w:spacing w:line="360" w:lineRule="auto"/>
              <w:jc w:val="both"/>
              <w:rPr>
                <w:rFonts w:ascii="Book Antiqua" w:eastAsia="SimSun" w:hAnsi="Book Antiqua"/>
                <w:i/>
                <w:iCs/>
                <w:lang w:eastAsia="zh-CN"/>
              </w:rPr>
            </w:pPr>
            <w:r>
              <w:rPr>
                <w:rFonts w:ascii="Book Antiqua" w:eastAsia="SimSun" w:hAnsi="Book Antiqua"/>
                <w:i/>
                <w:iCs/>
                <w:lang w:eastAsia="zh-CN"/>
              </w:rPr>
              <w:t>Z</w:t>
            </w:r>
          </w:p>
        </w:tc>
        <w:tc>
          <w:tcPr>
            <w:tcW w:w="2203" w:type="pct"/>
          </w:tcPr>
          <w:p w14:paraId="77D0C18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2.437</w:t>
            </w:r>
          </w:p>
        </w:tc>
        <w:tc>
          <w:tcPr>
            <w:tcW w:w="1506" w:type="pct"/>
          </w:tcPr>
          <w:p w14:paraId="1E9E6DB5"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0.811</w:t>
            </w:r>
          </w:p>
        </w:tc>
      </w:tr>
      <w:tr w:rsidR="00C87744" w14:paraId="081A649F" w14:textId="77777777">
        <w:tc>
          <w:tcPr>
            <w:tcW w:w="1291" w:type="pct"/>
            <w:tcBorders>
              <w:bottom w:val="single" w:sz="4" w:space="0" w:color="auto"/>
            </w:tcBorders>
          </w:tcPr>
          <w:p w14:paraId="3811CA35" w14:textId="77777777" w:rsidR="00C87744" w:rsidRDefault="00000000">
            <w:pPr>
              <w:spacing w:line="360" w:lineRule="auto"/>
              <w:jc w:val="both"/>
              <w:rPr>
                <w:rFonts w:ascii="Book Antiqua" w:eastAsia="SimSun" w:hAnsi="Book Antiqua"/>
                <w:lang w:eastAsia="zh-CN"/>
              </w:rPr>
            </w:pPr>
            <w:r>
              <w:rPr>
                <w:rFonts w:ascii="Book Antiqua" w:eastAsia="SimSun" w:hAnsi="Book Antiqua"/>
                <w:i/>
                <w:iCs/>
                <w:lang w:eastAsia="zh-CN"/>
              </w:rPr>
              <w:t xml:space="preserve">P </w:t>
            </w:r>
            <w:r>
              <w:rPr>
                <w:rFonts w:ascii="Book Antiqua" w:eastAsia="SimSun" w:hAnsi="Book Antiqua"/>
                <w:lang w:eastAsia="zh-CN"/>
              </w:rPr>
              <w:t>value</w:t>
            </w:r>
          </w:p>
        </w:tc>
        <w:tc>
          <w:tcPr>
            <w:tcW w:w="2203" w:type="pct"/>
            <w:tcBorders>
              <w:bottom w:val="single" w:sz="4" w:space="0" w:color="auto"/>
            </w:tcBorders>
          </w:tcPr>
          <w:p w14:paraId="1D871F75"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0.014</w:t>
            </w:r>
          </w:p>
        </w:tc>
        <w:tc>
          <w:tcPr>
            <w:tcW w:w="1506" w:type="pct"/>
            <w:tcBorders>
              <w:bottom w:val="single" w:sz="4" w:space="0" w:color="auto"/>
            </w:tcBorders>
          </w:tcPr>
          <w:p w14:paraId="63CE9AED"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0.420</w:t>
            </w:r>
          </w:p>
        </w:tc>
      </w:tr>
    </w:tbl>
    <w:p w14:paraId="7792D82A" w14:textId="3F00EF67" w:rsidR="00C87744" w:rsidRDefault="00000000">
      <w:pPr>
        <w:spacing w:line="360" w:lineRule="auto"/>
        <w:jc w:val="both"/>
        <w:rPr>
          <w:rFonts w:ascii="Book Antiqua" w:hAnsi="Book Antiqua"/>
          <w:shd w:val="clear" w:color="auto" w:fill="FFFFFF"/>
        </w:rPr>
      </w:pPr>
      <w:r>
        <w:rPr>
          <w:rFonts w:ascii="Book Antiqua" w:hAnsi="Book Antiqua"/>
          <w:shd w:val="clear" w:color="auto" w:fill="FFFFFF"/>
        </w:rPr>
        <w:t>Emax: Maximal elasticity;</w:t>
      </w:r>
      <w:r>
        <w:rPr>
          <w:rFonts w:ascii="Book Antiqua" w:hAnsi="Book Antiqua"/>
        </w:rPr>
        <w:t xml:space="preserve"> MVI: </w:t>
      </w:r>
      <w:r>
        <w:rPr>
          <w:rFonts w:ascii="Book Antiqua" w:hAnsi="Book Antiqua"/>
          <w:shd w:val="clear" w:color="auto" w:fill="FFFFFF"/>
        </w:rPr>
        <w:t>Microvascular invasion.</w:t>
      </w:r>
    </w:p>
    <w:p w14:paraId="577BAA22" w14:textId="77777777" w:rsidR="00C87744" w:rsidRDefault="00C87744">
      <w:pPr>
        <w:spacing w:line="360" w:lineRule="auto"/>
        <w:jc w:val="both"/>
        <w:rPr>
          <w:rFonts w:ascii="Book Antiqua" w:hAnsi="Book Antiqua"/>
        </w:rPr>
      </w:pPr>
    </w:p>
    <w:p w14:paraId="3E3AC354" w14:textId="21ED16B7" w:rsidR="00C87744" w:rsidRDefault="00000000">
      <w:pPr>
        <w:spacing w:line="360" w:lineRule="auto"/>
        <w:jc w:val="both"/>
        <w:rPr>
          <w:rFonts w:ascii="Book Antiqua" w:hAnsi="Book Antiqua"/>
          <w:kern w:val="2"/>
        </w:rPr>
      </w:pPr>
      <w:r>
        <w:rPr>
          <w:rFonts w:ascii="Book Antiqua" w:hAnsi="Book Antiqua"/>
          <w:b/>
        </w:rPr>
        <w:t xml:space="preserve">Table 5 </w:t>
      </w:r>
      <w:r>
        <w:rPr>
          <w:rFonts w:ascii="Book Antiqua" w:hAnsi="Book Antiqua"/>
          <w:b/>
          <w:bCs/>
        </w:rPr>
        <w:t>Results of bivariate logistic regression of the features suggestive of positive microvascular invasion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2369"/>
        <w:gridCol w:w="1555"/>
        <w:gridCol w:w="3489"/>
        <w:gridCol w:w="1203"/>
      </w:tblGrid>
      <w:tr w:rsidR="00C87744" w14:paraId="482D6E35" w14:textId="77777777">
        <w:tc>
          <w:tcPr>
            <w:tcW w:w="1676" w:type="pct"/>
            <w:tcBorders>
              <w:top w:val="single" w:sz="4" w:space="0" w:color="auto"/>
              <w:bottom w:val="single" w:sz="4" w:space="0" w:color="auto"/>
            </w:tcBorders>
          </w:tcPr>
          <w:p w14:paraId="6F643359" w14:textId="05BFDACA" w:rsidR="00C87744" w:rsidRDefault="00000000">
            <w:pPr>
              <w:spacing w:line="360" w:lineRule="auto"/>
              <w:jc w:val="both"/>
              <w:rPr>
                <w:rFonts w:ascii="Book Antiqua" w:eastAsia="SimSun" w:hAnsi="Book Antiqua"/>
                <w:b/>
                <w:bCs/>
                <w:lang w:eastAsia="zh-CN"/>
              </w:rPr>
            </w:pPr>
            <w:r>
              <w:rPr>
                <w:rFonts w:ascii="Book Antiqua" w:eastAsia="SimSun" w:hAnsi="Book Antiqua" w:hint="eastAsia"/>
                <w:b/>
                <w:bCs/>
                <w:lang w:eastAsia="zh-CN"/>
              </w:rPr>
              <w:t>Ultrasound features</w:t>
            </w:r>
          </w:p>
        </w:tc>
        <w:tc>
          <w:tcPr>
            <w:tcW w:w="914" w:type="pct"/>
            <w:tcBorders>
              <w:top w:val="single" w:sz="4" w:space="0" w:color="auto"/>
              <w:bottom w:val="single" w:sz="4" w:space="0" w:color="auto"/>
            </w:tcBorders>
          </w:tcPr>
          <w:p w14:paraId="54B35197"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β coefficient</w:t>
            </w:r>
          </w:p>
        </w:tc>
        <w:tc>
          <w:tcPr>
            <w:tcW w:w="600" w:type="pct"/>
            <w:tcBorders>
              <w:top w:val="single" w:sz="4" w:space="0" w:color="auto"/>
              <w:bottom w:val="single" w:sz="4" w:space="0" w:color="auto"/>
            </w:tcBorders>
          </w:tcPr>
          <w:p w14:paraId="7E4DF22E"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Odd ratios</w:t>
            </w:r>
          </w:p>
        </w:tc>
        <w:tc>
          <w:tcPr>
            <w:tcW w:w="1346" w:type="pct"/>
            <w:tcBorders>
              <w:top w:val="single" w:sz="4" w:space="0" w:color="auto"/>
              <w:bottom w:val="single" w:sz="4" w:space="0" w:color="auto"/>
            </w:tcBorders>
          </w:tcPr>
          <w:p w14:paraId="0F50D73C" w14:textId="77777777" w:rsidR="00C87744" w:rsidRDefault="00000000">
            <w:pPr>
              <w:spacing w:line="360" w:lineRule="auto"/>
              <w:jc w:val="both"/>
              <w:rPr>
                <w:rFonts w:ascii="Book Antiqua" w:eastAsia="SimSun" w:hAnsi="Book Antiqua"/>
                <w:b/>
                <w:bCs/>
                <w:lang w:eastAsia="zh-CN"/>
              </w:rPr>
            </w:pPr>
            <w:r>
              <w:rPr>
                <w:rFonts w:ascii="Book Antiqua" w:eastAsia="SimSun" w:hAnsi="Book Antiqua"/>
                <w:b/>
                <w:bCs/>
                <w:lang w:eastAsia="zh-CN"/>
              </w:rPr>
              <w:t>95% confidence interval</w:t>
            </w:r>
          </w:p>
        </w:tc>
        <w:tc>
          <w:tcPr>
            <w:tcW w:w="464" w:type="pct"/>
            <w:tcBorders>
              <w:top w:val="single" w:sz="4" w:space="0" w:color="auto"/>
              <w:bottom w:val="single" w:sz="4" w:space="0" w:color="auto"/>
            </w:tcBorders>
          </w:tcPr>
          <w:p w14:paraId="2B5DCA7A" w14:textId="77777777" w:rsidR="00C87744" w:rsidRDefault="00000000">
            <w:pPr>
              <w:spacing w:line="360" w:lineRule="auto"/>
              <w:jc w:val="both"/>
              <w:rPr>
                <w:rFonts w:ascii="Book Antiqua" w:eastAsia="SimSun" w:hAnsi="Book Antiqua"/>
                <w:b/>
                <w:bCs/>
                <w:iCs/>
                <w:lang w:eastAsia="zh-CN"/>
              </w:rPr>
            </w:pPr>
            <w:r>
              <w:rPr>
                <w:rFonts w:ascii="Book Antiqua" w:eastAsia="SimSun" w:hAnsi="Book Antiqua"/>
                <w:b/>
                <w:bCs/>
                <w:i/>
                <w:lang w:eastAsia="zh-CN"/>
              </w:rPr>
              <w:t xml:space="preserve">P </w:t>
            </w:r>
            <w:r>
              <w:rPr>
                <w:rFonts w:ascii="Book Antiqua" w:eastAsia="SimSun" w:hAnsi="Book Antiqua"/>
                <w:b/>
                <w:bCs/>
                <w:iCs/>
                <w:lang w:eastAsia="zh-CN"/>
              </w:rPr>
              <w:t>value</w:t>
            </w:r>
          </w:p>
        </w:tc>
      </w:tr>
      <w:tr w:rsidR="00C87744" w14:paraId="2A3352FF" w14:textId="77777777">
        <w:tc>
          <w:tcPr>
            <w:tcW w:w="1676" w:type="pct"/>
            <w:tcBorders>
              <w:top w:val="single" w:sz="4" w:space="0" w:color="auto"/>
            </w:tcBorders>
          </w:tcPr>
          <w:p w14:paraId="11E9B076"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Emax of the periphery of HCC</w:t>
            </w:r>
          </w:p>
        </w:tc>
        <w:tc>
          <w:tcPr>
            <w:tcW w:w="914" w:type="pct"/>
            <w:tcBorders>
              <w:top w:val="single" w:sz="4" w:space="0" w:color="auto"/>
            </w:tcBorders>
          </w:tcPr>
          <w:p w14:paraId="4D23641A"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1.037 ± 0.467</w:t>
            </w:r>
          </w:p>
        </w:tc>
        <w:tc>
          <w:tcPr>
            <w:tcW w:w="600" w:type="pct"/>
            <w:tcBorders>
              <w:top w:val="single" w:sz="4" w:space="0" w:color="auto"/>
            </w:tcBorders>
          </w:tcPr>
          <w:p w14:paraId="61C40CFD"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2.820</w:t>
            </w:r>
          </w:p>
        </w:tc>
        <w:tc>
          <w:tcPr>
            <w:tcW w:w="1346" w:type="pct"/>
            <w:tcBorders>
              <w:top w:val="single" w:sz="4" w:space="0" w:color="auto"/>
            </w:tcBorders>
          </w:tcPr>
          <w:p w14:paraId="3933340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1.128-7.049</w:t>
            </w:r>
          </w:p>
        </w:tc>
        <w:tc>
          <w:tcPr>
            <w:tcW w:w="464" w:type="pct"/>
            <w:tcBorders>
              <w:top w:val="single" w:sz="4" w:space="0" w:color="auto"/>
            </w:tcBorders>
          </w:tcPr>
          <w:p w14:paraId="7C60D75F"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0.027</w:t>
            </w:r>
          </w:p>
        </w:tc>
      </w:tr>
      <w:tr w:rsidR="00C87744" w14:paraId="1E12FF63" w14:textId="77777777">
        <w:tc>
          <w:tcPr>
            <w:tcW w:w="1676" w:type="pct"/>
          </w:tcPr>
          <w:p w14:paraId="0E03C14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Emax of HCC</w:t>
            </w:r>
          </w:p>
        </w:tc>
        <w:tc>
          <w:tcPr>
            <w:tcW w:w="914" w:type="pct"/>
          </w:tcPr>
          <w:p w14:paraId="411B7772"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0.114 ± 0.272</w:t>
            </w:r>
          </w:p>
        </w:tc>
        <w:tc>
          <w:tcPr>
            <w:tcW w:w="600" w:type="pct"/>
          </w:tcPr>
          <w:p w14:paraId="55C22D66"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0.893</w:t>
            </w:r>
          </w:p>
        </w:tc>
        <w:tc>
          <w:tcPr>
            <w:tcW w:w="1346" w:type="pct"/>
          </w:tcPr>
          <w:p w14:paraId="15548BDB"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0.524-1.521</w:t>
            </w:r>
          </w:p>
        </w:tc>
        <w:tc>
          <w:tcPr>
            <w:tcW w:w="464" w:type="pct"/>
          </w:tcPr>
          <w:p w14:paraId="67861651"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0.676</w:t>
            </w:r>
          </w:p>
        </w:tc>
      </w:tr>
      <w:tr w:rsidR="00C87744" w14:paraId="21E48446" w14:textId="77777777">
        <w:tc>
          <w:tcPr>
            <w:tcW w:w="1676" w:type="pct"/>
          </w:tcPr>
          <w:p w14:paraId="59DC4A43"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Maximal tumor diameter</w:t>
            </w:r>
          </w:p>
        </w:tc>
        <w:tc>
          <w:tcPr>
            <w:tcW w:w="914" w:type="pct"/>
          </w:tcPr>
          <w:p w14:paraId="7319C940"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0.021 ± 0.008</w:t>
            </w:r>
          </w:p>
        </w:tc>
        <w:tc>
          <w:tcPr>
            <w:tcW w:w="600" w:type="pct"/>
          </w:tcPr>
          <w:p w14:paraId="3F4A7F15"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1.021</w:t>
            </w:r>
          </w:p>
        </w:tc>
        <w:tc>
          <w:tcPr>
            <w:tcW w:w="1346" w:type="pct"/>
          </w:tcPr>
          <w:p w14:paraId="27FA1296"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1.003-1.037</w:t>
            </w:r>
          </w:p>
        </w:tc>
        <w:tc>
          <w:tcPr>
            <w:tcW w:w="464" w:type="pct"/>
          </w:tcPr>
          <w:p w14:paraId="3FA7C2AF"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0.007</w:t>
            </w:r>
          </w:p>
        </w:tc>
      </w:tr>
      <w:tr w:rsidR="00C87744" w14:paraId="76397BC1" w14:textId="77777777">
        <w:tc>
          <w:tcPr>
            <w:tcW w:w="1676" w:type="pct"/>
          </w:tcPr>
          <w:p w14:paraId="56B33CF5"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Surrounding liver tissue</w:t>
            </w:r>
          </w:p>
        </w:tc>
        <w:tc>
          <w:tcPr>
            <w:tcW w:w="914" w:type="pct"/>
          </w:tcPr>
          <w:p w14:paraId="35366071"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0.329 ± 0.230</w:t>
            </w:r>
          </w:p>
        </w:tc>
        <w:tc>
          <w:tcPr>
            <w:tcW w:w="600" w:type="pct"/>
          </w:tcPr>
          <w:p w14:paraId="021E95F0"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0.719</w:t>
            </w:r>
          </w:p>
        </w:tc>
        <w:tc>
          <w:tcPr>
            <w:tcW w:w="1346" w:type="pct"/>
          </w:tcPr>
          <w:p w14:paraId="6A6AC538"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0.459-1.128</w:t>
            </w:r>
          </w:p>
        </w:tc>
        <w:tc>
          <w:tcPr>
            <w:tcW w:w="464" w:type="pct"/>
          </w:tcPr>
          <w:p w14:paraId="1D1CD58E"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0.152</w:t>
            </w:r>
          </w:p>
        </w:tc>
      </w:tr>
      <w:tr w:rsidR="00C87744" w14:paraId="4C745E83" w14:textId="77777777">
        <w:tc>
          <w:tcPr>
            <w:tcW w:w="1676" w:type="pct"/>
            <w:tcBorders>
              <w:bottom w:val="single" w:sz="4" w:space="0" w:color="auto"/>
            </w:tcBorders>
          </w:tcPr>
          <w:p w14:paraId="164D8CC8"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Color Doppler flow</w:t>
            </w:r>
          </w:p>
        </w:tc>
        <w:tc>
          <w:tcPr>
            <w:tcW w:w="914" w:type="pct"/>
            <w:tcBorders>
              <w:bottom w:val="single" w:sz="4" w:space="0" w:color="auto"/>
            </w:tcBorders>
          </w:tcPr>
          <w:p w14:paraId="381E9D43"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0.324 ± 0.190</w:t>
            </w:r>
          </w:p>
        </w:tc>
        <w:tc>
          <w:tcPr>
            <w:tcW w:w="600" w:type="pct"/>
            <w:tcBorders>
              <w:bottom w:val="single" w:sz="4" w:space="0" w:color="auto"/>
            </w:tcBorders>
          </w:tcPr>
          <w:p w14:paraId="0983ED8F" w14:textId="77777777" w:rsidR="00C87744" w:rsidRDefault="00000000">
            <w:pPr>
              <w:autoSpaceDE w:val="0"/>
              <w:autoSpaceDN w:val="0"/>
              <w:adjustRightInd w:val="0"/>
              <w:spacing w:line="360" w:lineRule="auto"/>
              <w:ind w:right="60"/>
              <w:jc w:val="both"/>
              <w:rPr>
                <w:rFonts w:ascii="Book Antiqua" w:eastAsia="SimSun" w:hAnsi="Book Antiqua"/>
                <w:lang w:eastAsia="zh-CN"/>
              </w:rPr>
            </w:pPr>
            <w:r>
              <w:rPr>
                <w:rFonts w:ascii="Book Antiqua" w:eastAsia="SimSun" w:hAnsi="Book Antiqua"/>
                <w:lang w:eastAsia="zh-CN"/>
              </w:rPr>
              <w:t>1.383</w:t>
            </w:r>
          </w:p>
        </w:tc>
        <w:tc>
          <w:tcPr>
            <w:tcW w:w="1346" w:type="pct"/>
            <w:tcBorders>
              <w:bottom w:val="single" w:sz="4" w:space="0" w:color="auto"/>
            </w:tcBorders>
          </w:tcPr>
          <w:p w14:paraId="253D2EBD"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0.953-2.006</w:t>
            </w:r>
          </w:p>
        </w:tc>
        <w:tc>
          <w:tcPr>
            <w:tcW w:w="464" w:type="pct"/>
            <w:tcBorders>
              <w:bottom w:val="single" w:sz="4" w:space="0" w:color="auto"/>
            </w:tcBorders>
          </w:tcPr>
          <w:p w14:paraId="3736CD72" w14:textId="77777777" w:rsidR="00C87744" w:rsidRDefault="00000000">
            <w:pPr>
              <w:spacing w:line="360" w:lineRule="auto"/>
              <w:jc w:val="both"/>
              <w:rPr>
                <w:rFonts w:ascii="Book Antiqua" w:eastAsia="SimSun" w:hAnsi="Book Antiqua"/>
                <w:lang w:eastAsia="zh-CN"/>
              </w:rPr>
            </w:pPr>
            <w:r>
              <w:rPr>
                <w:rFonts w:ascii="Book Antiqua" w:eastAsia="SimSun" w:hAnsi="Book Antiqua"/>
                <w:lang w:eastAsia="zh-CN"/>
              </w:rPr>
              <w:t>0.088</w:t>
            </w:r>
          </w:p>
        </w:tc>
      </w:tr>
    </w:tbl>
    <w:p w14:paraId="275AA819" w14:textId="4E93E096" w:rsidR="00C87744" w:rsidRDefault="00000000">
      <w:pPr>
        <w:spacing w:line="360" w:lineRule="auto"/>
        <w:jc w:val="both"/>
        <w:rPr>
          <w:rFonts w:ascii="Book Antiqua" w:hAnsi="Book Antiqua"/>
          <w:kern w:val="2"/>
        </w:rPr>
      </w:pPr>
      <w:r>
        <w:rPr>
          <w:rFonts w:ascii="Book Antiqua" w:hAnsi="Book Antiqua"/>
          <w:shd w:val="clear" w:color="auto" w:fill="FFFFFF"/>
        </w:rPr>
        <w:t>Emax: Maximal elasticity;</w:t>
      </w:r>
      <w:r>
        <w:rPr>
          <w:rFonts w:ascii="Book Antiqua" w:hAnsi="Book Antiqua"/>
        </w:rPr>
        <w:t xml:space="preserve"> </w:t>
      </w:r>
      <w:r>
        <w:rPr>
          <w:rFonts w:ascii="Book Antiqua" w:hAnsi="Book Antiqua"/>
          <w:shd w:val="clear" w:color="auto" w:fill="FFFFFF"/>
        </w:rPr>
        <w:t>HCC: Hepatocellular carcinoma.</w:t>
      </w:r>
    </w:p>
    <w:sectPr w:rsidR="00C87744">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952B2" w14:textId="77777777" w:rsidR="000E6121" w:rsidRDefault="000E6121">
      <w:r>
        <w:separator/>
      </w:r>
    </w:p>
  </w:endnote>
  <w:endnote w:type="continuationSeparator" w:id="0">
    <w:p w14:paraId="17DFDE50" w14:textId="77777777" w:rsidR="000E6121" w:rsidRDefault="000E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62084998"/>
    </w:sdtPr>
    <w:sdtContent>
      <w:sdt>
        <w:sdtPr>
          <w:rPr>
            <w:rFonts w:ascii="Book Antiqua" w:hAnsi="Book Antiqua"/>
            <w:sz w:val="24"/>
            <w:szCs w:val="24"/>
          </w:rPr>
          <w:id w:val="-1769616900"/>
        </w:sdtPr>
        <w:sdtContent>
          <w:p w14:paraId="536A616D" w14:textId="77777777" w:rsidR="00C87744" w:rsidRDefault="00000000">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F6DDA" w14:textId="77777777" w:rsidR="000E6121" w:rsidRDefault="000E6121">
      <w:r>
        <w:separator/>
      </w:r>
    </w:p>
  </w:footnote>
  <w:footnote w:type="continuationSeparator" w:id="0">
    <w:p w14:paraId="6ACC1E94" w14:textId="77777777" w:rsidR="000E6121" w:rsidRDefault="000E61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RhNjFjNzJmM2FiMzg2MjY2NDY5MWFjNmMyNTk3ZjEifQ=="/>
  </w:docVars>
  <w:rsids>
    <w:rsidRoot w:val="00A77B3E"/>
    <w:rsid w:val="00013DD1"/>
    <w:rsid w:val="00025AC1"/>
    <w:rsid w:val="000537EA"/>
    <w:rsid w:val="00055E47"/>
    <w:rsid w:val="0006366A"/>
    <w:rsid w:val="000905A9"/>
    <w:rsid w:val="000A413B"/>
    <w:rsid w:val="000A5D07"/>
    <w:rsid w:val="000B62F1"/>
    <w:rsid w:val="000D4E7A"/>
    <w:rsid w:val="000E599F"/>
    <w:rsid w:val="000E6121"/>
    <w:rsid w:val="000F72DB"/>
    <w:rsid w:val="00105183"/>
    <w:rsid w:val="00111827"/>
    <w:rsid w:val="001358E8"/>
    <w:rsid w:val="00163934"/>
    <w:rsid w:val="00167CBB"/>
    <w:rsid w:val="001734D9"/>
    <w:rsid w:val="00181FC8"/>
    <w:rsid w:val="00184938"/>
    <w:rsid w:val="001A0857"/>
    <w:rsid w:val="001D0D84"/>
    <w:rsid w:val="001D3589"/>
    <w:rsid w:val="001F1AA2"/>
    <w:rsid w:val="001F46C4"/>
    <w:rsid w:val="00214D70"/>
    <w:rsid w:val="0022113D"/>
    <w:rsid w:val="00235994"/>
    <w:rsid w:val="0023692A"/>
    <w:rsid w:val="00240C64"/>
    <w:rsid w:val="00256B39"/>
    <w:rsid w:val="00270809"/>
    <w:rsid w:val="00272D53"/>
    <w:rsid w:val="00311877"/>
    <w:rsid w:val="00320D1E"/>
    <w:rsid w:val="0032378D"/>
    <w:rsid w:val="0033421B"/>
    <w:rsid w:val="00372B4D"/>
    <w:rsid w:val="00380511"/>
    <w:rsid w:val="003947B0"/>
    <w:rsid w:val="003951FB"/>
    <w:rsid w:val="003A0F2A"/>
    <w:rsid w:val="003A5961"/>
    <w:rsid w:val="003C0E61"/>
    <w:rsid w:val="003D4131"/>
    <w:rsid w:val="003E3F03"/>
    <w:rsid w:val="00404F06"/>
    <w:rsid w:val="004143CE"/>
    <w:rsid w:val="0042104E"/>
    <w:rsid w:val="00447916"/>
    <w:rsid w:val="004830E4"/>
    <w:rsid w:val="00494662"/>
    <w:rsid w:val="004A6C10"/>
    <w:rsid w:val="004B5EB4"/>
    <w:rsid w:val="004C23C9"/>
    <w:rsid w:val="004F6126"/>
    <w:rsid w:val="0050221C"/>
    <w:rsid w:val="0051150B"/>
    <w:rsid w:val="0051389E"/>
    <w:rsid w:val="00533D38"/>
    <w:rsid w:val="00573CE0"/>
    <w:rsid w:val="00592DEB"/>
    <w:rsid w:val="005A7009"/>
    <w:rsid w:val="005E5D5A"/>
    <w:rsid w:val="005E62CE"/>
    <w:rsid w:val="005F6357"/>
    <w:rsid w:val="005F69D4"/>
    <w:rsid w:val="00607844"/>
    <w:rsid w:val="00661728"/>
    <w:rsid w:val="00690F31"/>
    <w:rsid w:val="00691A92"/>
    <w:rsid w:val="00696C50"/>
    <w:rsid w:val="006A1EF6"/>
    <w:rsid w:val="006A71A6"/>
    <w:rsid w:val="006B73F8"/>
    <w:rsid w:val="006C3BAB"/>
    <w:rsid w:val="006D0297"/>
    <w:rsid w:val="006D79EC"/>
    <w:rsid w:val="006E6C85"/>
    <w:rsid w:val="006F310A"/>
    <w:rsid w:val="006F4764"/>
    <w:rsid w:val="007005F2"/>
    <w:rsid w:val="00733D2B"/>
    <w:rsid w:val="00764AA5"/>
    <w:rsid w:val="007801C0"/>
    <w:rsid w:val="007A1360"/>
    <w:rsid w:val="007C6B1B"/>
    <w:rsid w:val="007E39C6"/>
    <w:rsid w:val="007F0995"/>
    <w:rsid w:val="007F6CFA"/>
    <w:rsid w:val="00807BBE"/>
    <w:rsid w:val="0085346E"/>
    <w:rsid w:val="00855777"/>
    <w:rsid w:val="0086275C"/>
    <w:rsid w:val="00866306"/>
    <w:rsid w:val="008962D3"/>
    <w:rsid w:val="008B2E67"/>
    <w:rsid w:val="008E1CDD"/>
    <w:rsid w:val="008F2511"/>
    <w:rsid w:val="00901C64"/>
    <w:rsid w:val="00913AAE"/>
    <w:rsid w:val="00917624"/>
    <w:rsid w:val="00926A82"/>
    <w:rsid w:val="00945C14"/>
    <w:rsid w:val="0094795D"/>
    <w:rsid w:val="009711BB"/>
    <w:rsid w:val="009712C5"/>
    <w:rsid w:val="00986927"/>
    <w:rsid w:val="00990FC1"/>
    <w:rsid w:val="009970A5"/>
    <w:rsid w:val="00997A01"/>
    <w:rsid w:val="009A59DB"/>
    <w:rsid w:val="00A4015E"/>
    <w:rsid w:val="00A42BFE"/>
    <w:rsid w:val="00A65C3C"/>
    <w:rsid w:val="00A73BF3"/>
    <w:rsid w:val="00A77B3E"/>
    <w:rsid w:val="00B20FA5"/>
    <w:rsid w:val="00B55D74"/>
    <w:rsid w:val="00B66EF4"/>
    <w:rsid w:val="00B6742E"/>
    <w:rsid w:val="00BA1339"/>
    <w:rsid w:val="00BB4761"/>
    <w:rsid w:val="00BD38CE"/>
    <w:rsid w:val="00BF0186"/>
    <w:rsid w:val="00C0203A"/>
    <w:rsid w:val="00C368DA"/>
    <w:rsid w:val="00C513F1"/>
    <w:rsid w:val="00C5189E"/>
    <w:rsid w:val="00C87744"/>
    <w:rsid w:val="00CA2A55"/>
    <w:rsid w:val="00CC78AB"/>
    <w:rsid w:val="00CD0E48"/>
    <w:rsid w:val="00CE62FC"/>
    <w:rsid w:val="00CF28A0"/>
    <w:rsid w:val="00D15EF0"/>
    <w:rsid w:val="00D42435"/>
    <w:rsid w:val="00D54D62"/>
    <w:rsid w:val="00DF5C29"/>
    <w:rsid w:val="00E1345C"/>
    <w:rsid w:val="00E21C61"/>
    <w:rsid w:val="00E4236B"/>
    <w:rsid w:val="00E463FD"/>
    <w:rsid w:val="00E82680"/>
    <w:rsid w:val="00EB6237"/>
    <w:rsid w:val="00EE12B8"/>
    <w:rsid w:val="00EF1CA1"/>
    <w:rsid w:val="00EF59D7"/>
    <w:rsid w:val="00F04B06"/>
    <w:rsid w:val="00F43A45"/>
    <w:rsid w:val="00F545B4"/>
    <w:rsid w:val="00F56F08"/>
    <w:rsid w:val="00F64233"/>
    <w:rsid w:val="00FD2320"/>
    <w:rsid w:val="00FE3293"/>
    <w:rsid w:val="0C756348"/>
    <w:rsid w:val="185F31B6"/>
    <w:rsid w:val="1941252A"/>
    <w:rsid w:val="1C4526C3"/>
    <w:rsid w:val="2EF9032D"/>
    <w:rsid w:val="3421733A"/>
    <w:rsid w:val="43E20A78"/>
    <w:rsid w:val="48180B08"/>
    <w:rsid w:val="6B356E8E"/>
    <w:rsid w:val="74D3353D"/>
    <w:rsid w:val="7C414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F0DFC2A2-BFA2-5547-AB5A-63E54269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table" w:styleId="TableGrid">
    <w:name w:val="Table Grid"/>
    <w:basedOn w:val="TableNormal"/>
    <w:qFormat/>
    <w:rPr>
      <w:rFonts w:ascii="Calibri" w:eastAsia="SimSu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qFormat/>
    <w:rPr>
      <w:b/>
      <w:bCs/>
      <w:sz w:val="24"/>
      <w:szCs w:val="24"/>
    </w:rPr>
  </w:style>
  <w:style w:type="paragraph" w:customStyle="1" w:styleId="1">
    <w:name w:val="修订1"/>
    <w:hidden/>
    <w:uiPriority w:val="99"/>
    <w:semiHidden/>
    <w:qFormat/>
    <w:rPr>
      <w:sz w:val="24"/>
      <w:szCs w:val="24"/>
    </w:rPr>
  </w:style>
  <w:style w:type="paragraph" w:styleId="ListParagraph">
    <w:name w:val="List Paragraph"/>
    <w:basedOn w:val="Normal"/>
    <w:uiPriority w:val="34"/>
    <w:qFormat/>
    <w:pPr>
      <w:ind w:firstLineChars="200" w:firstLine="420"/>
    </w:pPr>
  </w:style>
  <w:style w:type="paragraph" w:customStyle="1" w:styleId="Revision1">
    <w:name w:val="Revision1"/>
    <w:hidden/>
    <w:uiPriority w:val="99"/>
    <w:unhideWhenUsed/>
    <w:rPr>
      <w:sz w:val="24"/>
      <w:szCs w:val="24"/>
    </w:rPr>
  </w:style>
  <w:style w:type="character" w:customStyle="1" w:styleId="BalloonTextChar">
    <w:name w:val="Balloon Text Char"/>
    <w:basedOn w:val="DefaultParagraphFont"/>
    <w:link w:val="BalloonText"/>
    <w:rPr>
      <w:sz w:val="18"/>
      <w:szCs w:val="18"/>
      <w:lang w:eastAsia="en-US"/>
    </w:rPr>
  </w:style>
  <w:style w:type="paragraph" w:styleId="Revision">
    <w:name w:val="Revision"/>
    <w:hidden/>
    <w:uiPriority w:val="99"/>
    <w:semiHidden/>
    <w:rsid w:val="00EE12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5290</Words>
  <Characters>30158</Characters>
  <Application>Microsoft Office Word</Application>
  <DocSecurity>0</DocSecurity>
  <Lines>251</Lines>
  <Paragraphs>70</Paragraphs>
  <ScaleCrop>false</ScaleCrop>
  <Company/>
  <LinksUpToDate>false</LinksUpToDate>
  <CharactersWithSpaces>35378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Jennifer van Velkinburgh</cp:lastModifiedBy>
  <cp:revision>2</cp:revision>
  <dcterms:created xsi:type="dcterms:W3CDTF">2023-08-01T14:53:00Z</dcterms:created>
  <dcterms:modified xsi:type="dcterms:W3CDTF">2023-08-01T14:53:00Z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A49FC9774B164A999B2DDBDEF6DCA808_13</vt:lpwstr>
  </property>
</Properties>
</file>