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50E2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rPr>
        <w:t xml:space="preserve">Name of Journal: </w:t>
      </w:r>
      <w:r w:rsidRPr="00353EAC">
        <w:rPr>
          <w:rFonts w:ascii="Book Antiqua" w:eastAsia="Book Antiqua" w:hAnsi="Book Antiqua" w:cs="Book Antiqua"/>
          <w:i/>
        </w:rPr>
        <w:t>World Journal of Critical Care Medicine</w:t>
      </w:r>
    </w:p>
    <w:p w14:paraId="5DAD0CF1"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rPr>
        <w:t xml:space="preserve">Manuscript NO: </w:t>
      </w:r>
      <w:r w:rsidRPr="00353EAC">
        <w:rPr>
          <w:rFonts w:ascii="Book Antiqua" w:eastAsia="Book Antiqua" w:hAnsi="Book Antiqua" w:cs="Book Antiqua"/>
        </w:rPr>
        <w:t>84573</w:t>
      </w:r>
    </w:p>
    <w:p w14:paraId="52D64F6B"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rPr>
        <w:t xml:space="preserve">Manuscript Type: </w:t>
      </w:r>
      <w:r w:rsidRPr="00353EAC">
        <w:rPr>
          <w:rFonts w:ascii="Book Antiqua" w:eastAsia="Book Antiqua" w:hAnsi="Book Antiqua" w:cs="Book Antiqua"/>
        </w:rPr>
        <w:t>MINIREVIEWS</w:t>
      </w:r>
    </w:p>
    <w:p w14:paraId="02B19BDC" w14:textId="77777777" w:rsidR="009041B5" w:rsidRPr="00353EAC" w:rsidRDefault="009041B5" w:rsidP="0033042F">
      <w:pPr>
        <w:spacing w:line="360" w:lineRule="auto"/>
        <w:rPr>
          <w:rFonts w:ascii="Book Antiqua" w:hAnsi="Book Antiqua"/>
        </w:rPr>
      </w:pPr>
    </w:p>
    <w:p w14:paraId="72B4EE2E"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Should we initiate vasopressors earlier in patients with septic shock: A mini systemic review</w:t>
      </w:r>
    </w:p>
    <w:p w14:paraId="222261D0" w14:textId="77777777" w:rsidR="009041B5" w:rsidRPr="00353EAC" w:rsidRDefault="009041B5" w:rsidP="0033042F">
      <w:pPr>
        <w:spacing w:line="360" w:lineRule="auto"/>
        <w:rPr>
          <w:rFonts w:ascii="Book Antiqua" w:hAnsi="Book Antiqua"/>
        </w:rPr>
      </w:pPr>
    </w:p>
    <w:p w14:paraId="1C0F1FC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Zhou HX </w:t>
      </w:r>
      <w:r w:rsidRPr="00353EAC">
        <w:rPr>
          <w:rFonts w:ascii="Book Antiqua" w:eastAsia="Book Antiqua" w:hAnsi="Book Antiqua" w:cs="Book Antiqua"/>
          <w:i/>
          <w:color w:val="000000"/>
        </w:rPr>
        <w:t>et al</w:t>
      </w:r>
      <w:r w:rsidRPr="00353EAC">
        <w:rPr>
          <w:rFonts w:ascii="Book Antiqua" w:eastAsia="Book Antiqua" w:hAnsi="Book Antiqua" w:cs="Book Antiqua"/>
          <w:color w:val="000000"/>
        </w:rPr>
        <w:t>. Vasopressors earlier in septic shock</w:t>
      </w:r>
    </w:p>
    <w:p w14:paraId="0B4336D8" w14:textId="77777777" w:rsidR="009041B5" w:rsidRPr="00353EAC" w:rsidRDefault="009041B5" w:rsidP="0033042F">
      <w:pPr>
        <w:spacing w:line="360" w:lineRule="auto"/>
        <w:rPr>
          <w:rFonts w:ascii="Book Antiqua" w:hAnsi="Book Antiqua"/>
        </w:rPr>
      </w:pPr>
    </w:p>
    <w:p w14:paraId="2C9BA143"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Hang-Xiang Zhou, Chun-Fu Yang, He-Yan Wang, Yin Teng, Hang-Yong He</w:t>
      </w:r>
    </w:p>
    <w:p w14:paraId="698641EE" w14:textId="77777777" w:rsidR="009041B5" w:rsidRPr="00353EAC" w:rsidRDefault="009041B5" w:rsidP="0033042F">
      <w:pPr>
        <w:spacing w:line="360" w:lineRule="auto"/>
        <w:rPr>
          <w:rFonts w:ascii="Book Antiqua" w:hAnsi="Book Antiqua"/>
        </w:rPr>
      </w:pPr>
    </w:p>
    <w:p w14:paraId="5E9C494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Hang-Xiang Zhou, </w:t>
      </w:r>
      <w:r w:rsidRPr="00353EAC">
        <w:rPr>
          <w:rFonts w:ascii="Book Antiqua" w:eastAsia="Book Antiqua" w:hAnsi="Book Antiqua" w:cs="Book Antiqua"/>
          <w:color w:val="000000"/>
        </w:rPr>
        <w:t>Department of Critical Care Medicine, Affiliated Hospital of Guizhou Medical University, Guiyang 550004, Guizhou Province, China</w:t>
      </w:r>
    </w:p>
    <w:p w14:paraId="2CB55396" w14:textId="77777777" w:rsidR="009041B5" w:rsidRPr="00353EAC" w:rsidRDefault="009041B5" w:rsidP="0033042F">
      <w:pPr>
        <w:spacing w:line="360" w:lineRule="auto"/>
        <w:rPr>
          <w:rFonts w:ascii="Book Antiqua" w:hAnsi="Book Antiqua"/>
        </w:rPr>
      </w:pPr>
    </w:p>
    <w:p w14:paraId="43546CF2"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Hang-Xiang Zhou, Chun-Fu Yang, He-Yan Wang, </w:t>
      </w:r>
      <w:r w:rsidRPr="00353EAC">
        <w:rPr>
          <w:rFonts w:ascii="Book Antiqua" w:eastAsia="Book Antiqua" w:hAnsi="Book Antiqua" w:cs="Book Antiqua"/>
          <w:color w:val="000000"/>
        </w:rPr>
        <w:t>Department of Critical Care Medicine, The Sixth Hospital of Guiyang, Guiyang 550002, Guizhou Province, China</w:t>
      </w:r>
    </w:p>
    <w:p w14:paraId="18E45662" w14:textId="77777777" w:rsidR="009041B5" w:rsidRPr="00353EAC" w:rsidRDefault="009041B5" w:rsidP="0033042F">
      <w:pPr>
        <w:spacing w:line="360" w:lineRule="auto"/>
        <w:rPr>
          <w:rFonts w:ascii="Book Antiqua" w:hAnsi="Book Antiqua"/>
        </w:rPr>
      </w:pPr>
    </w:p>
    <w:p w14:paraId="0AD2B89C"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Chun-Fu Yang, </w:t>
      </w:r>
      <w:r w:rsidRPr="00353EAC">
        <w:rPr>
          <w:rFonts w:ascii="Book Antiqua" w:eastAsia="Book Antiqua" w:hAnsi="Book Antiqua" w:cs="Book Antiqua"/>
          <w:color w:val="000000"/>
        </w:rPr>
        <w:t>Department of Respiratory Medicine, The First Affiliated Hospital of Guizhou University of Traditional Chinese Medicine, Guiyang 550002, Guizhou Province, China</w:t>
      </w:r>
    </w:p>
    <w:p w14:paraId="5100E554" w14:textId="77777777" w:rsidR="009041B5" w:rsidRPr="00353EAC" w:rsidRDefault="009041B5" w:rsidP="0033042F">
      <w:pPr>
        <w:spacing w:line="360" w:lineRule="auto"/>
        <w:rPr>
          <w:rFonts w:ascii="Book Antiqua" w:hAnsi="Book Antiqua"/>
        </w:rPr>
      </w:pPr>
    </w:p>
    <w:p w14:paraId="2A6AAB3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He-Yan Wang, </w:t>
      </w:r>
      <w:r w:rsidRPr="00353EAC">
        <w:rPr>
          <w:rFonts w:ascii="Book Antiqua" w:eastAsia="Book Antiqua" w:hAnsi="Book Antiqua" w:cs="Book Antiqua"/>
          <w:color w:val="000000"/>
        </w:rPr>
        <w:t>School of Basic Medicine, Guizhou University of Traditional Chinese Medicine, Guiyang 550002, Guizhou Province, China</w:t>
      </w:r>
    </w:p>
    <w:p w14:paraId="593860A9" w14:textId="77777777" w:rsidR="009041B5" w:rsidRPr="00353EAC" w:rsidRDefault="009041B5" w:rsidP="0033042F">
      <w:pPr>
        <w:spacing w:line="360" w:lineRule="auto"/>
        <w:rPr>
          <w:rFonts w:ascii="Book Antiqua" w:hAnsi="Book Antiqua"/>
        </w:rPr>
      </w:pPr>
    </w:p>
    <w:p w14:paraId="62E105E4"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Yin Teng, </w:t>
      </w:r>
      <w:r w:rsidRPr="00353EAC">
        <w:rPr>
          <w:rFonts w:ascii="Book Antiqua" w:eastAsia="Book Antiqua" w:hAnsi="Book Antiqua" w:cs="Book Antiqua"/>
          <w:color w:val="000000"/>
        </w:rPr>
        <w:t>Department of Thoracic Surgery, Affiliated Hospital of Guizhou Medical University, Guiyang 550004, Guizhou Province, China</w:t>
      </w:r>
    </w:p>
    <w:p w14:paraId="6DABD524" w14:textId="77777777" w:rsidR="009041B5" w:rsidRPr="00353EAC" w:rsidRDefault="009041B5" w:rsidP="0033042F">
      <w:pPr>
        <w:spacing w:line="360" w:lineRule="auto"/>
        <w:rPr>
          <w:rFonts w:ascii="Book Antiqua" w:hAnsi="Book Antiqua"/>
        </w:rPr>
      </w:pPr>
    </w:p>
    <w:p w14:paraId="741CB3B2"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Hang-Yong He, </w:t>
      </w:r>
      <w:r w:rsidRPr="00353EAC">
        <w:rPr>
          <w:rFonts w:ascii="Book Antiqua" w:eastAsia="Book Antiqua" w:hAnsi="Book Antiqua" w:cs="Book Antiqua"/>
          <w:color w:val="000000"/>
        </w:rPr>
        <w:t>Department of Respiratory and Critical Care Medicine, Beijing Chao-Yang Hospital, Beijing 100020, China</w:t>
      </w:r>
    </w:p>
    <w:p w14:paraId="0C26A9FB" w14:textId="77777777" w:rsidR="009041B5" w:rsidRPr="00353EAC" w:rsidRDefault="009041B5" w:rsidP="0033042F">
      <w:pPr>
        <w:spacing w:line="360" w:lineRule="auto"/>
        <w:rPr>
          <w:rFonts w:ascii="Book Antiqua" w:hAnsi="Book Antiqua"/>
        </w:rPr>
      </w:pPr>
    </w:p>
    <w:p w14:paraId="4253AE77"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Hang-Yong He, </w:t>
      </w:r>
      <w:r w:rsidRPr="00353EAC">
        <w:rPr>
          <w:rFonts w:ascii="Book Antiqua" w:eastAsia="Book Antiqua" w:hAnsi="Book Antiqua" w:cs="Book Antiqua"/>
          <w:color w:val="000000"/>
        </w:rPr>
        <w:t>Beijing Institute of Respiratory Medicine, Beijing Chao-Yang Hospital, Beijing 100020, China</w:t>
      </w:r>
    </w:p>
    <w:p w14:paraId="1F58F27C" w14:textId="77777777" w:rsidR="009041B5" w:rsidRPr="00353EAC" w:rsidRDefault="009041B5" w:rsidP="0033042F">
      <w:pPr>
        <w:spacing w:line="360" w:lineRule="auto"/>
        <w:rPr>
          <w:rFonts w:ascii="Book Antiqua" w:hAnsi="Book Antiqua"/>
        </w:rPr>
      </w:pPr>
    </w:p>
    <w:p w14:paraId="325B3E1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Hang-Yong He, </w:t>
      </w:r>
      <w:r w:rsidRPr="00353EAC">
        <w:rPr>
          <w:rFonts w:ascii="Book Antiqua" w:eastAsia="Book Antiqua" w:hAnsi="Book Antiqua" w:cs="Book Antiqua"/>
          <w:color w:val="000000"/>
        </w:rPr>
        <w:t>Beijing Key Laboratory of Respiratory and Pulmonary Circulation, Beijing Chao-Yang Hospital, Beijing 100020, China</w:t>
      </w:r>
    </w:p>
    <w:p w14:paraId="7168BC6F" w14:textId="77777777" w:rsidR="009041B5" w:rsidRPr="00353EAC" w:rsidRDefault="009041B5" w:rsidP="0033042F">
      <w:pPr>
        <w:spacing w:line="360" w:lineRule="auto"/>
        <w:rPr>
          <w:rFonts w:ascii="Book Antiqua" w:hAnsi="Book Antiqua"/>
        </w:rPr>
      </w:pPr>
    </w:p>
    <w:p w14:paraId="5A11D93F" w14:textId="48C1C100"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Author contributions: </w:t>
      </w:r>
      <w:r w:rsidRPr="00353EAC">
        <w:rPr>
          <w:rFonts w:ascii="Book Antiqua" w:eastAsia="Book Antiqua" w:hAnsi="Book Antiqua" w:cs="Book Antiqua"/>
          <w:color w:val="000000"/>
        </w:rPr>
        <w:t>Zhou</w:t>
      </w:r>
      <w:r w:rsidR="00707274" w:rsidRPr="00707274">
        <w:rPr>
          <w:rFonts w:ascii="Book Antiqua" w:eastAsia="Book Antiqua" w:hAnsi="Book Antiqua" w:cs="Book Antiqua"/>
          <w:color w:val="000000"/>
        </w:rPr>
        <w:t xml:space="preserve"> </w:t>
      </w:r>
      <w:r w:rsidR="00707274" w:rsidRPr="00353EAC">
        <w:rPr>
          <w:rFonts w:ascii="Book Antiqua" w:eastAsia="Book Antiqua" w:hAnsi="Book Antiqua" w:cs="Book Antiqua"/>
          <w:color w:val="000000"/>
        </w:rPr>
        <w:t>HX</w:t>
      </w:r>
      <w:r w:rsidRPr="00353EAC">
        <w:rPr>
          <w:rFonts w:ascii="Book Antiqua" w:eastAsia="Book Antiqua" w:hAnsi="Book Antiqua" w:cs="Book Antiqua"/>
          <w:color w:val="000000"/>
        </w:rPr>
        <w:t xml:space="preserve">, Yang CF, and Wang HY drafted the manuscript; Teng Y and He HY designed and reviewed the manuscript, and revised it for critical intellectual content; all authors have read and approved the final version. </w:t>
      </w:r>
    </w:p>
    <w:p w14:paraId="79C82784" w14:textId="77777777" w:rsidR="009041B5" w:rsidRPr="00353EAC" w:rsidRDefault="009041B5" w:rsidP="0033042F">
      <w:pPr>
        <w:spacing w:line="360" w:lineRule="auto"/>
        <w:rPr>
          <w:rFonts w:ascii="Book Antiqua" w:hAnsi="Book Antiqua"/>
        </w:rPr>
      </w:pPr>
    </w:p>
    <w:p w14:paraId="0EA0E6CC"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olor w:val="000000"/>
        </w:rPr>
        <w:t xml:space="preserve">Corresponding author: Hang-Yong He, MD, Chief Physician, </w:t>
      </w:r>
      <w:r w:rsidRPr="00353EAC">
        <w:rPr>
          <w:rFonts w:ascii="Book Antiqua" w:eastAsia="Book Antiqua" w:hAnsi="Book Antiqua" w:cs="Book Antiqua"/>
          <w:color w:val="000000"/>
        </w:rPr>
        <w:t>Department of Respiratory and Critical Care Medicine, Beijing Chao-Yang Hospital, No. 8 GongrenTiyuchang</w:t>
      </w:r>
      <w:r w:rsidR="00707779" w:rsidRPr="00353EAC">
        <w:rPr>
          <w:rFonts w:ascii="Book Antiqua" w:eastAsia="Book Antiqua" w:hAnsi="Book Antiqua" w:cs="Book Antiqua"/>
          <w:color w:val="000000"/>
        </w:rPr>
        <w:t>South Road</w:t>
      </w:r>
      <w:r w:rsidRPr="00353EAC">
        <w:rPr>
          <w:rFonts w:ascii="Book Antiqua" w:eastAsia="Book Antiqua" w:hAnsi="Book Antiqua" w:cs="Book Antiqua"/>
          <w:color w:val="000000"/>
        </w:rPr>
        <w:t>, Chaoyang District, Beijing 100020, China. yonghang2004@sina.com</w:t>
      </w:r>
    </w:p>
    <w:p w14:paraId="4DC2CCB1" w14:textId="77777777" w:rsidR="009041B5" w:rsidRPr="00353EAC" w:rsidRDefault="009041B5" w:rsidP="0033042F">
      <w:pPr>
        <w:spacing w:line="360" w:lineRule="auto"/>
        <w:rPr>
          <w:rFonts w:ascii="Book Antiqua" w:hAnsi="Book Antiqua"/>
        </w:rPr>
      </w:pPr>
    </w:p>
    <w:p w14:paraId="45337F1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Received: </w:t>
      </w:r>
      <w:r w:rsidRPr="00353EAC">
        <w:rPr>
          <w:rFonts w:ascii="Book Antiqua" w:eastAsia="Book Antiqua" w:hAnsi="Book Antiqua" w:cs="Book Antiqua"/>
        </w:rPr>
        <w:t>March 20, 2023</w:t>
      </w:r>
    </w:p>
    <w:p w14:paraId="639E5DB4"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Revised: </w:t>
      </w:r>
      <w:r w:rsidRPr="00353EAC">
        <w:rPr>
          <w:rFonts w:ascii="Book Antiqua" w:eastAsia="Book Antiqua" w:hAnsi="Book Antiqua" w:cs="Book Antiqua"/>
          <w:bCs/>
        </w:rPr>
        <w:t>June 28, 2023</w:t>
      </w:r>
    </w:p>
    <w:p w14:paraId="4D7DBAE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Accepted: </w:t>
      </w:r>
      <w:r w:rsidR="00B345AE" w:rsidRPr="00B345AE">
        <w:rPr>
          <w:rFonts w:ascii="Book Antiqua" w:eastAsia="Book Antiqua" w:hAnsi="Book Antiqua" w:cs="Book Antiqua"/>
        </w:rPr>
        <w:t>July 17, 2023</w:t>
      </w:r>
    </w:p>
    <w:p w14:paraId="6B770035" w14:textId="040CDCDB"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Published online:</w:t>
      </w:r>
      <w:r w:rsidR="003A44B4" w:rsidRPr="003A44B4">
        <w:rPr>
          <w:rFonts w:ascii="Book Antiqua" w:hAnsi="Book Antiqua" w:cs="Book Antiqua" w:hint="eastAsia"/>
          <w:bCs/>
          <w:lang w:eastAsia="zh-CN"/>
        </w:rPr>
        <w:t xml:space="preserve"> </w:t>
      </w:r>
      <w:r w:rsidR="003A44B4" w:rsidRPr="003A44B4">
        <w:rPr>
          <w:rFonts w:ascii="Book Antiqua" w:hAnsi="Book Antiqua" w:cs="Book Antiqua"/>
          <w:bCs/>
          <w:lang w:eastAsia="zh-CN"/>
        </w:rPr>
        <w:t>September 9, 2023</w:t>
      </w:r>
      <w:r w:rsidRPr="00353EAC">
        <w:rPr>
          <w:rFonts w:ascii="Book Antiqua" w:eastAsia="Book Antiqua" w:hAnsi="Book Antiqua" w:cs="Book Antiqua"/>
          <w:b/>
          <w:bCs/>
        </w:rPr>
        <w:t xml:space="preserve"> </w:t>
      </w:r>
    </w:p>
    <w:p w14:paraId="4F4FF37B" w14:textId="77777777" w:rsidR="009041B5" w:rsidRPr="00353EAC" w:rsidRDefault="009041B5" w:rsidP="0033042F">
      <w:pPr>
        <w:spacing w:line="360" w:lineRule="auto"/>
        <w:rPr>
          <w:rFonts w:ascii="Book Antiqua" w:hAnsi="Book Antiqua"/>
        </w:rPr>
        <w:sectPr w:rsidR="009041B5" w:rsidRPr="00353EAC">
          <w:footerReference w:type="default" r:id="rId6"/>
          <w:pgSz w:w="12240" w:h="15840"/>
          <w:pgMar w:top="1440" w:right="1440" w:bottom="1440" w:left="1440" w:header="720" w:footer="720" w:gutter="0"/>
          <w:cols w:space="720"/>
          <w:docGrid w:linePitch="360"/>
        </w:sectPr>
      </w:pPr>
    </w:p>
    <w:p w14:paraId="493C83D5"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lastRenderedPageBreak/>
        <w:t>Abstract</w:t>
      </w:r>
    </w:p>
    <w:p w14:paraId="319A6D87" w14:textId="4DE78AE9"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 xml:space="preserve">Septic shock treatment remains a major challenge for </w:t>
      </w:r>
      <w:r w:rsidR="006B7597">
        <w:rPr>
          <w:rFonts w:ascii="Book Antiqua" w:eastAsia="Book Antiqua" w:hAnsi="Book Antiqua" w:cs="Book Antiqua"/>
        </w:rPr>
        <w:t>intensive care units</w:t>
      </w:r>
      <w:r w:rsidRPr="00353EAC">
        <w:rPr>
          <w:rFonts w:ascii="Book Antiqua" w:eastAsia="Book Antiqua" w:hAnsi="Book Antiqua" w:cs="Book Antiqua"/>
        </w:rPr>
        <w:t xml:space="preserve">, despite the recent prominent advances in both management and outcomes. Vasopressors serve as a cornerstone of septic shock therapy, </w:t>
      </w:r>
      <w:r w:rsidR="006B7597">
        <w:rPr>
          <w:rFonts w:ascii="Book Antiqua" w:eastAsia="Book Antiqua" w:hAnsi="Book Antiqua" w:cs="Book Antiqua"/>
        </w:rPr>
        <w:t>but there is</w:t>
      </w:r>
      <w:r w:rsidRPr="00353EAC">
        <w:rPr>
          <w:rFonts w:ascii="Book Antiqua" w:eastAsia="Book Antiqua" w:hAnsi="Book Antiqua" w:cs="Book Antiqua"/>
        </w:rPr>
        <w:t xml:space="preserve"> still </w:t>
      </w:r>
      <w:r w:rsidR="006B7597" w:rsidRPr="00353EAC">
        <w:rPr>
          <w:rFonts w:ascii="Book Antiqua" w:eastAsia="Book Antiqua" w:hAnsi="Book Antiqua" w:cs="Book Antiqua"/>
        </w:rPr>
        <w:t>controvers</w:t>
      </w:r>
      <w:r w:rsidR="006B7597">
        <w:rPr>
          <w:rFonts w:ascii="Book Antiqua" w:eastAsia="Book Antiqua" w:hAnsi="Book Antiqua" w:cs="Book Antiqua"/>
        </w:rPr>
        <w:t>y</w:t>
      </w:r>
      <w:r w:rsidR="00707274">
        <w:rPr>
          <w:rFonts w:ascii="Book Antiqua" w:hAnsi="Book Antiqua" w:cs="Book Antiqua" w:hint="eastAsia"/>
          <w:lang w:eastAsia="zh-CN"/>
        </w:rPr>
        <w:t xml:space="preserve"> </w:t>
      </w:r>
      <w:r w:rsidRPr="00353EAC">
        <w:rPr>
          <w:rFonts w:ascii="Book Antiqua" w:eastAsia="Book Antiqua" w:hAnsi="Book Antiqua" w:cs="Book Antiqua"/>
        </w:rPr>
        <w:t xml:space="preserve">over the timing of administration. Specifically, it remains unclear whether vasopressors should be used early in the course of treatment. Here, we provide a systematic review of the literature on the timing of vasopressor administration. </w:t>
      </w:r>
      <w:r w:rsidR="006B7597" w:rsidRPr="00353EAC">
        <w:rPr>
          <w:rFonts w:ascii="Book Antiqua" w:eastAsia="Book Antiqua" w:hAnsi="Book Antiqua" w:cs="Book Antiqua"/>
        </w:rPr>
        <w:t>Research</w:t>
      </w:r>
      <w:r w:rsidR="006B7597">
        <w:rPr>
          <w:rFonts w:ascii="Book Antiqua" w:eastAsia="Book Antiqua" w:hAnsi="Book Antiqua" w:cs="Book Antiqua"/>
        </w:rPr>
        <w:t xml:space="preserve"> wa</w:t>
      </w:r>
      <w:r w:rsidR="006B7597" w:rsidRPr="00353EAC">
        <w:rPr>
          <w:rFonts w:ascii="Book Antiqua" w:eastAsia="Book Antiqua" w:hAnsi="Book Antiqua" w:cs="Book Antiqua"/>
        </w:rPr>
        <w:t xml:space="preserve">s </w:t>
      </w:r>
      <w:r w:rsidRPr="00353EAC">
        <w:rPr>
          <w:rFonts w:ascii="Book Antiqua" w:eastAsia="Book Antiqua" w:hAnsi="Book Antiqua" w:cs="Book Antiqua"/>
        </w:rPr>
        <w:t xml:space="preserve">systematically identified through PubMed, Embase and Cochrane searching according to PRISMA guidelines. Fourteen studies met the eligibility criteria and were included in the review. The pathophysiological basis for early vasopressor use was classified, with the exploration on indications for the early administration of mono-vasopressors or their combination with vasopressin or </w:t>
      </w:r>
      <w:r w:rsidR="006B7597">
        <w:rPr>
          <w:rFonts w:ascii="Book Antiqua" w:eastAsia="Book Antiqua" w:hAnsi="Book Antiqua" w:cs="Book Antiqua"/>
        </w:rPr>
        <w:t>a</w:t>
      </w:r>
      <w:r w:rsidR="006B7597" w:rsidRPr="00353EAC">
        <w:rPr>
          <w:rFonts w:ascii="Book Antiqua" w:eastAsia="Book Antiqua" w:hAnsi="Book Antiqua" w:cs="Book Antiqua"/>
        </w:rPr>
        <w:t>ngiotensin</w:t>
      </w:r>
      <w:r w:rsidRPr="00353EAC">
        <w:rPr>
          <w:rFonts w:ascii="Book Antiqua" w:eastAsia="Book Antiqua" w:hAnsi="Book Antiqua" w:cs="Book Antiqua"/>
        </w:rPr>
        <w:t>II. We found that mortality was 28.1</w:t>
      </w:r>
      <w:r w:rsidR="006B7597" w:rsidRPr="00353EAC">
        <w:rPr>
          <w:rFonts w:ascii="Book Antiqua" w:eastAsia="Book Antiqua" w:hAnsi="Book Antiqua" w:cs="Book Antiqua"/>
        </w:rPr>
        <w:t>%</w:t>
      </w:r>
      <w:r w:rsidR="006B7597">
        <w:rPr>
          <w:rFonts w:ascii="Book Antiqua" w:eastAsia="Book Antiqua" w:hAnsi="Book Antiqua" w:cs="Book Antiqua"/>
        </w:rPr>
        <w:t>–</w:t>
      </w:r>
      <w:r w:rsidRPr="00353EAC">
        <w:rPr>
          <w:rFonts w:ascii="Book Antiqua" w:eastAsia="Book Antiqua" w:hAnsi="Book Antiqua" w:cs="Book Antiqua"/>
        </w:rPr>
        <w:t>47.7% in the early vasopressors group, and 33.6</w:t>
      </w:r>
      <w:r w:rsidR="006B7597" w:rsidRPr="00353EAC">
        <w:rPr>
          <w:rFonts w:ascii="Book Antiqua" w:eastAsia="Book Antiqua" w:hAnsi="Book Antiqua" w:cs="Book Antiqua"/>
        </w:rPr>
        <w:t>%</w:t>
      </w:r>
      <w:r w:rsidR="006B7597">
        <w:rPr>
          <w:rFonts w:ascii="Book Antiqua" w:eastAsia="Book Antiqua" w:hAnsi="Book Antiqua" w:cs="Book Antiqua"/>
        </w:rPr>
        <w:t>–</w:t>
      </w:r>
      <w:r w:rsidRPr="00353EAC">
        <w:rPr>
          <w:rFonts w:ascii="Book Antiqua" w:eastAsia="Book Antiqua" w:hAnsi="Book Antiqua" w:cs="Book Antiqua"/>
        </w:rPr>
        <w:t xml:space="preserve">54.5% in the control group. We also investigated the issue of vasopressor responsiveness. Furthermore, we acknowledged the subsequent challenge of </w:t>
      </w:r>
      <w:r w:rsidR="006B7597" w:rsidRPr="00353EAC">
        <w:rPr>
          <w:rFonts w:ascii="Book Antiqua" w:eastAsia="Book Antiqua" w:hAnsi="Book Antiqua" w:cs="Book Antiqua"/>
        </w:rPr>
        <w:t>administrati</w:t>
      </w:r>
      <w:r w:rsidR="006B7597">
        <w:rPr>
          <w:rFonts w:ascii="Book Antiqua" w:eastAsia="Book Antiqua" w:hAnsi="Book Antiqua" w:cs="Book Antiqua"/>
        </w:rPr>
        <w:t>on of</w:t>
      </w:r>
      <w:r w:rsidR="00707274">
        <w:rPr>
          <w:rFonts w:ascii="Book Antiqua" w:hAnsi="Book Antiqua" w:cs="Book Antiqua" w:hint="eastAsia"/>
          <w:lang w:eastAsia="zh-CN"/>
        </w:rPr>
        <w:t xml:space="preserve"> </w:t>
      </w:r>
      <w:r w:rsidRPr="00353EAC">
        <w:rPr>
          <w:rFonts w:ascii="Book Antiqua" w:eastAsia="Book Antiqua" w:hAnsi="Book Antiqua" w:cs="Book Antiqua"/>
        </w:rPr>
        <w:t xml:space="preserve">high-dose norepinephrine </w:t>
      </w:r>
      <w:r w:rsidRPr="00353EAC">
        <w:rPr>
          <w:rFonts w:ascii="Book Antiqua" w:eastAsia="Book Antiqua" w:hAnsi="Book Antiqua" w:cs="Book Antiqua"/>
          <w:i/>
          <w:iCs/>
        </w:rPr>
        <w:t>via</w:t>
      </w:r>
      <w:r w:rsidR="00707274">
        <w:rPr>
          <w:rFonts w:ascii="Book Antiqua" w:hAnsi="Book Antiqua" w:cs="Book Antiqua" w:hint="eastAsia"/>
          <w:lang w:eastAsia="zh-CN"/>
        </w:rPr>
        <w:t xml:space="preserve"> </w:t>
      </w:r>
      <w:r w:rsidRPr="00353EAC">
        <w:rPr>
          <w:rFonts w:ascii="Book Antiqua" w:eastAsia="Book Antiqua" w:hAnsi="Book Antiqua" w:cs="Book Antiqua"/>
        </w:rPr>
        <w:t>peripheral vein</w:t>
      </w:r>
      <w:r w:rsidR="006B7597">
        <w:rPr>
          <w:rFonts w:ascii="Book Antiqua" w:eastAsia="Book Antiqua" w:hAnsi="Book Antiqua" w:cs="Book Antiqua"/>
        </w:rPr>
        <w:t>s</w:t>
      </w:r>
      <w:r w:rsidRPr="00353EAC">
        <w:rPr>
          <w:rFonts w:ascii="Book Antiqua" w:eastAsia="Book Antiqua" w:hAnsi="Book Antiqua" w:cs="Book Antiqua"/>
        </w:rPr>
        <w:t xml:space="preserve"> with early vasopressor use. Based on the literature review, we propose a possible protocol for the early initiation of vasopressors in septic shock resuscitation.</w:t>
      </w:r>
    </w:p>
    <w:p w14:paraId="0C68A425" w14:textId="77777777" w:rsidR="009041B5" w:rsidRPr="00353EAC" w:rsidRDefault="009041B5" w:rsidP="0033042F">
      <w:pPr>
        <w:spacing w:line="360" w:lineRule="auto"/>
        <w:rPr>
          <w:rFonts w:ascii="Book Antiqua" w:hAnsi="Book Antiqua"/>
        </w:rPr>
      </w:pPr>
    </w:p>
    <w:p w14:paraId="256DD996" w14:textId="77777777" w:rsidR="009041B5" w:rsidRDefault="00F74228" w:rsidP="0033042F">
      <w:pPr>
        <w:spacing w:line="360" w:lineRule="auto"/>
        <w:rPr>
          <w:rFonts w:ascii="Book Antiqua" w:eastAsia="Book Antiqua" w:hAnsi="Book Antiqua" w:cs="Book Antiqua"/>
        </w:rPr>
      </w:pPr>
      <w:r w:rsidRPr="00353EAC">
        <w:rPr>
          <w:rFonts w:ascii="Book Antiqua" w:eastAsia="Book Antiqua" w:hAnsi="Book Antiqua" w:cs="Book Antiqua"/>
          <w:b/>
          <w:bCs/>
        </w:rPr>
        <w:t xml:space="preserve">Key Words: </w:t>
      </w:r>
      <w:r w:rsidRPr="00353EAC">
        <w:rPr>
          <w:rFonts w:ascii="Book Antiqua" w:eastAsia="Book Antiqua" w:hAnsi="Book Antiqua" w:cs="Book Antiqua"/>
        </w:rPr>
        <w:t>Septic shock; Resuscitation; Vasopressor; Norepinephrine; Vasopressin; Timing</w:t>
      </w:r>
    </w:p>
    <w:p w14:paraId="1329C6E7" w14:textId="77777777" w:rsidR="00D90380" w:rsidRPr="00353EAC" w:rsidRDefault="00D90380" w:rsidP="0033042F">
      <w:pPr>
        <w:spacing w:line="360" w:lineRule="auto"/>
        <w:rPr>
          <w:rFonts w:ascii="Book Antiqua" w:hAnsi="Book Antiqua"/>
        </w:rPr>
      </w:pPr>
    </w:p>
    <w:p w14:paraId="04B262A1" w14:textId="77777777" w:rsidR="00D90380" w:rsidRDefault="00D90380" w:rsidP="00D90380">
      <w:pPr>
        <w:spacing w:line="360" w:lineRule="auto"/>
        <w:rPr>
          <w:rFonts w:ascii="Book Antiqua" w:eastAsia="Book Antiqua" w:hAnsi="Book Antiqua" w:cs="Book Antiqua"/>
          <w:color w:val="000000"/>
        </w:rPr>
      </w:pPr>
      <w:bookmarkStart w:id="0" w:name="_Hlk14447511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02412789" w14:textId="77777777" w:rsidR="009041B5" w:rsidRPr="00353EAC" w:rsidRDefault="009041B5" w:rsidP="0033042F">
      <w:pPr>
        <w:spacing w:line="360" w:lineRule="auto"/>
        <w:rPr>
          <w:rFonts w:ascii="Book Antiqua" w:hAnsi="Book Antiqua"/>
        </w:rPr>
      </w:pPr>
    </w:p>
    <w:p w14:paraId="784CACBE" w14:textId="07412092" w:rsidR="00D90380" w:rsidRDefault="00D90380" w:rsidP="003A44B4">
      <w:pPr>
        <w:spacing w:line="360" w:lineRule="auto"/>
        <w:jc w:val="both"/>
        <w:rPr>
          <w:rFonts w:ascii="Book Antiqua" w:hAnsi="Book Antiqua" w:cs="Book Antiqua"/>
          <w:color w:val="000000"/>
          <w:lang w:eastAsia="zh-CN"/>
        </w:rPr>
      </w:pPr>
      <w:r>
        <w:rPr>
          <w:rFonts w:ascii="Book Antiqua" w:hAnsi="Book Antiqua" w:hint="eastAsia"/>
          <w:b/>
          <w:bCs/>
        </w:rPr>
        <w:t>Citation:</w:t>
      </w:r>
      <w:r>
        <w:rPr>
          <w:rFonts w:ascii="Book Antiqua" w:hAnsi="Book Antiqua"/>
          <w:b/>
          <w:bCs/>
        </w:rPr>
        <w:t xml:space="preserve"> </w:t>
      </w:r>
      <w:r w:rsidR="00F74228" w:rsidRPr="00353EAC">
        <w:rPr>
          <w:rFonts w:ascii="Book Antiqua" w:eastAsia="Book Antiqua" w:hAnsi="Book Antiqua" w:cs="Book Antiqua"/>
          <w:color w:val="000000"/>
        </w:rPr>
        <w:t>Zhou</w:t>
      </w:r>
      <w:r w:rsidR="00707274" w:rsidRPr="00707274">
        <w:rPr>
          <w:rFonts w:ascii="Book Antiqua" w:eastAsia="Book Antiqua" w:hAnsi="Book Antiqua" w:cs="Book Antiqua"/>
          <w:color w:val="000000"/>
        </w:rPr>
        <w:t xml:space="preserve"> </w:t>
      </w:r>
      <w:r w:rsidR="00707274" w:rsidRPr="00353EAC">
        <w:rPr>
          <w:rFonts w:ascii="Book Antiqua" w:eastAsia="Book Antiqua" w:hAnsi="Book Antiqua" w:cs="Book Antiqua"/>
          <w:color w:val="000000"/>
        </w:rPr>
        <w:t>HX</w:t>
      </w:r>
      <w:r w:rsidR="00F74228" w:rsidRPr="00353EAC">
        <w:rPr>
          <w:rFonts w:ascii="Book Antiqua" w:eastAsia="Book Antiqua" w:hAnsi="Book Antiqua" w:cs="Book Antiqua"/>
        </w:rPr>
        <w:t xml:space="preserve">, Yang </w:t>
      </w:r>
      <w:r w:rsidR="00F74228" w:rsidRPr="00353EAC">
        <w:rPr>
          <w:rFonts w:ascii="Book Antiqua" w:eastAsia="Book Antiqua" w:hAnsi="Book Antiqua" w:cs="Book Antiqua"/>
          <w:color w:val="000000"/>
        </w:rPr>
        <w:t>CF</w:t>
      </w:r>
      <w:r w:rsidR="00F74228" w:rsidRPr="00353EAC">
        <w:rPr>
          <w:rFonts w:ascii="Book Antiqua" w:eastAsia="Book Antiqua" w:hAnsi="Book Antiqua" w:cs="Book Antiqua"/>
        </w:rPr>
        <w:t xml:space="preserve">, Wang HY, Teng Y, He HY. Should we initiate vasopressors earlier in patients with septic shock: A mini systemic review. </w:t>
      </w:r>
      <w:r w:rsidR="00F74228" w:rsidRPr="00353EAC">
        <w:rPr>
          <w:rFonts w:ascii="Book Antiqua" w:eastAsia="Book Antiqua" w:hAnsi="Book Antiqua" w:cs="Book Antiqua"/>
          <w:i/>
          <w:iCs/>
        </w:rPr>
        <w:t>World J Crit Care Med</w:t>
      </w:r>
      <w:r w:rsidR="00F74228" w:rsidRPr="00353EAC">
        <w:rPr>
          <w:rFonts w:ascii="Book Antiqua" w:eastAsia="Book Antiqua" w:hAnsi="Book Antiqua" w:cs="Book Antiqua"/>
        </w:rPr>
        <w:t xml:space="preserve"> </w:t>
      </w:r>
      <w:r w:rsidR="003A44B4" w:rsidRPr="008729D2">
        <w:rPr>
          <w:rFonts w:ascii="Book Antiqua" w:eastAsia="Book Antiqua" w:hAnsi="Book Antiqua" w:cs="Book Antiqua"/>
          <w:color w:val="000000"/>
        </w:rPr>
        <w:t xml:space="preserve">2023; </w:t>
      </w:r>
      <w:r w:rsidR="003A44B4" w:rsidRPr="00BB0CDB">
        <w:rPr>
          <w:rFonts w:ascii="Book Antiqua" w:eastAsia="Book Antiqua" w:hAnsi="Book Antiqua" w:cs="Book Antiqua"/>
          <w:color w:val="000000"/>
        </w:rPr>
        <w:t>12(</w:t>
      </w:r>
      <w:r w:rsidR="003A44B4">
        <w:rPr>
          <w:rFonts w:ascii="Book Antiqua" w:hAnsi="Book Antiqua" w:cs="Book Antiqua" w:hint="eastAsia"/>
          <w:color w:val="000000"/>
          <w:lang w:eastAsia="zh-CN"/>
        </w:rPr>
        <w:t>4</w:t>
      </w:r>
      <w:r w:rsidR="003A44B4" w:rsidRPr="00BB0CDB">
        <w:rPr>
          <w:rFonts w:ascii="Book Antiqua" w:eastAsia="Book Antiqua" w:hAnsi="Book Antiqua" w:cs="Book Antiqua"/>
          <w:color w:val="000000"/>
        </w:rPr>
        <w:t xml:space="preserve">): </w:t>
      </w:r>
      <w:r>
        <w:rPr>
          <w:rFonts w:ascii="Book Antiqua" w:hAnsi="Book Antiqua" w:cs="Book Antiqua"/>
          <w:color w:val="000000"/>
          <w:lang w:eastAsia="zh-CN"/>
        </w:rPr>
        <w:t>204</w:t>
      </w:r>
      <w:r w:rsidR="003A44B4" w:rsidRPr="00BB0CDB">
        <w:rPr>
          <w:rFonts w:ascii="Book Antiqua" w:eastAsia="Book Antiqua" w:hAnsi="Book Antiqua" w:cs="Book Antiqua"/>
          <w:color w:val="000000"/>
        </w:rPr>
        <w:t>-</w:t>
      </w:r>
      <w:r>
        <w:rPr>
          <w:rFonts w:ascii="Book Antiqua" w:hAnsi="Book Antiqua" w:cs="Book Antiqua"/>
          <w:color w:val="000000"/>
          <w:lang w:eastAsia="zh-CN"/>
        </w:rPr>
        <w:t>216</w:t>
      </w:r>
    </w:p>
    <w:p w14:paraId="02519A95" w14:textId="15F08A5D" w:rsidR="00D90380" w:rsidRPr="00D90380" w:rsidRDefault="003A44B4" w:rsidP="003A44B4">
      <w:pPr>
        <w:spacing w:line="360" w:lineRule="auto"/>
        <w:jc w:val="both"/>
        <w:rPr>
          <w:rFonts w:ascii="Book Antiqua" w:hAnsi="Book Antiqua" w:cs="Book Antiqua"/>
          <w:lang w:eastAsia="zh-CN"/>
        </w:rPr>
      </w:pPr>
      <w:r w:rsidRPr="00D90380">
        <w:rPr>
          <w:rFonts w:ascii="Book Antiqua" w:eastAsia="Book Antiqua" w:hAnsi="Book Antiqua" w:cs="Book Antiqua"/>
          <w:b/>
          <w:bCs/>
        </w:rPr>
        <w:t>URL:</w:t>
      </w:r>
      <w:r w:rsidRPr="00D90380">
        <w:rPr>
          <w:rFonts w:ascii="Book Antiqua" w:eastAsia="Book Antiqua" w:hAnsi="Book Antiqua" w:cs="Book Antiqua"/>
        </w:rPr>
        <w:t xml:space="preserve"> </w:t>
      </w:r>
      <w:hyperlink r:id="rId7" w:history="1">
        <w:r w:rsidR="00D90380" w:rsidRPr="00D90380">
          <w:rPr>
            <w:rStyle w:val="af0"/>
            <w:rFonts w:ascii="Book Antiqua" w:eastAsia="Book Antiqua" w:hAnsi="Book Antiqua" w:cs="Book Antiqua"/>
            <w:color w:val="auto"/>
            <w:u w:val="none"/>
          </w:rPr>
          <w:t>https://www.wjgnet.com/2220-3141/full/v12/i</w:t>
        </w:r>
        <w:r w:rsidR="00D90380" w:rsidRPr="00D90380">
          <w:rPr>
            <w:rStyle w:val="af0"/>
            <w:rFonts w:ascii="Book Antiqua" w:hAnsi="Book Antiqua" w:cs="Book Antiqua" w:hint="eastAsia"/>
            <w:color w:val="auto"/>
            <w:u w:val="none"/>
            <w:lang w:eastAsia="zh-CN"/>
          </w:rPr>
          <w:t>4</w:t>
        </w:r>
        <w:r w:rsidR="00D90380" w:rsidRPr="00D90380">
          <w:rPr>
            <w:rStyle w:val="af0"/>
            <w:rFonts w:ascii="Book Antiqua" w:eastAsia="Book Antiqua" w:hAnsi="Book Antiqua" w:cs="Book Antiqua"/>
            <w:color w:val="auto"/>
            <w:u w:val="none"/>
          </w:rPr>
          <w:t>/</w:t>
        </w:r>
        <w:r w:rsidR="00D90380" w:rsidRPr="00D90380">
          <w:rPr>
            <w:rStyle w:val="af0"/>
            <w:rFonts w:ascii="Book Antiqua" w:hAnsi="Book Antiqua" w:cs="Book Antiqua"/>
            <w:color w:val="auto"/>
            <w:u w:val="none"/>
            <w:lang w:eastAsia="zh-CN"/>
          </w:rPr>
          <w:t>204</w:t>
        </w:r>
        <w:r w:rsidR="00D90380" w:rsidRPr="00D90380">
          <w:rPr>
            <w:rStyle w:val="af0"/>
            <w:rFonts w:ascii="Book Antiqua" w:eastAsia="Book Antiqua" w:hAnsi="Book Antiqua" w:cs="Book Antiqua"/>
            <w:color w:val="auto"/>
            <w:u w:val="none"/>
          </w:rPr>
          <w:t>.htm</w:t>
        </w:r>
      </w:hyperlink>
    </w:p>
    <w:p w14:paraId="189676A8" w14:textId="02B5DD1E" w:rsidR="009041B5" w:rsidRPr="003A44B4" w:rsidRDefault="003A44B4" w:rsidP="003A44B4">
      <w:pPr>
        <w:spacing w:line="360" w:lineRule="auto"/>
        <w:jc w:val="both"/>
        <w:rPr>
          <w:rFonts w:ascii="Book Antiqua" w:hAnsi="Book Antiqua" w:cs="Book Antiqua"/>
          <w:color w:val="000000"/>
          <w:lang w:eastAsia="zh-CN"/>
        </w:rPr>
      </w:pPr>
      <w:r w:rsidRPr="00024749">
        <w:rPr>
          <w:rFonts w:ascii="Book Antiqua" w:eastAsia="Book Antiqua" w:hAnsi="Book Antiqua" w:cs="Book Antiqua"/>
          <w:b/>
          <w:bCs/>
          <w:color w:val="000000"/>
        </w:rPr>
        <w:t>DOI:</w:t>
      </w:r>
      <w:r w:rsidRPr="00BB0CDB">
        <w:rPr>
          <w:rFonts w:ascii="Book Antiqua" w:eastAsia="Book Antiqua" w:hAnsi="Book Antiqua" w:cs="Book Antiqua"/>
          <w:color w:val="000000"/>
        </w:rPr>
        <w:t xml:space="preserve"> https://dx.doi.org/10.5492/wjccm.v12.i</w:t>
      </w:r>
      <w:r>
        <w:rPr>
          <w:rFonts w:ascii="Book Antiqua" w:hAnsi="Book Antiqua" w:cs="Book Antiqua" w:hint="eastAsia"/>
          <w:color w:val="000000"/>
          <w:lang w:eastAsia="zh-CN"/>
        </w:rPr>
        <w:t>4</w:t>
      </w:r>
      <w:r w:rsidRPr="00BB0CDB">
        <w:rPr>
          <w:rFonts w:ascii="Book Antiqua" w:eastAsia="Book Antiqua" w:hAnsi="Book Antiqua" w:cs="Book Antiqua"/>
          <w:color w:val="000000"/>
        </w:rPr>
        <w:t>.</w:t>
      </w:r>
      <w:r w:rsidR="00D90380">
        <w:rPr>
          <w:rFonts w:ascii="Book Antiqua" w:hAnsi="Book Antiqua" w:cs="Book Antiqua"/>
          <w:color w:val="000000"/>
          <w:lang w:eastAsia="zh-CN"/>
        </w:rPr>
        <w:t>204</w:t>
      </w:r>
    </w:p>
    <w:p w14:paraId="5F52D43D" w14:textId="77777777" w:rsidR="009041B5" w:rsidRPr="00353EAC" w:rsidRDefault="009041B5" w:rsidP="0033042F">
      <w:pPr>
        <w:spacing w:line="360" w:lineRule="auto"/>
        <w:rPr>
          <w:rFonts w:ascii="Book Antiqua" w:hAnsi="Book Antiqua"/>
        </w:rPr>
      </w:pPr>
    </w:p>
    <w:p w14:paraId="07A50467" w14:textId="58ED01F1"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Core </w:t>
      </w:r>
      <w:r w:rsidR="006B7597">
        <w:rPr>
          <w:rFonts w:ascii="Book Antiqua" w:eastAsia="Book Antiqua" w:hAnsi="Book Antiqua" w:cs="Book Antiqua"/>
          <w:b/>
          <w:bCs/>
        </w:rPr>
        <w:t>t</w:t>
      </w:r>
      <w:r w:rsidR="006B7597" w:rsidRPr="00353EAC">
        <w:rPr>
          <w:rFonts w:ascii="Book Antiqua" w:eastAsia="Book Antiqua" w:hAnsi="Book Antiqua" w:cs="Book Antiqua"/>
          <w:b/>
          <w:bCs/>
        </w:rPr>
        <w:t>ip</w:t>
      </w:r>
      <w:r w:rsidRPr="00353EAC">
        <w:rPr>
          <w:rFonts w:ascii="Book Antiqua" w:eastAsia="Book Antiqua" w:hAnsi="Book Antiqua" w:cs="Book Antiqua"/>
          <w:b/>
          <w:bCs/>
        </w:rPr>
        <w:t xml:space="preserve">: </w:t>
      </w:r>
      <w:r w:rsidRPr="00353EAC">
        <w:rPr>
          <w:rFonts w:ascii="Book Antiqua" w:eastAsia="Book Antiqua" w:hAnsi="Book Antiqua" w:cs="Book Antiqua"/>
        </w:rPr>
        <w:sym w:font="Book Antiqua" w:char="0049"/>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63"/>
      </w:r>
      <w:r w:rsidRPr="00353EAC">
        <w:rPr>
          <w:rFonts w:ascii="Book Antiqua" w:eastAsia="Book Antiqua" w:hAnsi="Book Antiqua" w:cs="Book Antiqua"/>
        </w:rPr>
        <w:sym w:font="Book Antiqua" w:char="006C"/>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7"/>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6"/>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6C"/>
      </w:r>
      <w:r w:rsidRPr="00353EAC">
        <w:rPr>
          <w:rFonts w:ascii="Book Antiqua" w:eastAsia="Book Antiqua" w:hAnsi="Book Antiqua" w:cs="Book Antiqua"/>
        </w:rPr>
        <w:sym w:font="Book Antiqua" w:char="0064"/>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4"/>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C"/>
      </w:r>
      <w:r w:rsidRPr="00353EAC">
        <w:rPr>
          <w:rFonts w:ascii="Book Antiqua" w:eastAsia="Book Antiqua" w:hAnsi="Book Antiqua" w:cs="Book Antiqua"/>
        </w:rPr>
        <w:sym w:font="Book Antiqua" w:char="0079"/>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6"/>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74"/>
      </w:r>
      <w:r w:rsidR="006B7597">
        <w:rPr>
          <w:rFonts w:ascii="Book Antiqua" w:eastAsia="Book Antiqua" w:hAnsi="Book Antiqua" w:cs="Book Antiqua"/>
        </w:rPr>
        <w:t xml:space="preserve"> of septic shock</w:t>
      </w:r>
      <w:r w:rsidRPr="00353EAC">
        <w:rPr>
          <w:rFonts w:ascii="Book Antiqua" w:eastAsia="Book Antiqua" w:hAnsi="Book Antiqua" w:cs="Book Antiqua"/>
        </w:rPr>
        <w:sym w:font="Book Antiqua" w:char="002E"/>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4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C"/>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7"/>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6"/>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4"/>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9"/>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3"/>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6"/>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7"/>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6"/>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C"/>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75"/>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8"/>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67"/>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6"/>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76"/>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0"/>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5"/>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20"/>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64"/>
      </w:r>
      <w:r w:rsidRPr="00353EAC">
        <w:rPr>
          <w:rFonts w:ascii="Book Antiqua" w:eastAsia="Book Antiqua" w:hAnsi="Book Antiqua" w:cs="Book Antiqua"/>
        </w:rPr>
        <w:sym w:font="Book Antiqua" w:char="006D"/>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73"/>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72"/>
      </w:r>
      <w:r w:rsidRPr="00353EAC">
        <w:rPr>
          <w:rFonts w:ascii="Book Antiqua" w:eastAsia="Book Antiqua" w:hAnsi="Book Antiqua" w:cs="Book Antiqua"/>
        </w:rPr>
        <w:sym w:font="Book Antiqua" w:char="0061"/>
      </w:r>
      <w:r w:rsidRPr="00353EAC">
        <w:rPr>
          <w:rFonts w:ascii="Book Antiqua" w:eastAsia="Book Antiqua" w:hAnsi="Book Antiqua" w:cs="Book Antiqua"/>
        </w:rPr>
        <w:sym w:font="Book Antiqua" w:char="0074"/>
      </w:r>
      <w:r w:rsidRPr="00353EAC">
        <w:rPr>
          <w:rFonts w:ascii="Book Antiqua" w:eastAsia="Book Antiqua" w:hAnsi="Book Antiqua" w:cs="Book Antiqua"/>
        </w:rPr>
        <w:sym w:font="Book Antiqua" w:char="0069"/>
      </w:r>
      <w:r w:rsidRPr="00353EAC">
        <w:rPr>
          <w:rFonts w:ascii="Book Antiqua" w:eastAsia="Book Antiqua" w:hAnsi="Book Antiqua" w:cs="Book Antiqua"/>
        </w:rPr>
        <w:sym w:font="Book Antiqua" w:char="006F"/>
      </w:r>
      <w:r w:rsidRPr="00353EAC">
        <w:rPr>
          <w:rFonts w:ascii="Book Antiqua" w:eastAsia="Book Antiqua" w:hAnsi="Book Antiqua" w:cs="Book Antiqua"/>
        </w:rPr>
        <w:sym w:font="Book Antiqua" w:char="006E"/>
      </w:r>
      <w:r w:rsidRPr="00353EAC">
        <w:rPr>
          <w:rFonts w:ascii="Book Antiqua" w:eastAsia="Book Antiqua" w:hAnsi="Book Antiqua" w:cs="Book Antiqua"/>
        </w:rPr>
        <w:sym w:font="Book Antiqua" w:char="002E"/>
      </w:r>
      <w:r w:rsidR="006B7597" w:rsidRPr="00353EAC">
        <w:rPr>
          <w:rFonts w:ascii="Book Antiqua" w:eastAsia="Book Antiqua" w:hAnsi="Book Antiqua" w:cs="Book Antiqua"/>
        </w:rPr>
        <w:sym w:font="Book Antiqua" w:char="005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7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2"/>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79"/>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7"/>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2C"/>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7"/>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8"/>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79"/>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6D"/>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D"/>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2D"/>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D"/>
      </w:r>
      <w:r w:rsidR="006B7597" w:rsidRPr="00353EAC">
        <w:rPr>
          <w:rFonts w:ascii="Book Antiqua" w:eastAsia="Book Antiqua" w:hAnsi="Book Antiqua" w:cs="Book Antiqua"/>
        </w:rPr>
        <w:sym w:font="Book Antiqua" w:char="0062"/>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7"/>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Pr>
          <w:rFonts w:ascii="Book Antiqua" w:eastAsia="Book Antiqua" w:hAnsi="Book Antiqua" w:cs="Book Antiqua"/>
        </w:rPr>
        <w:t>a</w:t>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49"/>
      </w:r>
      <w:r w:rsidR="006B7597" w:rsidRPr="00353EAC">
        <w:rPr>
          <w:rFonts w:ascii="Book Antiqua" w:eastAsia="Book Antiqua" w:hAnsi="Book Antiqua" w:cs="Book Antiqua"/>
        </w:rPr>
        <w:sym w:font="Book Antiqua" w:char="0049"/>
      </w:r>
      <w:r w:rsidR="006B7597" w:rsidRPr="00353EAC">
        <w:rPr>
          <w:rFonts w:ascii="Book Antiqua" w:eastAsia="Book Antiqua" w:hAnsi="Book Antiqua" w:cs="Book Antiqua"/>
        </w:rPr>
        <w:sym w:font="Book Antiqua" w:char="002E"/>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57"/>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5"/>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6"/>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5"/>
      </w:r>
      <w:r w:rsidR="006B7597" w:rsidRPr="00353EAC">
        <w:rPr>
          <w:rFonts w:ascii="Book Antiqua" w:eastAsia="Book Antiqua" w:hAnsi="Book Antiqua" w:cs="Book Antiqua"/>
        </w:rPr>
        <w:sym w:font="Book Antiqua" w:char="0062"/>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1"/>
      </w:r>
      <w:r w:rsidR="006B7597" w:rsidRPr="00353EAC">
        <w:rPr>
          <w:rFonts w:ascii="Book Antiqua" w:eastAsia="Book Antiqua" w:hAnsi="Book Antiqua" w:cs="Book Antiqua"/>
        </w:rPr>
        <w:sym w:font="Book Antiqua" w:char="0075"/>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3"/>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C"/>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66"/>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6D"/>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1"/>
      </w:r>
      <w:r w:rsidR="006B7597" w:rsidRPr="00353EAC">
        <w:rPr>
          <w:rFonts w:ascii="Book Antiqua" w:eastAsia="Book Antiqua" w:hAnsi="Book Antiqua" w:cs="Book Antiqua"/>
        </w:rPr>
        <w:sym w:font="Book Antiqua" w:char="0074"/>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7"/>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2D"/>
      </w:r>
      <w:r w:rsidR="006B7597" w:rsidRPr="00353EAC">
        <w:rPr>
          <w:rFonts w:ascii="Book Antiqua" w:eastAsia="Book Antiqua" w:hAnsi="Book Antiqua" w:cs="Book Antiqua"/>
        </w:rPr>
        <w:sym w:font="Book Antiqua" w:char="0064"/>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3"/>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F"/>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70"/>
      </w:r>
      <w:r w:rsidR="006B7597" w:rsidRPr="00353EAC">
        <w:rPr>
          <w:rFonts w:ascii="Book Antiqua" w:eastAsia="Book Antiqua" w:hAnsi="Book Antiqua" w:cs="Book Antiqua"/>
        </w:rPr>
        <w:sym w:font="Book Antiqua" w:char="0068"/>
      </w:r>
      <w:r w:rsidR="006B7597" w:rsidRPr="00353EAC">
        <w:rPr>
          <w:rFonts w:ascii="Book Antiqua" w:eastAsia="Book Antiqua" w:hAnsi="Book Antiqua" w:cs="Book Antiqua"/>
        </w:rPr>
        <w:sym w:font="Book Antiqua" w:char="0072"/>
      </w:r>
      <w:r w:rsidR="006B7597" w:rsidRPr="00353EAC">
        <w:rPr>
          <w:rFonts w:ascii="Book Antiqua" w:eastAsia="Book Antiqua" w:hAnsi="Book Antiqua" w:cs="Book Antiqua"/>
        </w:rPr>
        <w:sym w:font="Book Antiqua" w:char="0069"/>
      </w:r>
      <w:r w:rsidR="006B7597" w:rsidRPr="00353EAC">
        <w:rPr>
          <w:rFonts w:ascii="Book Antiqua" w:eastAsia="Book Antiqua" w:hAnsi="Book Antiqua" w:cs="Book Antiqua"/>
        </w:rPr>
        <w:sym w:font="Book Antiqua" w:char="006E"/>
      </w:r>
      <w:r w:rsidR="006B7597" w:rsidRPr="00353EAC">
        <w:rPr>
          <w:rFonts w:ascii="Book Antiqua" w:eastAsia="Book Antiqua" w:hAnsi="Book Antiqua" w:cs="Book Antiqua"/>
        </w:rPr>
        <w:sym w:font="Book Antiqua" w:char="0065"/>
      </w:r>
      <w:r w:rsidR="006B7597" w:rsidRPr="00353EAC">
        <w:rPr>
          <w:rFonts w:ascii="Book Antiqua" w:eastAsia="Book Antiqua" w:hAnsi="Book Antiqua" w:cs="Book Antiqua"/>
        </w:rPr>
        <w:sym w:font="Book Antiqua" w:char="0020"/>
      </w:r>
      <w:r w:rsidRPr="00353EAC">
        <w:rPr>
          <w:rFonts w:ascii="Book Antiqua" w:eastAsia="Book Antiqua" w:hAnsi="Book Antiqua" w:cs="Book Antiqua"/>
          <w:i/>
          <w:iCs/>
        </w:rPr>
        <w:t>via</w:t>
      </w:r>
      <w:r w:rsidRPr="00353EAC">
        <w:rPr>
          <w:rFonts w:ascii="Book Antiqua" w:eastAsia="Book Antiqua" w:hAnsi="Book Antiqua" w:cs="Book Antiqua"/>
        </w:rPr>
        <w:t xml:space="preserve"> the peripheral vein with early vasopressor use. Based on the literature review, we propose a possible protocol for the early initiation of vasopressors in septic shock resuscitation.</w:t>
      </w:r>
    </w:p>
    <w:p w14:paraId="60A68788" w14:textId="77777777" w:rsidR="009041B5" w:rsidRPr="00353EAC" w:rsidRDefault="009041B5" w:rsidP="0033042F">
      <w:pPr>
        <w:spacing w:line="360" w:lineRule="auto"/>
        <w:rPr>
          <w:rFonts w:ascii="Book Antiqua" w:hAnsi="Book Antiqua"/>
        </w:rPr>
      </w:pPr>
    </w:p>
    <w:p w14:paraId="6FAA5B5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aps/>
          <w:color w:val="000000"/>
          <w:u w:val="single"/>
        </w:rPr>
        <w:t>INTRODUCTION</w:t>
      </w:r>
    </w:p>
    <w:p w14:paraId="75804C16" w14:textId="05CAF634"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Sepsis and septic shock </w:t>
      </w:r>
      <w:r w:rsidR="00DF25DD">
        <w:rPr>
          <w:rFonts w:ascii="Book Antiqua" w:eastAsia="Book Antiqua" w:hAnsi="Book Antiqua" w:cs="Book Antiqua"/>
          <w:color w:val="000000"/>
        </w:rPr>
        <w:t>are</w:t>
      </w:r>
      <w:r w:rsidR="00976E63">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still considered a major challenge in healthcare, associated with significant morbidity and mortality</w:t>
      </w:r>
      <w:r w:rsidRPr="00353EAC">
        <w:rPr>
          <w:rFonts w:ascii="Book Antiqua" w:eastAsia="Book Antiqua" w:hAnsi="Book Antiqua" w:cs="Book Antiqua"/>
          <w:color w:val="000000"/>
          <w:vertAlign w:val="superscript"/>
        </w:rPr>
        <w:t>[1-3</w:t>
      </w:r>
      <w:r w:rsidR="00DF25DD" w:rsidRPr="00353EAC">
        <w:rPr>
          <w:rFonts w:ascii="Book Antiqua" w:eastAsia="Book Antiqua" w:hAnsi="Book Antiqua" w:cs="Book Antiqua"/>
          <w:color w:val="000000"/>
          <w:vertAlign w:val="superscript"/>
        </w:rPr>
        <w:t>]</w:t>
      </w:r>
      <w:r w:rsidR="00DF25DD">
        <w:rPr>
          <w:rFonts w:ascii="Book Antiqua" w:eastAsia="Book Antiqua" w:hAnsi="Book Antiqua" w:cs="Book Antiqua"/>
          <w:color w:val="000000"/>
        </w:rPr>
        <w:t>.S</w:t>
      </w:r>
      <w:r w:rsidRPr="00353EAC">
        <w:rPr>
          <w:rFonts w:ascii="Book Antiqua" w:eastAsia="Book Antiqua" w:hAnsi="Book Antiqua" w:cs="Book Antiqua"/>
          <w:color w:val="000000"/>
        </w:rPr>
        <w:t xml:space="preserve">eptic shock is the most severe form, </w:t>
      </w:r>
      <w:r w:rsidR="00DF25DD">
        <w:rPr>
          <w:rFonts w:ascii="Book Antiqua" w:eastAsia="Book Antiqua" w:hAnsi="Book Antiqua" w:cs="Book Antiqua"/>
          <w:color w:val="000000"/>
        </w:rPr>
        <w:t>and</w:t>
      </w:r>
      <w:r w:rsidR="00976E63">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considered one of the most prominent challenges in critical care medicine, characterized by persistent hypotension and the presence of tissue hypoperfusion, with a mortality of 28.6%</w:t>
      </w:r>
      <w:r w:rsidRPr="00353EAC">
        <w:rPr>
          <w:rFonts w:ascii="Book Antiqua" w:eastAsia="Book Antiqua" w:hAnsi="Book Antiqua" w:cs="Book Antiqua"/>
          <w:color w:val="000000"/>
          <w:vertAlign w:val="superscript"/>
        </w:rPr>
        <w:t>[4-6]</w:t>
      </w:r>
      <w:r w:rsidRPr="00353EAC">
        <w:rPr>
          <w:rFonts w:ascii="Book Antiqua" w:eastAsia="Book Antiqua" w:hAnsi="Book Antiqua" w:cs="Book Antiqua"/>
          <w:color w:val="000000"/>
        </w:rPr>
        <w:t xml:space="preserve">. </w:t>
      </w:r>
    </w:p>
    <w:p w14:paraId="55F3DC81" w14:textId="5198A76C" w:rsidR="009041B5" w:rsidRPr="00353EAC" w:rsidRDefault="00F74228" w:rsidP="0033042F">
      <w:pPr>
        <w:spacing w:line="360" w:lineRule="auto"/>
        <w:ind w:firstLine="394"/>
        <w:rPr>
          <w:rFonts w:ascii="Book Antiqua" w:hAnsi="Book Antiqua"/>
        </w:rPr>
      </w:pPr>
      <w:r w:rsidRPr="00353EAC">
        <w:rPr>
          <w:rFonts w:ascii="Book Antiqua" w:eastAsia="Book Antiqua" w:hAnsi="Book Antiqua" w:cs="Book Antiqua"/>
          <w:color w:val="000000"/>
        </w:rPr>
        <w:t>The primary therapies to resuscitate septic shock are to hold the systemic blood pressure and promote the regional and microcirculatory perfusion. According to the Surviving Sepsis Campaign (SCC) guidelines, it is recommended to increase blood pressure with intravenous fluids and vasopressors, and fluid resuscitation without vasopressors is not recommended until a lack of hypotension correction is confirmed. However, recent studies have proposed that early initiation of vasopressors such as norepinephrine with fluid loading may allow for early resolve of hypotension by reaching the target arterial pressure</w:t>
      </w:r>
      <w:r w:rsidRPr="00353EAC">
        <w:rPr>
          <w:rFonts w:ascii="Book Antiqua" w:eastAsia="Book Antiqua" w:hAnsi="Book Antiqua" w:cs="Book Antiqua"/>
          <w:color w:val="000000"/>
          <w:vertAlign w:val="superscript"/>
        </w:rPr>
        <w:t>[7]</w:t>
      </w:r>
      <w:r w:rsidRPr="00353EAC">
        <w:rPr>
          <w:rFonts w:ascii="Book Antiqua" w:eastAsia="Book Antiqua" w:hAnsi="Book Antiqua" w:cs="Book Antiqua"/>
          <w:color w:val="000000"/>
        </w:rPr>
        <w:t>. Therefore, the timing of vasopressor therapy is speculated to be crucial to optimize the outcomes of septic shock patients</w:t>
      </w:r>
      <w:r w:rsidRPr="00353EAC">
        <w:rPr>
          <w:rFonts w:ascii="Book Antiqua" w:eastAsia="Book Antiqua" w:hAnsi="Book Antiqua" w:cs="Book Antiqua"/>
          <w:color w:val="000000"/>
          <w:vertAlign w:val="superscript"/>
        </w:rPr>
        <w:t>[8]</w:t>
      </w:r>
      <w:r w:rsidRPr="00353EAC">
        <w:rPr>
          <w:rFonts w:ascii="Book Antiqua" w:eastAsia="Book Antiqua" w:hAnsi="Book Antiqua" w:cs="Book Antiqua"/>
          <w:color w:val="000000"/>
        </w:rPr>
        <w:t xml:space="preserve">. Furthermore, adding other vasopressors such as vasopressin and </w:t>
      </w:r>
      <w:r w:rsidR="00DF25DD">
        <w:rPr>
          <w:rFonts w:ascii="Book Antiqua" w:eastAsia="Book Antiqua" w:hAnsi="Book Antiqua" w:cs="Book Antiqua"/>
          <w:color w:val="000000"/>
        </w:rPr>
        <w:t>a</w:t>
      </w:r>
      <w:r w:rsidR="00DF25DD"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to norepinephrine may decrease the norepinephrine dosage by raising arterial pressure</w:t>
      </w:r>
      <w:r w:rsidRPr="00353EAC">
        <w:rPr>
          <w:rFonts w:ascii="Book Antiqua" w:eastAsia="Book Antiqua" w:hAnsi="Book Antiqua" w:cs="Book Antiqua"/>
          <w:color w:val="000000"/>
          <w:vertAlign w:val="superscript"/>
        </w:rPr>
        <w:t>[9-12]</w:t>
      </w:r>
      <w:r w:rsidRPr="00353EAC">
        <w:rPr>
          <w:rFonts w:ascii="Book Antiqua" w:eastAsia="Book Antiqua" w:hAnsi="Book Antiqua" w:cs="Book Antiqua"/>
          <w:color w:val="000000"/>
        </w:rPr>
        <w:t xml:space="preserve">. Recent studies have also been focused on whether an early initiation of vasopressin </w:t>
      </w:r>
      <w:r w:rsidRPr="00353EAC">
        <w:rPr>
          <w:rFonts w:ascii="Book Antiqua" w:eastAsia="Book Antiqua" w:hAnsi="Book Antiqua" w:cs="Book Antiqua"/>
          <w:color w:val="000000"/>
        </w:rPr>
        <w:lastRenderedPageBreak/>
        <w:t xml:space="preserve">or </w:t>
      </w:r>
      <w:r w:rsidR="00DF25DD">
        <w:rPr>
          <w:rFonts w:ascii="Book Antiqua" w:eastAsia="Book Antiqua" w:hAnsi="Book Antiqua" w:cs="Book Antiqua"/>
          <w:color w:val="000000"/>
        </w:rPr>
        <w:t>a</w:t>
      </w:r>
      <w:r w:rsidR="00DF25DD"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to norepinephrine as a combined therapy could lead to a better outcome in septic shock patients compared to norepinephrine monotherapy</w:t>
      </w:r>
      <w:r w:rsidRPr="00353EAC">
        <w:rPr>
          <w:rFonts w:ascii="Book Antiqua" w:eastAsia="Book Antiqua" w:hAnsi="Book Antiqua" w:cs="Book Antiqua"/>
          <w:color w:val="000000"/>
          <w:vertAlign w:val="superscript"/>
        </w:rPr>
        <w:t>[13,14]</w:t>
      </w:r>
      <w:r w:rsidRPr="00353EAC">
        <w:rPr>
          <w:rFonts w:ascii="Book Antiqua" w:eastAsia="Book Antiqua" w:hAnsi="Book Antiqua" w:cs="Book Antiqua"/>
          <w:color w:val="000000"/>
        </w:rPr>
        <w:t>.</w:t>
      </w:r>
    </w:p>
    <w:p w14:paraId="075F2C17" w14:textId="1A072B7A" w:rsidR="009041B5" w:rsidRPr="00353EAC" w:rsidRDefault="00F74228" w:rsidP="0033042F">
      <w:pPr>
        <w:spacing w:line="360" w:lineRule="auto"/>
        <w:ind w:firstLine="394"/>
        <w:rPr>
          <w:rFonts w:ascii="Book Antiqua" w:hAnsi="Book Antiqua"/>
        </w:rPr>
      </w:pPr>
      <w:r w:rsidRPr="00353EAC">
        <w:rPr>
          <w:rFonts w:ascii="Book Antiqua" w:eastAsia="Book Antiqua" w:hAnsi="Book Antiqua" w:cs="Book Antiqua"/>
          <w:color w:val="000000"/>
        </w:rPr>
        <w:t xml:space="preserve">Here, we conducted a systematic review </w:t>
      </w:r>
      <w:r w:rsidR="00DF25DD" w:rsidRPr="00353EAC">
        <w:rPr>
          <w:rFonts w:ascii="Book Antiqua" w:eastAsia="Book Antiqua" w:hAnsi="Book Antiqua" w:cs="Book Antiqua"/>
          <w:color w:val="000000"/>
        </w:rPr>
        <w:t>o</w:t>
      </w:r>
      <w:r w:rsidR="00DF25DD">
        <w:rPr>
          <w:rFonts w:ascii="Book Antiqua" w:eastAsia="Book Antiqua" w:hAnsi="Book Antiqua" w:cs="Book Antiqua"/>
          <w:color w:val="000000"/>
        </w:rPr>
        <w:t>f</w:t>
      </w:r>
      <w:r w:rsidR="00976E63">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the available evidence regarding the physiological and clinical effects of early initiation of single or combined vasopressors during septic shock treatment </w:t>
      </w:r>
      <w:r w:rsidR="00DF25DD">
        <w:rPr>
          <w:rFonts w:ascii="Book Antiqua" w:eastAsia="Book Antiqua" w:hAnsi="Book Antiqua" w:cs="Book Antiqua"/>
          <w:color w:val="000000"/>
        </w:rPr>
        <w:t>in</w:t>
      </w:r>
      <w:r w:rsidR="00976E63">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adult</w:t>
      </w:r>
      <w:r w:rsidR="00DF25DD">
        <w:rPr>
          <w:rFonts w:ascii="Book Antiqua" w:eastAsia="Book Antiqua" w:hAnsi="Book Antiqua" w:cs="Book Antiqua"/>
          <w:color w:val="000000"/>
        </w:rPr>
        <w:t>s</w:t>
      </w:r>
      <w:r w:rsidRPr="00353EAC">
        <w:rPr>
          <w:rFonts w:ascii="Book Antiqua" w:eastAsia="Book Antiqua" w:hAnsi="Book Antiqua" w:cs="Book Antiqua"/>
          <w:color w:val="000000"/>
        </w:rPr>
        <w:t>, aiming to provide evidence on optimal timing and protocol for vasopressors administration during septic shock resuscitation.</w:t>
      </w:r>
    </w:p>
    <w:p w14:paraId="692B1F0F" w14:textId="77777777" w:rsidR="009041B5" w:rsidRPr="00353EAC" w:rsidRDefault="009041B5" w:rsidP="0033042F">
      <w:pPr>
        <w:spacing w:line="360" w:lineRule="auto"/>
        <w:ind w:firstLine="394"/>
        <w:rPr>
          <w:rFonts w:ascii="Book Antiqua" w:hAnsi="Book Antiqua"/>
        </w:rPr>
      </w:pPr>
    </w:p>
    <w:p w14:paraId="36535ED6" w14:textId="201BA6F0"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rationale for early initiation of vasopressors in septic shock</w:t>
      </w:r>
    </w:p>
    <w:p w14:paraId="376A1029"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An early administration of vasopressors may exert several potential beneficial effects in septic shock. According to clinical and experimental studies, several possible mechanisms may support the idea to initiate vasopressors early in septic shock, mainly focused on perfusion improvement, blood flow increase and fluid overload prevention.</w:t>
      </w:r>
    </w:p>
    <w:p w14:paraId="7AFAB541"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7F087FF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Early vasopressors can improve perfusion in septic shock</w:t>
      </w:r>
    </w:p>
    <w:p w14:paraId="042107D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The early initiation of vasopressors could reduce the time of insufficient perfusion caused by hypotension. Previous studies have suggested a relation of risks for mortality and acute kidney injury with a long duration and a high severity of hypotension in septic patients</w:t>
      </w:r>
      <w:r w:rsidRPr="00353EAC">
        <w:rPr>
          <w:rFonts w:ascii="Book Antiqua" w:eastAsia="Book Antiqua" w:hAnsi="Book Antiqua" w:cs="Book Antiqua"/>
          <w:color w:val="000000"/>
          <w:vertAlign w:val="superscript"/>
        </w:rPr>
        <w:t>[15-17]</w:t>
      </w:r>
      <w:r w:rsidRPr="00353EAC">
        <w:rPr>
          <w:rFonts w:ascii="Book Antiqua" w:eastAsia="Book Antiqua" w:hAnsi="Book Antiqua" w:cs="Book Antiqua"/>
          <w:color w:val="000000"/>
        </w:rPr>
        <w:t>. As a result, the earlier administration of vasopressor, the quicker relief of the hypotension, and the shorter duration of organ hypoperfusion, thus achieving a better outcome</w:t>
      </w:r>
      <w:r w:rsidRPr="00353EAC">
        <w:rPr>
          <w:rFonts w:ascii="Book Antiqua" w:eastAsia="Book Antiqua" w:hAnsi="Book Antiqua" w:cs="Book Antiqua"/>
          <w:color w:val="000000"/>
          <w:vertAlign w:val="superscript"/>
        </w:rPr>
        <w:t>[16]</w:t>
      </w:r>
      <w:r w:rsidRPr="00353EAC">
        <w:rPr>
          <w:rFonts w:ascii="Book Antiqua" w:eastAsia="Book Antiqua" w:hAnsi="Book Antiqua" w:cs="Book Antiqua"/>
          <w:color w:val="000000"/>
        </w:rPr>
        <w:t>.</w:t>
      </w:r>
    </w:p>
    <w:p w14:paraId="02356027" w14:textId="2F8CB556"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Early initiation of vasopressor therapy raises the mean arterial pressure</w:t>
      </w:r>
      <w:r w:rsidR="008A36B5">
        <w:rPr>
          <w:rFonts w:ascii="Book Antiqua" w:eastAsia="Book Antiqua" w:hAnsi="Book Antiqua" w:cs="Book Antiqua"/>
          <w:color w:val="000000"/>
        </w:rPr>
        <w:t xml:space="preserve"> (MAP)</w:t>
      </w:r>
      <w:r w:rsidRPr="00353EAC">
        <w:rPr>
          <w:rFonts w:ascii="Book Antiqua" w:eastAsia="Book Antiqua" w:hAnsi="Book Antiqua" w:cs="Book Antiqua"/>
          <w:color w:val="000000"/>
        </w:rPr>
        <w:t xml:space="preserve"> to a contributing level to facilitate tissue perfusion and prevent the onset or progression of organ dysfunction</w:t>
      </w:r>
      <w:r w:rsidRPr="00353EAC">
        <w:rPr>
          <w:rFonts w:ascii="Book Antiqua" w:eastAsia="Book Antiqua" w:hAnsi="Book Antiqua" w:cs="Book Antiqua"/>
          <w:color w:val="000000"/>
          <w:vertAlign w:val="superscript"/>
        </w:rPr>
        <w:t>[18]</w:t>
      </w:r>
      <w:r w:rsidRPr="00353EAC">
        <w:rPr>
          <w:rFonts w:ascii="Book Antiqua" w:eastAsia="Book Antiqua" w:hAnsi="Book Antiqua" w:cs="Book Antiqua"/>
          <w:color w:val="000000"/>
        </w:rPr>
        <w:t xml:space="preserve">. It is widely recognized that organs require a critical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to allow an adequate perfusion. When the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is maintained below to organ’s critical perfusion pressure, organ injury may occur</w:t>
      </w:r>
      <w:r w:rsidRPr="00353EAC">
        <w:rPr>
          <w:rFonts w:ascii="Book Antiqua" w:eastAsia="Book Antiqua" w:hAnsi="Book Antiqua" w:cs="Book Antiqua"/>
          <w:color w:val="000000"/>
          <w:vertAlign w:val="superscript"/>
        </w:rPr>
        <w:t>[19]</w:t>
      </w:r>
      <w:r w:rsidRPr="00353EAC">
        <w:rPr>
          <w:rFonts w:ascii="Book Antiqua" w:eastAsia="Book Antiqua" w:hAnsi="Book Antiqua" w:cs="Book Antiqua"/>
          <w:color w:val="000000"/>
        </w:rPr>
        <w:t>.</w:t>
      </w:r>
    </w:p>
    <w:p w14:paraId="54B66460" w14:textId="59B8A9F8"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Early initiation of vasopressors may promote the microcirculatory perfusion in septic shock</w:t>
      </w:r>
      <w:r w:rsidRPr="00353EAC">
        <w:rPr>
          <w:rFonts w:ascii="Book Antiqua" w:eastAsia="Book Antiqua" w:hAnsi="Book Antiqua" w:cs="Book Antiqua"/>
          <w:color w:val="000000"/>
          <w:vertAlign w:val="superscript"/>
        </w:rPr>
        <w:t>[20-23]</w:t>
      </w:r>
      <w:r w:rsidRPr="00353EAC">
        <w:rPr>
          <w:rFonts w:ascii="Book Antiqua" w:eastAsia="Book Antiqua" w:hAnsi="Book Antiqua" w:cs="Book Antiqua"/>
          <w:color w:val="000000"/>
        </w:rPr>
        <w:t>. Traditionally, the administration of vasopressors at the early phase of septic shock is concerned to potentially lead to the worsened microcirculation through excessive vasoconstriction of precapillary microvessels</w:t>
      </w:r>
      <w:r w:rsidRPr="00353EAC">
        <w:rPr>
          <w:rFonts w:ascii="Book Antiqua" w:eastAsia="Book Antiqua" w:hAnsi="Book Antiqua" w:cs="Book Antiqua"/>
          <w:color w:val="000000"/>
          <w:vertAlign w:val="superscript"/>
        </w:rPr>
        <w:t>[24]</w:t>
      </w:r>
      <w:r w:rsidRPr="00353EAC">
        <w:rPr>
          <w:rFonts w:ascii="Book Antiqua" w:eastAsia="Book Antiqua" w:hAnsi="Book Antiqua" w:cs="Book Antiqua"/>
          <w:color w:val="000000"/>
        </w:rPr>
        <w:t xml:space="preserve">. However, if the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is </w:t>
      </w:r>
      <w:r w:rsidRPr="00353EAC">
        <w:rPr>
          <w:rFonts w:ascii="Book Antiqua" w:eastAsia="Book Antiqua" w:hAnsi="Book Antiqua" w:cs="Book Antiqua"/>
          <w:color w:val="000000"/>
        </w:rPr>
        <w:lastRenderedPageBreak/>
        <w:t xml:space="preserve">below the threshold of autoregulation of organ blood flow, severe hypotension can theoretically worsen organ hypoperfusion. When norepinephrine is added to fluid infusion on the basis of a low diastolic pressure, the increased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with norepinephrine significantly </w:t>
      </w:r>
      <w:r w:rsidR="005F3EBC">
        <w:rPr>
          <w:rFonts w:ascii="Book Antiqua" w:eastAsia="Book Antiqua" w:hAnsi="Book Antiqua" w:cs="Book Antiqua"/>
          <w:color w:val="000000"/>
        </w:rPr>
        <w:t>increases</w:t>
      </w:r>
      <w:r w:rsidR="000C2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the tissue oxygen saturation (StO</w:t>
      </w:r>
      <w:r w:rsidRPr="00353EAC">
        <w:rPr>
          <w:rFonts w:ascii="Book Antiqua" w:eastAsia="Book Antiqua" w:hAnsi="Book Antiqua" w:cs="Book Antiqua"/>
          <w:color w:val="000000"/>
          <w:vertAlign w:val="subscript"/>
        </w:rPr>
        <w:t>2</w:t>
      </w:r>
      <w:r w:rsidRPr="00353EAC">
        <w:rPr>
          <w:rFonts w:ascii="Book Antiqua" w:eastAsia="Book Antiqua" w:hAnsi="Book Antiqua" w:cs="Book Antiqua"/>
          <w:color w:val="000000"/>
        </w:rPr>
        <w:t>) recovery slope</w:t>
      </w:r>
      <w:r w:rsidRPr="00353EAC">
        <w:rPr>
          <w:rFonts w:ascii="Book Antiqua" w:eastAsia="Book Antiqua" w:hAnsi="Book Antiqua" w:cs="Book Antiqua"/>
          <w:color w:val="000000"/>
          <w:vertAlign w:val="superscript"/>
        </w:rPr>
        <w:t>[22]</w:t>
      </w:r>
      <w:r w:rsidRPr="00353EAC">
        <w:rPr>
          <w:rFonts w:ascii="Book Antiqua" w:eastAsia="Book Antiqua" w:hAnsi="Book Antiqua" w:cs="Book Antiqua"/>
          <w:color w:val="000000"/>
        </w:rPr>
        <w:t>. The StO</w:t>
      </w:r>
      <w:r w:rsidRPr="00353EAC">
        <w:rPr>
          <w:rFonts w:ascii="Book Antiqua" w:eastAsia="Book Antiqua" w:hAnsi="Book Antiqua" w:cs="Book Antiqua"/>
          <w:color w:val="000000"/>
          <w:vertAlign w:val="subscript"/>
        </w:rPr>
        <w:t xml:space="preserve">2 </w:t>
      </w:r>
      <w:r w:rsidRPr="00353EAC">
        <w:rPr>
          <w:rFonts w:ascii="Book Antiqua" w:eastAsia="Book Antiqua" w:hAnsi="Book Antiqua" w:cs="Book Antiqua"/>
          <w:color w:val="000000"/>
        </w:rPr>
        <w:t>recovery slope reflects the capacity that microvessels are recruited in response to local hypoxia, as well as serving as a prognostic factor in septic shock patients. Furthermore, restoring arterial pressure with norepinephrine could significantly improve the microvascular reactivity during ischemia</w:t>
      </w:r>
      <w:r w:rsidR="0082396E">
        <w:rPr>
          <w:rFonts w:ascii="Book Antiqua" w:eastAsia="Book Antiqua" w:hAnsi="Book Antiqua" w:cs="Book Antiqua"/>
          <w:color w:val="000000"/>
        </w:rPr>
        <w:t>–</w:t>
      </w:r>
      <w:r w:rsidRPr="00353EAC">
        <w:rPr>
          <w:rFonts w:ascii="Book Antiqua" w:eastAsia="Book Antiqua" w:hAnsi="Book Antiqua" w:cs="Book Antiqua"/>
          <w:color w:val="000000"/>
        </w:rPr>
        <w:t>reperfusion in severely hypotensive septic patients</w:t>
      </w:r>
      <w:r w:rsidRPr="00353EAC">
        <w:rPr>
          <w:rFonts w:ascii="Book Antiqua" w:eastAsia="Book Antiqua" w:hAnsi="Book Antiqua" w:cs="Book Antiqua"/>
          <w:color w:val="000000"/>
          <w:vertAlign w:val="superscript"/>
        </w:rPr>
        <w:t>[22,25]</w:t>
      </w:r>
      <w:r w:rsidRPr="00353EAC">
        <w:rPr>
          <w:rFonts w:ascii="Book Antiqua" w:eastAsia="Book Antiqua" w:hAnsi="Book Antiqua" w:cs="Book Antiqua"/>
          <w:color w:val="000000"/>
        </w:rPr>
        <w:t>.</w:t>
      </w:r>
    </w:p>
    <w:p w14:paraId="74359728" w14:textId="1C5D6F4E"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Early initiation of vasopressors modifies the coronary artery perfusion in septic patients by maintaining a proper diastolic arterial pressure</w:t>
      </w:r>
      <w:r w:rsidRPr="00353EAC">
        <w:rPr>
          <w:rFonts w:ascii="Book Antiqua" w:eastAsia="Book Antiqua" w:hAnsi="Book Antiqua" w:cs="Book Antiqua"/>
          <w:color w:val="000000"/>
          <w:vertAlign w:val="superscript"/>
        </w:rPr>
        <w:t>[26]</w:t>
      </w:r>
      <w:r w:rsidRPr="00353EAC">
        <w:rPr>
          <w:rFonts w:ascii="Book Antiqua" w:eastAsia="Book Antiqua" w:hAnsi="Book Antiqua" w:cs="Book Antiqua"/>
          <w:color w:val="000000"/>
        </w:rPr>
        <w:t xml:space="preserve">. Diastolic arterial pressure refers to the upstream pressure for the perfusion of the left ventricle. Indeed, the left ventricle is perfused only during the diastole, unlike the right ventricle during the whole cardiac cycle. Therefore, the low </w:t>
      </w:r>
      <w:r w:rsidRPr="00353EAC">
        <w:rPr>
          <w:rFonts w:ascii="Book Antiqua" w:eastAsia="Book Antiqua" w:hAnsi="Book Antiqua" w:cs="Book Antiqua"/>
        </w:rPr>
        <w:t>diastolic arterial pressure</w:t>
      </w:r>
      <w:r w:rsidR="0082396E">
        <w:rPr>
          <w:rFonts w:ascii="Book Antiqua" w:eastAsia="Book Antiqua" w:hAnsi="Book Antiqua" w:cs="Book Antiqua"/>
        </w:rPr>
        <w:t>,</w:t>
      </w:r>
      <w:r w:rsidRPr="00353EAC">
        <w:rPr>
          <w:rFonts w:ascii="Book Antiqua" w:eastAsia="Book Antiqua" w:hAnsi="Book Antiqua" w:cs="Book Antiqua"/>
          <w:color w:val="000000"/>
        </w:rPr>
        <w:t xml:space="preserve"> as frequently the case in early septic shock due to arterial tone depression</w:t>
      </w:r>
      <w:r w:rsidR="0082396E">
        <w:rPr>
          <w:rFonts w:ascii="Book Antiqua" w:eastAsia="Book Antiqua" w:hAnsi="Book Antiqua" w:cs="Book Antiqua"/>
          <w:color w:val="000000"/>
        </w:rPr>
        <w:t>,</w:t>
      </w:r>
      <w:r w:rsidR="000C2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induce</w:t>
      </w:r>
      <w:r w:rsidR="0082396E">
        <w:rPr>
          <w:rFonts w:ascii="Book Antiqua" w:eastAsia="Book Antiqua" w:hAnsi="Book Antiqua" w:cs="Book Antiqua"/>
          <w:color w:val="000000"/>
        </w:rPr>
        <w:t>s</w:t>
      </w:r>
      <w:r w:rsidRPr="00353EAC">
        <w:rPr>
          <w:rFonts w:ascii="Book Antiqua" w:eastAsia="Book Antiqua" w:hAnsi="Book Antiqua" w:cs="Book Antiqua"/>
          <w:color w:val="000000"/>
        </w:rPr>
        <w:t xml:space="preserve"> an increased risk of myocardial</w:t>
      </w:r>
      <w:r w:rsidR="000C2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ischemia</w:t>
      </w:r>
      <w:r w:rsidRPr="00353EAC">
        <w:rPr>
          <w:rFonts w:ascii="Book Antiqua" w:eastAsia="Book Antiqua" w:hAnsi="Book Antiqua" w:cs="Book Antiqua"/>
          <w:color w:val="000000"/>
          <w:vertAlign w:val="superscript"/>
        </w:rPr>
        <w:t>[26]</w:t>
      </w:r>
      <w:r w:rsidRPr="00353EAC">
        <w:rPr>
          <w:rFonts w:ascii="Book Antiqua" w:eastAsia="Book Antiqua" w:hAnsi="Book Antiqua" w:cs="Book Antiqua"/>
          <w:color w:val="000000"/>
        </w:rPr>
        <w:t>. Early regain of a target diastolic blood pressure could be recommended for patients with unstable coronary artery disease or chronic pulmonary hypertension at risk of low coronary perfusion</w:t>
      </w:r>
      <w:r w:rsidR="000C2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pressure</w:t>
      </w:r>
      <w:r w:rsidRPr="00353EAC">
        <w:rPr>
          <w:rFonts w:ascii="Book Antiqua" w:eastAsia="Book Antiqua" w:hAnsi="Book Antiqua" w:cs="Book Antiqua"/>
          <w:color w:val="000000"/>
          <w:vertAlign w:val="superscript"/>
        </w:rPr>
        <w:t>[27]</w:t>
      </w:r>
      <w:r w:rsidRPr="00353EAC">
        <w:rPr>
          <w:rFonts w:ascii="Book Antiqua" w:eastAsia="Book Antiqua" w:hAnsi="Book Antiqua" w:cs="Book Antiqua"/>
          <w:color w:val="000000"/>
        </w:rPr>
        <w:t>.</w:t>
      </w:r>
    </w:p>
    <w:p w14:paraId="46F4DA08"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3A5D5287"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Early vasopressors can increase blood flow in septic shock</w:t>
      </w:r>
    </w:p>
    <w:p w14:paraId="2933D4EB" w14:textId="4783BF81"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Vasopressors can allow a higher blood flow by enlarging the stroke volume and cardiac output in the early stage of septic shock</w:t>
      </w:r>
      <w:r w:rsidRPr="00353EAC">
        <w:rPr>
          <w:rFonts w:ascii="Book Antiqua" w:eastAsia="Book Antiqua" w:hAnsi="Book Antiqua" w:cs="Book Antiqua"/>
          <w:color w:val="000000"/>
          <w:vertAlign w:val="superscript"/>
        </w:rPr>
        <w:t>[28]</w:t>
      </w:r>
      <w:r w:rsidRPr="00353EAC">
        <w:rPr>
          <w:rFonts w:ascii="Book Antiqua" w:eastAsia="Book Antiqua" w:hAnsi="Book Antiqua" w:cs="Book Antiqua"/>
          <w:color w:val="000000"/>
        </w:rPr>
        <w:t xml:space="preserve">. In a study covering 105 patients with severely hypotensive septic shock, early administration of norepinephrine achieved an increase in stroke volume and cardiac output, which were revealed by an elevation of cardiac preload and systemic venous return in patients with preload responsiveness, through </w:t>
      </w:r>
      <w:r w:rsidR="0082396E">
        <w:rPr>
          <w:rFonts w:ascii="Book Antiqua" w:eastAsia="Book Antiqua" w:hAnsi="Book Antiqua" w:cs="Book Antiqua"/>
          <w:color w:val="000000"/>
        </w:rPr>
        <w:t xml:space="preserve">the </w:t>
      </w:r>
      <w:r w:rsidRPr="00353EAC">
        <w:rPr>
          <w:rFonts w:ascii="Book Antiqua" w:eastAsia="Book Antiqua" w:hAnsi="Book Antiqua" w:cs="Book Antiqua"/>
          <w:color w:val="000000"/>
        </w:rPr>
        <w:t>α1-adrenergic-mediated effects</w:t>
      </w:r>
      <w:r w:rsidR="000C2501">
        <w:rPr>
          <w:rFonts w:ascii="Book Antiqua" w:hAnsi="Book Antiqua" w:cs="Book Antiqua" w:hint="eastAsia"/>
          <w:color w:val="000000"/>
          <w:lang w:eastAsia="zh-CN"/>
        </w:rPr>
        <w:t xml:space="preserve"> </w:t>
      </w:r>
      <w:r w:rsidR="0082396E">
        <w:rPr>
          <w:rFonts w:ascii="Book Antiqua" w:eastAsia="Book Antiqua" w:hAnsi="Book Antiqua" w:cs="Book Antiqua"/>
          <w:color w:val="000000"/>
        </w:rPr>
        <w:t xml:space="preserve">of </w:t>
      </w:r>
      <w:r w:rsidR="0082396E" w:rsidRPr="00353EAC">
        <w:rPr>
          <w:rFonts w:ascii="Book Antiqua" w:eastAsia="Book Antiqua" w:hAnsi="Book Antiqua" w:cs="Book Antiqua"/>
          <w:color w:val="000000"/>
        </w:rPr>
        <w:t>norepinephrine</w:t>
      </w:r>
      <w:r w:rsidRPr="00353EAC">
        <w:rPr>
          <w:rFonts w:ascii="Book Antiqua" w:eastAsia="Book Antiqua" w:hAnsi="Book Antiqua" w:cs="Book Antiqua"/>
          <w:color w:val="000000"/>
          <w:vertAlign w:val="superscript"/>
        </w:rPr>
        <w:t>[23,29]</w:t>
      </w:r>
      <w:r w:rsidRPr="00353EAC">
        <w:rPr>
          <w:rFonts w:ascii="Book Antiqua" w:eastAsia="Book Antiqua" w:hAnsi="Book Antiqua" w:cs="Book Antiqua"/>
          <w:color w:val="000000"/>
        </w:rPr>
        <w:t>.</w:t>
      </w:r>
    </w:p>
    <w:p w14:paraId="447C06F9" w14:textId="274EA181"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 xml:space="preserve">Early initiation of vasopressors increases organ blood flow and improves blood flow distribution. The improvement in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by norepinephrine was associated with maintenance of aortic and mesenteric blood flow, achieving a better tissue oxygenation </w:t>
      </w:r>
      <w:r w:rsidRPr="00353EAC">
        <w:rPr>
          <w:rFonts w:ascii="Book Antiqua" w:eastAsia="Book Antiqua" w:hAnsi="Book Antiqua" w:cs="Book Antiqua"/>
          <w:color w:val="000000"/>
        </w:rPr>
        <w:lastRenderedPageBreak/>
        <w:t>compared with fluid alone</w:t>
      </w:r>
      <w:r w:rsidRPr="00353EAC">
        <w:rPr>
          <w:rFonts w:ascii="Book Antiqua" w:eastAsia="Book Antiqua" w:hAnsi="Book Antiqua" w:cs="Book Antiqua"/>
          <w:color w:val="000000"/>
          <w:vertAlign w:val="superscript"/>
        </w:rPr>
        <w:t>[30]</w:t>
      </w:r>
      <w:r w:rsidRPr="00353EAC">
        <w:rPr>
          <w:rFonts w:ascii="Book Antiqua" w:eastAsia="Book Antiqua" w:hAnsi="Book Antiqua" w:cs="Book Antiqua"/>
          <w:color w:val="000000"/>
        </w:rPr>
        <w:t xml:space="preserve">. </w:t>
      </w:r>
      <w:r w:rsidR="0082396E">
        <w:rPr>
          <w:rFonts w:ascii="Book Antiqua" w:eastAsia="Book Antiqua" w:hAnsi="Book Antiqua" w:cs="Book Antiqua"/>
          <w:color w:val="000000"/>
        </w:rPr>
        <w:t>N</w:t>
      </w:r>
      <w:r w:rsidRPr="00353EAC">
        <w:rPr>
          <w:rFonts w:ascii="Book Antiqua" w:eastAsia="Book Antiqua" w:hAnsi="Book Antiqua" w:cs="Book Antiqua"/>
          <w:color w:val="000000"/>
        </w:rPr>
        <w:t>orepinephrine may optimize the distribution of blood flow to the mesenteric region with an earlier</w:t>
      </w:r>
      <w:r w:rsidR="00AA5DB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administration</w:t>
      </w:r>
      <w:r w:rsidRPr="00353EAC">
        <w:rPr>
          <w:rFonts w:ascii="Book Antiqua" w:eastAsia="Book Antiqua" w:hAnsi="Book Antiqua" w:cs="Book Antiqua"/>
          <w:color w:val="000000"/>
          <w:vertAlign w:val="superscript"/>
        </w:rPr>
        <w:t>[31]</w:t>
      </w:r>
      <w:r w:rsidRPr="00353EAC">
        <w:rPr>
          <w:rFonts w:ascii="Book Antiqua" w:eastAsia="Book Antiqua" w:hAnsi="Book Antiqua" w:cs="Book Antiqua"/>
          <w:color w:val="000000"/>
        </w:rPr>
        <w:t>.</w:t>
      </w:r>
    </w:p>
    <w:p w14:paraId="652462DC"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3FF17B0C"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Early vasopressors can prevent fluid overload during resuscitation in septic shock</w:t>
      </w:r>
    </w:p>
    <w:p w14:paraId="2E0A4F21"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Early initiation of vasopressors was related to the decreased infused fluid volume. Two recent studies have demonstrated it in association with less fluid treatment volumes and the improved outcomes</w:t>
      </w:r>
      <w:r w:rsidRPr="00353EAC">
        <w:rPr>
          <w:rFonts w:ascii="Book Antiqua" w:eastAsia="Book Antiqua" w:hAnsi="Book Antiqua" w:cs="Book Antiqua"/>
          <w:color w:val="000000"/>
          <w:vertAlign w:val="superscript"/>
        </w:rPr>
        <w:t>[32,33]</w:t>
      </w:r>
      <w:r w:rsidRPr="00353EAC">
        <w:rPr>
          <w:rFonts w:ascii="Book Antiqua" w:eastAsia="Book Antiqua" w:hAnsi="Book Antiqua" w:cs="Book Antiqua"/>
          <w:color w:val="000000"/>
        </w:rPr>
        <w:t>, and multiple studies have shown that large amounts of resuscitation fluids and positive cumulative fluid balance have correlation to the increased mortality in sepsis</w:t>
      </w:r>
      <w:r w:rsidRPr="00353EAC">
        <w:rPr>
          <w:rFonts w:ascii="Book Antiqua" w:eastAsia="Book Antiqua" w:hAnsi="Book Antiqua" w:cs="Book Antiqua"/>
          <w:color w:val="000000"/>
          <w:vertAlign w:val="superscript"/>
        </w:rPr>
        <w:t>[32,34-38]</w:t>
      </w:r>
      <w:r w:rsidRPr="00353EAC">
        <w:rPr>
          <w:rFonts w:ascii="Book Antiqua" w:eastAsia="Book Antiqua" w:hAnsi="Book Antiqua" w:cs="Book Antiqua"/>
          <w:color w:val="000000"/>
        </w:rPr>
        <w:t>, and the increased incidence of pulmonary edema</w:t>
      </w:r>
      <w:r w:rsidRPr="00353EAC">
        <w:rPr>
          <w:rFonts w:ascii="Book Antiqua" w:eastAsia="Book Antiqua" w:hAnsi="Book Antiqua" w:cs="Book Antiqua"/>
          <w:color w:val="000000"/>
          <w:vertAlign w:val="superscript"/>
        </w:rPr>
        <w:t>[39]</w:t>
      </w:r>
      <w:r w:rsidRPr="00353EAC">
        <w:rPr>
          <w:rFonts w:ascii="Book Antiqua" w:eastAsia="Book Antiqua" w:hAnsi="Book Antiqua" w:cs="Book Antiqua"/>
          <w:color w:val="000000"/>
        </w:rPr>
        <w:t xml:space="preserve">. </w:t>
      </w:r>
    </w:p>
    <w:p w14:paraId="5C8A81AC" w14:textId="71AE8837"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Early administration of vasopressors induces endogenous fluid recruitment by promoting venous return</w:t>
      </w:r>
      <w:r w:rsidRPr="00353EAC">
        <w:rPr>
          <w:rFonts w:ascii="Book Antiqua" w:eastAsia="Book Antiqua" w:hAnsi="Book Antiqua" w:cs="Book Antiqua"/>
          <w:color w:val="000000"/>
          <w:vertAlign w:val="superscript"/>
        </w:rPr>
        <w:t>[40]</w:t>
      </w:r>
      <w:r w:rsidRPr="00353EAC">
        <w:rPr>
          <w:rFonts w:ascii="Book Antiqua" w:eastAsia="Book Antiqua" w:hAnsi="Book Antiqua" w:cs="Book Antiqua"/>
          <w:color w:val="000000"/>
        </w:rPr>
        <w:t>. Vasodilation result</w:t>
      </w:r>
      <w:r w:rsidR="0082396E">
        <w:rPr>
          <w:rFonts w:ascii="Book Antiqua" w:eastAsia="Book Antiqua" w:hAnsi="Book Antiqua" w:cs="Book Antiqua"/>
          <w:color w:val="000000"/>
        </w:rPr>
        <w:t>s</w:t>
      </w:r>
      <w:r w:rsidRPr="00353EAC">
        <w:rPr>
          <w:rFonts w:ascii="Book Antiqua" w:eastAsia="Book Antiqua" w:hAnsi="Book Antiqua" w:cs="Book Antiqua"/>
          <w:color w:val="000000"/>
        </w:rPr>
        <w:t xml:space="preserve"> in reduced mean systemic filling pressure</w:t>
      </w:r>
      <w:r w:rsidR="0082396E">
        <w:rPr>
          <w:rFonts w:ascii="Book Antiqua" w:eastAsia="Book Antiqua" w:hAnsi="Book Antiqua" w:cs="Book Antiqua"/>
          <w:color w:val="000000"/>
        </w:rPr>
        <w:t>,</w:t>
      </w:r>
      <w:r w:rsidRPr="00353EAC">
        <w:rPr>
          <w:rFonts w:ascii="Book Antiqua" w:eastAsia="Book Antiqua" w:hAnsi="Book Antiqua" w:cs="Book Antiqua"/>
          <w:color w:val="000000"/>
        </w:rPr>
        <w:t xml:space="preserve"> thus limiting venous return during septic shock. </w:t>
      </w:r>
      <w:r w:rsidR="0082396E">
        <w:rPr>
          <w:rFonts w:ascii="Book Antiqua" w:eastAsia="Book Antiqua" w:hAnsi="Book Antiqua" w:cs="Book Antiqua"/>
          <w:color w:val="000000"/>
        </w:rPr>
        <w:t>V</w:t>
      </w:r>
      <w:r w:rsidRPr="00353EAC">
        <w:rPr>
          <w:rFonts w:ascii="Book Antiqua" w:eastAsia="Book Antiqua" w:hAnsi="Book Antiqua" w:cs="Book Antiqua"/>
          <w:color w:val="000000"/>
        </w:rPr>
        <w:t>asopressors raise blood pressure through increase</w:t>
      </w:r>
      <w:r w:rsidR="0082396E">
        <w:rPr>
          <w:rFonts w:ascii="Book Antiqua" w:eastAsia="Book Antiqua" w:hAnsi="Book Antiqua" w:cs="Book Antiqua"/>
          <w:color w:val="000000"/>
        </w:rPr>
        <w:t>d</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systemic vascular resistance. The </w:t>
      </w:r>
      <w:r w:rsidR="0082396E" w:rsidRPr="00353EAC">
        <w:rPr>
          <w:rFonts w:ascii="Book Antiqua" w:eastAsia="Book Antiqua" w:hAnsi="Book Antiqua" w:cs="Book Antiqua"/>
          <w:color w:val="000000"/>
        </w:rPr>
        <w:t>v</w:t>
      </w:r>
      <w:r w:rsidR="0082396E">
        <w:rPr>
          <w:rFonts w:ascii="Book Antiqua" w:eastAsia="Book Antiqua" w:hAnsi="Book Antiqua" w:cs="Book Antiqua"/>
          <w:color w:val="000000"/>
        </w:rPr>
        <w:t>en</w:t>
      </w:r>
      <w:r w:rsidR="0082396E" w:rsidRPr="00353EAC">
        <w:rPr>
          <w:rFonts w:ascii="Book Antiqua" w:eastAsia="Book Antiqua" w:hAnsi="Book Antiqua" w:cs="Book Antiqua"/>
          <w:color w:val="000000"/>
        </w:rPr>
        <w:t>oconstrictive</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effect also contributes to increasing the venous return through mobilizing non-stress volume to stress volume</w:t>
      </w:r>
      <w:r w:rsidRPr="00353EAC">
        <w:rPr>
          <w:rFonts w:ascii="Book Antiqua" w:eastAsia="Book Antiqua" w:hAnsi="Book Antiqua" w:cs="Book Antiqua"/>
          <w:color w:val="000000"/>
          <w:vertAlign w:val="superscript"/>
        </w:rPr>
        <w:t>[41,42]</w:t>
      </w:r>
      <w:r w:rsidRPr="00353EAC">
        <w:rPr>
          <w:rFonts w:ascii="Book Antiqua" w:eastAsia="Book Antiqua" w:hAnsi="Book Antiqua" w:cs="Book Antiqua"/>
          <w:color w:val="000000"/>
        </w:rPr>
        <w:t>. Administration of vasopressors can therefore simulate a fluid bolus through endogenous fluid recruitment</w:t>
      </w:r>
      <w:r w:rsidRPr="00353EAC">
        <w:rPr>
          <w:rFonts w:ascii="Book Antiqua" w:eastAsia="Book Antiqua" w:hAnsi="Book Antiqua" w:cs="Book Antiqua"/>
          <w:color w:val="000000"/>
          <w:vertAlign w:val="superscript"/>
        </w:rPr>
        <w:t>[29]</w:t>
      </w:r>
      <w:r w:rsidRPr="00353EAC">
        <w:rPr>
          <w:rFonts w:ascii="Book Antiqua" w:eastAsia="Book Antiqua" w:hAnsi="Book Antiqua" w:cs="Book Antiqua"/>
          <w:color w:val="000000"/>
        </w:rPr>
        <w:t>.</w:t>
      </w:r>
    </w:p>
    <w:p w14:paraId="489D97C6" w14:textId="29D85435"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 xml:space="preserve">Early administration of vasopressors can diminish the capillary permeability by inhibiting inflammation. In one experiment, norepinephrine prominently </w:t>
      </w:r>
      <w:r w:rsidR="0082396E" w:rsidRPr="00353EAC">
        <w:rPr>
          <w:rFonts w:ascii="Book Antiqua" w:eastAsia="Book Antiqua" w:hAnsi="Book Antiqua" w:cs="Book Antiqua"/>
          <w:color w:val="000000"/>
        </w:rPr>
        <w:t>reduce</w:t>
      </w:r>
      <w:r w:rsidR="0082396E">
        <w:rPr>
          <w:rFonts w:ascii="Book Antiqua" w:eastAsia="Book Antiqua" w:hAnsi="Book Antiqua" w:cs="Book Antiqua"/>
          <w:color w:val="000000"/>
        </w:rPr>
        <w:t>d</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the endothelial permeability resulting from agonists of multiple Toll-like receptors </w:t>
      </w:r>
      <w:r w:rsidR="00232C81" w:rsidRPr="005A58B3">
        <w:rPr>
          <w:rFonts w:ascii="Book Antiqua" w:eastAsia="Book Antiqua" w:hAnsi="Book Antiqua" w:cs="Book Antiqua"/>
          <w:i/>
          <w:iCs/>
          <w:color w:val="000000"/>
        </w:rPr>
        <w:t>in vitro</w:t>
      </w:r>
      <w:r w:rsidRPr="00353EAC">
        <w:rPr>
          <w:rFonts w:ascii="Book Antiqua" w:eastAsia="Book Antiqua" w:hAnsi="Book Antiqua" w:cs="Book Antiqua"/>
          <w:color w:val="000000"/>
        </w:rPr>
        <w:t>, suggesting that both β1- and β2-adrenergic receptor</w:t>
      </w:r>
      <w:r w:rsidR="0082396E">
        <w:rPr>
          <w:rFonts w:ascii="Book Antiqua" w:eastAsia="Book Antiqua" w:hAnsi="Book Antiqua" w:cs="Book Antiqua"/>
          <w:color w:val="000000"/>
        </w:rPr>
        <w:t>s</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mediate the stabilizing effects of norepinephrine on the endothelial</w:t>
      </w:r>
      <w:r w:rsidR="00D119A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barrier</w:t>
      </w:r>
      <w:r w:rsidRPr="00353EAC">
        <w:rPr>
          <w:rFonts w:ascii="Book Antiqua" w:eastAsia="Book Antiqua" w:hAnsi="Book Antiqua" w:cs="Book Antiqua"/>
          <w:color w:val="000000"/>
          <w:vertAlign w:val="superscript"/>
        </w:rPr>
        <w:t>[43]</w:t>
      </w:r>
      <w:r w:rsidRPr="00353EAC">
        <w:rPr>
          <w:rFonts w:ascii="Book Antiqua" w:eastAsia="Book Antiqua" w:hAnsi="Book Antiqua" w:cs="Book Antiqua"/>
          <w:color w:val="000000"/>
        </w:rPr>
        <w:t>.</w:t>
      </w:r>
    </w:p>
    <w:p w14:paraId="60D45D2C" w14:textId="77777777" w:rsidR="009041B5" w:rsidRPr="00353EAC" w:rsidRDefault="009041B5" w:rsidP="0033042F">
      <w:pPr>
        <w:spacing w:line="360" w:lineRule="auto"/>
        <w:rPr>
          <w:rFonts w:ascii="Book Antiqua" w:hAnsi="Book Antiqua"/>
        </w:rPr>
      </w:pPr>
    </w:p>
    <w:p w14:paraId="4E073D72" w14:textId="42005B86"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evidence that support</w:t>
      </w:r>
      <w:r w:rsidR="008A36B5">
        <w:rPr>
          <w:rFonts w:ascii="Book Antiqua" w:eastAsia="Book Antiqua" w:hAnsi="Book Antiqua" w:cs="Book Antiqua"/>
          <w:b/>
          <w:bCs/>
          <w:caps/>
          <w:color w:val="000000"/>
          <w:u w:val="single"/>
        </w:rPr>
        <w:t>S</w:t>
      </w:r>
      <w:r w:rsidRPr="00353EAC">
        <w:rPr>
          <w:rFonts w:ascii="Book Antiqua" w:eastAsia="Book Antiqua" w:hAnsi="Book Antiqua" w:cs="Book Antiqua"/>
          <w:b/>
          <w:bCs/>
          <w:caps/>
          <w:color w:val="000000"/>
          <w:u w:val="single"/>
        </w:rPr>
        <w:t xml:space="preserve"> early initiation of vasopressors: systemic review of clinical studies</w:t>
      </w:r>
    </w:p>
    <w:p w14:paraId="06CD1DCD"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Literature search</w:t>
      </w:r>
    </w:p>
    <w:p w14:paraId="05FCFDB8" w14:textId="22C3FE45" w:rsidR="009041B5" w:rsidRPr="00353EAC" w:rsidRDefault="00F74228" w:rsidP="0033042F">
      <w:pPr>
        <w:spacing w:line="360" w:lineRule="auto"/>
        <w:rPr>
          <w:rFonts w:ascii="Book Antiqua" w:hAnsi="Book Antiqua"/>
        </w:rPr>
      </w:pPr>
      <w:bookmarkStart w:id="1" w:name="OLE_LINK2"/>
      <w:bookmarkStart w:id="2" w:name="OLE_LINK3"/>
      <w:r w:rsidRPr="00353EAC">
        <w:rPr>
          <w:rFonts w:ascii="Book Antiqua" w:eastAsia="Book Antiqua" w:hAnsi="Book Antiqua" w:cs="Book Antiqua"/>
          <w:color w:val="000000"/>
        </w:rPr>
        <w:t>In accordance with the 2020 guidelines of Preferred Reporting Items for Systematic Reviews and Meta-Analyses (PRISMA</w:t>
      </w:r>
      <w:r w:rsidRPr="00353EAC">
        <w:rPr>
          <w:rFonts w:ascii="Book Antiqua" w:hAnsi="Book Antiqua" w:cs="Book Antiqua"/>
          <w:color w:val="000000"/>
          <w:lang w:eastAsia="zh-CN"/>
        </w:rPr>
        <w:t>, www.prisma-statement.org/PRISMAStatement</w:t>
      </w:r>
      <w:r w:rsidRPr="00353EAC">
        <w:rPr>
          <w:rFonts w:ascii="Book Antiqua" w:eastAsia="Book Antiqua" w:hAnsi="Book Antiqua" w:cs="Book Antiqua"/>
          <w:color w:val="000000"/>
        </w:rPr>
        <w:t>), a systematic review was conducted.</w:t>
      </w:r>
      <w:bookmarkEnd w:id="1"/>
      <w:bookmarkEnd w:id="2"/>
      <w:r w:rsidRPr="00353EAC">
        <w:rPr>
          <w:rFonts w:ascii="Book Antiqua" w:eastAsia="Book Antiqua" w:hAnsi="Book Antiqua" w:cs="Book Antiqua"/>
          <w:color w:val="000000"/>
        </w:rPr>
        <w:t xml:space="preserve">Pubmed, Medline, Embase, and Cochrane database from 2012 to September 28, 2022 were searched using the following search terms: </w:t>
      </w:r>
      <w:r w:rsidRPr="00353EAC">
        <w:rPr>
          <w:rFonts w:ascii="Book Antiqua" w:eastAsia="Book Antiqua" w:hAnsi="Book Antiqua" w:cs="Book Antiqua"/>
          <w:color w:val="000000"/>
        </w:rPr>
        <w:lastRenderedPageBreak/>
        <w:t xml:space="preserve">("early"[All Fields] OR "Time Factors"[MeSH Terms] OR ("timely"[All Fields] OR "timing"[All Fields] OR "timings"[All Fields]) OR "delay*"[All Fields]) AND ("vasopressor*"[All Fields] OR ("noradrenalines"[All Fields] OR "norepinephrin"[All Fields] OR "norepinephrine"[MeSH Terms] OR "norepinephrine"[All Fields] OR "noradrenalin"[All Fields] OR "noradrenaline"[All Fields] OR "norepinephrines"[All Fields]) OR "vasopressin*"[All Fields] OR "Vasoconstrictor Agents"[MeSH Terms]) AND "shock, septic"[MeSH Terms]).The search was slightly adjusted to different databases. </w:t>
      </w:r>
      <w:r w:rsidR="008A36B5">
        <w:rPr>
          <w:rFonts w:ascii="Book Antiqua" w:eastAsia="Book Antiqua" w:hAnsi="Book Antiqua" w:cs="Book Antiqua"/>
          <w:color w:val="000000"/>
        </w:rPr>
        <w:t>We</w:t>
      </w:r>
      <w:r w:rsidRPr="00353EAC">
        <w:rPr>
          <w:rFonts w:ascii="Book Antiqua" w:eastAsia="Book Antiqua" w:hAnsi="Book Antiqua" w:cs="Book Antiqua"/>
          <w:color w:val="000000"/>
        </w:rPr>
        <w:t xml:space="preserve"> also reviewed the references listed in the identified articles, which were manually searched for the related articles to identify all relevant and eligible articles and to minimize publication bias.</w:t>
      </w:r>
    </w:p>
    <w:p w14:paraId="559E30D1" w14:textId="0ABF34F9" w:rsidR="009041B5" w:rsidRPr="00353EAC" w:rsidRDefault="00F74228" w:rsidP="0033042F">
      <w:pPr>
        <w:spacing w:line="360" w:lineRule="auto"/>
        <w:ind w:firstLine="400"/>
        <w:rPr>
          <w:rFonts w:ascii="Book Antiqua" w:hAnsi="Book Antiqua"/>
        </w:rPr>
      </w:pPr>
      <w:r w:rsidRPr="00353EAC">
        <w:rPr>
          <w:rFonts w:ascii="Book Antiqua" w:eastAsia="Book Antiqua" w:hAnsi="Book Antiqua" w:cs="Book Antiqua"/>
          <w:color w:val="000000"/>
        </w:rPr>
        <w:t>Two researchers independently screened and evaluated the eligibility of all studies, and a third reviewer intervened if a disagreement emerged. Original research reports of septic shock patients</w:t>
      </w:r>
      <w:r w:rsidR="008A36B5">
        <w:rPr>
          <w:rFonts w:ascii="Book Antiqua" w:eastAsia="Book Antiqua" w:hAnsi="Book Antiqua" w:cs="Book Antiqua"/>
          <w:color w:val="000000"/>
        </w:rPr>
        <w:t>,</w:t>
      </w:r>
      <w:r w:rsidRPr="00353EAC">
        <w:rPr>
          <w:rFonts w:ascii="Book Antiqua" w:eastAsia="Book Antiqua" w:hAnsi="Book Antiqua" w:cs="Book Antiqua"/>
          <w:color w:val="000000"/>
        </w:rPr>
        <w:t xml:space="preserve"> and </w:t>
      </w:r>
      <w:r w:rsidR="008A36B5">
        <w:rPr>
          <w:rFonts w:ascii="Book Antiqua" w:eastAsia="Book Antiqua" w:hAnsi="Book Antiqua" w:cs="Book Antiqua"/>
          <w:color w:val="000000"/>
        </w:rPr>
        <w:t>studies in which</w:t>
      </w:r>
      <w:r w:rsidRPr="00353EAC">
        <w:rPr>
          <w:rFonts w:ascii="Book Antiqua" w:eastAsia="Book Antiqua" w:hAnsi="Book Antiqua" w:cs="Book Antiqua"/>
          <w:color w:val="000000"/>
        </w:rPr>
        <w:t xml:space="preserve"> patients were treated with vasopressors early were enrolled. The exclusion criteria were: (1) languages other than English; (2) study protocols, review articles, abstracts, </w:t>
      </w:r>
      <w:r w:rsidR="008A36B5">
        <w:rPr>
          <w:rFonts w:ascii="Book Antiqua" w:eastAsia="Book Antiqua" w:hAnsi="Book Antiqua" w:cs="Book Antiqua"/>
          <w:color w:val="000000"/>
        </w:rPr>
        <w:t xml:space="preserve">and </w:t>
      </w:r>
      <w:r w:rsidRPr="00353EAC">
        <w:rPr>
          <w:rFonts w:ascii="Book Antiqua" w:eastAsia="Book Antiqua" w:hAnsi="Book Antiqua" w:cs="Book Antiqua"/>
          <w:color w:val="000000"/>
        </w:rPr>
        <w:t>editorials; (3) research on children or animals; and (4) case reports. The flow chart of the search strategies is depicted in Figure 1.</w:t>
      </w:r>
    </w:p>
    <w:p w14:paraId="30C3ABE0" w14:textId="4FDE3BA6" w:rsidR="009041B5" w:rsidRPr="00353EAC" w:rsidRDefault="00F74228" w:rsidP="0033042F">
      <w:pPr>
        <w:spacing w:line="360" w:lineRule="auto"/>
        <w:ind w:firstLineChars="200" w:firstLine="480"/>
        <w:rPr>
          <w:rFonts w:ascii="Book Antiqua" w:hAnsi="Book Antiqua"/>
        </w:rPr>
      </w:pPr>
      <w:r w:rsidRPr="00353EAC">
        <w:rPr>
          <w:rFonts w:ascii="Book Antiqua" w:eastAsia="Book Antiqua" w:hAnsi="Book Antiqua" w:cs="Book Antiqua"/>
          <w:color w:val="000000"/>
        </w:rPr>
        <w:t>The primary outcome assessed was mortality, while the other endpoints included shock control rate, time to achieve target MAP, incidence of organ failure and lactate clearance rate.</w:t>
      </w:r>
    </w:p>
    <w:p w14:paraId="5DA58412"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31C87C42"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Study characteristics</w:t>
      </w:r>
    </w:p>
    <w:p w14:paraId="7353C205" w14:textId="31FD73E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The characteristics of the included trials are </w:t>
      </w:r>
      <w:r w:rsidR="008A36B5" w:rsidRPr="00353EAC">
        <w:rPr>
          <w:rFonts w:ascii="Book Antiqua" w:eastAsia="Book Antiqua" w:hAnsi="Book Antiqua" w:cs="Book Antiqua"/>
          <w:color w:val="000000"/>
        </w:rPr>
        <w:t>summarized</w:t>
      </w:r>
      <w:r w:rsidRPr="00353EAC">
        <w:rPr>
          <w:rFonts w:ascii="Book Antiqua" w:eastAsia="Book Antiqua" w:hAnsi="Book Antiqua" w:cs="Book Antiqua"/>
          <w:color w:val="000000"/>
        </w:rPr>
        <w:t xml:space="preserve"> in Tables 1 and 2. A total of 14 studies were included in this systematic review, including </w:t>
      </w:r>
      <w:r w:rsidR="008A36B5">
        <w:rPr>
          <w:rFonts w:ascii="Book Antiqua" w:eastAsia="Book Antiqua" w:hAnsi="Book Antiqua" w:cs="Book Antiqua"/>
          <w:color w:val="000000"/>
        </w:rPr>
        <w:t>three</w:t>
      </w:r>
      <w:r w:rsidR="005B29BE">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randomized controlled trials (RCTs) and 11 observational studies, covering 11</w:t>
      </w:r>
      <w:r w:rsidR="008A36B5">
        <w:rPr>
          <w:rFonts w:ascii="Book Antiqua" w:eastAsia="Book Antiqua" w:hAnsi="Book Antiqua" w:cs="Book Antiqua"/>
          <w:color w:val="000000"/>
        </w:rPr>
        <w:t> </w:t>
      </w:r>
      <w:r w:rsidRPr="00353EAC">
        <w:rPr>
          <w:rFonts w:ascii="Book Antiqua" w:eastAsia="Book Antiqua" w:hAnsi="Book Antiqua" w:cs="Book Antiqua"/>
          <w:color w:val="000000"/>
        </w:rPr>
        <w:t xml:space="preserve">327 patients. The 14 studies were conducted in </w:t>
      </w:r>
      <w:r w:rsidR="008A36B5">
        <w:rPr>
          <w:rFonts w:ascii="Book Antiqua" w:eastAsia="Book Antiqua" w:hAnsi="Book Antiqua" w:cs="Book Antiqua"/>
          <w:color w:val="000000"/>
        </w:rPr>
        <w:t>the USA</w:t>
      </w:r>
      <w:r w:rsidRPr="00353EAC">
        <w:rPr>
          <w:rFonts w:ascii="Book Antiqua" w:eastAsia="Book Antiqua" w:hAnsi="Book Antiqua" w:cs="Book Antiqua"/>
          <w:color w:val="000000"/>
        </w:rPr>
        <w:t xml:space="preserve">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5), Canada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China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Thailand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Egypt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Colombia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Korea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France (</w:t>
      </w:r>
      <w:r w:rsidRPr="00353EAC">
        <w:rPr>
          <w:rFonts w:ascii="Book Antiqua" w:eastAsia="Book Antiqua" w:hAnsi="Book Antiqua" w:cs="Book Antiqua"/>
          <w:i/>
          <w:iCs/>
          <w:color w:val="000000"/>
        </w:rPr>
        <w:t>n</w:t>
      </w:r>
      <w:r w:rsidRPr="00353EAC">
        <w:rPr>
          <w:rFonts w:ascii="Book Antiqua" w:eastAsia="Book Antiqua" w:hAnsi="Book Antiqua" w:cs="Book Antiqua"/>
          <w:color w:val="000000"/>
        </w:rPr>
        <w:t xml:space="preserve"> = 1), and </w:t>
      </w:r>
      <w:r w:rsidR="008A36B5">
        <w:rPr>
          <w:rFonts w:ascii="Book Antiqua" w:eastAsia="Book Antiqua" w:hAnsi="Book Antiqua" w:cs="Book Antiqua"/>
          <w:color w:val="000000"/>
        </w:rPr>
        <w:t>two</w:t>
      </w:r>
      <w:r w:rsidR="005B29BE">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were international studies.</w:t>
      </w:r>
    </w:p>
    <w:p w14:paraId="6F47360C" w14:textId="77777777" w:rsidR="008A36B5" w:rsidRDefault="008A36B5" w:rsidP="0033042F">
      <w:pPr>
        <w:spacing w:line="360" w:lineRule="auto"/>
        <w:rPr>
          <w:rFonts w:ascii="Book Antiqua" w:eastAsia="Book Antiqua" w:hAnsi="Book Antiqua" w:cs="Book Antiqua"/>
          <w:b/>
          <w:color w:val="000000"/>
        </w:rPr>
      </w:pPr>
    </w:p>
    <w:p w14:paraId="19F14A7F" w14:textId="18A9B5FC"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lastRenderedPageBreak/>
        <w:t>Definition of early initiation of vasopressors in septic shock</w:t>
      </w:r>
      <w:r w:rsidRPr="00353EAC">
        <w:rPr>
          <w:rFonts w:ascii="Book Antiqua" w:hAnsi="Book Antiqua"/>
          <w:b/>
          <w:lang w:eastAsia="zh-CN"/>
        </w:rPr>
        <w:t xml:space="preserve">: </w:t>
      </w:r>
      <w:r w:rsidRPr="00353EAC">
        <w:rPr>
          <w:rFonts w:ascii="Book Antiqua" w:eastAsia="Book Antiqua" w:hAnsi="Book Antiqua" w:cs="Book Antiqua"/>
          <w:color w:val="000000"/>
        </w:rPr>
        <w:t xml:space="preserve">There </w:t>
      </w:r>
      <w:r w:rsidR="008A36B5">
        <w:rPr>
          <w:rFonts w:ascii="Book Antiqua" w:eastAsia="Book Antiqua" w:hAnsi="Book Antiqua" w:cs="Book Antiqua"/>
          <w:color w:val="000000"/>
        </w:rPr>
        <w:t>were</w:t>
      </w:r>
      <w:r w:rsidR="004807B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two definitions for early initiation of vasopressors in septic shock</w:t>
      </w:r>
      <w:r w:rsidR="004807B2">
        <w:rPr>
          <w:rFonts w:ascii="Book Antiqua" w:hAnsi="Book Antiqua" w:cs="Book Antiqua" w:hint="eastAsia"/>
          <w:color w:val="000000"/>
          <w:lang w:eastAsia="zh-CN"/>
        </w:rPr>
        <w:t xml:space="preserve"> </w:t>
      </w:r>
      <w:r w:rsidR="008A36B5">
        <w:rPr>
          <w:rFonts w:ascii="Book Antiqua" w:eastAsia="Book Antiqua" w:hAnsi="Book Antiqua" w:cs="Book Antiqua"/>
          <w:color w:val="000000"/>
        </w:rPr>
        <w:t>used</w:t>
      </w:r>
      <w:r w:rsidR="004807B2">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in previous studies. </w:t>
      </w:r>
    </w:p>
    <w:p w14:paraId="58C39F69" w14:textId="3E38E9A8" w:rsidR="009041B5" w:rsidRPr="00353EAC" w:rsidRDefault="00F74228" w:rsidP="0033042F">
      <w:pPr>
        <w:spacing w:line="360" w:lineRule="auto"/>
        <w:ind w:firstLine="400"/>
        <w:rPr>
          <w:rFonts w:ascii="Book Antiqua" w:hAnsi="Book Antiqua"/>
        </w:rPr>
      </w:pPr>
      <w:r w:rsidRPr="00353EAC">
        <w:rPr>
          <w:rFonts w:ascii="Book Antiqua" w:eastAsia="Book Antiqua" w:hAnsi="Book Antiqua" w:cs="Book Antiqua"/>
          <w:color w:val="000000"/>
        </w:rPr>
        <w:t xml:space="preserve">First, in most studies, early initiation was defined as the initiation of a vasopressor such as norepinephrine during the early stage of hypotension or shock onset as a mono-vasopressor therapy, and </w:t>
      </w:r>
      <w:r w:rsidR="008A36B5" w:rsidRPr="00353EAC">
        <w:rPr>
          <w:rFonts w:ascii="Book Antiqua" w:eastAsia="Book Antiqua" w:hAnsi="Book Antiqua" w:cs="Book Antiqua"/>
          <w:color w:val="000000"/>
        </w:rPr>
        <w:t>a</w:t>
      </w:r>
      <w:r w:rsidR="008A36B5">
        <w:rPr>
          <w:rFonts w:ascii="Book Antiqua" w:eastAsia="Book Antiqua" w:hAnsi="Book Antiqua" w:cs="Book Antiqua"/>
          <w:color w:val="000000"/>
        </w:rPr>
        <w:t>t</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the same time (&lt; 1 h) or even before administration of loading fluid in </w:t>
      </w:r>
      <w:r w:rsidR="008A36B5">
        <w:rPr>
          <w:rFonts w:ascii="Book Antiqua" w:eastAsia="Book Antiqua" w:hAnsi="Book Antiqua" w:cs="Book Antiqua"/>
          <w:color w:val="000000"/>
        </w:rPr>
        <w:t>three</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studies</w:t>
      </w:r>
      <w:r w:rsidR="008A36B5">
        <w:rPr>
          <w:rFonts w:ascii="Book Antiqua" w:eastAsia="Book Antiqua" w:hAnsi="Book Antiqua" w:cs="Book Antiqua"/>
          <w:color w:val="000000"/>
        </w:rPr>
        <w:t>.</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Initiation of vasopressors after a short time (within 2, 3</w:t>
      </w:r>
      <w:r w:rsidR="008A36B5">
        <w:rPr>
          <w:rFonts w:ascii="Book Antiqua" w:eastAsia="Book Antiqua" w:hAnsi="Book Antiqua" w:cs="Book Antiqua"/>
          <w:color w:val="000000"/>
        </w:rPr>
        <w:t>or</w:t>
      </w:r>
      <w:r w:rsidR="00213407">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6 h) of hypotension or shock onset was </w:t>
      </w:r>
      <w:r w:rsidR="008A36B5">
        <w:rPr>
          <w:rFonts w:ascii="Book Antiqua" w:eastAsia="Book Antiqua" w:hAnsi="Book Antiqua" w:cs="Book Antiqua"/>
          <w:color w:val="000000"/>
        </w:rPr>
        <w:t>used</w:t>
      </w:r>
      <w:r w:rsidR="00213407">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 other studies</w:t>
      </w:r>
      <w:r w:rsidR="008A36B5">
        <w:rPr>
          <w:rFonts w:ascii="Book Antiqua" w:eastAsia="Book Antiqua" w:hAnsi="Book Antiqua" w:cs="Book Antiqua"/>
          <w:color w:val="000000"/>
        </w:rPr>
        <w:t>. Three</w:t>
      </w:r>
      <w:r w:rsidRPr="00353EAC">
        <w:rPr>
          <w:rFonts w:ascii="Book Antiqua" w:eastAsia="Book Antiqua" w:hAnsi="Book Antiqua" w:cs="Book Antiqua"/>
          <w:color w:val="000000"/>
        </w:rPr>
        <w:t xml:space="preserve"> studies defined the early start of vasopressors at an average of 30 or 90 min after emergency room arrival or even </w:t>
      </w:r>
      <w:r w:rsidR="008A36B5">
        <w:rPr>
          <w:rFonts w:ascii="Book Antiqua" w:eastAsia="Book Antiqua" w:hAnsi="Book Antiqua" w:cs="Book Antiqua"/>
          <w:color w:val="000000"/>
        </w:rPr>
        <w:t xml:space="preserve">before </w:t>
      </w:r>
      <w:r w:rsidR="008A36B5" w:rsidRPr="00353EAC">
        <w:rPr>
          <w:rFonts w:ascii="Book Antiqua" w:eastAsia="Book Antiqua" w:hAnsi="Book Antiqua" w:cs="Book Antiqua"/>
          <w:color w:val="000000"/>
        </w:rPr>
        <w:t>hospital</w:t>
      </w:r>
      <w:r w:rsidRPr="00353EAC">
        <w:rPr>
          <w:rFonts w:ascii="Book Antiqua" w:eastAsia="Book Antiqua" w:hAnsi="Book Antiqua" w:cs="Book Antiqua"/>
          <w:color w:val="000000"/>
        </w:rPr>
        <w:t xml:space="preserve">. The studies above were summarized in Table 1. </w:t>
      </w:r>
    </w:p>
    <w:p w14:paraId="63C75E9A" w14:textId="11834649" w:rsidR="009041B5" w:rsidRDefault="00F74228" w:rsidP="0033042F">
      <w:pPr>
        <w:spacing w:line="360" w:lineRule="auto"/>
        <w:ind w:firstLine="400"/>
        <w:rPr>
          <w:rFonts w:ascii="Book Antiqua" w:eastAsia="Book Antiqua" w:hAnsi="Book Antiqua" w:cs="Book Antiqua"/>
          <w:color w:val="000000"/>
        </w:rPr>
      </w:pPr>
      <w:r w:rsidRPr="00353EAC">
        <w:rPr>
          <w:rFonts w:ascii="Book Antiqua" w:eastAsia="Book Antiqua" w:hAnsi="Book Antiqua" w:cs="Book Antiqua"/>
          <w:color w:val="000000"/>
        </w:rPr>
        <w:t xml:space="preserve">Second, in other recent studies, early initiation stood for early addition of a second vasopressor such as vasopressin or </w:t>
      </w:r>
      <w:r w:rsidR="008A36B5">
        <w:rPr>
          <w:rFonts w:ascii="Book Antiqua" w:eastAsia="Book Antiqua" w:hAnsi="Book Antiqua" w:cs="Book Antiqua"/>
          <w:color w:val="000000"/>
        </w:rPr>
        <w:t>a</w:t>
      </w:r>
      <w:r w:rsidR="008A36B5"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to the first-line norepinephrine as multi-vasopressor therapy in severe septic shock</w:t>
      </w:r>
      <w:r w:rsidR="008A36B5">
        <w:rPr>
          <w:rFonts w:ascii="Book Antiqua" w:eastAsia="Book Antiqua" w:hAnsi="Book Antiqua" w:cs="Book Antiqua"/>
          <w:color w:val="000000"/>
        </w:rPr>
        <w:t>(</w:t>
      </w:r>
      <w:r w:rsidRPr="00353EAC">
        <w:rPr>
          <w:rFonts w:ascii="Book Antiqua" w:eastAsia="Book Antiqua" w:hAnsi="Book Antiqua" w:cs="Book Antiqua"/>
          <w:color w:val="000000"/>
        </w:rPr>
        <w:t>Table 2</w:t>
      </w:r>
      <w:r w:rsidR="008A36B5">
        <w:rPr>
          <w:rFonts w:ascii="Book Antiqua" w:eastAsia="Book Antiqua" w:hAnsi="Book Antiqua" w:cs="Book Antiqua"/>
          <w:color w:val="000000"/>
        </w:rPr>
        <w:t>)</w:t>
      </w:r>
      <w:r w:rsidRPr="00353EAC">
        <w:rPr>
          <w:rFonts w:ascii="Book Antiqua" w:eastAsia="Book Antiqua" w:hAnsi="Book Antiqua" w:cs="Book Antiqua"/>
          <w:color w:val="000000"/>
        </w:rPr>
        <w:t>.</w:t>
      </w:r>
    </w:p>
    <w:p w14:paraId="72852384" w14:textId="77777777" w:rsidR="008A36B5" w:rsidRPr="00353EAC" w:rsidRDefault="008A36B5" w:rsidP="0033042F">
      <w:pPr>
        <w:spacing w:line="360" w:lineRule="auto"/>
        <w:ind w:firstLine="400"/>
        <w:rPr>
          <w:rFonts w:ascii="Book Antiqua" w:hAnsi="Book Antiqua"/>
        </w:rPr>
      </w:pPr>
    </w:p>
    <w:p w14:paraId="7980712E" w14:textId="50403BD8" w:rsidR="009041B5" w:rsidRPr="001C0431" w:rsidRDefault="00F74228" w:rsidP="001C0431">
      <w:pPr>
        <w:spacing w:line="360" w:lineRule="auto"/>
        <w:rPr>
          <w:rFonts w:ascii="Book Antiqua" w:hAnsi="Book Antiqua" w:cs="Book Antiqua"/>
          <w:color w:val="000000"/>
          <w:lang w:eastAsia="zh-CN"/>
        </w:rPr>
      </w:pPr>
      <w:r w:rsidRPr="001C0431">
        <w:rPr>
          <w:rFonts w:ascii="Book Antiqua" w:eastAsia="Book Antiqua" w:hAnsi="Book Antiqua" w:cs="Book Antiqua"/>
          <w:b/>
          <w:color w:val="000000"/>
        </w:rPr>
        <w:t>Major outcomes and findings of studies for early administration of single vasopressor</w:t>
      </w:r>
      <w:r w:rsidR="008A36B5" w:rsidRPr="001C0431">
        <w:rPr>
          <w:rFonts w:ascii="Book Antiqua" w:eastAsia="Book Antiqua" w:hAnsi="Book Antiqua" w:cs="Book Antiqua"/>
          <w:b/>
          <w:color w:val="000000"/>
        </w:rPr>
        <w:t>s</w:t>
      </w:r>
      <w:r w:rsidRPr="001C0431">
        <w:rPr>
          <w:rFonts w:ascii="Book Antiqua" w:eastAsia="Book Antiqua" w:hAnsi="Book Antiqua" w:cs="Book Antiqua"/>
          <w:b/>
          <w:color w:val="000000"/>
        </w:rPr>
        <w:t xml:space="preserve"> in septic shock</w:t>
      </w:r>
      <w:r w:rsidR="001C0431" w:rsidRPr="001C0431">
        <w:rPr>
          <w:rFonts w:ascii="Book Antiqua" w:hAnsi="Book Antiqua" w:cs="Book Antiqua" w:hint="eastAsia"/>
          <w:b/>
          <w:color w:val="000000"/>
          <w:lang w:eastAsia="zh-CN"/>
        </w:rPr>
        <w:t xml:space="preserve">: </w:t>
      </w:r>
      <w:r w:rsidRPr="00353EAC">
        <w:rPr>
          <w:rFonts w:ascii="Book Antiqua" w:eastAsia="Book Antiqua" w:hAnsi="Book Antiqua" w:cs="Book Antiqua"/>
          <w:color w:val="000000"/>
        </w:rPr>
        <w:t>Mortality was 28.1</w:t>
      </w:r>
      <w:r w:rsidR="008A36B5" w:rsidRPr="00353EAC">
        <w:rPr>
          <w:rFonts w:ascii="Book Antiqua" w:eastAsia="Book Antiqua" w:hAnsi="Book Antiqua" w:cs="Book Antiqua"/>
          <w:color w:val="000000"/>
        </w:rPr>
        <w:t>%</w:t>
      </w:r>
      <w:r w:rsidR="008A36B5">
        <w:rPr>
          <w:rFonts w:ascii="Book Antiqua" w:eastAsia="Book Antiqua" w:hAnsi="Book Antiqua" w:cs="Book Antiqua"/>
          <w:color w:val="000000"/>
        </w:rPr>
        <w:t>–</w:t>
      </w:r>
      <w:r w:rsidRPr="00353EAC">
        <w:rPr>
          <w:rFonts w:ascii="Book Antiqua" w:eastAsia="Book Antiqua" w:hAnsi="Book Antiqua" w:cs="Book Antiqua"/>
          <w:color w:val="000000"/>
        </w:rPr>
        <w:t>47.7% in the early group and 33.6</w:t>
      </w:r>
      <w:r w:rsidR="008A36B5" w:rsidRPr="00353EAC">
        <w:rPr>
          <w:rFonts w:ascii="Book Antiqua" w:eastAsia="Book Antiqua" w:hAnsi="Book Antiqua" w:cs="Book Antiqua"/>
          <w:color w:val="000000"/>
        </w:rPr>
        <w:t>%</w:t>
      </w:r>
      <w:r w:rsidR="008A36B5">
        <w:rPr>
          <w:rFonts w:ascii="Book Antiqua" w:eastAsia="Book Antiqua" w:hAnsi="Book Antiqua" w:cs="Book Antiqua"/>
          <w:color w:val="000000"/>
        </w:rPr>
        <w:t>–</w:t>
      </w:r>
      <w:r w:rsidRPr="00353EAC">
        <w:rPr>
          <w:rFonts w:ascii="Book Antiqua" w:eastAsia="Book Antiqua" w:hAnsi="Book Antiqua" w:cs="Book Antiqua"/>
          <w:color w:val="000000"/>
        </w:rPr>
        <w:t xml:space="preserve">54.5% in the control group. In </w:t>
      </w:r>
      <w:r w:rsidR="008A36B5">
        <w:rPr>
          <w:rFonts w:ascii="Book Antiqua" w:eastAsia="Book Antiqua" w:hAnsi="Book Antiqua" w:cs="Book Antiqua"/>
          <w:color w:val="000000"/>
        </w:rPr>
        <w:t>five</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norepinephrine was </w:t>
      </w:r>
      <w:r w:rsidR="008A36B5">
        <w:rPr>
          <w:rFonts w:ascii="Book Antiqua" w:eastAsia="Book Antiqua" w:hAnsi="Book Antiqua" w:cs="Book Antiqua"/>
          <w:color w:val="000000"/>
        </w:rPr>
        <w:t>used</w:t>
      </w:r>
      <w:r w:rsidR="001D650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as a first</w:t>
      </w:r>
      <w:r w:rsidR="008A36B5">
        <w:rPr>
          <w:rFonts w:ascii="Book Antiqua" w:eastAsia="Book Antiqua" w:hAnsi="Book Antiqua" w:cs="Book Antiqua"/>
          <w:color w:val="000000"/>
        </w:rPr>
        <w:t>-</w:t>
      </w:r>
      <w:r w:rsidRPr="00353EAC">
        <w:rPr>
          <w:rFonts w:ascii="Book Antiqua" w:eastAsia="Book Antiqua" w:hAnsi="Book Antiqua" w:cs="Book Antiqua"/>
          <w:color w:val="000000"/>
        </w:rPr>
        <w:t>line vasopressor early in septic shock. The 28</w:t>
      </w:r>
      <w:r w:rsidR="008A36B5">
        <w:rPr>
          <w:rFonts w:ascii="Book Antiqua" w:eastAsia="Book Antiqua" w:hAnsi="Book Antiqua" w:cs="Book Antiqua"/>
          <w:color w:val="000000"/>
        </w:rPr>
        <w:t>–</w:t>
      </w:r>
      <w:r w:rsidRPr="00353EAC">
        <w:rPr>
          <w:rFonts w:ascii="Book Antiqua" w:eastAsia="Book Antiqua" w:hAnsi="Book Antiqua" w:cs="Book Antiqua"/>
          <w:color w:val="000000"/>
        </w:rPr>
        <w:t>30</w:t>
      </w:r>
      <w:r w:rsidR="008A36B5">
        <w:rPr>
          <w:rFonts w:ascii="Book Antiqua" w:eastAsia="Book Antiqua" w:hAnsi="Book Antiqua" w:cs="Book Antiqua"/>
          <w:color w:val="000000"/>
        </w:rPr>
        <w:t>-</w:t>
      </w:r>
      <w:r w:rsidRPr="00353EAC">
        <w:rPr>
          <w:rFonts w:ascii="Book Antiqua" w:eastAsia="Book Antiqua" w:hAnsi="Book Antiqua" w:cs="Book Antiqua"/>
          <w:color w:val="000000"/>
        </w:rPr>
        <w:t>d</w:t>
      </w:r>
      <w:r w:rsidR="008A36B5">
        <w:rPr>
          <w:rFonts w:ascii="Book Antiqua" w:eastAsia="Book Antiqua" w:hAnsi="Book Antiqua" w:cs="Book Antiqua"/>
          <w:color w:val="000000"/>
        </w:rPr>
        <w:t>ay</w:t>
      </w:r>
      <w:r w:rsidRPr="00353EAC">
        <w:rPr>
          <w:rFonts w:ascii="Book Antiqua" w:eastAsia="Book Antiqua" w:hAnsi="Book Antiqua" w:cs="Book Antiqua"/>
          <w:color w:val="000000"/>
        </w:rPr>
        <w:t xml:space="preserve"> mortality and hospital survival were reported as the primary outcome in </w:t>
      </w:r>
      <w:r w:rsidR="008A36B5">
        <w:rPr>
          <w:rFonts w:ascii="Book Antiqua" w:eastAsia="Book Antiqua" w:hAnsi="Book Antiqua" w:cs="Book Antiqua"/>
          <w:color w:val="000000"/>
        </w:rPr>
        <w:t>six</w:t>
      </w:r>
      <w:r w:rsidR="008C6125">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and </w:t>
      </w:r>
      <w:r w:rsidR="008A36B5">
        <w:rPr>
          <w:rFonts w:ascii="Book Antiqua" w:eastAsia="Book Antiqua" w:hAnsi="Book Antiqua" w:cs="Book Antiqua"/>
          <w:color w:val="000000"/>
        </w:rPr>
        <w:t>two</w:t>
      </w:r>
      <w:r w:rsidR="008C6125">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respectively. </w:t>
      </w:r>
      <w:r w:rsidR="008A36B5">
        <w:rPr>
          <w:rFonts w:ascii="Book Antiqua" w:eastAsia="Book Antiqua" w:hAnsi="Book Antiqua" w:cs="Book Antiqua"/>
          <w:color w:val="000000"/>
        </w:rPr>
        <w:t>L</w:t>
      </w:r>
      <w:r w:rsidRPr="00353EAC">
        <w:rPr>
          <w:rFonts w:ascii="Book Antiqua" w:eastAsia="Book Antiqua" w:hAnsi="Book Antiqua" w:cs="Book Antiqua"/>
          <w:color w:val="000000"/>
        </w:rPr>
        <w:t xml:space="preserve">ower mortality was reported in </w:t>
      </w:r>
      <w:r w:rsidR="008A36B5">
        <w:rPr>
          <w:rFonts w:ascii="Book Antiqua" w:eastAsia="Book Antiqua" w:hAnsi="Book Antiqua" w:cs="Book Antiqua"/>
          <w:color w:val="000000"/>
        </w:rPr>
        <w:t xml:space="preserve">the </w:t>
      </w:r>
      <w:r w:rsidRPr="00353EAC">
        <w:rPr>
          <w:rFonts w:ascii="Book Antiqua" w:eastAsia="Book Antiqua" w:hAnsi="Book Antiqua" w:cs="Book Antiqua"/>
          <w:color w:val="000000"/>
        </w:rPr>
        <w:t xml:space="preserve">early vasopressor group </w:t>
      </w:r>
      <w:r w:rsidR="008A36B5">
        <w:rPr>
          <w:rFonts w:ascii="Book Antiqua" w:eastAsia="Book Antiqua" w:hAnsi="Book Antiqua" w:cs="Book Antiqua"/>
          <w:color w:val="000000"/>
        </w:rPr>
        <w:t>in seven</w:t>
      </w:r>
      <w:r w:rsidRPr="00353EAC">
        <w:rPr>
          <w:rFonts w:ascii="Book Antiqua" w:eastAsia="Book Antiqua" w:hAnsi="Book Antiqua" w:cs="Book Antiqua"/>
          <w:color w:val="000000"/>
        </w:rPr>
        <w:t xml:space="preserve"> studies. Other findings for early vasopressor initiation associated with lower occurrence of organ failure were reported in </w:t>
      </w:r>
      <w:r w:rsidR="008A36B5">
        <w:rPr>
          <w:rFonts w:ascii="Book Antiqua" w:eastAsia="Book Antiqua" w:hAnsi="Book Antiqua" w:cs="Book Antiqua"/>
          <w:color w:val="000000"/>
        </w:rPr>
        <w:t>two</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shorter time to MAP achievement in </w:t>
      </w:r>
      <w:r w:rsidR="008A36B5">
        <w:rPr>
          <w:rFonts w:ascii="Book Antiqua" w:eastAsia="Book Antiqua" w:hAnsi="Book Antiqua" w:cs="Book Antiqua"/>
          <w:color w:val="000000"/>
        </w:rPr>
        <w:t>three</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better lactate clearance in </w:t>
      </w:r>
      <w:r w:rsidR="008A36B5">
        <w:rPr>
          <w:rFonts w:ascii="Book Antiqua" w:eastAsia="Book Antiqua" w:hAnsi="Book Antiqua" w:cs="Book Antiqua"/>
          <w:color w:val="000000"/>
        </w:rPr>
        <w:t>four</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lower volume of fluid use in </w:t>
      </w:r>
      <w:r w:rsidR="008A36B5">
        <w:rPr>
          <w:rFonts w:ascii="Book Antiqua" w:eastAsia="Book Antiqua" w:hAnsi="Book Antiqua" w:cs="Book Antiqua"/>
          <w:color w:val="000000"/>
        </w:rPr>
        <w:t>two</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and less norepinephrine use (shorter duration or </w:t>
      </w:r>
      <w:r w:rsidR="008A36B5">
        <w:rPr>
          <w:rFonts w:ascii="Book Antiqua" w:eastAsia="Book Antiqua" w:hAnsi="Book Antiqua" w:cs="Book Antiqua"/>
          <w:color w:val="000000"/>
        </w:rPr>
        <w:t>lower</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dose) in </w:t>
      </w:r>
      <w:r w:rsidR="008A36B5">
        <w:rPr>
          <w:rFonts w:ascii="Book Antiqua" w:eastAsia="Book Antiqua" w:hAnsi="Book Antiqua" w:cs="Book Antiqua"/>
          <w:color w:val="000000"/>
        </w:rPr>
        <w:t>two</w:t>
      </w:r>
      <w:r w:rsidR="00EF541C">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studies (Table 1).</w:t>
      </w:r>
    </w:p>
    <w:p w14:paraId="4F82E028" w14:textId="77777777" w:rsidR="008A36B5" w:rsidRPr="00353EAC" w:rsidRDefault="008A36B5" w:rsidP="0033042F">
      <w:pPr>
        <w:spacing w:line="360" w:lineRule="auto"/>
        <w:ind w:firstLineChars="200" w:firstLine="480"/>
        <w:rPr>
          <w:rFonts w:ascii="Book Antiqua" w:hAnsi="Book Antiqua"/>
        </w:rPr>
      </w:pPr>
    </w:p>
    <w:p w14:paraId="68A9F741" w14:textId="25CA5CBE" w:rsidR="009041B5" w:rsidRPr="001C0431" w:rsidRDefault="00F74228" w:rsidP="001C0431">
      <w:pPr>
        <w:spacing w:line="360" w:lineRule="auto"/>
        <w:rPr>
          <w:rFonts w:ascii="Book Antiqua" w:hAnsi="Book Antiqua" w:cs="Book Antiqua"/>
          <w:color w:val="000000"/>
          <w:lang w:eastAsia="zh-CN"/>
        </w:rPr>
      </w:pPr>
      <w:r w:rsidRPr="001C0431">
        <w:rPr>
          <w:rFonts w:ascii="Book Antiqua" w:eastAsia="Book Antiqua" w:hAnsi="Book Antiqua" w:cs="Book Antiqua"/>
          <w:b/>
          <w:color w:val="000000"/>
        </w:rPr>
        <w:t>Major outcomes and findings of studies for early administration of a second vasopressor as a combination therapy in septic shock</w:t>
      </w:r>
      <w:r w:rsidR="001C0431" w:rsidRPr="001C0431">
        <w:rPr>
          <w:rFonts w:ascii="Book Antiqua" w:hAnsi="Book Antiqua" w:cs="Book Antiqua" w:hint="eastAsia"/>
          <w:b/>
          <w:color w:val="000000"/>
          <w:lang w:eastAsia="zh-CN"/>
        </w:rPr>
        <w:t xml:space="preserve">: </w:t>
      </w:r>
      <w:r w:rsidRPr="00353EAC">
        <w:rPr>
          <w:rFonts w:ascii="Book Antiqua" w:eastAsia="Book Antiqua" w:hAnsi="Book Antiqua" w:cs="Book Antiqua"/>
          <w:color w:val="000000"/>
        </w:rPr>
        <w:t xml:space="preserve">A total of </w:t>
      </w:r>
      <w:r w:rsidR="008A36B5">
        <w:rPr>
          <w:rFonts w:ascii="Book Antiqua" w:eastAsia="Book Antiqua" w:hAnsi="Book Antiqua" w:cs="Book Antiqua"/>
          <w:color w:val="000000"/>
        </w:rPr>
        <w:t>five</w:t>
      </w:r>
      <w:r w:rsidR="001506B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involved vasopressin or </w:t>
      </w:r>
      <w:r w:rsidR="008A36B5">
        <w:rPr>
          <w:rFonts w:ascii="Book Antiqua" w:eastAsia="Book Antiqua" w:hAnsi="Book Antiqua" w:cs="Book Antiqua"/>
          <w:color w:val="000000"/>
        </w:rPr>
        <w:t>a</w:t>
      </w:r>
      <w:r w:rsidR="008A36B5"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as an early second vasopressor for catecholamine-resistant septic shock. In </w:t>
      </w:r>
      <w:r w:rsidR="008A36B5">
        <w:rPr>
          <w:rFonts w:ascii="Book Antiqua" w:eastAsia="Book Antiqua" w:hAnsi="Book Antiqua" w:cs="Book Antiqua"/>
          <w:color w:val="000000"/>
        </w:rPr>
        <w:t>three</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vasopressin was added </w:t>
      </w:r>
      <w:r w:rsidR="008A36B5">
        <w:rPr>
          <w:rFonts w:ascii="Book Antiqua" w:eastAsia="Book Antiqua" w:hAnsi="Book Antiqua" w:cs="Book Antiqua"/>
          <w:color w:val="000000"/>
        </w:rPr>
        <w:t>at</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4</w:t>
      </w:r>
      <w:r w:rsidR="008A36B5">
        <w:rPr>
          <w:rFonts w:ascii="Book Antiqua" w:eastAsia="Book Antiqua" w:hAnsi="Book Antiqua" w:cs="Book Antiqua"/>
          <w:color w:val="000000"/>
        </w:rPr>
        <w:t>–</w:t>
      </w:r>
      <w:r w:rsidRPr="00353EAC">
        <w:rPr>
          <w:rFonts w:ascii="Book Antiqua" w:eastAsia="Book Antiqua" w:hAnsi="Book Antiqua" w:cs="Book Antiqua"/>
          <w:color w:val="000000"/>
        </w:rPr>
        <w:t xml:space="preserve">6 h after addition of norepinephrine or one </w:t>
      </w:r>
      <w:r w:rsidR="008A36B5">
        <w:rPr>
          <w:rFonts w:ascii="Book Antiqua" w:eastAsia="Book Antiqua" w:hAnsi="Book Antiqua" w:cs="Book Antiqua"/>
          <w:color w:val="000000"/>
        </w:rPr>
        <w:t>type</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of catecholamine. In </w:t>
      </w:r>
      <w:r w:rsidR="008A36B5">
        <w:rPr>
          <w:rFonts w:ascii="Book Antiqua" w:eastAsia="Book Antiqua" w:hAnsi="Book Antiqua" w:cs="Book Antiqua"/>
          <w:color w:val="000000"/>
        </w:rPr>
        <w:t xml:space="preserve">two </w:t>
      </w:r>
      <w:r w:rsidRPr="00353EAC">
        <w:rPr>
          <w:rFonts w:ascii="Book Antiqua" w:eastAsia="Book Antiqua" w:hAnsi="Book Antiqua" w:cs="Book Antiqua"/>
          <w:color w:val="000000"/>
        </w:rPr>
        <w:t>other</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studies, angiotensinII was </w:t>
      </w:r>
      <w:r w:rsidRPr="00353EAC">
        <w:rPr>
          <w:rFonts w:ascii="Book Antiqua" w:eastAsia="Book Antiqua" w:hAnsi="Book Antiqua" w:cs="Book Antiqua"/>
          <w:color w:val="000000"/>
        </w:rPr>
        <w:lastRenderedPageBreak/>
        <w:t xml:space="preserve">added when the dose of norepinephrine reached </w:t>
      </w:r>
      <w:r w:rsidR="008A36B5">
        <w:rPr>
          <w:rFonts w:ascii="Book Antiqua" w:eastAsia="Book Antiqua" w:hAnsi="Book Antiqua" w:cs="Book Antiqua"/>
          <w:color w:val="000000"/>
        </w:rPr>
        <w:t>&gt;</w:t>
      </w:r>
      <w:r w:rsidRPr="00353EAC">
        <w:rPr>
          <w:rFonts w:ascii="Book Antiqua" w:eastAsia="Book Antiqua" w:hAnsi="Book Antiqua" w:cs="Book Antiqua"/>
          <w:color w:val="000000"/>
        </w:rPr>
        <w:t xml:space="preserve">0.2 μg/kg/min. A lower mortality was reported in the </w:t>
      </w:r>
      <w:r w:rsidR="008A36B5">
        <w:rPr>
          <w:rFonts w:ascii="Book Antiqua" w:eastAsia="Book Antiqua" w:hAnsi="Book Antiqua" w:cs="Book Antiqua"/>
          <w:color w:val="000000"/>
        </w:rPr>
        <w:t>a</w:t>
      </w:r>
      <w:r w:rsidR="008A36B5"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group in </w:t>
      </w:r>
      <w:r w:rsidR="008A36B5">
        <w:rPr>
          <w:rFonts w:ascii="Book Antiqua" w:eastAsia="Book Antiqua" w:hAnsi="Book Antiqua" w:cs="Book Antiqua"/>
          <w:color w:val="000000"/>
        </w:rPr>
        <w:t>one</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study. </w:t>
      </w:r>
      <w:r w:rsidR="008A36B5">
        <w:rPr>
          <w:rFonts w:ascii="Book Antiqua" w:eastAsia="Book Antiqua" w:hAnsi="Book Antiqua" w:cs="Book Antiqua"/>
          <w:color w:val="000000"/>
        </w:rPr>
        <w:t>Three</w:t>
      </w:r>
      <w:r w:rsidRPr="00353EAC">
        <w:rPr>
          <w:rFonts w:ascii="Book Antiqua" w:eastAsia="Book Antiqua" w:hAnsi="Book Antiqua" w:cs="Book Antiqua"/>
          <w:color w:val="000000"/>
        </w:rPr>
        <w:t xml:space="preserve"> studies reported </w:t>
      </w:r>
      <w:r w:rsidR="008A36B5">
        <w:rPr>
          <w:rFonts w:ascii="Book Antiqua" w:eastAsia="Book Antiqua" w:hAnsi="Book Antiqua" w:cs="Book Antiqua"/>
          <w:color w:val="000000"/>
        </w:rPr>
        <w:t xml:space="preserve">that </w:t>
      </w:r>
      <w:r w:rsidRPr="00353EAC">
        <w:rPr>
          <w:rFonts w:ascii="Book Antiqua" w:eastAsia="Book Antiqua" w:hAnsi="Book Antiqua" w:cs="Book Antiqua"/>
          <w:color w:val="000000"/>
        </w:rPr>
        <w:t>early administration of the second vasopressor for septic shock contribute</w:t>
      </w:r>
      <w:r w:rsidR="008A36B5">
        <w:rPr>
          <w:rFonts w:ascii="Book Antiqua" w:eastAsia="Book Antiqua" w:hAnsi="Book Antiqua" w:cs="Book Antiqua"/>
          <w:color w:val="000000"/>
        </w:rPr>
        <w:t>d</w:t>
      </w:r>
      <w:r w:rsidRPr="00353EAC">
        <w:rPr>
          <w:rFonts w:ascii="Book Antiqua" w:eastAsia="Book Antiqua" w:hAnsi="Book Antiqua" w:cs="Book Antiqua"/>
          <w:color w:val="000000"/>
        </w:rPr>
        <w:t xml:space="preserve"> to achieving the target </w:t>
      </w:r>
      <w:r w:rsidR="008A36B5">
        <w:rPr>
          <w:rFonts w:ascii="Book Antiqua" w:eastAsia="Book Antiqua" w:hAnsi="Book Antiqua" w:cs="Book Antiqua"/>
          <w:color w:val="000000"/>
        </w:rPr>
        <w:t>MAP</w:t>
      </w:r>
      <w:r w:rsidRPr="00353EAC">
        <w:rPr>
          <w:rFonts w:ascii="Book Antiqua" w:eastAsia="Book Antiqua" w:hAnsi="Book Antiqua" w:cs="Book Antiqua"/>
          <w:color w:val="000000"/>
        </w:rPr>
        <w:t xml:space="preserve"> (Table 2).</w:t>
      </w:r>
    </w:p>
    <w:p w14:paraId="5B7F590B" w14:textId="77777777" w:rsidR="009041B5" w:rsidRPr="00353EAC" w:rsidRDefault="009041B5" w:rsidP="0033042F">
      <w:pPr>
        <w:spacing w:line="360" w:lineRule="auto"/>
        <w:rPr>
          <w:rFonts w:ascii="Book Antiqua" w:hAnsi="Book Antiqua"/>
        </w:rPr>
      </w:pPr>
    </w:p>
    <w:p w14:paraId="3F87F26F" w14:textId="744CA3A6"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markers predicting or suggesting vasopressor</w:t>
      </w:r>
      <w:r w:rsidR="005D7D44">
        <w:rPr>
          <w:rFonts w:ascii="Book Antiqua" w:hAnsi="Book Antiqua" w:cs="Book Antiqua" w:hint="eastAsia"/>
          <w:b/>
          <w:bCs/>
          <w:caps/>
          <w:color w:val="000000"/>
          <w:u w:val="single"/>
          <w:lang w:eastAsia="zh-CN"/>
        </w:rPr>
        <w:t xml:space="preserve"> </w:t>
      </w:r>
      <w:r w:rsidRPr="00353EAC">
        <w:rPr>
          <w:rFonts w:ascii="Book Antiqua" w:eastAsia="Book Antiqua" w:hAnsi="Book Antiqua" w:cs="Book Antiqua"/>
          <w:b/>
          <w:bCs/>
          <w:caps/>
          <w:color w:val="000000"/>
          <w:u w:val="single"/>
        </w:rPr>
        <w:t>responsiveness</w:t>
      </w:r>
    </w:p>
    <w:p w14:paraId="5D6C5454" w14:textId="2CFD62C3"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A key point is which markers or indexes could provide a clue for selecting the most appropriate population from septic shock patients who could mostly benefit from an early initiation of vasopressors. Several potential markers predicting vasopressor requirements were proposed in previous studies, such as diastolic arterial blood pressure</w:t>
      </w:r>
      <w:r w:rsidRPr="00353EAC">
        <w:rPr>
          <w:rFonts w:ascii="Book Antiqua" w:eastAsia="Book Antiqua" w:hAnsi="Book Antiqua" w:cs="Book Antiqua"/>
          <w:color w:val="000000"/>
          <w:vertAlign w:val="superscript"/>
        </w:rPr>
        <w:t>[26,44]</w:t>
      </w:r>
      <w:r w:rsidRPr="00353EAC">
        <w:rPr>
          <w:rFonts w:ascii="Book Antiqua" w:eastAsia="Book Antiqua" w:hAnsi="Book Antiqua" w:cs="Book Antiqua"/>
          <w:color w:val="000000"/>
        </w:rPr>
        <w:t xml:space="preserve"> and dynamic elastance to identify early initiation of norepinephrine in first</w:t>
      </w:r>
      <w:r w:rsidR="00934647">
        <w:rPr>
          <w:rFonts w:ascii="Book Antiqua" w:eastAsia="Book Antiqua" w:hAnsi="Book Antiqua" w:cs="Book Antiqua"/>
          <w:color w:val="000000"/>
        </w:rPr>
        <w:t>-</w:t>
      </w:r>
      <w:r w:rsidRPr="00353EAC">
        <w:rPr>
          <w:rFonts w:ascii="Book Antiqua" w:eastAsia="Book Antiqua" w:hAnsi="Book Antiqua" w:cs="Book Antiqua"/>
          <w:color w:val="000000"/>
        </w:rPr>
        <w:t xml:space="preserve">line mono-vasopressor therapy. </w:t>
      </w:r>
      <w:r w:rsidR="00934647">
        <w:rPr>
          <w:rFonts w:ascii="Book Antiqua" w:eastAsia="Book Antiqua" w:hAnsi="Book Antiqua" w:cs="Book Antiqua"/>
          <w:color w:val="000000"/>
        </w:rPr>
        <w:t>The</w:t>
      </w:r>
      <w:r w:rsidRPr="00353EAC">
        <w:rPr>
          <w:rFonts w:ascii="Book Antiqua" w:eastAsia="Book Antiqua" w:hAnsi="Book Antiqua" w:cs="Book Antiqua"/>
          <w:color w:val="000000"/>
        </w:rPr>
        <w:t xml:space="preserve"> kinetics of norepinephrine dose increment, </w:t>
      </w:r>
      <w:r w:rsidR="00934647">
        <w:rPr>
          <w:rFonts w:ascii="Book Antiqua" w:eastAsia="Book Antiqua" w:hAnsi="Book Antiqua" w:cs="Book Antiqua"/>
          <w:color w:val="000000"/>
        </w:rPr>
        <w:t xml:space="preserve">and </w:t>
      </w:r>
      <w:r w:rsidRPr="00353EAC">
        <w:rPr>
          <w:rFonts w:ascii="Book Antiqua" w:eastAsia="Book Antiqua" w:hAnsi="Book Antiqua" w:cs="Book Antiqua"/>
          <w:color w:val="000000"/>
        </w:rPr>
        <w:t>serum lactate and rennin level</w:t>
      </w:r>
      <w:r w:rsidR="00934647">
        <w:rPr>
          <w:rFonts w:ascii="Book Antiqua" w:eastAsia="Book Antiqua" w:hAnsi="Book Antiqua" w:cs="Book Antiqua"/>
          <w:color w:val="000000"/>
        </w:rPr>
        <w:t>s</w:t>
      </w:r>
      <w:r w:rsidRPr="00353EAC">
        <w:rPr>
          <w:rFonts w:ascii="Book Antiqua" w:eastAsia="Book Antiqua" w:hAnsi="Book Antiqua" w:cs="Book Antiqua"/>
          <w:color w:val="000000"/>
        </w:rPr>
        <w:t xml:space="preserve"> were </w:t>
      </w:r>
      <w:r w:rsidR="00934647">
        <w:rPr>
          <w:rFonts w:ascii="Book Antiqua" w:eastAsia="Book Antiqua" w:hAnsi="Book Antiqua" w:cs="Book Antiqua"/>
          <w:color w:val="000000"/>
        </w:rPr>
        <w:t>used</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to identify the timing for early administration of vasopressin or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based on a norepinephrine multi-vasopressor therapy.</w:t>
      </w:r>
    </w:p>
    <w:p w14:paraId="1FEC09B6"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3D3D53E0"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Norepinephrine responsiveness predictors</w:t>
      </w:r>
    </w:p>
    <w:p w14:paraId="74C77A29" w14:textId="687B7775"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Diastolic arterial pressure</w:t>
      </w:r>
      <w:r w:rsidRPr="00353EAC">
        <w:rPr>
          <w:rFonts w:ascii="Book Antiqua" w:hAnsi="Book Antiqua"/>
          <w:b/>
          <w:lang w:eastAsia="zh-CN"/>
        </w:rPr>
        <w:t xml:space="preserve">: </w:t>
      </w:r>
      <w:r w:rsidRPr="00353EAC">
        <w:rPr>
          <w:rFonts w:ascii="Book Antiqua" w:eastAsia="Book Antiqua" w:hAnsi="Book Antiqua" w:cs="Book Antiqua"/>
          <w:color w:val="000000"/>
        </w:rPr>
        <w:t xml:space="preserve">Physiologically, a low diastolic arterial pressure can result from depression of arterial tone, bradycardia, or arterial stiffness. In case of tachycardia, diastolic arterial pressure &lt; 40 mmHg strongly </w:t>
      </w:r>
      <w:r w:rsidR="00934647" w:rsidRPr="00353EAC">
        <w:rPr>
          <w:rFonts w:ascii="Book Antiqua" w:eastAsia="Book Antiqua" w:hAnsi="Book Antiqua" w:cs="Book Antiqua"/>
          <w:color w:val="000000"/>
        </w:rPr>
        <w:t>suggest</w:t>
      </w:r>
      <w:r w:rsidR="00934647">
        <w:rPr>
          <w:rFonts w:ascii="Book Antiqua" w:eastAsia="Book Antiqua" w:hAnsi="Book Antiqua" w:cs="Book Antiqua"/>
          <w:color w:val="000000"/>
        </w:rPr>
        <w:t>s</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a markedly depressed arterial tone and the requirement to prompt initiation of a vasopressor</w:t>
      </w:r>
      <w:r w:rsidRPr="00353EAC">
        <w:rPr>
          <w:rFonts w:ascii="Book Antiqua" w:eastAsia="Book Antiqua" w:hAnsi="Book Antiqua" w:cs="Book Antiqua"/>
          <w:color w:val="000000"/>
          <w:vertAlign w:val="superscript"/>
        </w:rPr>
        <w:t>[24]</w:t>
      </w:r>
      <w:r w:rsidRPr="00353EAC">
        <w:rPr>
          <w:rFonts w:ascii="Book Antiqua" w:eastAsia="Book Antiqua" w:hAnsi="Book Antiqua" w:cs="Book Antiqua"/>
          <w:color w:val="000000"/>
        </w:rPr>
        <w:t>. Therefore, a low diastolic arterial pressure could serve as a simple indicator to identify patients requiring norepinephrine urgently at the early stage of septic shock</w:t>
      </w:r>
      <w:r w:rsidRPr="00353EAC">
        <w:rPr>
          <w:rFonts w:ascii="Book Antiqua" w:eastAsia="Book Antiqua" w:hAnsi="Book Antiqua" w:cs="Book Antiqua"/>
          <w:color w:val="000000"/>
          <w:vertAlign w:val="superscript"/>
        </w:rPr>
        <w:t>[26]</w:t>
      </w:r>
      <w:r w:rsidRPr="00353EAC">
        <w:rPr>
          <w:rFonts w:ascii="Book Antiqua" w:eastAsia="Book Antiqua" w:hAnsi="Book Antiqua" w:cs="Book Antiqua"/>
          <w:color w:val="000000"/>
        </w:rPr>
        <w:t>.</w:t>
      </w:r>
    </w:p>
    <w:p w14:paraId="23A6632B" w14:textId="77777777" w:rsidR="009041B5" w:rsidRPr="00353EAC" w:rsidRDefault="009041B5" w:rsidP="0033042F">
      <w:pPr>
        <w:spacing w:line="360" w:lineRule="auto"/>
        <w:rPr>
          <w:rFonts w:ascii="Book Antiqua" w:eastAsia="Book Antiqua" w:hAnsi="Book Antiqua" w:cs="Book Antiqua"/>
          <w:b/>
          <w:bCs/>
          <w:i/>
          <w:iCs/>
          <w:color w:val="000000"/>
        </w:rPr>
      </w:pPr>
    </w:p>
    <w:p w14:paraId="41372E3B" w14:textId="1FF7BD70"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Dynamic arterial elastance</w:t>
      </w:r>
      <w:r w:rsidRPr="00353EAC">
        <w:rPr>
          <w:rFonts w:ascii="Book Antiqua" w:hAnsi="Book Antiqua"/>
          <w:b/>
          <w:lang w:eastAsia="zh-CN"/>
        </w:rPr>
        <w:t>:</w:t>
      </w:r>
      <w:r w:rsidRPr="00353EAC">
        <w:rPr>
          <w:rFonts w:ascii="Book Antiqua" w:eastAsia="Book Antiqua" w:hAnsi="Book Antiqua" w:cs="Book Antiqua"/>
          <w:color w:val="000000"/>
        </w:rPr>
        <w:t>Dynamic arterial elastance (Ea</w:t>
      </w:r>
      <w:r w:rsidRPr="00353EAC">
        <w:rPr>
          <w:rFonts w:ascii="Book Antiqua" w:eastAsia="Book Antiqua" w:hAnsi="Book Antiqua" w:cs="Book Antiqua"/>
          <w:color w:val="000000"/>
          <w:vertAlign w:val="subscript"/>
        </w:rPr>
        <w:t>dyn</w:t>
      </w:r>
      <w:r w:rsidRPr="00353EAC">
        <w:rPr>
          <w:rFonts w:ascii="Book Antiqua" w:eastAsia="Book Antiqua" w:hAnsi="Book Antiqua" w:cs="Book Antiqua"/>
          <w:color w:val="000000"/>
        </w:rPr>
        <w:t xml:space="preserve">)is defined as the pulse pressure variation/stroke volume variation ratio. Arterial pressure in a hypotensive patient </w:t>
      </w:r>
      <w:r w:rsidR="00934647">
        <w:rPr>
          <w:rFonts w:ascii="Book Antiqua" w:eastAsia="Book Antiqua" w:hAnsi="Book Antiqua" w:cs="Book Antiqua"/>
          <w:color w:val="000000"/>
        </w:rPr>
        <w:t>is</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increased, if</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Ea</w:t>
      </w:r>
      <w:r w:rsidRPr="00353EAC">
        <w:rPr>
          <w:rFonts w:ascii="Book Antiqua" w:eastAsia="Book Antiqua" w:hAnsi="Book Antiqua" w:cs="Book Antiqua"/>
          <w:color w:val="000000"/>
          <w:vertAlign w:val="subscript"/>
        </w:rPr>
        <w:t>dyn</w:t>
      </w:r>
      <w:r w:rsidRPr="00353EAC">
        <w:rPr>
          <w:rFonts w:ascii="Book Antiqua" w:eastAsia="Book Antiqua" w:hAnsi="Book Antiqua" w:cs="Book Antiqua"/>
          <w:color w:val="000000"/>
        </w:rPr>
        <w:t xml:space="preserve"> is high and the cardiac output is increased. In </w:t>
      </w:r>
      <w:r w:rsidR="00934647" w:rsidRPr="00353EAC">
        <w:rPr>
          <w:rFonts w:ascii="Book Antiqua" w:eastAsia="Book Antiqua" w:hAnsi="Book Antiqua" w:cs="Book Antiqua"/>
          <w:color w:val="000000"/>
        </w:rPr>
        <w:t>contra</w:t>
      </w:r>
      <w:r w:rsidR="00934647">
        <w:rPr>
          <w:rFonts w:ascii="Book Antiqua" w:eastAsia="Book Antiqua" w:hAnsi="Book Antiqua" w:cs="Book Antiqua"/>
          <w:color w:val="000000"/>
        </w:rPr>
        <w:t>st</w:t>
      </w:r>
      <w:r w:rsidRPr="00353EAC">
        <w:rPr>
          <w:rFonts w:ascii="Book Antiqua" w:eastAsia="Book Antiqua" w:hAnsi="Book Antiqua" w:cs="Book Antiqua"/>
          <w:color w:val="000000"/>
        </w:rPr>
        <w:t>, low Ea</w:t>
      </w:r>
      <w:r w:rsidRPr="00353EAC">
        <w:rPr>
          <w:rFonts w:ascii="Book Antiqua" w:eastAsia="Book Antiqua" w:hAnsi="Book Antiqua" w:cs="Book Antiqua"/>
          <w:color w:val="000000"/>
          <w:vertAlign w:val="subscript"/>
        </w:rPr>
        <w:t>dyn</w:t>
      </w:r>
      <w:r w:rsidR="005D7D44">
        <w:rPr>
          <w:rFonts w:ascii="Book Antiqua" w:hAnsi="Book Antiqua" w:cs="Book Antiqua" w:hint="eastAsia"/>
          <w:color w:val="000000"/>
          <w:lang w:eastAsia="zh-CN"/>
        </w:rPr>
        <w:t xml:space="preserve"> </w:t>
      </w:r>
      <w:r w:rsidR="00934647">
        <w:rPr>
          <w:rFonts w:ascii="Book Antiqua" w:eastAsia="Book Antiqua" w:hAnsi="Book Antiqua" w:cs="Book Antiqua"/>
          <w:color w:val="000000"/>
        </w:rPr>
        <w:t>does</w:t>
      </w:r>
      <w:r w:rsidR="005D7D44">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not elicit a proportionally increased arterial pressure despite the increased cardiac output in response to volume challenge. In such hypotensive cases, the addition </w:t>
      </w:r>
      <w:r w:rsidRPr="00353EAC">
        <w:rPr>
          <w:rFonts w:ascii="Book Antiqua" w:eastAsia="Book Antiqua" w:hAnsi="Book Antiqua" w:cs="Book Antiqua"/>
          <w:color w:val="000000"/>
        </w:rPr>
        <w:lastRenderedPageBreak/>
        <w:t>of vasopressors should be considered to correct hypotension. Ea</w:t>
      </w:r>
      <w:r w:rsidRPr="00353EAC">
        <w:rPr>
          <w:rFonts w:ascii="Book Antiqua" w:eastAsia="Book Antiqua" w:hAnsi="Book Antiqua" w:cs="Book Antiqua"/>
          <w:color w:val="000000"/>
          <w:vertAlign w:val="subscript"/>
        </w:rPr>
        <w:t>dyn</w:t>
      </w:r>
      <w:r w:rsidR="005D7D44">
        <w:rPr>
          <w:rFonts w:ascii="Book Antiqua" w:hAnsi="Book Antiqua" w:cs="Book Antiqua" w:hint="eastAsia"/>
          <w:color w:val="000000"/>
          <w:vertAlign w:val="subscript"/>
          <w:lang w:eastAsia="zh-CN"/>
        </w:rPr>
        <w:t xml:space="preserve"> </w:t>
      </w:r>
      <w:r w:rsidRPr="00353EAC">
        <w:rPr>
          <w:rFonts w:ascii="Book Antiqua" w:eastAsia="Book Antiqua" w:hAnsi="Book Antiqua" w:cs="Book Antiqua"/>
          <w:color w:val="000000"/>
        </w:rPr>
        <w:t>has been demonstrated to be superior to diastolic arterial pressure as a marker of early initiation of vasopressors in septic shock patients</w:t>
      </w:r>
      <w:r w:rsidRPr="00353EAC">
        <w:rPr>
          <w:rFonts w:ascii="Book Antiqua" w:eastAsia="Book Antiqua" w:hAnsi="Book Antiqua" w:cs="Book Antiqua"/>
          <w:color w:val="000000"/>
          <w:vertAlign w:val="superscript"/>
        </w:rPr>
        <w:t>[45]</w:t>
      </w:r>
      <w:r w:rsidRPr="00353EAC">
        <w:rPr>
          <w:rFonts w:ascii="Book Antiqua" w:eastAsia="Book Antiqua" w:hAnsi="Book Antiqua" w:cs="Book Antiqua"/>
          <w:color w:val="000000"/>
        </w:rPr>
        <w:t>.</w:t>
      </w:r>
    </w:p>
    <w:p w14:paraId="7CF55D74"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6C0F2B0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Vasopressin responsiveness predictors</w:t>
      </w:r>
    </w:p>
    <w:p w14:paraId="364EC55A" w14:textId="3CED3B60" w:rsidR="009041B5" w:rsidRPr="001C0431" w:rsidRDefault="00F74228" w:rsidP="0033042F">
      <w:pPr>
        <w:spacing w:line="360" w:lineRule="auto"/>
        <w:rPr>
          <w:rFonts w:ascii="Book Antiqua" w:hAnsi="Book Antiqua" w:cs="Book Antiqua"/>
          <w:color w:val="000000"/>
          <w:lang w:eastAsia="zh-CN"/>
        </w:rPr>
      </w:pPr>
      <w:r w:rsidRPr="001C0431">
        <w:rPr>
          <w:rFonts w:ascii="Book Antiqua" w:eastAsia="Book Antiqua" w:hAnsi="Book Antiqua" w:cs="Book Antiqua"/>
          <w:b/>
          <w:color w:val="000000"/>
        </w:rPr>
        <w:t>Norepinephrine-equivalent dose</w:t>
      </w:r>
      <w:r w:rsidR="001C0431" w:rsidRPr="001C0431">
        <w:rPr>
          <w:rFonts w:ascii="Book Antiqua" w:hAnsi="Book Antiqua" w:cs="Book Antiqua" w:hint="eastAsia"/>
          <w:b/>
          <w:color w:val="000000"/>
          <w:lang w:eastAsia="zh-CN"/>
        </w:rPr>
        <w:t xml:space="preserve">: </w:t>
      </w:r>
      <w:r w:rsidRPr="00353EAC">
        <w:rPr>
          <w:rFonts w:ascii="Book Antiqua" w:eastAsia="Book Antiqua" w:hAnsi="Book Antiqua" w:cs="Book Antiqua"/>
          <w:color w:val="000000"/>
        </w:rPr>
        <w:t>Norepinephrine-equivalent dose may serve as an easily accessible marker to utilize with a consideration of an early vasopressin initiation before doses higher than 10</w:t>
      </w:r>
      <w:r w:rsidR="00934647">
        <w:rPr>
          <w:rFonts w:ascii="Book Antiqua" w:eastAsia="Book Antiqua" w:hAnsi="Book Antiqua" w:cs="Book Antiqua"/>
          <w:color w:val="000000"/>
        </w:rPr>
        <w:t>–</w:t>
      </w:r>
      <w:r w:rsidRPr="00353EAC">
        <w:rPr>
          <w:rFonts w:ascii="Book Antiqua" w:eastAsia="Book Antiqua" w:hAnsi="Book Antiqua" w:cs="Book Antiqua"/>
          <w:color w:val="000000"/>
        </w:rPr>
        <w:t>15 μg/min (0.1</w:t>
      </w:r>
      <w:r w:rsidR="00934647">
        <w:rPr>
          <w:rFonts w:ascii="Book Antiqua" w:eastAsia="Book Antiqua" w:hAnsi="Book Antiqua" w:cs="Book Antiqua"/>
          <w:color w:val="000000"/>
        </w:rPr>
        <w:t>–</w:t>
      </w:r>
      <w:r w:rsidRPr="00353EAC">
        <w:rPr>
          <w:rFonts w:ascii="Book Antiqua" w:eastAsia="Book Antiqua" w:hAnsi="Book Antiqua" w:cs="Book Antiqua"/>
          <w:color w:val="000000"/>
        </w:rPr>
        <w:t>0.2 μg/kg/min in a patient weighing 80 kg)</w:t>
      </w:r>
      <w:r w:rsidRPr="00353EAC">
        <w:rPr>
          <w:rFonts w:ascii="Book Antiqua" w:eastAsia="Book Antiqua" w:hAnsi="Book Antiqua" w:cs="Book Antiqua"/>
          <w:color w:val="000000"/>
          <w:vertAlign w:val="superscript"/>
        </w:rPr>
        <w:t>[14]</w:t>
      </w:r>
      <w:r w:rsidRPr="00353EAC">
        <w:rPr>
          <w:rFonts w:ascii="Book Antiqua" w:eastAsia="Book Antiqua" w:hAnsi="Book Antiqua" w:cs="Book Antiqua"/>
          <w:color w:val="000000"/>
        </w:rPr>
        <w:t>.</w:t>
      </w:r>
    </w:p>
    <w:p w14:paraId="06F5DD46" w14:textId="77777777" w:rsidR="00934647" w:rsidRDefault="00934647" w:rsidP="00934647">
      <w:pPr>
        <w:spacing w:line="360" w:lineRule="auto"/>
        <w:rPr>
          <w:rFonts w:ascii="Book Antiqua" w:eastAsia="Book Antiqua" w:hAnsi="Book Antiqua" w:cs="Book Antiqua"/>
          <w:color w:val="000000"/>
        </w:rPr>
      </w:pPr>
      <w:bookmarkStart w:id="3" w:name="OLE_LINK4"/>
    </w:p>
    <w:p w14:paraId="415FD16B" w14:textId="50B1E9FD" w:rsidR="00707274" w:rsidRPr="001C0431" w:rsidRDefault="00F74228" w:rsidP="005A58B3">
      <w:pPr>
        <w:spacing w:line="360" w:lineRule="auto"/>
        <w:rPr>
          <w:rFonts w:ascii="Book Antiqua" w:hAnsi="Book Antiqua" w:cs="Book Antiqua"/>
          <w:color w:val="000000"/>
          <w:lang w:eastAsia="zh-CN"/>
        </w:rPr>
      </w:pPr>
      <w:r w:rsidRPr="001C0431">
        <w:rPr>
          <w:rFonts w:ascii="Book Antiqua" w:eastAsia="Book Antiqua" w:hAnsi="Book Antiqua" w:cs="Book Antiqua"/>
          <w:b/>
          <w:color w:val="000000"/>
        </w:rPr>
        <w:t>Norepinephrine dose escalating kinetics</w:t>
      </w:r>
      <w:bookmarkEnd w:id="3"/>
      <w:r w:rsidR="001C0431" w:rsidRPr="001C0431">
        <w:rPr>
          <w:rFonts w:ascii="Book Antiqua" w:hAnsi="Book Antiqua" w:cs="Book Antiqua" w:hint="eastAsia"/>
          <w:b/>
          <w:color w:val="000000"/>
          <w:lang w:eastAsia="zh-CN"/>
        </w:rPr>
        <w:t xml:space="preserve">: </w:t>
      </w:r>
      <w:r w:rsidRPr="00353EAC">
        <w:rPr>
          <w:rFonts w:ascii="Book Antiqua" w:eastAsia="Book Antiqua" w:hAnsi="Book Antiqua" w:cs="Book Antiqua"/>
          <w:color w:val="000000"/>
        </w:rPr>
        <w:t xml:space="preserve">Clinically, two dose-requirement profiles, refractory and controlled, can be observed at the </w:t>
      </w:r>
      <w:r w:rsidR="00934647" w:rsidRPr="00353EAC">
        <w:rPr>
          <w:rFonts w:ascii="Book Antiqua" w:eastAsia="Book Antiqua" w:hAnsi="Book Antiqua" w:cs="Book Antiqua"/>
          <w:color w:val="000000"/>
        </w:rPr>
        <w:t>patient</w:t>
      </w:r>
      <w:r w:rsidR="00934647">
        <w:rPr>
          <w:rFonts w:ascii="Book Antiqua" w:eastAsia="Book Antiqua" w:hAnsi="Book Antiqua" w:cs="Book Antiqua"/>
          <w:color w:val="000000"/>
        </w:rPr>
        <w:t>’</w:t>
      </w:r>
      <w:r w:rsidR="00934647" w:rsidRPr="00353EAC">
        <w:rPr>
          <w:rFonts w:ascii="Book Antiqua" w:eastAsia="Book Antiqua" w:hAnsi="Book Antiqua" w:cs="Book Antiqua"/>
          <w:color w:val="000000"/>
        </w:rPr>
        <w:t xml:space="preserve">s </w:t>
      </w:r>
      <w:r w:rsidRPr="00353EAC">
        <w:rPr>
          <w:rFonts w:ascii="Book Antiqua" w:eastAsia="Book Antiqua" w:hAnsi="Book Antiqua" w:cs="Book Antiqua"/>
          <w:color w:val="000000"/>
        </w:rPr>
        <w:t>bedside. A refractory profile meets the requirements of exposure to an exponential increase in norepinephrine dose, and a controlled profile with a gradual increase in norepinephrine dose to a plateau does not reach toxic levels of norepinephrine. In the refractory profile, the earlier vasopressin is started, the greater the chance of avoiding norepinephrine surge and exposure to harmful norepinephrine doses. In the controlled profile, it may not be necessary to add vasopressin at the norepinephrine threshold of 0.5 μg/kg/min</w:t>
      </w:r>
      <w:r w:rsidRPr="00353EAC">
        <w:rPr>
          <w:rFonts w:ascii="Book Antiqua" w:eastAsia="Book Antiqua" w:hAnsi="Book Antiqua" w:cs="Book Antiqua"/>
          <w:color w:val="000000"/>
          <w:vertAlign w:val="superscript"/>
        </w:rPr>
        <w:t>[46]</w:t>
      </w:r>
      <w:r w:rsidRPr="00353EAC">
        <w:rPr>
          <w:rFonts w:ascii="Book Antiqua" w:eastAsia="Book Antiqua" w:hAnsi="Book Antiqua" w:cs="Book Antiqua"/>
          <w:color w:val="000000"/>
        </w:rPr>
        <w:t>.</w:t>
      </w:r>
    </w:p>
    <w:p w14:paraId="13F1DD80"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40CB32FE"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Angiotesin-II responsiveness predictors</w:t>
      </w:r>
    </w:p>
    <w:p w14:paraId="4E701CA7" w14:textId="5AEF74C1"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It appears that a subgroup of patients with </w:t>
      </w:r>
      <w:r w:rsidR="00934647">
        <w:rPr>
          <w:rFonts w:ascii="Book Antiqua" w:eastAsia="Book Antiqua" w:hAnsi="Book Antiqua" w:cs="Book Antiqua"/>
          <w:color w:val="000000"/>
        </w:rPr>
        <w:t xml:space="preserve">an </w:t>
      </w:r>
      <w:r w:rsidRPr="00353EAC">
        <w:rPr>
          <w:rFonts w:ascii="Book Antiqua" w:eastAsia="Book Antiqua" w:hAnsi="Book Antiqua" w:cs="Book Antiqua"/>
          <w:color w:val="000000"/>
        </w:rPr>
        <w:t>impaired endogenous renin</w:t>
      </w:r>
      <w:r w:rsidR="00934647">
        <w:rPr>
          <w:rFonts w:ascii="Book Antiqua" w:eastAsia="Book Antiqua" w:hAnsi="Book Antiqua" w:cs="Book Antiqua"/>
          <w:color w:val="000000"/>
        </w:rPr>
        <w:t>–</w:t>
      </w:r>
      <w:r w:rsidRPr="00353EAC">
        <w:rPr>
          <w:rFonts w:ascii="Book Antiqua" w:eastAsia="Book Antiqua" w:hAnsi="Book Antiqua" w:cs="Book Antiqua"/>
          <w:color w:val="000000"/>
        </w:rPr>
        <w:t>angiotensin system</w:t>
      </w:r>
      <w:r w:rsidRPr="00353EAC">
        <w:rPr>
          <w:rFonts w:ascii="Book Antiqua" w:eastAsia="Book Antiqua" w:hAnsi="Book Antiqua" w:cs="Book Antiqua"/>
          <w:color w:val="000000"/>
          <w:vertAlign w:val="superscript"/>
        </w:rPr>
        <w:t>[47]</w:t>
      </w:r>
      <w:r w:rsidR="00504EB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exhibit a pronounced response to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and may derive benefits from earlier administration. Therefore, due to the robust relationship between hyper-reninemia and favorable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response, renin is rapidly emerging as a promising prognosticator for the early initiation of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in septic shock</w:t>
      </w:r>
      <w:r w:rsidRPr="00353EAC">
        <w:rPr>
          <w:rFonts w:ascii="Book Antiqua" w:eastAsia="Book Antiqua" w:hAnsi="Book Antiqua" w:cs="Book Antiqua"/>
          <w:color w:val="000000"/>
          <w:vertAlign w:val="superscript"/>
        </w:rPr>
        <w:t>[14,48]</w:t>
      </w:r>
      <w:r w:rsidRPr="00353EAC">
        <w:rPr>
          <w:rFonts w:ascii="Book Antiqua" w:eastAsia="Book Antiqua" w:hAnsi="Book Antiqua" w:cs="Book Antiqua"/>
          <w:color w:val="000000"/>
        </w:rPr>
        <w:t>. Bellomo</w:t>
      </w:r>
      <w:r w:rsidR="00504EB1">
        <w:rPr>
          <w:rFonts w:ascii="Book Antiqua" w:hAnsi="Book Antiqua" w:cs="Book Antiqua" w:hint="eastAsia"/>
          <w:color w:val="000000"/>
          <w:lang w:eastAsia="zh-CN"/>
        </w:rPr>
        <w:t xml:space="preserve"> </w:t>
      </w:r>
      <w:r w:rsidRPr="00353EAC">
        <w:rPr>
          <w:rFonts w:ascii="Book Antiqua" w:eastAsia="Book Antiqua" w:hAnsi="Book Antiqua" w:cs="Book Antiqua"/>
          <w:i/>
          <w:iCs/>
          <w:color w:val="000000"/>
        </w:rPr>
        <w:t>et al</w:t>
      </w:r>
      <w:r w:rsidRPr="00353EAC">
        <w:rPr>
          <w:rFonts w:ascii="Book Antiqua" w:eastAsia="Book Antiqua" w:hAnsi="Book Antiqua" w:cs="Book Antiqua"/>
          <w:color w:val="000000"/>
          <w:vertAlign w:val="superscript"/>
        </w:rPr>
        <w:t>[49]</w:t>
      </w:r>
      <w:r w:rsidRPr="00353EAC">
        <w:rPr>
          <w:rFonts w:ascii="Book Antiqua" w:eastAsia="Book Antiqua" w:hAnsi="Book Antiqua" w:cs="Book Antiqua"/>
          <w:color w:val="000000"/>
        </w:rPr>
        <w:t xml:space="preserve"> investigated the role of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in patients with catecholamine-resistant vasodilatory shock and revealed the high renin levels in </w:t>
      </w:r>
      <w:r w:rsidR="00934647">
        <w:rPr>
          <w:rFonts w:ascii="Book Antiqua" w:eastAsia="Book Antiqua" w:hAnsi="Book Antiqua" w:cs="Book Antiqua"/>
          <w:color w:val="000000"/>
        </w:rPr>
        <w:t>most</w:t>
      </w:r>
      <w:r w:rsidR="00504EB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of these patients (76%). Using a cutoff of 173 pg/mL,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II administration improve</w:t>
      </w:r>
      <w:r w:rsidR="00934647">
        <w:rPr>
          <w:rFonts w:ascii="Book Antiqua" w:eastAsia="Book Antiqua" w:hAnsi="Book Antiqua" w:cs="Book Antiqua"/>
          <w:color w:val="000000"/>
        </w:rPr>
        <w:t>d</w:t>
      </w:r>
      <w:r w:rsidR="00504EB1">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mortality in the subset of patients with high renin levels, suggesting that measurement of renin </w:t>
      </w:r>
      <w:r w:rsidRPr="00353EAC">
        <w:rPr>
          <w:rFonts w:ascii="Book Antiqua" w:eastAsia="Book Antiqua" w:hAnsi="Book Antiqua" w:cs="Book Antiqua"/>
          <w:color w:val="000000"/>
        </w:rPr>
        <w:lastRenderedPageBreak/>
        <w:t xml:space="preserve">levels may contribute to identifying patients who might benefit from </w:t>
      </w:r>
      <w:r w:rsidR="00934647">
        <w:rPr>
          <w:rFonts w:ascii="Book Antiqua" w:eastAsia="Book Antiqua" w:hAnsi="Book Antiqua" w:cs="Book Antiqua"/>
          <w:color w:val="000000"/>
        </w:rPr>
        <w:t>a</w:t>
      </w:r>
      <w:r w:rsidR="00934647" w:rsidRPr="00353EAC">
        <w:rPr>
          <w:rFonts w:ascii="Book Antiqua" w:eastAsia="Book Antiqua" w:hAnsi="Book Antiqua" w:cs="Book Antiqua"/>
          <w:color w:val="000000"/>
        </w:rPr>
        <w:t>ngiotensin</w:t>
      </w:r>
      <w:r w:rsidRPr="00353EAC">
        <w:rPr>
          <w:rFonts w:ascii="Book Antiqua" w:eastAsia="Book Antiqua" w:hAnsi="Book Antiqua" w:cs="Book Antiqua"/>
          <w:color w:val="000000"/>
        </w:rPr>
        <w:t xml:space="preserve">II therapy. </w:t>
      </w:r>
      <w:r w:rsidR="00934647">
        <w:rPr>
          <w:rFonts w:ascii="Book Antiqua" w:eastAsia="Book Antiqua" w:hAnsi="Book Antiqua" w:cs="Book Antiqua"/>
          <w:color w:val="000000"/>
        </w:rPr>
        <w:t>Median renin level of</w:t>
      </w:r>
      <w:r w:rsidRPr="00353EAC">
        <w:rPr>
          <w:rFonts w:ascii="Book Antiqua" w:eastAsia="Book Antiqua" w:hAnsi="Book Antiqua" w:cs="Book Antiqua"/>
          <w:color w:val="000000"/>
        </w:rPr>
        <w:t xml:space="preserve"> 173 pg/mL in the study cannot be directly applied in clinical practice</w:t>
      </w:r>
      <w:r w:rsidR="00934647">
        <w:rPr>
          <w:rFonts w:ascii="Book Antiqua" w:eastAsia="Book Antiqua" w:hAnsi="Book Antiqua" w:cs="Book Antiqua"/>
          <w:color w:val="000000"/>
        </w:rPr>
        <w:t>; therefore,</w:t>
      </w:r>
      <w:r w:rsidR="008123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further prospective trials are required to confirm these findings.</w:t>
      </w:r>
    </w:p>
    <w:p w14:paraId="3E081F77" w14:textId="77777777" w:rsidR="009041B5" w:rsidRPr="00353EAC" w:rsidRDefault="009041B5" w:rsidP="0033042F">
      <w:pPr>
        <w:spacing w:line="360" w:lineRule="auto"/>
        <w:rPr>
          <w:rFonts w:ascii="Book Antiqua" w:hAnsi="Book Antiqua"/>
        </w:rPr>
      </w:pPr>
    </w:p>
    <w:p w14:paraId="58ABE82E"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Possible adverse effects of early initiation of vasopressors</w:t>
      </w:r>
    </w:p>
    <w:p w14:paraId="55F6FF48"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Feasibility and safety of peripheral infusion of high concentration of norepinephrine</w:t>
      </w:r>
    </w:p>
    <w:p w14:paraId="7FAC4D6F" w14:textId="4529BFA3"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The application of high concentrations of norepinephrine </w:t>
      </w:r>
      <w:r w:rsidRPr="00353EAC">
        <w:rPr>
          <w:rFonts w:ascii="Book Antiqua" w:eastAsia="Book Antiqua" w:hAnsi="Book Antiqua" w:cs="Book Antiqua"/>
          <w:i/>
          <w:iCs/>
          <w:color w:val="000000"/>
        </w:rPr>
        <w:t>via</w:t>
      </w:r>
      <w:r w:rsidRPr="00353EAC">
        <w:rPr>
          <w:rFonts w:ascii="Book Antiqua" w:eastAsia="Book Antiqua" w:hAnsi="Book Antiqua" w:cs="Book Antiqua"/>
          <w:color w:val="000000"/>
        </w:rPr>
        <w:t xml:space="preserve"> the peripheral vein is considered an option for the early administration of vasopressors in patients with septic shock who meet the indications. Considering the strong vasoconstriction due to norepinephrine, the most appropriate approach is to administer the drug in </w:t>
      </w:r>
      <w:r w:rsidRPr="00353EAC">
        <w:rPr>
          <w:rFonts w:ascii="Book Antiqua" w:eastAsia="Book Antiqua" w:hAnsi="Book Antiqua" w:cs="Book Antiqua"/>
        </w:rPr>
        <w:t>intensive care unit</w:t>
      </w:r>
      <w:r w:rsidR="00500DDA">
        <w:rPr>
          <w:rFonts w:ascii="Book Antiqua" w:eastAsia="Book Antiqua" w:hAnsi="Book Antiqua" w:cs="Book Antiqua"/>
        </w:rPr>
        <w:t>s</w:t>
      </w:r>
      <w:r w:rsidRPr="00353EAC">
        <w:rPr>
          <w:rFonts w:ascii="Book Antiqua" w:eastAsia="Book Antiqua" w:hAnsi="Book Antiqua" w:cs="Book Antiqua"/>
        </w:rPr>
        <w:t xml:space="preserve"> (ICU</w:t>
      </w:r>
      <w:r w:rsidR="00500DDA">
        <w:rPr>
          <w:rFonts w:ascii="Book Antiqua" w:eastAsia="Book Antiqua" w:hAnsi="Book Antiqua" w:cs="Book Antiqua"/>
        </w:rPr>
        <w:t>s</w:t>
      </w:r>
      <w:r w:rsidRPr="00353EAC">
        <w:rPr>
          <w:rFonts w:ascii="Book Antiqua" w:eastAsia="Book Antiqua" w:hAnsi="Book Antiqua" w:cs="Book Antiqua"/>
        </w:rPr>
        <w:t xml:space="preserve">) </w:t>
      </w:r>
      <w:r w:rsidRPr="00353EAC">
        <w:rPr>
          <w:rFonts w:ascii="Book Antiqua" w:eastAsia="Book Antiqua" w:hAnsi="Book Antiqua" w:cs="Book Antiqua"/>
          <w:color w:val="000000"/>
        </w:rPr>
        <w:t>after placing a central venous catheter. However, if the timing of norepinephrine administration is advanced to admission to ICU</w:t>
      </w:r>
      <w:r w:rsidR="00500DDA">
        <w:rPr>
          <w:rFonts w:ascii="Book Antiqua" w:eastAsia="Book Antiqua" w:hAnsi="Book Antiqua" w:cs="Book Antiqua"/>
          <w:color w:val="000000"/>
        </w:rPr>
        <w:t>s</w:t>
      </w:r>
      <w:r w:rsidRPr="00353EAC">
        <w:rPr>
          <w:rFonts w:ascii="Book Antiqua" w:eastAsia="Book Antiqua" w:hAnsi="Book Antiqua" w:cs="Book Antiqua"/>
          <w:color w:val="000000"/>
        </w:rPr>
        <w:t>, emergency department</w:t>
      </w:r>
      <w:r w:rsidR="00500DDA">
        <w:rPr>
          <w:rFonts w:ascii="Book Antiqua" w:eastAsia="Book Antiqua" w:hAnsi="Book Antiqua" w:cs="Book Antiqua"/>
          <w:color w:val="000000"/>
        </w:rPr>
        <w:t>s</w:t>
      </w:r>
      <w:r w:rsidRPr="00353EAC">
        <w:rPr>
          <w:rFonts w:ascii="Book Antiqua" w:eastAsia="Book Antiqua" w:hAnsi="Book Antiqua" w:cs="Book Antiqua"/>
          <w:color w:val="000000"/>
        </w:rPr>
        <w:t>, or even prehospital</w:t>
      </w:r>
      <w:r w:rsidRPr="00353EAC">
        <w:rPr>
          <w:rFonts w:ascii="Book Antiqua" w:eastAsia="Book Antiqua" w:hAnsi="Book Antiqua" w:cs="Book Antiqua"/>
          <w:color w:val="000000"/>
          <w:vertAlign w:val="superscript"/>
        </w:rPr>
        <w:t>[50]</w:t>
      </w:r>
      <w:r w:rsidRPr="00353EAC">
        <w:rPr>
          <w:rFonts w:ascii="Book Antiqua" w:eastAsia="Book Antiqua" w:hAnsi="Book Antiqua" w:cs="Book Antiqua"/>
          <w:color w:val="000000"/>
        </w:rPr>
        <w:t>, central venous catheter placement may not be generally feasible.</w:t>
      </w:r>
    </w:p>
    <w:p w14:paraId="1023AB31" w14:textId="6B5912B9" w:rsidR="009041B5" w:rsidRPr="00353EAC" w:rsidRDefault="00F74228" w:rsidP="0033042F">
      <w:pPr>
        <w:spacing w:line="360" w:lineRule="auto"/>
        <w:ind w:firstLine="400"/>
        <w:rPr>
          <w:rFonts w:ascii="Book Antiqua" w:hAnsi="Book Antiqua"/>
        </w:rPr>
      </w:pPr>
      <w:r w:rsidRPr="00353EAC">
        <w:rPr>
          <w:rFonts w:ascii="Book Antiqua" w:eastAsia="Book Antiqua" w:hAnsi="Book Antiqua" w:cs="Book Antiqua"/>
          <w:color w:val="000000"/>
        </w:rPr>
        <w:t>A previous study</w:t>
      </w:r>
      <w:r w:rsidRPr="00353EAC">
        <w:rPr>
          <w:rFonts w:ascii="Book Antiqua" w:eastAsia="Book Antiqua" w:hAnsi="Book Antiqua" w:cs="Book Antiqua"/>
          <w:color w:val="000000"/>
          <w:vertAlign w:val="superscript"/>
        </w:rPr>
        <w:t>[51]</w:t>
      </w:r>
      <w:r w:rsidRPr="00353EAC">
        <w:rPr>
          <w:rFonts w:ascii="Book Antiqua" w:eastAsia="Book Antiqua" w:hAnsi="Book Antiqua" w:cs="Book Antiqua"/>
          <w:color w:val="000000"/>
        </w:rPr>
        <w:t xml:space="preserve"> has systematically reviewed the literature on the peripheral infusion of norepinephrine and noted that the available data failed to reveal a correlation between the occurrence of adverse events and the application of peripheral vein access. The administration of norepinephrine through the peripheral vein requires </w:t>
      </w:r>
      <w:r w:rsidR="00500DDA">
        <w:rPr>
          <w:rFonts w:ascii="Book Antiqua" w:eastAsia="Book Antiqua" w:hAnsi="Book Antiqua" w:cs="Book Antiqua"/>
          <w:color w:val="000000"/>
        </w:rPr>
        <w:t>knowledge</w:t>
      </w:r>
      <w:r w:rsidR="00DB01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of concentration, dose, duration, and infusion site. In a study by Nguyen </w:t>
      </w:r>
      <w:r w:rsidRPr="00353EAC">
        <w:rPr>
          <w:rFonts w:ascii="Book Antiqua" w:eastAsia="Book Antiqua" w:hAnsi="Book Antiqua" w:cs="Book Antiqua"/>
          <w:i/>
          <w:iCs/>
          <w:color w:val="000000"/>
        </w:rPr>
        <w:t>et al</w:t>
      </w:r>
      <w:r w:rsidRPr="00353EAC">
        <w:rPr>
          <w:rFonts w:ascii="Book Antiqua" w:eastAsia="Book Antiqua" w:hAnsi="Book Antiqua" w:cs="Book Antiqua"/>
          <w:color w:val="000000"/>
          <w:vertAlign w:val="superscript"/>
        </w:rPr>
        <w:t>[52]</w:t>
      </w:r>
      <w:r w:rsidRPr="00353EAC">
        <w:rPr>
          <w:rFonts w:ascii="Book Antiqua" w:eastAsia="Book Antiqua" w:hAnsi="Book Antiqua" w:cs="Book Antiqua"/>
          <w:color w:val="000000"/>
        </w:rPr>
        <w:t xml:space="preserve">, the concentration of norepinephrine administered </w:t>
      </w:r>
      <w:r w:rsidRPr="00353EAC">
        <w:rPr>
          <w:rFonts w:ascii="Book Antiqua" w:eastAsia="Book Antiqua" w:hAnsi="Book Antiqua" w:cs="Book Antiqua"/>
          <w:i/>
          <w:iCs/>
          <w:color w:val="000000"/>
        </w:rPr>
        <w:t>via</w:t>
      </w:r>
      <w:r w:rsidRPr="00353EAC">
        <w:rPr>
          <w:rFonts w:ascii="Book Antiqua" w:eastAsia="Book Antiqua" w:hAnsi="Book Antiqua" w:cs="Book Antiqua"/>
          <w:color w:val="000000"/>
        </w:rPr>
        <w:t xml:space="preserve"> the peripheral vein was 64 μg/mL, and the median dose as 10 μg/min, which </w:t>
      </w:r>
      <w:r w:rsidR="00500DDA">
        <w:rPr>
          <w:rFonts w:ascii="Book Antiqua" w:eastAsia="Book Antiqua" w:hAnsi="Book Antiqua" w:cs="Book Antiqua"/>
          <w:color w:val="000000"/>
        </w:rPr>
        <w:t>wa</w:t>
      </w:r>
      <w:r w:rsidR="00500DDA" w:rsidRPr="00353EAC">
        <w:rPr>
          <w:rFonts w:ascii="Book Antiqua" w:eastAsia="Book Antiqua" w:hAnsi="Book Antiqua" w:cs="Book Antiqua"/>
          <w:color w:val="000000"/>
        </w:rPr>
        <w:t xml:space="preserve">s </w:t>
      </w:r>
      <w:r w:rsidR="00500DDA">
        <w:rPr>
          <w:rFonts w:ascii="Book Antiqua" w:eastAsia="Book Antiqua" w:hAnsi="Book Antiqua" w:cs="Book Antiqua"/>
          <w:color w:val="000000"/>
        </w:rPr>
        <w:t>considered to be a high</w:t>
      </w:r>
      <w:r w:rsidR="00DB01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dose</w:t>
      </w:r>
      <w:r w:rsidR="00500DDA">
        <w:rPr>
          <w:rFonts w:ascii="Book Antiqua" w:eastAsia="Book Antiqua" w:hAnsi="Book Antiqua" w:cs="Book Antiqua"/>
          <w:color w:val="000000"/>
        </w:rPr>
        <w:t>;</w:t>
      </w:r>
      <w:r w:rsidRPr="00353EAC">
        <w:rPr>
          <w:rFonts w:ascii="Book Antiqua" w:eastAsia="Book Antiqua" w:hAnsi="Book Antiqua" w:cs="Book Antiqua"/>
          <w:color w:val="000000"/>
        </w:rPr>
        <w:t xml:space="preserve"> the anterior elbow/external jugular vein was considered the site of infusion, with </w:t>
      </w:r>
      <w:r w:rsidR="00500DDA">
        <w:rPr>
          <w:rFonts w:ascii="Book Antiqua" w:eastAsia="Book Antiqua" w:hAnsi="Book Antiqua" w:cs="Book Antiqua"/>
          <w:color w:val="000000"/>
        </w:rPr>
        <w:t>a</w:t>
      </w:r>
      <w:r w:rsidR="00DB01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median duration of infusion of 62 min</w:t>
      </w:r>
      <w:r w:rsidR="00500DDA">
        <w:rPr>
          <w:rFonts w:ascii="Book Antiqua" w:eastAsia="Book Antiqua" w:hAnsi="Book Antiqua" w:cs="Book Antiqua"/>
          <w:color w:val="000000"/>
        </w:rPr>
        <w:t>;</w:t>
      </w:r>
      <w:r w:rsidRPr="00353EAC">
        <w:rPr>
          <w:rFonts w:ascii="Book Antiqua" w:eastAsia="Book Antiqua" w:hAnsi="Book Antiqua" w:cs="Book Antiqua"/>
          <w:color w:val="000000"/>
        </w:rPr>
        <w:t xml:space="preserve">and the incidence of adverse events </w:t>
      </w:r>
      <w:r w:rsidR="00500DDA">
        <w:rPr>
          <w:rFonts w:ascii="Book Antiqua" w:eastAsia="Book Antiqua" w:hAnsi="Book Antiqua" w:cs="Book Antiqua"/>
          <w:color w:val="000000"/>
        </w:rPr>
        <w:t>was</w:t>
      </w:r>
      <w:r w:rsidR="00DB015F">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4.5%.</w:t>
      </w:r>
    </w:p>
    <w:p w14:paraId="436B20B0" w14:textId="77777777" w:rsidR="009041B5" w:rsidRPr="00353EAC" w:rsidRDefault="009041B5" w:rsidP="0033042F">
      <w:pPr>
        <w:spacing w:line="360" w:lineRule="auto"/>
        <w:rPr>
          <w:rFonts w:ascii="Book Antiqua" w:eastAsia="Book Antiqua" w:hAnsi="Book Antiqua" w:cs="Book Antiqua"/>
          <w:b/>
          <w:bCs/>
          <w:i/>
          <w:iCs/>
          <w:color w:val="000000"/>
          <w:u w:val="single"/>
        </w:rPr>
      </w:pPr>
    </w:p>
    <w:p w14:paraId="7FD1C804"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i/>
          <w:iCs/>
          <w:color w:val="000000"/>
        </w:rPr>
        <w:t>Myocardial ischemia in septic shock with early initiation of vasopressors</w:t>
      </w:r>
    </w:p>
    <w:p w14:paraId="2DF3379E" w14:textId="76913715"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Septic shock is complicated by myocardial ischemia, which exacerbates diastolic shock symptoms such as tachycardia and hypotension. Norepinephrine can be administered after adequate fluid resuscitation. An RCT</w:t>
      </w:r>
      <w:r w:rsidRPr="00353EAC">
        <w:rPr>
          <w:rFonts w:ascii="Book Antiqua" w:eastAsia="Book Antiqua" w:hAnsi="Book Antiqua" w:cs="Book Antiqua"/>
          <w:color w:val="000000"/>
          <w:vertAlign w:val="superscript"/>
        </w:rPr>
        <w:t>[53]</w:t>
      </w:r>
      <w:r w:rsidRPr="00353EAC">
        <w:rPr>
          <w:rFonts w:ascii="Book Antiqua" w:eastAsia="Book Antiqua" w:hAnsi="Book Antiqua" w:cs="Book Antiqua"/>
          <w:color w:val="000000"/>
        </w:rPr>
        <w:t xml:space="preserve"> comparing the efficacy of norepinephrine </w:t>
      </w:r>
      <w:r w:rsidRPr="00353EAC">
        <w:rPr>
          <w:rFonts w:ascii="Book Antiqua" w:eastAsia="Book Antiqua" w:hAnsi="Book Antiqua" w:cs="Book Antiqua"/>
          <w:color w:val="000000"/>
        </w:rPr>
        <w:lastRenderedPageBreak/>
        <w:t>and epinephrine in patients with diastolic shock complicated by acute myocardial infarction revealed no significant difference in cardiac index. It does, however, show a notable disparity in heart rate; epinephrine results in a faster heart rate, which is particularly unfavorable for patients with myocardial ischemia. Additionally, dobutamine also elevates heart rate and directly contributes to increased morbidity and mortality</w:t>
      </w:r>
      <w:r w:rsidRPr="00353EAC">
        <w:rPr>
          <w:rFonts w:ascii="Book Antiqua" w:eastAsia="Book Antiqua" w:hAnsi="Book Antiqua" w:cs="Book Antiqua"/>
          <w:color w:val="000000"/>
          <w:vertAlign w:val="superscript"/>
        </w:rPr>
        <w:t>[54]</w:t>
      </w:r>
      <w:r w:rsidRPr="00353EAC">
        <w:rPr>
          <w:rFonts w:ascii="Book Antiqua" w:eastAsia="Book Antiqua" w:hAnsi="Book Antiqua" w:cs="Book Antiqua"/>
          <w:color w:val="000000"/>
        </w:rPr>
        <w:t>, and should be avoided in these patients. An RCT</w:t>
      </w:r>
      <w:r w:rsidRPr="00353EAC">
        <w:rPr>
          <w:rFonts w:ascii="Book Antiqua" w:eastAsia="Book Antiqua" w:hAnsi="Book Antiqua" w:cs="Book Antiqua"/>
          <w:color w:val="000000"/>
          <w:vertAlign w:val="superscript"/>
        </w:rPr>
        <w:t>[55]</w:t>
      </w:r>
      <w:r w:rsidRPr="00353EAC">
        <w:rPr>
          <w:rFonts w:ascii="Book Antiqua" w:eastAsia="Book Antiqua" w:hAnsi="Book Antiqua" w:cs="Book Antiqua"/>
          <w:color w:val="000000"/>
        </w:rPr>
        <w:t xml:space="preserve"> also compared early use of vasopressin </w:t>
      </w:r>
      <w:r w:rsidRPr="00353EAC">
        <w:rPr>
          <w:rFonts w:ascii="Book Antiqua" w:eastAsia="Book Antiqua" w:hAnsi="Book Antiqua" w:cs="Book Antiqua"/>
          <w:i/>
          <w:iCs/>
          <w:color w:val="000000"/>
        </w:rPr>
        <w:t>v</w:t>
      </w:r>
      <w:r w:rsidR="00500DDA">
        <w:rPr>
          <w:rFonts w:ascii="Book Antiqua" w:eastAsia="Book Antiqua" w:hAnsi="Book Antiqua" w:cs="Book Antiqua"/>
          <w:i/>
          <w:iCs/>
          <w:color w:val="000000"/>
        </w:rPr>
        <w:t>ersu</w:t>
      </w:r>
      <w:r w:rsidRPr="00353EAC">
        <w:rPr>
          <w:rFonts w:ascii="Book Antiqua" w:eastAsia="Book Antiqua" w:hAnsi="Book Antiqua" w:cs="Book Antiqua"/>
          <w:i/>
          <w:iCs/>
          <w:color w:val="000000"/>
        </w:rPr>
        <w:t>s</w:t>
      </w:r>
      <w:r w:rsidRPr="00353EAC">
        <w:rPr>
          <w:rFonts w:ascii="Book Antiqua" w:eastAsia="Book Antiqua" w:hAnsi="Book Antiqua" w:cs="Book Antiqua"/>
          <w:color w:val="000000"/>
        </w:rPr>
        <w:t xml:space="preserve"> norepinephrine, revealing a higher incidence of life-threatening arrhythmia in the </w:t>
      </w:r>
      <w:r w:rsidR="00500DDA">
        <w:rPr>
          <w:rFonts w:ascii="Book Antiqua" w:eastAsia="Book Antiqua" w:hAnsi="Book Antiqua" w:cs="Book Antiqua"/>
          <w:color w:val="000000"/>
        </w:rPr>
        <w:t>norepinephrine</w:t>
      </w:r>
      <w:r w:rsidR="00C022DD">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group (0.98% </w:t>
      </w:r>
      <w:r w:rsidRPr="00353EAC">
        <w:rPr>
          <w:rFonts w:ascii="Book Antiqua" w:eastAsia="Book Antiqua" w:hAnsi="Book Antiqua" w:cs="Book Antiqua"/>
          <w:i/>
          <w:color w:val="000000"/>
        </w:rPr>
        <w:t>vs</w:t>
      </w:r>
      <w:r w:rsidRPr="00353EAC">
        <w:rPr>
          <w:rFonts w:ascii="Book Antiqua" w:eastAsia="Book Antiqua" w:hAnsi="Book Antiqua" w:cs="Book Antiqua"/>
          <w:color w:val="000000"/>
        </w:rPr>
        <w:t xml:space="preserve"> 2.5%), and a higher incidence of acute coronary syndrome in the </w:t>
      </w:r>
      <w:r w:rsidR="00500DDA">
        <w:rPr>
          <w:rFonts w:ascii="Book Antiqua" w:eastAsia="Book Antiqua" w:hAnsi="Book Antiqua" w:cs="Book Antiqua"/>
          <w:color w:val="000000"/>
        </w:rPr>
        <w:t>vasopress</w:t>
      </w:r>
      <w:r w:rsidR="00C022DD" w:rsidRPr="00C022DD">
        <w:rPr>
          <w:rFonts w:ascii="Book Antiqua" w:eastAsia="Book Antiqua" w:hAnsi="Book Antiqua" w:cs="Book Antiqua" w:hint="eastAsia"/>
          <w:color w:val="000000"/>
        </w:rPr>
        <w:t>in</w:t>
      </w:r>
      <w:r w:rsidR="00C022DD">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group (3.4% </w:t>
      </w:r>
      <w:r w:rsidRPr="00353EAC">
        <w:rPr>
          <w:rFonts w:ascii="Book Antiqua" w:eastAsia="Book Antiqua" w:hAnsi="Book Antiqua" w:cs="Book Antiqua"/>
          <w:i/>
          <w:color w:val="000000"/>
        </w:rPr>
        <w:t>vs</w:t>
      </w:r>
      <w:r w:rsidRPr="00353EAC">
        <w:rPr>
          <w:rFonts w:ascii="Book Antiqua" w:eastAsia="Book Antiqua" w:hAnsi="Book Antiqua" w:cs="Book Antiqua"/>
          <w:color w:val="000000"/>
        </w:rPr>
        <w:t xml:space="preserve"> 1.0%). These findings suggest that patients with coronary artery disease may benefit from avoiding vasopressin, while those with tachyarrhythmia may consider early co-administration of this drug. In contrast, </w:t>
      </w:r>
      <w:r w:rsidR="00500DDA" w:rsidRPr="00353EAC">
        <w:rPr>
          <w:rFonts w:ascii="Book Antiqua" w:eastAsia="Book Antiqua" w:hAnsi="Book Antiqua" w:cs="Book Antiqua"/>
          <w:color w:val="000000"/>
        </w:rPr>
        <w:t>Reardon</w:t>
      </w:r>
      <w:r w:rsidR="00C022DD">
        <w:rPr>
          <w:rFonts w:ascii="Book Antiqua" w:hAnsi="Book Antiqua" w:cs="Book Antiqua" w:hint="eastAsia"/>
          <w:color w:val="000000"/>
          <w:lang w:eastAsia="zh-CN"/>
        </w:rPr>
        <w:t xml:space="preserve"> </w:t>
      </w:r>
      <w:r w:rsidR="00500DDA">
        <w:rPr>
          <w:rFonts w:ascii="Book Antiqua" w:eastAsia="Book Antiqua" w:hAnsi="Book Antiqua" w:cs="Book Antiqua"/>
          <w:i/>
          <w:iCs/>
          <w:color w:val="000000"/>
        </w:rPr>
        <w:t>et al</w:t>
      </w:r>
      <w:r w:rsidRPr="00353EAC">
        <w:rPr>
          <w:rFonts w:ascii="Book Antiqua" w:eastAsia="Book Antiqua" w:hAnsi="Book Antiqua" w:cs="Book Antiqua"/>
          <w:color w:val="000000"/>
          <w:vertAlign w:val="superscript"/>
        </w:rPr>
        <w:t>[56]</w:t>
      </w:r>
      <w:r w:rsidRPr="00353EAC">
        <w:rPr>
          <w:rFonts w:ascii="Book Antiqua" w:eastAsia="Book Antiqua" w:hAnsi="Book Antiqua" w:cs="Book Antiqua"/>
          <w:color w:val="000000"/>
        </w:rPr>
        <w:t xml:space="preserve"> found a trend toward improvement in cardiac biomarkers in the early </w:t>
      </w:r>
      <w:r w:rsidR="00500DDA">
        <w:rPr>
          <w:rFonts w:ascii="Book Antiqua" w:eastAsia="Book Antiqua" w:hAnsi="Book Antiqua" w:cs="Book Antiqua"/>
          <w:color w:val="000000"/>
        </w:rPr>
        <w:t>vasopress</w:t>
      </w:r>
      <w:r w:rsidR="00C022DD" w:rsidRPr="005A58B3">
        <w:rPr>
          <w:rFonts w:ascii="Book Antiqua" w:eastAsia="Book Antiqua" w:hAnsi="Book Antiqua" w:cs="Book Antiqua"/>
          <w:color w:val="000000"/>
        </w:rPr>
        <w:t>in</w:t>
      </w:r>
      <w:r w:rsidR="00C022DD">
        <w:rPr>
          <w:rFonts w:asciiTheme="minorEastAsia" w:hAnsiTheme="minorEastAsia" w:cs="Book Antiqua" w:hint="eastAsia"/>
          <w:color w:val="000000"/>
          <w:lang w:eastAsia="zh-CN"/>
        </w:rPr>
        <w:t xml:space="preserve"> </w:t>
      </w:r>
      <w:r w:rsidRPr="00353EAC">
        <w:rPr>
          <w:rFonts w:ascii="Book Antiqua" w:eastAsia="Book Antiqua" w:hAnsi="Book Antiqua" w:cs="Book Antiqua"/>
          <w:color w:val="000000"/>
        </w:rPr>
        <w:t>group; however, no specific etiology was identified and the research was limited to a single</w:t>
      </w:r>
      <w:r w:rsidR="00500DDA">
        <w:rPr>
          <w:rFonts w:ascii="Book Antiqua" w:eastAsia="Book Antiqua" w:hAnsi="Book Antiqua" w:cs="Book Antiqua"/>
          <w:color w:val="000000"/>
        </w:rPr>
        <w:t>-</w:t>
      </w:r>
      <w:r w:rsidRPr="00353EAC">
        <w:rPr>
          <w:rFonts w:ascii="Book Antiqua" w:eastAsia="Book Antiqua" w:hAnsi="Book Antiqua" w:cs="Book Antiqua"/>
          <w:color w:val="000000"/>
        </w:rPr>
        <w:t>center retrospective analysis.</w:t>
      </w:r>
    </w:p>
    <w:p w14:paraId="66A96D1B" w14:textId="77777777" w:rsidR="009041B5" w:rsidRPr="00353EAC" w:rsidRDefault="009041B5" w:rsidP="0033042F">
      <w:pPr>
        <w:spacing w:line="360" w:lineRule="auto"/>
        <w:rPr>
          <w:rFonts w:ascii="Book Antiqua" w:hAnsi="Book Antiqua"/>
        </w:rPr>
      </w:pPr>
    </w:p>
    <w:p w14:paraId="0CCB944E" w14:textId="29C5F88B"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caps/>
          <w:color w:val="000000"/>
          <w:u w:val="single"/>
        </w:rPr>
        <w:t>possible protocol for considering early initiation of vasopressors in septic shock</w:t>
      </w:r>
    </w:p>
    <w:p w14:paraId="79053299"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A possible protocol for early administration of vasopressors in septic shock patients is depicted in Figure 2, based on the literature reviewed above.</w:t>
      </w:r>
    </w:p>
    <w:p w14:paraId="5773159C" w14:textId="2E02A881" w:rsidR="009041B5" w:rsidRPr="00353EAC" w:rsidRDefault="00500DDA" w:rsidP="0033042F">
      <w:pPr>
        <w:spacing w:line="360" w:lineRule="auto"/>
        <w:ind w:firstLine="400"/>
        <w:rPr>
          <w:rFonts w:ascii="Book Antiqua" w:hAnsi="Book Antiqua"/>
        </w:rPr>
      </w:pPr>
      <w:r>
        <w:rPr>
          <w:rFonts w:ascii="Book Antiqua" w:eastAsia="Book Antiqua" w:hAnsi="Book Antiqua" w:cs="Book Antiqua"/>
          <w:color w:val="000000"/>
        </w:rPr>
        <w:t>The timing</w:t>
      </w:r>
      <w:r w:rsidR="00F74228" w:rsidRPr="00353EAC">
        <w:rPr>
          <w:rFonts w:ascii="Book Antiqua" w:eastAsia="Book Antiqua" w:hAnsi="Book Antiqua" w:cs="Book Antiqua"/>
          <w:color w:val="000000"/>
        </w:rPr>
        <w:t xml:space="preserve"> of vasopressor initiation </w:t>
      </w:r>
      <w:r>
        <w:rPr>
          <w:rFonts w:ascii="Book Antiqua" w:eastAsia="Book Antiqua" w:hAnsi="Book Antiqua" w:cs="Book Antiqua"/>
          <w:color w:val="000000"/>
        </w:rPr>
        <w:t>was</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 xml:space="preserve">the primary focus of our protocol, </w:t>
      </w:r>
      <w:r w:rsidR="005A58B3">
        <w:rPr>
          <w:rFonts w:ascii="Book Antiqua" w:eastAsia="Book Antiqua" w:hAnsi="Book Antiqua" w:cs="Book Antiqua"/>
          <w:color w:val="000000"/>
        </w:rPr>
        <w:t xml:space="preserve">control of </w:t>
      </w:r>
      <w:r w:rsidR="00F74228" w:rsidRPr="00353EAC">
        <w:rPr>
          <w:rFonts w:ascii="Book Antiqua" w:eastAsia="Book Antiqua" w:hAnsi="Book Antiqua" w:cs="Book Antiqua"/>
          <w:color w:val="000000"/>
        </w:rPr>
        <w:t xml:space="preserve">the source of </w:t>
      </w:r>
      <w:r w:rsidR="00DC69A8">
        <w:rPr>
          <w:rFonts w:ascii="Book Antiqua" w:eastAsia="Book Antiqua" w:hAnsi="Book Antiqua" w:cs="Book Antiqua"/>
          <w:color w:val="000000"/>
        </w:rPr>
        <w:t>infection</w:t>
      </w:r>
      <w:r w:rsidR="00DC69A8">
        <w:rPr>
          <w:rFonts w:ascii="Book Antiqua" w:hAnsi="Book Antiqua" w:cs="Book Antiqua" w:hint="eastAsia"/>
          <w:color w:val="000000"/>
          <w:lang w:eastAsia="zh-CN"/>
        </w:rPr>
        <w:t xml:space="preserve"> in </w:t>
      </w:r>
      <w:r w:rsidR="00F74228" w:rsidRPr="00353EAC">
        <w:rPr>
          <w:rFonts w:ascii="Book Antiqua" w:eastAsia="Book Antiqua" w:hAnsi="Book Antiqua" w:cs="Book Antiqua"/>
          <w:color w:val="000000"/>
        </w:rPr>
        <w:t>sepsis, use of albumin</w:t>
      </w:r>
      <w:r>
        <w:rPr>
          <w:rFonts w:ascii="Book Antiqua" w:eastAsia="Book Antiqua" w:hAnsi="Book Antiqua" w:cs="Book Antiqua"/>
          <w:color w:val="000000"/>
        </w:rPr>
        <w:t>,</w:t>
      </w:r>
      <w:r w:rsidR="00F74228" w:rsidRPr="00353EAC">
        <w:rPr>
          <w:rFonts w:ascii="Book Antiqua" w:eastAsia="Book Antiqua" w:hAnsi="Book Antiqua" w:cs="Book Antiqua"/>
          <w:color w:val="000000"/>
        </w:rPr>
        <w:t xml:space="preserve"> and early steroid use are not included in the figure. However, four prominent </w:t>
      </w:r>
      <w:r>
        <w:rPr>
          <w:rFonts w:ascii="Book Antiqua" w:eastAsia="Book Antiqua" w:hAnsi="Book Antiqua" w:cs="Book Antiqua"/>
          <w:color w:val="000000"/>
        </w:rPr>
        <w:t>RCTs</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investigat</w:t>
      </w:r>
      <w:r>
        <w:rPr>
          <w:rFonts w:ascii="Book Antiqua" w:eastAsia="Book Antiqua" w:hAnsi="Book Antiqua" w:cs="Book Antiqua"/>
          <w:color w:val="000000"/>
        </w:rPr>
        <w:t>ed</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 xml:space="preserve">the administration of corticosteroids in patients with septic shock, </w:t>
      </w:r>
      <w:r>
        <w:rPr>
          <w:rFonts w:ascii="Book Antiqua" w:eastAsia="Book Antiqua" w:hAnsi="Book Antiqua" w:cs="Book Antiqua"/>
          <w:color w:val="000000"/>
        </w:rPr>
        <w:t>but</w:t>
      </w:r>
      <w:r w:rsidR="00DC69A8">
        <w:rPr>
          <w:rFonts w:ascii="Book Antiqua" w:hAnsi="Book Antiqua" w:cs="Book Antiqua" w:hint="eastAsia"/>
          <w:color w:val="000000"/>
          <w:lang w:eastAsia="zh-CN"/>
        </w:rPr>
        <w:t xml:space="preserve"> </w:t>
      </w:r>
      <w:r>
        <w:rPr>
          <w:rFonts w:ascii="Book Antiqua" w:eastAsia="Book Antiqua" w:hAnsi="Book Antiqua" w:cs="Book Antiqua"/>
          <w:color w:val="000000"/>
        </w:rPr>
        <w:t>they</w:t>
      </w:r>
      <w:r w:rsidR="00F74228" w:rsidRPr="00353EAC">
        <w:rPr>
          <w:rFonts w:ascii="Book Antiqua" w:eastAsia="Book Antiqua" w:hAnsi="Book Antiqua" w:cs="Book Antiqua"/>
          <w:color w:val="000000"/>
        </w:rPr>
        <w:t xml:space="preserve"> yield</w:t>
      </w:r>
      <w:r>
        <w:rPr>
          <w:rFonts w:ascii="Book Antiqua" w:eastAsia="Book Antiqua" w:hAnsi="Book Antiqua" w:cs="Book Antiqua"/>
          <w:color w:val="000000"/>
        </w:rPr>
        <w:t>ed</w:t>
      </w:r>
      <w:r w:rsidR="00F74228" w:rsidRPr="00353EAC">
        <w:rPr>
          <w:rFonts w:ascii="Book Antiqua" w:eastAsia="Book Antiqua" w:hAnsi="Book Antiqua" w:cs="Book Antiqua"/>
          <w:color w:val="000000"/>
        </w:rPr>
        <w:t xml:space="preserve"> contradictory results. The enrollment time across the four studies </w:t>
      </w:r>
      <w:r>
        <w:rPr>
          <w:rFonts w:ascii="Book Antiqua" w:eastAsia="Book Antiqua" w:hAnsi="Book Antiqua" w:cs="Book Antiqua"/>
          <w:color w:val="000000"/>
        </w:rPr>
        <w:t>was</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from 8 h</w:t>
      </w:r>
      <w:r w:rsidR="00F74228" w:rsidRPr="00353EAC">
        <w:rPr>
          <w:rFonts w:ascii="Book Antiqua" w:eastAsia="Book Antiqua" w:hAnsi="Book Antiqua" w:cs="Book Antiqua"/>
          <w:color w:val="000000"/>
          <w:vertAlign w:val="superscript"/>
        </w:rPr>
        <w:t>[57]</w:t>
      </w:r>
      <w:r w:rsidR="00F74228" w:rsidRPr="00353EAC">
        <w:rPr>
          <w:rFonts w:ascii="Book Antiqua" w:eastAsia="Book Antiqua" w:hAnsi="Book Antiqua" w:cs="Book Antiqua"/>
          <w:color w:val="000000"/>
        </w:rPr>
        <w:t xml:space="preserve"> to 24 h</w:t>
      </w:r>
      <w:r w:rsidR="00F74228" w:rsidRPr="00353EAC">
        <w:rPr>
          <w:rFonts w:ascii="Book Antiqua" w:eastAsia="Book Antiqua" w:hAnsi="Book Antiqua" w:cs="Book Antiqua"/>
          <w:color w:val="000000"/>
          <w:vertAlign w:val="superscript"/>
        </w:rPr>
        <w:t>[58,59]</w:t>
      </w:r>
      <w:r w:rsidR="00F74228" w:rsidRPr="00353EAC">
        <w:rPr>
          <w:rFonts w:ascii="Book Antiqua" w:eastAsia="Book Antiqua" w:hAnsi="Book Antiqua" w:cs="Book Antiqua"/>
          <w:color w:val="000000"/>
        </w:rPr>
        <w:t xml:space="preserve"> and 72 h</w:t>
      </w:r>
      <w:r w:rsidR="00F74228" w:rsidRPr="00353EAC">
        <w:rPr>
          <w:rFonts w:ascii="Book Antiqua" w:eastAsia="Book Antiqua" w:hAnsi="Book Antiqua" w:cs="Book Antiqua"/>
          <w:color w:val="000000"/>
          <w:vertAlign w:val="superscript"/>
        </w:rPr>
        <w:t>[60]</w:t>
      </w:r>
      <w:r w:rsidR="00F74228" w:rsidRPr="00353EAC">
        <w:rPr>
          <w:rFonts w:ascii="Book Antiqua" w:eastAsia="Book Antiqua" w:hAnsi="Book Antiqua" w:cs="Book Antiqua"/>
          <w:color w:val="000000"/>
        </w:rPr>
        <w:t xml:space="preserve">. Two trials demonstrated that early </w:t>
      </w:r>
      <w:r w:rsidRPr="00353EAC">
        <w:rPr>
          <w:rFonts w:ascii="Book Antiqua" w:eastAsia="Book Antiqua" w:hAnsi="Book Antiqua" w:cs="Book Antiqua"/>
          <w:color w:val="000000"/>
        </w:rPr>
        <w:t>addi</w:t>
      </w:r>
      <w:r>
        <w:rPr>
          <w:rFonts w:ascii="Book Antiqua" w:eastAsia="Book Antiqua" w:hAnsi="Book Antiqua" w:cs="Book Antiqua"/>
          <w:color w:val="000000"/>
        </w:rPr>
        <w:t>tion of</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corticosteroids to vasopressors significantly reduce</w:t>
      </w:r>
      <w:r>
        <w:rPr>
          <w:rFonts w:ascii="Book Antiqua" w:eastAsia="Book Antiqua" w:hAnsi="Book Antiqua" w:cs="Book Antiqua"/>
          <w:color w:val="000000"/>
        </w:rPr>
        <w:t>d</w:t>
      </w:r>
      <w:r w:rsidR="00F74228" w:rsidRPr="00353EAC">
        <w:rPr>
          <w:rFonts w:ascii="Book Antiqua" w:eastAsia="Book Antiqua" w:hAnsi="Book Antiqua" w:cs="Book Antiqua"/>
          <w:color w:val="000000"/>
        </w:rPr>
        <w:t xml:space="preserve"> all-cause mortality among patients with septic shock. Additionally, it is noteworthy that the majority of these trials initiated hydrocortisone administration concurrently with norepinephrine at a dose range of 0.5</w:t>
      </w:r>
      <w:r>
        <w:rPr>
          <w:rFonts w:ascii="Book Antiqua" w:eastAsia="Book Antiqua" w:hAnsi="Book Antiqua" w:cs="Book Antiqua"/>
          <w:color w:val="000000"/>
        </w:rPr>
        <w:t>–</w:t>
      </w:r>
      <w:r w:rsidR="00F74228" w:rsidRPr="00353EAC">
        <w:rPr>
          <w:rFonts w:ascii="Book Antiqua" w:eastAsia="Book Antiqua" w:hAnsi="Book Antiqua" w:cs="Book Antiqua"/>
          <w:color w:val="000000"/>
        </w:rPr>
        <w:t xml:space="preserve">1 μg/kg/min. The Surviving Sepsis Campaign guidelines recommend administering intravenous corticosteroids to </w:t>
      </w:r>
      <w:r w:rsidR="00F74228" w:rsidRPr="00353EAC">
        <w:rPr>
          <w:rFonts w:ascii="Book Antiqua" w:eastAsia="Book Antiqua" w:hAnsi="Book Antiqua" w:cs="Book Antiqua"/>
          <w:color w:val="000000"/>
        </w:rPr>
        <w:lastRenderedPageBreak/>
        <w:t>septic shock patients who require ongoing vasopressor therapy, commencing as early as 4 h after the initiation of vasopressors and at a minimum norepinephrine dose of 0.25 μg/kg/min.</w:t>
      </w:r>
    </w:p>
    <w:p w14:paraId="7510EF97" w14:textId="03680173" w:rsidR="009041B5" w:rsidRPr="00353EAC" w:rsidRDefault="005A58B3" w:rsidP="0033042F">
      <w:pPr>
        <w:spacing w:line="360" w:lineRule="auto"/>
        <w:ind w:firstLine="400"/>
        <w:rPr>
          <w:rFonts w:ascii="Book Antiqua" w:hAnsi="Book Antiqua"/>
        </w:rPr>
      </w:pPr>
      <w:r>
        <w:rPr>
          <w:rFonts w:ascii="Book Antiqua" w:eastAsia="Book Antiqua" w:hAnsi="Book Antiqua" w:cs="Book Antiqua"/>
          <w:color w:val="000000"/>
        </w:rPr>
        <w:t>C</w:t>
      </w:r>
      <w:r w:rsidRPr="00353EAC">
        <w:rPr>
          <w:rFonts w:ascii="Book Antiqua" w:eastAsia="Book Antiqua" w:hAnsi="Book Antiqua" w:cs="Book Antiqua"/>
          <w:color w:val="000000"/>
        </w:rPr>
        <w:t>ontrol</w:t>
      </w:r>
      <w:r w:rsidR="00F74228" w:rsidRPr="00353EAC">
        <w:rPr>
          <w:rFonts w:ascii="Book Antiqua" w:eastAsia="Book Antiqua" w:hAnsi="Book Antiqua" w:cs="Book Antiqua"/>
          <w:color w:val="000000"/>
        </w:rPr>
        <w:t xml:space="preserve"> </w:t>
      </w:r>
      <w:r w:rsidR="00DC69A8">
        <w:rPr>
          <w:rFonts w:ascii="Book Antiqua" w:eastAsia="Book Antiqua" w:hAnsi="Book Antiqua" w:cs="Book Antiqua"/>
          <w:color w:val="000000"/>
        </w:rPr>
        <w:t>of</w:t>
      </w:r>
      <w:r w:rsidR="00DC69A8">
        <w:rPr>
          <w:rFonts w:ascii="Book Antiqua" w:hAnsi="Book Antiqua" w:cs="Book Antiqua" w:hint="eastAsia"/>
          <w:color w:val="000000"/>
          <w:lang w:eastAsia="zh-CN"/>
        </w:rPr>
        <w:t xml:space="preserve"> </w:t>
      </w:r>
      <w:r>
        <w:rPr>
          <w:rFonts w:ascii="Book Antiqua" w:hAnsi="Book Antiqua" w:cs="Book Antiqua"/>
          <w:color w:val="000000"/>
          <w:lang w:eastAsia="zh-CN"/>
        </w:rPr>
        <w:t xml:space="preserve">the source of </w:t>
      </w:r>
      <w:r w:rsidR="00DC69A8">
        <w:rPr>
          <w:rFonts w:ascii="Book Antiqua" w:hAnsi="Book Antiqua" w:cs="Book Antiqua" w:hint="eastAsia"/>
          <w:color w:val="000000"/>
          <w:lang w:eastAsia="zh-CN"/>
        </w:rPr>
        <w:t xml:space="preserve">infection </w:t>
      </w:r>
      <w:r w:rsidR="00F74228" w:rsidRPr="00353EAC">
        <w:rPr>
          <w:rFonts w:ascii="Book Antiqua" w:eastAsia="Book Antiqua" w:hAnsi="Book Antiqua" w:cs="Book Antiqua"/>
          <w:color w:val="000000"/>
        </w:rPr>
        <w:t xml:space="preserve">should be required as an </w:t>
      </w:r>
      <w:r w:rsidR="00500DDA" w:rsidRPr="00353EAC">
        <w:rPr>
          <w:rFonts w:ascii="Book Antiqua" w:eastAsia="Book Antiqua" w:hAnsi="Book Antiqua" w:cs="Book Antiqua"/>
          <w:color w:val="000000"/>
        </w:rPr>
        <w:t>emergen</w:t>
      </w:r>
      <w:r w:rsidR="00500DDA">
        <w:rPr>
          <w:rFonts w:ascii="Book Antiqua" w:eastAsia="Book Antiqua" w:hAnsi="Book Antiqua" w:cs="Book Antiqua"/>
          <w:color w:val="000000"/>
        </w:rPr>
        <w:t>cy</w:t>
      </w:r>
      <w:r w:rsidR="00DC69A8">
        <w:rPr>
          <w:rFonts w:ascii="Book Antiqua" w:hAnsi="Book Antiqua" w:cs="Book Antiqua" w:hint="eastAsia"/>
          <w:color w:val="000000"/>
          <w:lang w:eastAsia="zh-CN"/>
        </w:rPr>
        <w:t xml:space="preserve"> </w:t>
      </w:r>
      <w:r w:rsidR="00F74228" w:rsidRPr="00353EAC">
        <w:rPr>
          <w:rFonts w:ascii="Book Antiqua" w:eastAsia="Book Antiqua" w:hAnsi="Book Antiqua" w:cs="Book Antiqua"/>
          <w:color w:val="000000"/>
        </w:rPr>
        <w:t xml:space="preserve">intervention as soon as a specific anatomical diagnosis of infection is identified. </w:t>
      </w:r>
      <w:r w:rsidR="00500DDA">
        <w:rPr>
          <w:rFonts w:ascii="Book Antiqua" w:eastAsia="Book Antiqua" w:hAnsi="Book Antiqua" w:cs="Book Antiqua"/>
          <w:color w:val="000000"/>
        </w:rPr>
        <w:t>E</w:t>
      </w:r>
      <w:r w:rsidR="00F74228" w:rsidRPr="00353EAC">
        <w:rPr>
          <w:rFonts w:ascii="Book Antiqua" w:eastAsia="Book Antiqua" w:hAnsi="Book Antiqua" w:cs="Book Antiqua"/>
          <w:color w:val="000000"/>
        </w:rPr>
        <w:t>arly albumin infusion also should be considered when patients receive large volumes of crystalloids.</w:t>
      </w:r>
    </w:p>
    <w:p w14:paraId="25C45F9B" w14:textId="77777777" w:rsidR="009041B5" w:rsidRPr="00353EAC" w:rsidRDefault="009041B5" w:rsidP="0033042F">
      <w:pPr>
        <w:spacing w:line="360" w:lineRule="auto"/>
        <w:ind w:firstLine="400"/>
        <w:rPr>
          <w:rFonts w:ascii="Book Antiqua" w:hAnsi="Book Antiqua"/>
        </w:rPr>
      </w:pPr>
    </w:p>
    <w:p w14:paraId="79947893"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aps/>
          <w:color w:val="000000"/>
          <w:u w:val="single"/>
        </w:rPr>
        <w:t>CONCLUSION</w:t>
      </w:r>
    </w:p>
    <w:p w14:paraId="4FE2933E" w14:textId="0DB0FECE" w:rsidR="009041B5" w:rsidRPr="00353EAC" w:rsidRDefault="00F74228" w:rsidP="0033042F">
      <w:pPr>
        <w:spacing w:line="360" w:lineRule="auto"/>
        <w:rPr>
          <w:rFonts w:ascii="Book Antiqua" w:hAnsi="Book Antiqua"/>
        </w:rPr>
      </w:pPr>
      <w:r w:rsidRPr="00353EAC">
        <w:rPr>
          <w:rFonts w:ascii="Book Antiqua" w:eastAsia="Book Antiqua" w:hAnsi="Book Antiqua" w:cs="Book Antiqua"/>
          <w:color w:val="000000"/>
        </w:rPr>
        <w:t xml:space="preserve">In septic shock, early </w:t>
      </w:r>
      <w:r w:rsidR="00500DDA">
        <w:rPr>
          <w:rFonts w:ascii="Book Antiqua" w:eastAsia="Book Antiqua" w:hAnsi="Book Antiqua" w:cs="Book Antiqua"/>
          <w:color w:val="000000"/>
        </w:rPr>
        <w:t>initiation</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of vasopressors may exert several potential beneficial effects. Several mechanisms support initiat</w:t>
      </w:r>
      <w:r w:rsidR="00500DDA">
        <w:rPr>
          <w:rFonts w:ascii="Book Antiqua" w:eastAsia="Book Antiqua" w:hAnsi="Book Antiqua" w:cs="Book Antiqua"/>
          <w:color w:val="000000"/>
        </w:rPr>
        <w:t>ion of</w:t>
      </w:r>
      <w:r w:rsidRPr="00353EAC">
        <w:rPr>
          <w:rFonts w:ascii="Book Antiqua" w:eastAsia="Book Antiqua" w:hAnsi="Book Antiqua" w:cs="Book Antiqua"/>
          <w:color w:val="000000"/>
        </w:rPr>
        <w:t xml:space="preserve"> vasopressors early in septic shock, mainly focused on perfusion improvement, blood flow enlargement and fluid overload prevention. Clinical evidence</w:t>
      </w:r>
      <w:r w:rsidR="00D92785">
        <w:rPr>
          <w:rFonts w:ascii="Book Antiqua" w:hAnsi="Book Antiqua" w:cs="Book Antiqua" w:hint="eastAsia"/>
          <w:color w:val="000000"/>
          <w:lang w:eastAsia="zh-CN"/>
        </w:rPr>
        <w:t xml:space="preserve"> </w:t>
      </w:r>
      <w:r w:rsidR="00500DDA">
        <w:rPr>
          <w:rFonts w:ascii="Book Antiqua" w:eastAsia="Book Antiqua" w:hAnsi="Book Antiqua" w:cs="Book Antiqua"/>
          <w:color w:val="000000"/>
        </w:rPr>
        <w:t>has</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suggested possible benefits of early initiation of </w:t>
      </w:r>
      <w:r w:rsidR="00500DDA">
        <w:rPr>
          <w:rFonts w:ascii="Book Antiqua" w:eastAsia="Book Antiqua" w:hAnsi="Book Antiqua" w:cs="Book Antiqua"/>
          <w:color w:val="000000"/>
        </w:rPr>
        <w:t xml:space="preserve">single </w:t>
      </w:r>
      <w:r w:rsidRPr="00353EAC">
        <w:rPr>
          <w:rFonts w:ascii="Book Antiqua" w:eastAsia="Book Antiqua" w:hAnsi="Book Antiqua" w:cs="Book Antiqua"/>
          <w:color w:val="000000"/>
        </w:rPr>
        <w:t>or combined vasopressors in the resuscitation of septic shock. Several potential markers predicting vasopressor requirements were mentioned</w:t>
      </w:r>
      <w:r w:rsidR="00500DDA">
        <w:rPr>
          <w:rFonts w:ascii="Book Antiqua" w:eastAsia="Book Antiqua" w:hAnsi="Book Antiqua" w:cs="Book Antiqua"/>
          <w:color w:val="000000"/>
        </w:rPr>
        <w:t>.</w:t>
      </w:r>
      <w:r w:rsidR="00DC69A8">
        <w:rPr>
          <w:rFonts w:ascii="Book Antiqua" w:hAnsi="Book Antiqua" w:cs="Book Antiqua" w:hint="eastAsia"/>
          <w:color w:val="000000"/>
          <w:lang w:eastAsia="zh-CN"/>
        </w:rPr>
        <w:t xml:space="preserve"> </w:t>
      </w:r>
      <w:r w:rsidR="00500DDA">
        <w:rPr>
          <w:rFonts w:ascii="Book Antiqua" w:eastAsia="Book Antiqua" w:hAnsi="Book Antiqua" w:cs="Book Antiqua"/>
          <w:color w:val="000000"/>
        </w:rPr>
        <w:t>D</w:t>
      </w:r>
      <w:r w:rsidRPr="00353EAC">
        <w:rPr>
          <w:rFonts w:ascii="Book Antiqua" w:eastAsia="Book Antiqua" w:hAnsi="Book Antiqua" w:cs="Book Antiqua"/>
          <w:color w:val="000000"/>
        </w:rPr>
        <w:t xml:space="preserve">iastolic arterial blood pressure and dynamic elastance </w:t>
      </w:r>
      <w:r w:rsidR="00500DDA">
        <w:rPr>
          <w:rFonts w:ascii="Book Antiqua" w:eastAsia="Book Antiqua" w:hAnsi="Book Antiqua" w:cs="Book Antiqua"/>
          <w:color w:val="000000"/>
        </w:rPr>
        <w:t>indicated</w:t>
      </w:r>
      <w:r w:rsidRPr="00353EAC">
        <w:rPr>
          <w:rFonts w:ascii="Book Antiqua" w:eastAsia="Book Antiqua" w:hAnsi="Book Antiqua" w:cs="Book Antiqua"/>
          <w:color w:val="000000"/>
        </w:rPr>
        <w:t xml:space="preserve"> early initiation of norepinephrine in first</w:t>
      </w:r>
      <w:r w:rsidR="00500DDA">
        <w:rPr>
          <w:rFonts w:ascii="Book Antiqua" w:eastAsia="Book Antiqua" w:hAnsi="Book Antiqua" w:cs="Book Antiqua"/>
          <w:color w:val="000000"/>
        </w:rPr>
        <w:t>-</w:t>
      </w:r>
      <w:r w:rsidRPr="00353EAC">
        <w:rPr>
          <w:rFonts w:ascii="Book Antiqua" w:eastAsia="Book Antiqua" w:hAnsi="Book Antiqua" w:cs="Book Antiqua"/>
          <w:color w:val="000000"/>
        </w:rPr>
        <w:t>line mono-vasopressor therapy</w:t>
      </w:r>
      <w:r w:rsidR="00500DDA">
        <w:rPr>
          <w:rFonts w:ascii="Book Antiqua" w:eastAsia="Book Antiqua" w:hAnsi="Book Antiqua" w:cs="Book Antiqua"/>
          <w:color w:val="000000"/>
        </w:rPr>
        <w:t>.</w:t>
      </w:r>
      <w:r w:rsidR="00D92785">
        <w:rPr>
          <w:rFonts w:ascii="Book Antiqua" w:hAnsi="Book Antiqua" w:cs="Book Antiqua" w:hint="eastAsia"/>
          <w:color w:val="000000"/>
          <w:lang w:eastAsia="zh-CN"/>
        </w:rPr>
        <w:t xml:space="preserve"> </w:t>
      </w:r>
      <w:r w:rsidR="00500DDA">
        <w:rPr>
          <w:rFonts w:ascii="Book Antiqua" w:eastAsia="Book Antiqua" w:hAnsi="Book Antiqua" w:cs="Book Antiqua"/>
          <w:color w:val="000000"/>
        </w:rPr>
        <w:t>K</w:t>
      </w:r>
      <w:r w:rsidRPr="00353EAC">
        <w:rPr>
          <w:rFonts w:ascii="Book Antiqua" w:eastAsia="Book Antiqua" w:hAnsi="Book Antiqua" w:cs="Book Antiqua"/>
          <w:color w:val="000000"/>
        </w:rPr>
        <w:t>inetics of norepinephrine dose increment, serum lactate and rennin level</w:t>
      </w:r>
      <w:r w:rsidR="00500DDA">
        <w:rPr>
          <w:rFonts w:ascii="Book Antiqua" w:eastAsia="Book Antiqua" w:hAnsi="Book Antiqua" w:cs="Book Antiqua"/>
          <w:color w:val="000000"/>
        </w:rPr>
        <w:t>s</w:t>
      </w:r>
      <w:r w:rsidRPr="00353EAC">
        <w:rPr>
          <w:rFonts w:ascii="Book Antiqua" w:eastAsia="Book Antiqua" w:hAnsi="Book Antiqua" w:cs="Book Antiqua"/>
          <w:color w:val="000000"/>
        </w:rPr>
        <w:t xml:space="preserve"> were applied to identify the timing </w:t>
      </w:r>
      <w:r w:rsidR="00500DDA">
        <w:rPr>
          <w:rFonts w:ascii="Book Antiqua" w:eastAsia="Book Antiqua" w:hAnsi="Book Antiqua" w:cs="Book Antiqua"/>
          <w:color w:val="000000"/>
        </w:rPr>
        <w:t>of</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early </w:t>
      </w:r>
      <w:r w:rsidR="00500DDA">
        <w:rPr>
          <w:rFonts w:ascii="Book Antiqua" w:eastAsia="Book Antiqua" w:hAnsi="Book Antiqua" w:cs="Book Antiqua"/>
          <w:color w:val="000000"/>
        </w:rPr>
        <w:t>initiation</w:t>
      </w:r>
      <w:r w:rsidR="00DC69A8">
        <w:rPr>
          <w:rFonts w:ascii="Book Antiqua" w:hAnsi="Book Antiqua" w:cs="Book Antiqua" w:hint="eastAsia"/>
          <w:color w:val="000000"/>
          <w:lang w:eastAsia="zh-CN"/>
        </w:rPr>
        <w:t xml:space="preserve"> </w:t>
      </w:r>
      <w:r w:rsidRPr="00353EAC">
        <w:rPr>
          <w:rFonts w:ascii="Book Antiqua" w:eastAsia="Book Antiqua" w:hAnsi="Book Antiqua" w:cs="Book Antiqua"/>
          <w:color w:val="000000"/>
        </w:rPr>
        <w:t xml:space="preserve">of vasopressin or </w:t>
      </w:r>
      <w:r w:rsidR="00500DDA">
        <w:rPr>
          <w:rFonts w:ascii="Book Antiqua" w:eastAsia="Book Antiqua" w:hAnsi="Book Antiqua" w:cs="Book Antiqua"/>
          <w:color w:val="000000"/>
        </w:rPr>
        <w:t>a</w:t>
      </w:r>
      <w:r w:rsidR="00500DDA" w:rsidRPr="00353EAC">
        <w:rPr>
          <w:rFonts w:ascii="Book Antiqua" w:eastAsia="Book Antiqua" w:hAnsi="Book Antiqua" w:cs="Book Antiqua"/>
          <w:color w:val="000000"/>
        </w:rPr>
        <w:t>ngiotensin</w:t>
      </w:r>
      <w:r w:rsidR="005A58B3">
        <w:rPr>
          <w:rFonts w:ascii="Book Antiqua" w:eastAsia="Book Antiqua" w:hAnsi="Book Antiqua" w:cs="Book Antiqua"/>
          <w:color w:val="000000"/>
        </w:rPr>
        <w:t xml:space="preserve"> </w:t>
      </w:r>
      <w:r w:rsidRPr="00353EAC">
        <w:rPr>
          <w:rFonts w:ascii="Book Antiqua" w:eastAsia="Book Antiqua" w:hAnsi="Book Antiqua" w:cs="Book Antiqua"/>
          <w:color w:val="000000"/>
        </w:rPr>
        <w:t>II based on norepinephrine multi-vasopressor therapy.</w:t>
      </w:r>
      <w:r w:rsidR="00D92785">
        <w:rPr>
          <w:rFonts w:ascii="Book Antiqua" w:hAnsi="Book Antiqua" w:cs="Book Antiqua" w:hint="eastAsia"/>
          <w:color w:val="000000"/>
          <w:lang w:eastAsia="zh-CN"/>
        </w:rPr>
        <w:t xml:space="preserve"> </w:t>
      </w:r>
      <w:r w:rsidR="00500DDA">
        <w:rPr>
          <w:rFonts w:ascii="Book Antiqua" w:eastAsia="Book Antiqua" w:hAnsi="Book Antiqua" w:cs="Book Antiqua"/>
          <w:color w:val="000000"/>
        </w:rPr>
        <w:t>Administration of</w:t>
      </w:r>
      <w:r w:rsidRPr="00353EAC">
        <w:rPr>
          <w:rFonts w:ascii="Book Antiqua" w:eastAsia="Book Antiqua" w:hAnsi="Book Antiqua" w:cs="Book Antiqua"/>
          <w:color w:val="000000"/>
        </w:rPr>
        <w:t xml:space="preserve"> high concentrations of norepinephrine </w:t>
      </w:r>
      <w:r w:rsidRPr="00353EAC">
        <w:rPr>
          <w:rFonts w:ascii="Book Antiqua" w:eastAsia="Book Antiqua" w:hAnsi="Book Antiqua" w:cs="Book Antiqua"/>
          <w:i/>
          <w:iCs/>
          <w:color w:val="000000"/>
        </w:rPr>
        <w:t>via</w:t>
      </w:r>
      <w:r w:rsidRPr="00353EAC">
        <w:rPr>
          <w:rFonts w:ascii="Book Antiqua" w:eastAsia="Book Antiqua" w:hAnsi="Book Antiqua" w:cs="Book Antiqua"/>
          <w:color w:val="000000"/>
        </w:rPr>
        <w:t xml:space="preserve"> the peripheral vein is considered an option for the early administration of vasopressors in patients with septic shock.</w:t>
      </w:r>
    </w:p>
    <w:p w14:paraId="42378478" w14:textId="77777777" w:rsidR="009041B5" w:rsidRPr="00353EAC" w:rsidRDefault="009041B5" w:rsidP="0033042F">
      <w:pPr>
        <w:spacing w:line="360" w:lineRule="auto"/>
        <w:rPr>
          <w:rFonts w:ascii="Book Antiqua" w:hAnsi="Book Antiqua"/>
        </w:rPr>
      </w:pPr>
    </w:p>
    <w:p w14:paraId="66E1CC5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REFERENCES</w:t>
      </w:r>
    </w:p>
    <w:p w14:paraId="7F6993F3"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 </w:t>
      </w:r>
      <w:r w:rsidRPr="00353EAC">
        <w:rPr>
          <w:rFonts w:ascii="Book Antiqua" w:hAnsi="Book Antiqua"/>
          <w:b/>
          <w:bCs/>
        </w:rPr>
        <w:t>Singer M</w:t>
      </w:r>
      <w:r w:rsidRPr="00353EAC">
        <w:rPr>
          <w:rFonts w:ascii="Book Antiqua" w:hAnsi="Book Antiqua"/>
        </w:rPr>
        <w:t xml:space="preserve">, Deutschman CS, Seymour CW, Shankar-Hari M, Annane D, Bauer M, Bellomo R, Bernard GR, Chiche JD, Coopersmith CM, Hotchkiss RS, Levy MM, Marshall JC, Martin GS, Opal SM, Rubenfeld GD, van der Poll T, Vincent JL, Angus DC. The Third International Consensus Definitions for Sepsis and Septic Shock (Sepsis-3). </w:t>
      </w:r>
      <w:r w:rsidRPr="00353EAC">
        <w:rPr>
          <w:rFonts w:ascii="Book Antiqua" w:hAnsi="Book Antiqua"/>
          <w:i/>
          <w:iCs/>
        </w:rPr>
        <w:t>JAMA</w:t>
      </w:r>
      <w:r w:rsidRPr="00353EAC">
        <w:rPr>
          <w:rFonts w:ascii="Book Antiqua" w:hAnsi="Book Antiqua"/>
        </w:rPr>
        <w:t xml:space="preserve"> 2016; </w:t>
      </w:r>
      <w:r w:rsidRPr="00353EAC">
        <w:rPr>
          <w:rFonts w:ascii="Book Antiqua" w:hAnsi="Book Antiqua"/>
          <w:b/>
          <w:bCs/>
        </w:rPr>
        <w:t>315</w:t>
      </w:r>
      <w:r w:rsidRPr="00353EAC">
        <w:rPr>
          <w:rFonts w:ascii="Book Antiqua" w:hAnsi="Book Antiqua"/>
        </w:rPr>
        <w:t>: 801-810 [PMID: 26903338 DOI: 10.1001/jama.2016.0287]</w:t>
      </w:r>
    </w:p>
    <w:p w14:paraId="105DC9C4"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 </w:t>
      </w:r>
      <w:r w:rsidRPr="00353EAC">
        <w:rPr>
          <w:rFonts w:ascii="Book Antiqua" w:hAnsi="Book Antiqua"/>
          <w:b/>
          <w:bCs/>
        </w:rPr>
        <w:t>Shankar-Hari M</w:t>
      </w:r>
      <w:r w:rsidRPr="00353EAC">
        <w:rPr>
          <w:rFonts w:ascii="Book Antiqua" w:hAnsi="Book Antiqua"/>
        </w:rPr>
        <w:t xml:space="preserve">, Phillips GS, Levy ML, Seymour CW, Liu VX, Deutschman CS, Angus DC, Rubenfeld GD, Singer M; Sepsis Definitions Task Force. Developing a New </w:t>
      </w:r>
      <w:r w:rsidRPr="00353EAC">
        <w:rPr>
          <w:rFonts w:ascii="Book Antiqua" w:hAnsi="Book Antiqua"/>
        </w:rPr>
        <w:lastRenderedPageBreak/>
        <w:t xml:space="preserve">Definition and Assessing New Clinical Criteria for Septic Shock: For the Third International Consensus Definitions for Sepsis and Septic Shock (Sepsis-3). </w:t>
      </w:r>
      <w:r w:rsidRPr="00353EAC">
        <w:rPr>
          <w:rFonts w:ascii="Book Antiqua" w:hAnsi="Book Antiqua"/>
          <w:i/>
          <w:iCs/>
        </w:rPr>
        <w:t>JAMA</w:t>
      </w:r>
      <w:r w:rsidRPr="00353EAC">
        <w:rPr>
          <w:rFonts w:ascii="Book Antiqua" w:hAnsi="Book Antiqua"/>
        </w:rPr>
        <w:t xml:space="preserve"> 2016; </w:t>
      </w:r>
      <w:r w:rsidRPr="00353EAC">
        <w:rPr>
          <w:rFonts w:ascii="Book Antiqua" w:hAnsi="Book Antiqua"/>
          <w:b/>
          <w:bCs/>
        </w:rPr>
        <w:t>315</w:t>
      </w:r>
      <w:r w:rsidRPr="00353EAC">
        <w:rPr>
          <w:rFonts w:ascii="Book Antiqua" w:hAnsi="Book Antiqua"/>
        </w:rPr>
        <w:t>: 775-787 [PMID: 26903336 DOI: 10.1001/jama.2016.0289]</w:t>
      </w:r>
    </w:p>
    <w:p w14:paraId="79121AAC"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 </w:t>
      </w:r>
      <w:r w:rsidRPr="00353EAC">
        <w:rPr>
          <w:rFonts w:ascii="Book Antiqua" w:hAnsi="Book Antiqua"/>
          <w:b/>
          <w:bCs/>
        </w:rPr>
        <w:t>Seymour CW</w:t>
      </w:r>
      <w:r w:rsidRPr="00353EAC">
        <w:rPr>
          <w:rFonts w:ascii="Book Antiqua" w:hAnsi="Book Antiqua"/>
        </w:rPr>
        <w:t xml:space="preserve">, Liu VX, Iwashyna TJ, Brunkhorst FM, Rea TD, Scherag A, Rubenfeld G, Kahn JM, Shankar-Hari M, Singer M, Deutschman CS, Escobar GJ, Angus DC. Assessment of Clinical Criteria for Sepsis: For the Third International Consensus Definitions for Sepsis and Septic Shock (Sepsis-3). </w:t>
      </w:r>
      <w:r w:rsidRPr="00353EAC">
        <w:rPr>
          <w:rFonts w:ascii="Book Antiqua" w:hAnsi="Book Antiqua"/>
          <w:i/>
          <w:iCs/>
        </w:rPr>
        <w:t>JAMA</w:t>
      </w:r>
      <w:r w:rsidRPr="00353EAC">
        <w:rPr>
          <w:rFonts w:ascii="Book Antiqua" w:hAnsi="Book Antiqua"/>
        </w:rPr>
        <w:t xml:space="preserve"> 2016; </w:t>
      </w:r>
      <w:r w:rsidRPr="00353EAC">
        <w:rPr>
          <w:rFonts w:ascii="Book Antiqua" w:hAnsi="Book Antiqua"/>
          <w:b/>
          <w:bCs/>
        </w:rPr>
        <w:t>315</w:t>
      </w:r>
      <w:r w:rsidRPr="00353EAC">
        <w:rPr>
          <w:rFonts w:ascii="Book Antiqua" w:hAnsi="Book Antiqua"/>
        </w:rPr>
        <w:t>: 762-774 [PMID: 26903335 DOI: 10.1001/jama.2016.0288]</w:t>
      </w:r>
    </w:p>
    <w:p w14:paraId="46963AB6"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 </w:t>
      </w:r>
      <w:r w:rsidRPr="00353EAC">
        <w:rPr>
          <w:rFonts w:ascii="Book Antiqua" w:hAnsi="Book Antiqua"/>
          <w:b/>
          <w:bCs/>
        </w:rPr>
        <w:t>Angus DC</w:t>
      </w:r>
      <w:r w:rsidRPr="00353EAC">
        <w:rPr>
          <w:rFonts w:ascii="Book Antiqua" w:hAnsi="Book Antiqua"/>
        </w:rPr>
        <w:t xml:space="preserve">, Linde-Zwirble WT, Lidicker J, Clermont G, Carcillo J, Pinsky MR. Epidemiology of severe sepsis in the United States: analysis of incidence, outcome, and associated costs of care. </w:t>
      </w:r>
      <w:r w:rsidRPr="00353EAC">
        <w:rPr>
          <w:rFonts w:ascii="Book Antiqua" w:hAnsi="Book Antiqua"/>
          <w:i/>
          <w:iCs/>
        </w:rPr>
        <w:t>Crit Care Med</w:t>
      </w:r>
      <w:r w:rsidRPr="00353EAC">
        <w:rPr>
          <w:rFonts w:ascii="Book Antiqua" w:hAnsi="Book Antiqua"/>
        </w:rPr>
        <w:t xml:space="preserve"> 2001; </w:t>
      </w:r>
      <w:r w:rsidRPr="00353EAC">
        <w:rPr>
          <w:rFonts w:ascii="Book Antiqua" w:hAnsi="Book Antiqua"/>
          <w:b/>
          <w:bCs/>
        </w:rPr>
        <w:t>29</w:t>
      </w:r>
      <w:r w:rsidRPr="00353EAC">
        <w:rPr>
          <w:rFonts w:ascii="Book Antiqua" w:hAnsi="Book Antiqua"/>
        </w:rPr>
        <w:t>: 1303-1310 [PMID: 11445675 DOI: 10.1097/00003246-200107000-00002]</w:t>
      </w:r>
    </w:p>
    <w:p w14:paraId="0C572645"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 </w:t>
      </w:r>
      <w:r w:rsidRPr="00353EAC">
        <w:rPr>
          <w:rFonts w:ascii="Book Antiqua" w:hAnsi="Book Antiqua"/>
          <w:b/>
          <w:bCs/>
        </w:rPr>
        <w:t>Dellinger RP</w:t>
      </w:r>
      <w:r w:rsidRPr="00353EAC">
        <w:rPr>
          <w:rFonts w:ascii="Book Antiqua" w:hAnsi="Book Antiqua"/>
        </w:rPr>
        <w:t xml:space="preserve">. Cardiovascular management of septic shock. </w:t>
      </w:r>
      <w:r w:rsidRPr="00353EAC">
        <w:rPr>
          <w:rFonts w:ascii="Book Antiqua" w:hAnsi="Book Antiqua"/>
          <w:i/>
          <w:iCs/>
        </w:rPr>
        <w:t>Crit Care Med</w:t>
      </w:r>
      <w:r w:rsidRPr="00353EAC">
        <w:rPr>
          <w:rFonts w:ascii="Book Antiqua" w:hAnsi="Book Antiqua"/>
        </w:rPr>
        <w:t xml:space="preserve"> 2003; </w:t>
      </w:r>
      <w:r w:rsidRPr="00353EAC">
        <w:rPr>
          <w:rFonts w:ascii="Book Antiqua" w:hAnsi="Book Antiqua"/>
          <w:b/>
          <w:bCs/>
        </w:rPr>
        <w:t>31</w:t>
      </w:r>
      <w:r w:rsidRPr="00353EAC">
        <w:rPr>
          <w:rFonts w:ascii="Book Antiqua" w:hAnsi="Book Antiqua"/>
        </w:rPr>
        <w:t>: 946-955 [PMID: 12627010 DOI: 10.1097/01.ccm.0000057403.73299.a6]</w:t>
      </w:r>
    </w:p>
    <w:p w14:paraId="0663E9DB"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 </w:t>
      </w:r>
      <w:r w:rsidRPr="00353EAC">
        <w:rPr>
          <w:rFonts w:ascii="Book Antiqua" w:hAnsi="Book Antiqua"/>
          <w:b/>
          <w:bCs/>
        </w:rPr>
        <w:t>Martin GS</w:t>
      </w:r>
      <w:r w:rsidRPr="00353EAC">
        <w:rPr>
          <w:rFonts w:ascii="Book Antiqua" w:hAnsi="Book Antiqua"/>
        </w:rPr>
        <w:t xml:space="preserve">, Mannino DM, Eaton S, Moss M. The epidemiology of sepsis in the United States from 1979 through 2000. </w:t>
      </w:r>
      <w:r w:rsidRPr="00353EAC">
        <w:rPr>
          <w:rFonts w:ascii="Book Antiqua" w:hAnsi="Book Antiqua"/>
          <w:i/>
          <w:iCs/>
        </w:rPr>
        <w:t>N Engl J Med</w:t>
      </w:r>
      <w:r w:rsidRPr="00353EAC">
        <w:rPr>
          <w:rFonts w:ascii="Book Antiqua" w:hAnsi="Book Antiqua"/>
        </w:rPr>
        <w:t xml:space="preserve"> 2003; </w:t>
      </w:r>
      <w:r w:rsidRPr="00353EAC">
        <w:rPr>
          <w:rFonts w:ascii="Book Antiqua" w:hAnsi="Book Antiqua"/>
          <w:b/>
          <w:bCs/>
        </w:rPr>
        <w:t>348</w:t>
      </w:r>
      <w:r w:rsidRPr="00353EAC">
        <w:rPr>
          <w:rFonts w:ascii="Book Antiqua" w:hAnsi="Book Antiqua"/>
        </w:rPr>
        <w:t>: 1546-1554 [PMID: 12700374 DOI: 10.1056/nejmoa022139]</w:t>
      </w:r>
    </w:p>
    <w:p w14:paraId="420F204B"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7 </w:t>
      </w:r>
      <w:r w:rsidRPr="00353EAC">
        <w:rPr>
          <w:rFonts w:ascii="Book Antiqua" w:hAnsi="Book Antiqua"/>
          <w:b/>
          <w:bCs/>
        </w:rPr>
        <w:t>Xu F</w:t>
      </w:r>
      <w:r w:rsidRPr="00353EAC">
        <w:rPr>
          <w:rFonts w:ascii="Book Antiqua" w:hAnsi="Book Antiqua"/>
        </w:rPr>
        <w:t xml:space="preserve">, Zhong R, Shi S, Zeng Y, Tang Z. Early initiation of norepinephrine in patients with septic shock: A propensity score-based analysis. </w:t>
      </w:r>
      <w:r w:rsidRPr="00353EAC">
        <w:rPr>
          <w:rFonts w:ascii="Book Antiqua" w:hAnsi="Book Antiqua"/>
          <w:i/>
          <w:iCs/>
        </w:rPr>
        <w:t>Am J Emerg Med</w:t>
      </w:r>
      <w:r w:rsidRPr="00353EAC">
        <w:rPr>
          <w:rFonts w:ascii="Book Antiqua" w:hAnsi="Book Antiqua"/>
        </w:rPr>
        <w:t xml:space="preserve"> 2022; </w:t>
      </w:r>
      <w:r w:rsidRPr="00353EAC">
        <w:rPr>
          <w:rFonts w:ascii="Book Antiqua" w:hAnsi="Book Antiqua"/>
          <w:b/>
          <w:bCs/>
        </w:rPr>
        <w:t>54</w:t>
      </w:r>
      <w:r w:rsidRPr="00353EAC">
        <w:rPr>
          <w:rFonts w:ascii="Book Antiqua" w:hAnsi="Book Antiqua"/>
        </w:rPr>
        <w:t>: 287-296 [PMID: 35227959 DOI: 10.1016/j.ajem.2022.01.063]</w:t>
      </w:r>
    </w:p>
    <w:p w14:paraId="5956BDC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8 </w:t>
      </w:r>
      <w:r w:rsidRPr="00353EAC">
        <w:rPr>
          <w:rFonts w:ascii="Book Antiqua" w:hAnsi="Book Antiqua"/>
          <w:b/>
          <w:bCs/>
        </w:rPr>
        <w:t>Wang H</w:t>
      </w:r>
      <w:r w:rsidRPr="00353EAC">
        <w:rPr>
          <w:rFonts w:ascii="Book Antiqua" w:hAnsi="Book Antiqua"/>
        </w:rPr>
        <w:t xml:space="preserve">, He H, Shen F. Early Vasopressor Initiation Increases Mortality in Patients With Septic Shock: Less Intensive Intervention or More Critically Ill Patients? </w:t>
      </w:r>
      <w:r w:rsidRPr="00353EAC">
        <w:rPr>
          <w:rFonts w:ascii="Book Antiqua" w:hAnsi="Book Antiqua"/>
          <w:i/>
          <w:iCs/>
        </w:rPr>
        <w:t>Crit Care Med</w:t>
      </w:r>
      <w:r w:rsidRPr="00353EAC">
        <w:rPr>
          <w:rFonts w:ascii="Book Antiqua" w:hAnsi="Book Antiqua"/>
        </w:rPr>
        <w:t xml:space="preserve"> 2022; </w:t>
      </w:r>
      <w:r w:rsidRPr="00353EAC">
        <w:rPr>
          <w:rFonts w:ascii="Book Antiqua" w:hAnsi="Book Antiqua"/>
          <w:b/>
          <w:bCs/>
        </w:rPr>
        <w:t>50</w:t>
      </w:r>
      <w:r w:rsidRPr="00353EAC">
        <w:rPr>
          <w:rFonts w:ascii="Book Antiqua" w:hAnsi="Book Antiqua"/>
        </w:rPr>
        <w:t>: e402-e403 [PMID: 35311788 DOI: 10.1097/CCM.0000000000005418]</w:t>
      </w:r>
    </w:p>
    <w:p w14:paraId="6FBA6D2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9 </w:t>
      </w:r>
      <w:r w:rsidRPr="00353EAC">
        <w:rPr>
          <w:rFonts w:ascii="Book Antiqua" w:hAnsi="Book Antiqua"/>
          <w:b/>
          <w:bCs/>
        </w:rPr>
        <w:t>Daley MJ</w:t>
      </w:r>
      <w:r w:rsidRPr="00353EAC">
        <w:rPr>
          <w:rFonts w:ascii="Book Antiqua" w:hAnsi="Book Antiqua"/>
        </w:rPr>
        <w:t xml:space="preserve">, Lat I, Mieure KD, Jennings HR, Hall JB, Kress JP. A comparison of initial monotherapy with norepinephrine versus vasopressin for resuscitation in septic shock. </w:t>
      </w:r>
      <w:r w:rsidRPr="00353EAC">
        <w:rPr>
          <w:rFonts w:ascii="Book Antiqua" w:hAnsi="Book Antiqua"/>
          <w:i/>
          <w:iCs/>
        </w:rPr>
        <w:t>Ann Pharmacother</w:t>
      </w:r>
      <w:r w:rsidRPr="00353EAC">
        <w:rPr>
          <w:rFonts w:ascii="Book Antiqua" w:hAnsi="Book Antiqua"/>
        </w:rPr>
        <w:t xml:space="preserve"> 2013; </w:t>
      </w:r>
      <w:r w:rsidRPr="00353EAC">
        <w:rPr>
          <w:rFonts w:ascii="Book Antiqua" w:hAnsi="Book Antiqua"/>
          <w:b/>
          <w:bCs/>
        </w:rPr>
        <w:t>47</w:t>
      </w:r>
      <w:r w:rsidRPr="00353EAC">
        <w:rPr>
          <w:rFonts w:ascii="Book Antiqua" w:hAnsi="Book Antiqua"/>
        </w:rPr>
        <w:t>: 301-310 [PMID: 23447481 DOI: 10.1345/aph.1R442]</w:t>
      </w:r>
    </w:p>
    <w:p w14:paraId="5DFA5B6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10 </w:t>
      </w:r>
      <w:r w:rsidRPr="00353EAC">
        <w:rPr>
          <w:rFonts w:ascii="Book Antiqua" w:hAnsi="Book Antiqua"/>
          <w:b/>
          <w:bCs/>
        </w:rPr>
        <w:t>Huang H</w:t>
      </w:r>
      <w:r w:rsidRPr="00353EAC">
        <w:rPr>
          <w:rFonts w:ascii="Book Antiqua" w:hAnsi="Book Antiqua"/>
        </w:rPr>
        <w:t xml:space="preserve">, Wu C, Shen Q, Xu H, Fang Y, Mao W. The effect of early vasopressin use on patients with septic shock: A systematic review and meta-analysis. </w:t>
      </w:r>
      <w:r w:rsidRPr="00353EAC">
        <w:rPr>
          <w:rFonts w:ascii="Book Antiqua" w:hAnsi="Book Antiqua"/>
          <w:i/>
          <w:iCs/>
        </w:rPr>
        <w:t>Am J Emerg Med</w:t>
      </w:r>
      <w:r w:rsidRPr="00353EAC">
        <w:rPr>
          <w:rFonts w:ascii="Book Antiqua" w:hAnsi="Book Antiqua"/>
        </w:rPr>
        <w:t xml:space="preserve"> 2021; </w:t>
      </w:r>
      <w:r w:rsidRPr="00353EAC">
        <w:rPr>
          <w:rFonts w:ascii="Book Antiqua" w:hAnsi="Book Antiqua"/>
          <w:b/>
          <w:bCs/>
        </w:rPr>
        <w:t>48</w:t>
      </w:r>
      <w:r w:rsidRPr="00353EAC">
        <w:rPr>
          <w:rFonts w:ascii="Book Antiqua" w:hAnsi="Book Antiqua"/>
        </w:rPr>
        <w:t>: 203-208 [PMID: 33975132 DOI: 10.1016/j.ajem.2021.05.007]</w:t>
      </w:r>
    </w:p>
    <w:p w14:paraId="6891E139"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11 </w:t>
      </w:r>
      <w:r w:rsidRPr="00353EAC">
        <w:rPr>
          <w:rFonts w:ascii="Book Antiqua" w:hAnsi="Book Antiqua"/>
          <w:b/>
          <w:bCs/>
        </w:rPr>
        <w:t>Hammond DA</w:t>
      </w:r>
      <w:r w:rsidRPr="00353EAC">
        <w:rPr>
          <w:rFonts w:ascii="Book Antiqua" w:hAnsi="Book Antiqua"/>
        </w:rPr>
        <w:t xml:space="preserve">, Ficek OA, Painter JT, McCain K, Cullen J, Brotherton AL, Kakkera K, Chopra D, Meena N. Prospective Open-label Trial of Early Concomitant Vasopressin and Norepinephrine Therapy versus Initial Norepinephrine Monotherapy in Septic Shock. </w:t>
      </w:r>
      <w:r w:rsidRPr="00353EAC">
        <w:rPr>
          <w:rFonts w:ascii="Book Antiqua" w:hAnsi="Book Antiqua"/>
          <w:i/>
          <w:iCs/>
        </w:rPr>
        <w:t>Pharmacotherapy</w:t>
      </w:r>
      <w:r w:rsidRPr="00353EAC">
        <w:rPr>
          <w:rFonts w:ascii="Book Antiqua" w:hAnsi="Book Antiqua"/>
        </w:rPr>
        <w:t xml:space="preserve"> 2018; </w:t>
      </w:r>
      <w:r w:rsidRPr="00353EAC">
        <w:rPr>
          <w:rFonts w:ascii="Book Antiqua" w:hAnsi="Book Antiqua"/>
          <w:b/>
          <w:bCs/>
        </w:rPr>
        <w:t>38</w:t>
      </w:r>
      <w:r w:rsidRPr="00353EAC">
        <w:rPr>
          <w:rFonts w:ascii="Book Antiqua" w:hAnsi="Book Antiqua"/>
        </w:rPr>
        <w:t>: 531-538 [PMID: 29600824 DOI: 10.1002/phar.2105]</w:t>
      </w:r>
    </w:p>
    <w:p w14:paraId="3F7A413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12 </w:t>
      </w:r>
      <w:r w:rsidRPr="00353EAC">
        <w:rPr>
          <w:rFonts w:ascii="Book Antiqua" w:hAnsi="Book Antiqua"/>
          <w:b/>
          <w:bCs/>
        </w:rPr>
        <w:t>Antonucci E</w:t>
      </w:r>
      <w:r w:rsidRPr="00353EAC">
        <w:rPr>
          <w:rFonts w:ascii="Book Antiqua" w:hAnsi="Book Antiqua"/>
        </w:rPr>
        <w:t xml:space="preserve">, Gleeson PJ, Annoni F, Agosta S, Orlando S, Taccone FS, Velissaris D, Scolletta S. Angiotensin II in Refractory Septic Shock. </w:t>
      </w:r>
      <w:r w:rsidRPr="00353EAC">
        <w:rPr>
          <w:rFonts w:ascii="Book Antiqua" w:hAnsi="Book Antiqua"/>
          <w:i/>
          <w:iCs/>
        </w:rPr>
        <w:t>Shock</w:t>
      </w:r>
      <w:r w:rsidRPr="00353EAC">
        <w:rPr>
          <w:rFonts w:ascii="Book Antiqua" w:hAnsi="Book Antiqua"/>
        </w:rPr>
        <w:t xml:space="preserve"> 2017; </w:t>
      </w:r>
      <w:r w:rsidRPr="00353EAC">
        <w:rPr>
          <w:rFonts w:ascii="Book Antiqua" w:hAnsi="Book Antiqua"/>
          <w:b/>
          <w:bCs/>
        </w:rPr>
        <w:t>47</w:t>
      </w:r>
      <w:r w:rsidRPr="00353EAC">
        <w:rPr>
          <w:rFonts w:ascii="Book Antiqua" w:hAnsi="Book Antiqua"/>
        </w:rPr>
        <w:t>: 560-566 [PMID: 27879559 DOI: 10.1097/SHK.0000000000000807]</w:t>
      </w:r>
    </w:p>
    <w:p w14:paraId="5025B2D3"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13 </w:t>
      </w:r>
      <w:r w:rsidRPr="00353EAC">
        <w:rPr>
          <w:rFonts w:ascii="Book Antiqua" w:hAnsi="Book Antiqua"/>
          <w:b/>
          <w:bCs/>
        </w:rPr>
        <w:t>Hammond DA</w:t>
      </w:r>
      <w:r w:rsidRPr="00353EAC">
        <w:rPr>
          <w:rFonts w:ascii="Book Antiqua" w:hAnsi="Book Antiqua"/>
        </w:rPr>
        <w:t xml:space="preserve">, Cullen J, Painter JT, McCain K, Clem OA, Brotherton AL, Chopra D, Meena N. Efficacy and Safety of the Early Addition of Vasopressin to Norepinephrine in Septic Shock. </w:t>
      </w:r>
      <w:r w:rsidRPr="00353EAC">
        <w:rPr>
          <w:rFonts w:ascii="Book Antiqua" w:hAnsi="Book Antiqua"/>
          <w:i/>
          <w:iCs/>
        </w:rPr>
        <w:t>J Intensive Care Med</w:t>
      </w:r>
      <w:r w:rsidRPr="00353EAC">
        <w:rPr>
          <w:rFonts w:ascii="Book Antiqua" w:hAnsi="Book Antiqua"/>
        </w:rPr>
        <w:t xml:space="preserve"> 2019; </w:t>
      </w:r>
      <w:r w:rsidRPr="00353EAC">
        <w:rPr>
          <w:rFonts w:ascii="Book Antiqua" w:hAnsi="Book Antiqua"/>
          <w:b/>
          <w:bCs/>
        </w:rPr>
        <w:t>34</w:t>
      </w:r>
      <w:r w:rsidRPr="00353EAC">
        <w:rPr>
          <w:rFonts w:ascii="Book Antiqua" w:hAnsi="Book Antiqua"/>
        </w:rPr>
        <w:t>: 910-916 [PMID: 28820036 DOI: 10.1177/0885066617725255]</w:t>
      </w:r>
    </w:p>
    <w:p w14:paraId="514A378C"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14 </w:t>
      </w:r>
      <w:r w:rsidRPr="00353EAC">
        <w:rPr>
          <w:rFonts w:ascii="Book Antiqua" w:hAnsi="Book Antiqua"/>
          <w:b/>
          <w:bCs/>
        </w:rPr>
        <w:t>Ammar MA</w:t>
      </w:r>
      <w:r w:rsidRPr="00353EAC">
        <w:rPr>
          <w:rFonts w:ascii="Book Antiqua" w:hAnsi="Book Antiqua"/>
        </w:rPr>
        <w:t xml:space="preserve">, Ammar AA, Wieruszewski PM, Bissell BD, T Long M, Albert L, Khanna AK, Sacha GL. Timing of vasoactive agents and corticosteroid initiation in septic shock. </w:t>
      </w:r>
      <w:r w:rsidRPr="00353EAC">
        <w:rPr>
          <w:rFonts w:ascii="Book Antiqua" w:hAnsi="Book Antiqua"/>
          <w:i/>
          <w:iCs/>
        </w:rPr>
        <w:t>Ann Intensive Care</w:t>
      </w:r>
      <w:r w:rsidRPr="00353EAC">
        <w:rPr>
          <w:rFonts w:ascii="Book Antiqua" w:hAnsi="Book Antiqua"/>
        </w:rPr>
        <w:t xml:space="preserve"> 2022; </w:t>
      </w:r>
      <w:r w:rsidRPr="00353EAC">
        <w:rPr>
          <w:rFonts w:ascii="Book Antiqua" w:hAnsi="Book Antiqua"/>
          <w:b/>
          <w:bCs/>
        </w:rPr>
        <w:t>12</w:t>
      </w:r>
      <w:r w:rsidRPr="00353EAC">
        <w:rPr>
          <w:rFonts w:ascii="Book Antiqua" w:hAnsi="Book Antiqua"/>
        </w:rPr>
        <w:t>: 47 [PMID: 35644899 DOI: 10.1186/s13613-022-01021-9]</w:t>
      </w:r>
    </w:p>
    <w:p w14:paraId="2741C91B"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15 </w:t>
      </w:r>
      <w:r w:rsidRPr="00353EAC">
        <w:rPr>
          <w:rFonts w:ascii="Book Antiqua" w:hAnsi="Book Antiqua"/>
          <w:b/>
          <w:bCs/>
        </w:rPr>
        <w:t>Varpula M</w:t>
      </w:r>
      <w:r w:rsidRPr="00353EAC">
        <w:rPr>
          <w:rFonts w:ascii="Book Antiqua" w:hAnsi="Book Antiqua"/>
        </w:rPr>
        <w:t xml:space="preserve">, Tallgren M, Saukkonen K, Voipio-Pulkki LM, Pettilä V. Hemodynamic variables related to outcome in septic shock. </w:t>
      </w:r>
      <w:r w:rsidRPr="00353EAC">
        <w:rPr>
          <w:rFonts w:ascii="Book Antiqua" w:hAnsi="Book Antiqua"/>
          <w:i/>
          <w:iCs/>
        </w:rPr>
        <w:t>Intensive Care Med</w:t>
      </w:r>
      <w:r w:rsidRPr="00353EAC">
        <w:rPr>
          <w:rFonts w:ascii="Book Antiqua" w:hAnsi="Book Antiqua"/>
        </w:rPr>
        <w:t xml:space="preserve"> 2005; </w:t>
      </w:r>
      <w:r w:rsidRPr="00353EAC">
        <w:rPr>
          <w:rFonts w:ascii="Book Antiqua" w:hAnsi="Book Antiqua"/>
          <w:b/>
          <w:bCs/>
        </w:rPr>
        <w:t>31</w:t>
      </w:r>
      <w:r w:rsidRPr="00353EAC">
        <w:rPr>
          <w:rFonts w:ascii="Book Antiqua" w:hAnsi="Book Antiqua"/>
        </w:rPr>
        <w:t>: 1066-1071 [PMID: 15973520 DOI: 10.1007/s00134-005-2688-z]</w:t>
      </w:r>
    </w:p>
    <w:p w14:paraId="21CCE315"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16 </w:t>
      </w:r>
      <w:r w:rsidRPr="00353EAC">
        <w:rPr>
          <w:rFonts w:ascii="Book Antiqua" w:hAnsi="Book Antiqua"/>
          <w:b/>
          <w:bCs/>
        </w:rPr>
        <w:t>Dünser MW</w:t>
      </w:r>
      <w:r w:rsidRPr="00353EAC">
        <w:rPr>
          <w:rFonts w:ascii="Book Antiqua" w:hAnsi="Book Antiqua"/>
        </w:rPr>
        <w:t xml:space="preserve">, Takala J, Ulmer H, Mayr VD, Luckner G, Jochberger S, Daudel F, Lepper P, Hasibeder WR, Jakob SM. Arterial blood pressure during early sepsis and outcome. </w:t>
      </w:r>
      <w:r w:rsidRPr="00353EAC">
        <w:rPr>
          <w:rFonts w:ascii="Book Antiqua" w:hAnsi="Book Antiqua"/>
          <w:i/>
          <w:iCs/>
        </w:rPr>
        <w:t>Intensive Care Med</w:t>
      </w:r>
      <w:r w:rsidRPr="00353EAC">
        <w:rPr>
          <w:rFonts w:ascii="Book Antiqua" w:hAnsi="Book Antiqua"/>
        </w:rPr>
        <w:t xml:space="preserve"> 2009; </w:t>
      </w:r>
      <w:r w:rsidRPr="00353EAC">
        <w:rPr>
          <w:rFonts w:ascii="Book Antiqua" w:hAnsi="Book Antiqua"/>
          <w:b/>
          <w:bCs/>
        </w:rPr>
        <w:t>35</w:t>
      </w:r>
      <w:r w:rsidRPr="00353EAC">
        <w:rPr>
          <w:rFonts w:ascii="Book Antiqua" w:hAnsi="Book Antiqua"/>
        </w:rPr>
        <w:t>: 1225-1233 [PMID: 19189077 DOI: 10.1007/s00134-009-1427-2]</w:t>
      </w:r>
    </w:p>
    <w:p w14:paraId="4C30610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17 </w:t>
      </w:r>
      <w:r w:rsidRPr="00353EAC">
        <w:rPr>
          <w:rFonts w:ascii="Book Antiqua" w:hAnsi="Book Antiqua"/>
          <w:b/>
          <w:bCs/>
        </w:rPr>
        <w:t>Maheshwari K</w:t>
      </w:r>
      <w:r w:rsidRPr="00353EAC">
        <w:rPr>
          <w:rFonts w:ascii="Book Antiqua" w:hAnsi="Book Antiqua"/>
        </w:rPr>
        <w:t xml:space="preserve">, Nathanson BH, Munson SH, Khangulov V, Stevens M, Badani H, Khanna AK, Sessler DI. The relationship between ICU hypotension and in-hospital mortality and morbidity in septic patients. </w:t>
      </w:r>
      <w:r w:rsidRPr="00353EAC">
        <w:rPr>
          <w:rFonts w:ascii="Book Antiqua" w:hAnsi="Book Antiqua"/>
          <w:i/>
          <w:iCs/>
        </w:rPr>
        <w:t>Intensive Care Med</w:t>
      </w:r>
      <w:r w:rsidRPr="00353EAC">
        <w:rPr>
          <w:rFonts w:ascii="Book Antiqua" w:hAnsi="Book Antiqua"/>
        </w:rPr>
        <w:t xml:space="preserve"> 2018; </w:t>
      </w:r>
      <w:r w:rsidRPr="00353EAC">
        <w:rPr>
          <w:rFonts w:ascii="Book Antiqua" w:hAnsi="Book Antiqua"/>
          <w:b/>
          <w:bCs/>
        </w:rPr>
        <w:t>44</w:t>
      </w:r>
      <w:r w:rsidRPr="00353EAC">
        <w:rPr>
          <w:rFonts w:ascii="Book Antiqua" w:hAnsi="Book Antiqua"/>
        </w:rPr>
        <w:t>: 857-867 [PMID: 29872882 DOI: 10.1007/s00134-018-5218-5]</w:t>
      </w:r>
    </w:p>
    <w:p w14:paraId="77079040"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18 </w:t>
      </w:r>
      <w:r w:rsidRPr="00353EAC">
        <w:rPr>
          <w:rFonts w:ascii="Book Antiqua" w:hAnsi="Book Antiqua"/>
          <w:b/>
          <w:bCs/>
        </w:rPr>
        <w:t>Cinel I</w:t>
      </w:r>
      <w:r w:rsidRPr="00353EAC">
        <w:rPr>
          <w:rFonts w:ascii="Book Antiqua" w:hAnsi="Book Antiqua"/>
        </w:rPr>
        <w:t xml:space="preserve">, Kasapoglu US, Gul F, Dellinger RP. The initial resuscitation of septic shock. </w:t>
      </w:r>
      <w:r w:rsidRPr="00353EAC">
        <w:rPr>
          <w:rFonts w:ascii="Book Antiqua" w:hAnsi="Book Antiqua"/>
          <w:i/>
          <w:iCs/>
        </w:rPr>
        <w:t>J Crit Care</w:t>
      </w:r>
      <w:r w:rsidRPr="00353EAC">
        <w:rPr>
          <w:rFonts w:ascii="Book Antiqua" w:hAnsi="Book Antiqua"/>
        </w:rPr>
        <w:t xml:space="preserve"> 2020; </w:t>
      </w:r>
      <w:r w:rsidRPr="00353EAC">
        <w:rPr>
          <w:rFonts w:ascii="Book Antiqua" w:hAnsi="Book Antiqua"/>
          <w:b/>
          <w:bCs/>
        </w:rPr>
        <w:t>57</w:t>
      </w:r>
      <w:r w:rsidRPr="00353EAC">
        <w:rPr>
          <w:rFonts w:ascii="Book Antiqua" w:hAnsi="Book Antiqua"/>
        </w:rPr>
        <w:t>: 108-117 [PMID: 32135409 DOI: 10.1016/j.jcrc.2020.02.004]</w:t>
      </w:r>
    </w:p>
    <w:p w14:paraId="7835DC5C"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19 </w:t>
      </w:r>
      <w:r w:rsidRPr="00353EAC">
        <w:rPr>
          <w:rFonts w:ascii="Book Antiqua" w:hAnsi="Book Antiqua"/>
          <w:b/>
          <w:bCs/>
        </w:rPr>
        <w:t>Rachoin JS</w:t>
      </w:r>
      <w:r w:rsidRPr="00353EAC">
        <w:rPr>
          <w:rFonts w:ascii="Book Antiqua" w:hAnsi="Book Antiqua"/>
        </w:rPr>
        <w:t xml:space="preserve">, Dellinger RP. Timing of norepinephrine in septic patients: NOT too little too late. </w:t>
      </w:r>
      <w:r w:rsidRPr="00353EAC">
        <w:rPr>
          <w:rFonts w:ascii="Book Antiqua" w:hAnsi="Book Antiqua"/>
          <w:i/>
          <w:iCs/>
        </w:rPr>
        <w:t>Crit Care</w:t>
      </w:r>
      <w:r w:rsidRPr="00353EAC">
        <w:rPr>
          <w:rFonts w:ascii="Book Antiqua" w:hAnsi="Book Antiqua"/>
        </w:rPr>
        <w:t xml:space="preserve"> 2014; </w:t>
      </w:r>
      <w:r w:rsidRPr="00353EAC">
        <w:rPr>
          <w:rFonts w:ascii="Book Antiqua" w:hAnsi="Book Antiqua"/>
          <w:b/>
          <w:bCs/>
        </w:rPr>
        <w:t>18</w:t>
      </w:r>
      <w:r w:rsidRPr="00353EAC">
        <w:rPr>
          <w:rFonts w:ascii="Book Antiqua" w:hAnsi="Book Antiqua"/>
        </w:rPr>
        <w:t>: 691 [PMID: 25672524 DOI: 10.1186/s13054-014-0691-x]</w:t>
      </w:r>
    </w:p>
    <w:p w14:paraId="4553B207"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20 </w:t>
      </w:r>
      <w:r w:rsidRPr="00353EAC">
        <w:rPr>
          <w:rFonts w:ascii="Book Antiqua" w:hAnsi="Book Antiqua"/>
          <w:b/>
          <w:bCs/>
        </w:rPr>
        <w:t>Thooft A</w:t>
      </w:r>
      <w:r w:rsidRPr="00353EAC">
        <w:rPr>
          <w:rFonts w:ascii="Book Antiqua" w:hAnsi="Book Antiqua"/>
        </w:rPr>
        <w:t xml:space="preserve">, Favory R, Salgado DR, Taccone FS, Donadello K, De Backer D, Creteur J, Vincent JL. Effects of changes in arterial pressure on organ perfusion during septic shock. </w:t>
      </w:r>
      <w:r w:rsidRPr="00353EAC">
        <w:rPr>
          <w:rFonts w:ascii="Book Antiqua" w:hAnsi="Book Antiqua"/>
          <w:i/>
          <w:iCs/>
        </w:rPr>
        <w:t>Crit Care</w:t>
      </w:r>
      <w:r w:rsidRPr="00353EAC">
        <w:rPr>
          <w:rFonts w:ascii="Book Antiqua" w:hAnsi="Book Antiqua"/>
        </w:rPr>
        <w:t xml:space="preserve"> 2011; </w:t>
      </w:r>
      <w:r w:rsidRPr="00353EAC">
        <w:rPr>
          <w:rFonts w:ascii="Book Antiqua" w:hAnsi="Book Antiqua"/>
          <w:b/>
          <w:bCs/>
        </w:rPr>
        <w:t>15</w:t>
      </w:r>
      <w:r w:rsidRPr="00353EAC">
        <w:rPr>
          <w:rFonts w:ascii="Book Antiqua" w:hAnsi="Book Antiqua"/>
        </w:rPr>
        <w:t>: R222 [PMID: 21936903 DOI: 10.1186/cc10462]</w:t>
      </w:r>
    </w:p>
    <w:p w14:paraId="36E19315"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21 </w:t>
      </w:r>
      <w:r w:rsidRPr="00353EAC">
        <w:rPr>
          <w:rFonts w:ascii="Book Antiqua" w:hAnsi="Book Antiqua"/>
          <w:b/>
          <w:bCs/>
        </w:rPr>
        <w:t>Jhanji S</w:t>
      </w:r>
      <w:r w:rsidRPr="00353EAC">
        <w:rPr>
          <w:rFonts w:ascii="Book Antiqua" w:hAnsi="Book Antiqua"/>
        </w:rPr>
        <w:t xml:space="preserve">, Stirling S, Patel N, Hinds CJ, Pearse RM. The effect of increasing doses of norepinephrine on tissue oxygenation and microvascular flow in patients with septic shock. </w:t>
      </w:r>
      <w:r w:rsidRPr="00353EAC">
        <w:rPr>
          <w:rFonts w:ascii="Book Antiqua" w:hAnsi="Book Antiqua"/>
          <w:i/>
          <w:iCs/>
        </w:rPr>
        <w:t>Crit Care Med</w:t>
      </w:r>
      <w:r w:rsidRPr="00353EAC">
        <w:rPr>
          <w:rFonts w:ascii="Book Antiqua" w:hAnsi="Book Antiqua"/>
        </w:rPr>
        <w:t xml:space="preserve"> 2009; </w:t>
      </w:r>
      <w:r w:rsidRPr="00353EAC">
        <w:rPr>
          <w:rFonts w:ascii="Book Antiqua" w:hAnsi="Book Antiqua"/>
          <w:b/>
          <w:bCs/>
        </w:rPr>
        <w:t>37</w:t>
      </w:r>
      <w:r w:rsidRPr="00353EAC">
        <w:rPr>
          <w:rFonts w:ascii="Book Antiqua" w:hAnsi="Book Antiqua"/>
        </w:rPr>
        <w:t>: 1961-1966 [PMID: 19384212 DOI: 10.1097/CCM.0b013e3181a00a1c]</w:t>
      </w:r>
    </w:p>
    <w:p w14:paraId="06D44C9F"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22 </w:t>
      </w:r>
      <w:r w:rsidRPr="00353EAC">
        <w:rPr>
          <w:rFonts w:ascii="Book Antiqua" w:hAnsi="Book Antiqua"/>
          <w:b/>
          <w:bCs/>
        </w:rPr>
        <w:t>Georger JF</w:t>
      </w:r>
      <w:r w:rsidRPr="00353EAC">
        <w:rPr>
          <w:rFonts w:ascii="Book Antiqua" w:hAnsi="Book Antiqua"/>
        </w:rPr>
        <w:t xml:space="preserve">, Hamzaoui O, Chaari A, Maizel J, Richard C, Teboul JL. Restoring arterial pressure with norepinephrine improves muscle tissue oxygenation assessed by near-infrared spectroscopy in severely hypotensive septic patients. </w:t>
      </w:r>
      <w:r w:rsidRPr="00353EAC">
        <w:rPr>
          <w:rFonts w:ascii="Book Antiqua" w:hAnsi="Book Antiqua"/>
          <w:i/>
          <w:iCs/>
        </w:rPr>
        <w:t>Intensive Care Med</w:t>
      </w:r>
      <w:r w:rsidRPr="00353EAC">
        <w:rPr>
          <w:rFonts w:ascii="Book Antiqua" w:hAnsi="Book Antiqua"/>
        </w:rPr>
        <w:t xml:space="preserve"> 2010; </w:t>
      </w:r>
      <w:r w:rsidRPr="00353EAC">
        <w:rPr>
          <w:rFonts w:ascii="Book Antiqua" w:hAnsi="Book Antiqua"/>
          <w:b/>
          <w:bCs/>
        </w:rPr>
        <w:t>36</w:t>
      </w:r>
      <w:r w:rsidRPr="00353EAC">
        <w:rPr>
          <w:rFonts w:ascii="Book Antiqua" w:hAnsi="Book Antiqua"/>
        </w:rPr>
        <w:t>: 1882-1889 [PMID: 20689910 DOI: 10.1007/s00134-010-2013-3]</w:t>
      </w:r>
    </w:p>
    <w:p w14:paraId="198C27E3"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23 </w:t>
      </w:r>
      <w:r w:rsidRPr="00353EAC">
        <w:rPr>
          <w:rFonts w:ascii="Book Antiqua" w:hAnsi="Book Antiqua"/>
          <w:b/>
          <w:bCs/>
        </w:rPr>
        <w:t>Hamzaoui O</w:t>
      </w:r>
      <w:r w:rsidRPr="00353EAC">
        <w:rPr>
          <w:rFonts w:ascii="Book Antiqua" w:hAnsi="Book Antiqua"/>
        </w:rPr>
        <w:t xml:space="preserve">, Scheeren TWL, Teboul JL. Norepinephrine in septic shock: when and how much? </w:t>
      </w:r>
      <w:r w:rsidRPr="00353EAC">
        <w:rPr>
          <w:rFonts w:ascii="Book Antiqua" w:hAnsi="Book Antiqua"/>
          <w:i/>
          <w:iCs/>
        </w:rPr>
        <w:t>Curr Opin Crit Care</w:t>
      </w:r>
      <w:r w:rsidRPr="00353EAC">
        <w:rPr>
          <w:rFonts w:ascii="Book Antiqua" w:hAnsi="Book Antiqua"/>
        </w:rPr>
        <w:t xml:space="preserve"> 2017; </w:t>
      </w:r>
      <w:r w:rsidRPr="00353EAC">
        <w:rPr>
          <w:rFonts w:ascii="Book Antiqua" w:hAnsi="Book Antiqua"/>
          <w:b/>
          <w:bCs/>
        </w:rPr>
        <w:t>23</w:t>
      </w:r>
      <w:r w:rsidRPr="00353EAC">
        <w:rPr>
          <w:rFonts w:ascii="Book Antiqua" w:hAnsi="Book Antiqua"/>
        </w:rPr>
        <w:t>: 342-347 [PMID: 28509668 DOI: 10.1097/MCC.0000000000000418]</w:t>
      </w:r>
    </w:p>
    <w:p w14:paraId="30E2E4D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24 </w:t>
      </w:r>
      <w:r w:rsidRPr="00353EAC">
        <w:rPr>
          <w:rFonts w:ascii="Book Antiqua" w:hAnsi="Book Antiqua"/>
          <w:b/>
          <w:bCs/>
        </w:rPr>
        <w:t>Russell JA</w:t>
      </w:r>
      <w:r w:rsidRPr="00353EAC">
        <w:rPr>
          <w:rFonts w:ascii="Book Antiqua" w:hAnsi="Book Antiqua"/>
        </w:rPr>
        <w:t xml:space="preserve">. Vasopressor therapy in critically ill patients with shock. </w:t>
      </w:r>
      <w:r w:rsidRPr="00353EAC">
        <w:rPr>
          <w:rFonts w:ascii="Book Antiqua" w:hAnsi="Book Antiqua"/>
          <w:i/>
          <w:iCs/>
        </w:rPr>
        <w:t>Intensive Care Med</w:t>
      </w:r>
      <w:r w:rsidRPr="00353EAC">
        <w:rPr>
          <w:rFonts w:ascii="Book Antiqua" w:hAnsi="Book Antiqua"/>
        </w:rPr>
        <w:t xml:space="preserve"> 2019; </w:t>
      </w:r>
      <w:r w:rsidRPr="00353EAC">
        <w:rPr>
          <w:rFonts w:ascii="Book Antiqua" w:hAnsi="Book Antiqua"/>
          <w:b/>
          <w:bCs/>
        </w:rPr>
        <w:t>45</w:t>
      </w:r>
      <w:r w:rsidRPr="00353EAC">
        <w:rPr>
          <w:rFonts w:ascii="Book Antiqua" w:hAnsi="Book Antiqua"/>
        </w:rPr>
        <w:t>: 1503-1517 [PMID: 31646370 DOI: 10.1007/s00134-019-05801-z]</w:t>
      </w:r>
    </w:p>
    <w:p w14:paraId="0B70E5F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25 </w:t>
      </w:r>
      <w:r w:rsidRPr="00353EAC">
        <w:rPr>
          <w:rFonts w:ascii="Book Antiqua" w:hAnsi="Book Antiqua"/>
          <w:b/>
          <w:bCs/>
        </w:rPr>
        <w:t>Ospina-Tascón GA</w:t>
      </w:r>
      <w:r w:rsidRPr="00353EAC">
        <w:rPr>
          <w:rFonts w:ascii="Book Antiqua" w:hAnsi="Book Antiqua"/>
        </w:rPr>
        <w:t xml:space="preserve">, Hernandez G, Bakker J. Should we start vasopressors very early in septic shock? </w:t>
      </w:r>
      <w:r w:rsidRPr="00353EAC">
        <w:rPr>
          <w:rFonts w:ascii="Book Antiqua" w:hAnsi="Book Antiqua"/>
          <w:i/>
          <w:iCs/>
        </w:rPr>
        <w:t>J Thorac Dis</w:t>
      </w:r>
      <w:r w:rsidRPr="00353EAC">
        <w:rPr>
          <w:rFonts w:ascii="Book Antiqua" w:hAnsi="Book Antiqua"/>
        </w:rPr>
        <w:t xml:space="preserve"> 2020; </w:t>
      </w:r>
      <w:r w:rsidRPr="00353EAC">
        <w:rPr>
          <w:rFonts w:ascii="Book Antiqua" w:hAnsi="Book Antiqua"/>
          <w:b/>
          <w:bCs/>
        </w:rPr>
        <w:t>12</w:t>
      </w:r>
      <w:r w:rsidRPr="00353EAC">
        <w:rPr>
          <w:rFonts w:ascii="Book Antiqua" w:hAnsi="Book Antiqua"/>
        </w:rPr>
        <w:t>: 3893-3896 [PMID: 32802473 DOI: 10.21037/jtd.2020.02.21]</w:t>
      </w:r>
    </w:p>
    <w:p w14:paraId="0534005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26 </w:t>
      </w:r>
      <w:r w:rsidRPr="00353EAC">
        <w:rPr>
          <w:rFonts w:ascii="Book Antiqua" w:hAnsi="Book Antiqua"/>
          <w:b/>
          <w:bCs/>
        </w:rPr>
        <w:t>Hamzaoui O</w:t>
      </w:r>
      <w:r w:rsidRPr="00353EAC">
        <w:rPr>
          <w:rFonts w:ascii="Book Antiqua" w:hAnsi="Book Antiqua"/>
        </w:rPr>
        <w:t xml:space="preserve">, Teboul JL. Importance of diastolic arterial pressure in septic shock: PRO. </w:t>
      </w:r>
      <w:r w:rsidRPr="00353EAC">
        <w:rPr>
          <w:rFonts w:ascii="Book Antiqua" w:hAnsi="Book Antiqua"/>
          <w:i/>
          <w:iCs/>
        </w:rPr>
        <w:t>J Crit Care</w:t>
      </w:r>
      <w:r w:rsidRPr="00353EAC">
        <w:rPr>
          <w:rFonts w:ascii="Book Antiqua" w:hAnsi="Book Antiqua"/>
        </w:rPr>
        <w:t xml:space="preserve"> 2019; </w:t>
      </w:r>
      <w:r w:rsidRPr="00353EAC">
        <w:rPr>
          <w:rFonts w:ascii="Book Antiqua" w:hAnsi="Book Antiqua"/>
          <w:b/>
          <w:bCs/>
        </w:rPr>
        <w:t>51</w:t>
      </w:r>
      <w:r w:rsidRPr="00353EAC">
        <w:rPr>
          <w:rFonts w:ascii="Book Antiqua" w:hAnsi="Book Antiqua"/>
        </w:rPr>
        <w:t>: 238-240 [PMID: 30447892 DOI: 10.1016/j.jcrc.2018.10.032]</w:t>
      </w:r>
    </w:p>
    <w:p w14:paraId="36FEC76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27 </w:t>
      </w:r>
      <w:r w:rsidRPr="00353EAC">
        <w:rPr>
          <w:rFonts w:ascii="Book Antiqua" w:hAnsi="Book Antiqua"/>
          <w:b/>
          <w:bCs/>
        </w:rPr>
        <w:t>Legrand M</w:t>
      </w:r>
      <w:r w:rsidRPr="00353EAC">
        <w:rPr>
          <w:rFonts w:ascii="Book Antiqua" w:hAnsi="Book Antiqua"/>
        </w:rPr>
        <w:t xml:space="preserve">, Zarbock A. Ten tips to optimize vasopressors use in the critically ill patient with hypotension. </w:t>
      </w:r>
      <w:r w:rsidRPr="00353EAC">
        <w:rPr>
          <w:rFonts w:ascii="Book Antiqua" w:hAnsi="Book Antiqua"/>
          <w:i/>
          <w:iCs/>
        </w:rPr>
        <w:t>Intensive Care Med</w:t>
      </w:r>
      <w:r w:rsidRPr="00353EAC">
        <w:rPr>
          <w:rFonts w:ascii="Book Antiqua" w:hAnsi="Book Antiqua"/>
        </w:rPr>
        <w:t xml:space="preserve"> 2022; </w:t>
      </w:r>
      <w:r w:rsidRPr="00353EAC">
        <w:rPr>
          <w:rFonts w:ascii="Book Antiqua" w:hAnsi="Book Antiqua"/>
          <w:b/>
          <w:bCs/>
        </w:rPr>
        <w:t>48</w:t>
      </w:r>
      <w:r w:rsidRPr="00353EAC">
        <w:rPr>
          <w:rFonts w:ascii="Book Antiqua" w:hAnsi="Book Antiqua"/>
        </w:rPr>
        <w:t>: 736-739 [PMID: 35504977 DOI: 10.1007/s00134-022-06708-y]</w:t>
      </w:r>
    </w:p>
    <w:p w14:paraId="673394AD"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28 </w:t>
      </w:r>
      <w:r w:rsidRPr="00353EAC">
        <w:rPr>
          <w:rFonts w:ascii="Book Antiqua" w:hAnsi="Book Antiqua"/>
          <w:b/>
          <w:bCs/>
        </w:rPr>
        <w:t>Ducrocq N</w:t>
      </w:r>
      <w:r w:rsidRPr="00353EAC">
        <w:rPr>
          <w:rFonts w:ascii="Book Antiqua" w:hAnsi="Book Antiqua"/>
        </w:rPr>
        <w:t xml:space="preserve">, Kimmoun A, Furmaniuk A, Hekalo Z, Maskali F, Poussier S, Marie PY, Levy B. Comparison of equipressor doses of norepinephrine, epinephrine, and phenylephrine on septic myocardial dysfunction. </w:t>
      </w:r>
      <w:r w:rsidRPr="00353EAC">
        <w:rPr>
          <w:rFonts w:ascii="Book Antiqua" w:hAnsi="Book Antiqua"/>
          <w:i/>
          <w:iCs/>
        </w:rPr>
        <w:t>Anesthesiology</w:t>
      </w:r>
      <w:r w:rsidRPr="00353EAC">
        <w:rPr>
          <w:rFonts w:ascii="Book Antiqua" w:hAnsi="Book Antiqua"/>
        </w:rPr>
        <w:t xml:space="preserve"> 2012; </w:t>
      </w:r>
      <w:r w:rsidRPr="00353EAC">
        <w:rPr>
          <w:rFonts w:ascii="Book Antiqua" w:hAnsi="Book Antiqua"/>
          <w:b/>
          <w:bCs/>
        </w:rPr>
        <w:t>116</w:t>
      </w:r>
      <w:r w:rsidRPr="00353EAC">
        <w:rPr>
          <w:rFonts w:ascii="Book Antiqua" w:hAnsi="Book Antiqua"/>
        </w:rPr>
        <w:t>: 1083-1091 [PMID: 22407285 DOI: 10.1097/ALN.0b013e31824f9669]</w:t>
      </w:r>
    </w:p>
    <w:p w14:paraId="40DB92C7"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29 </w:t>
      </w:r>
      <w:r w:rsidRPr="00353EAC">
        <w:rPr>
          <w:rFonts w:ascii="Book Antiqua" w:hAnsi="Book Antiqua"/>
          <w:b/>
          <w:bCs/>
        </w:rPr>
        <w:t>Hamzaoui O</w:t>
      </w:r>
      <w:r w:rsidRPr="00353EAC">
        <w:rPr>
          <w:rFonts w:ascii="Book Antiqua" w:hAnsi="Book Antiqua"/>
        </w:rPr>
        <w:t xml:space="preserve">, Georger JF, Monnet X, Ksouri H, Maizel J, Richard C, Teboul JL. Early administration of norepinephrine increases cardiac preload and cardiac output in septic patients with life-threatening hypotension. </w:t>
      </w:r>
      <w:r w:rsidRPr="00353EAC">
        <w:rPr>
          <w:rFonts w:ascii="Book Antiqua" w:hAnsi="Book Antiqua"/>
          <w:i/>
          <w:iCs/>
        </w:rPr>
        <w:t>Crit Care</w:t>
      </w:r>
      <w:r w:rsidRPr="00353EAC">
        <w:rPr>
          <w:rFonts w:ascii="Book Antiqua" w:hAnsi="Book Antiqua"/>
        </w:rPr>
        <w:t xml:space="preserve"> 2010; </w:t>
      </w:r>
      <w:r w:rsidRPr="00353EAC">
        <w:rPr>
          <w:rFonts w:ascii="Book Antiqua" w:hAnsi="Book Antiqua"/>
          <w:b/>
          <w:bCs/>
        </w:rPr>
        <w:t>14</w:t>
      </w:r>
      <w:r w:rsidRPr="00353EAC">
        <w:rPr>
          <w:rFonts w:ascii="Book Antiqua" w:hAnsi="Book Antiqua"/>
        </w:rPr>
        <w:t>: R142 [PMID: 20670424 DOI: 10.1186/cc9207]</w:t>
      </w:r>
    </w:p>
    <w:p w14:paraId="429AC5A4"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30 </w:t>
      </w:r>
      <w:r w:rsidRPr="00353EAC">
        <w:rPr>
          <w:rFonts w:ascii="Book Antiqua" w:hAnsi="Book Antiqua"/>
          <w:b/>
          <w:bCs/>
        </w:rPr>
        <w:t>Sennoun N,</w:t>
      </w:r>
      <w:r w:rsidRPr="00353EAC">
        <w:rPr>
          <w:rFonts w:ascii="Book Antiqua" w:hAnsi="Book Antiqua"/>
        </w:rPr>
        <w:t xml:space="preserve">Montemont C, Gibot S, Lacolley P, Levy B. Comparative effects of early vs delayed use of norepinephrine in resuscitated endotoxic shock. </w:t>
      </w:r>
      <w:r w:rsidRPr="00353EAC">
        <w:rPr>
          <w:rFonts w:ascii="Book Antiqua" w:hAnsi="Book Antiqua"/>
          <w:i/>
        </w:rPr>
        <w:t>Crit Care Med</w:t>
      </w:r>
      <w:r w:rsidRPr="00353EAC">
        <w:rPr>
          <w:rFonts w:ascii="Book Antiqua" w:hAnsi="Book Antiqua"/>
        </w:rPr>
        <w:t xml:space="preserve"> 2007; </w:t>
      </w:r>
      <w:r w:rsidRPr="00353EAC">
        <w:rPr>
          <w:rFonts w:ascii="Book Antiqua" w:hAnsi="Book Antiqua"/>
          <w:b/>
        </w:rPr>
        <w:t>35:</w:t>
      </w:r>
      <w:r w:rsidRPr="00353EAC">
        <w:rPr>
          <w:rFonts w:ascii="Book Antiqua" w:hAnsi="Book Antiqua"/>
        </w:rPr>
        <w:t xml:space="preserve"> 1736-1740 [DOI: 10.1097/01.ccm.0000269028.28521.08]</w:t>
      </w:r>
    </w:p>
    <w:p w14:paraId="469D0D4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31 </w:t>
      </w:r>
      <w:r w:rsidRPr="00353EAC">
        <w:rPr>
          <w:rFonts w:ascii="Book Antiqua" w:hAnsi="Book Antiqua"/>
          <w:b/>
          <w:bCs/>
        </w:rPr>
        <w:t>Beck V</w:t>
      </w:r>
      <w:r w:rsidRPr="00353EAC">
        <w:rPr>
          <w:rFonts w:ascii="Book Antiqua" w:hAnsi="Book Antiqua"/>
        </w:rPr>
        <w:t xml:space="preserve">, Chateau D, Bryson GL, Pisipati A, Zanotti S, Parrillo JE, Kumar A; Cooperative Antimicrobial Therapy of Septic Shock (CATSS) Database Research Group. Timing of vasopressor initiation and mortality in septic shock: a cohort study. </w:t>
      </w:r>
      <w:r w:rsidRPr="00353EAC">
        <w:rPr>
          <w:rFonts w:ascii="Book Antiqua" w:hAnsi="Book Antiqua"/>
          <w:i/>
          <w:iCs/>
        </w:rPr>
        <w:t>Crit Care</w:t>
      </w:r>
      <w:r w:rsidRPr="00353EAC">
        <w:rPr>
          <w:rFonts w:ascii="Book Antiqua" w:hAnsi="Book Antiqua"/>
        </w:rPr>
        <w:t xml:space="preserve"> 2014; </w:t>
      </w:r>
      <w:r w:rsidRPr="00353EAC">
        <w:rPr>
          <w:rFonts w:ascii="Book Antiqua" w:hAnsi="Book Antiqua"/>
          <w:b/>
          <w:bCs/>
        </w:rPr>
        <w:t>18</w:t>
      </w:r>
      <w:r w:rsidRPr="00353EAC">
        <w:rPr>
          <w:rFonts w:ascii="Book Antiqua" w:hAnsi="Book Antiqua"/>
        </w:rPr>
        <w:t>: R97 [PMID: 24887489 DOI: 10.1186/cc13868]</w:t>
      </w:r>
    </w:p>
    <w:p w14:paraId="121246F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32 </w:t>
      </w:r>
      <w:r w:rsidRPr="00353EAC">
        <w:rPr>
          <w:rFonts w:ascii="Book Antiqua" w:hAnsi="Book Antiqua"/>
          <w:b/>
          <w:bCs/>
        </w:rPr>
        <w:t>Ranjit S</w:t>
      </w:r>
      <w:r w:rsidRPr="00353EAC">
        <w:rPr>
          <w:rFonts w:ascii="Book Antiqua" w:hAnsi="Book Antiqua"/>
        </w:rPr>
        <w:t xml:space="preserve">, Natraj R, Kandath SK, Kissoon N, Ramakrishnan B, Marik PE. Early norepinephrine decreases fluid and ventilatory requirements in pediatric vasodilatory septic shock. </w:t>
      </w:r>
      <w:r w:rsidRPr="00353EAC">
        <w:rPr>
          <w:rFonts w:ascii="Book Antiqua" w:hAnsi="Book Antiqua"/>
          <w:i/>
          <w:iCs/>
        </w:rPr>
        <w:t>Indian J Crit Care Med</w:t>
      </w:r>
      <w:r w:rsidRPr="00353EAC">
        <w:rPr>
          <w:rFonts w:ascii="Book Antiqua" w:hAnsi="Book Antiqua"/>
        </w:rPr>
        <w:t xml:space="preserve"> 2016; </w:t>
      </w:r>
      <w:r w:rsidRPr="00353EAC">
        <w:rPr>
          <w:rFonts w:ascii="Book Antiqua" w:hAnsi="Book Antiqua"/>
          <w:b/>
          <w:bCs/>
        </w:rPr>
        <w:t>20</w:t>
      </w:r>
      <w:r w:rsidRPr="00353EAC">
        <w:rPr>
          <w:rFonts w:ascii="Book Antiqua" w:hAnsi="Book Antiqua"/>
        </w:rPr>
        <w:t>: 561-569 [PMID: 27829710 DOI: 10.4103/0972-5229.192036]</w:t>
      </w:r>
    </w:p>
    <w:p w14:paraId="6238343C"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33 </w:t>
      </w:r>
      <w:r w:rsidRPr="00353EAC">
        <w:rPr>
          <w:rFonts w:ascii="Book Antiqua" w:hAnsi="Book Antiqua"/>
          <w:b/>
          <w:bCs/>
        </w:rPr>
        <w:t>Byrne L</w:t>
      </w:r>
      <w:r w:rsidRPr="00353EAC">
        <w:rPr>
          <w:rFonts w:ascii="Book Antiqua" w:hAnsi="Book Antiqua"/>
        </w:rPr>
        <w:t xml:space="preserve">, Obonyo NG, Diab SD, Dunster KR, Passmore MR, Boon AC, Hoe LS, Pedersen S, Fauzi MH, Pimenta LP, Van Haren F, Anstey CM, Cullen L, Tung JP, Shekar K, Maitland K, Fraser JF. Unintended Consequences: Fluid Resuscitation Worsens Shock in an Ovine Model of Endotoxemia. </w:t>
      </w:r>
      <w:r w:rsidRPr="00353EAC">
        <w:rPr>
          <w:rFonts w:ascii="Book Antiqua" w:hAnsi="Book Antiqua"/>
          <w:i/>
          <w:iCs/>
        </w:rPr>
        <w:t>Am J Respir Crit Care Med</w:t>
      </w:r>
      <w:r w:rsidRPr="00353EAC">
        <w:rPr>
          <w:rFonts w:ascii="Book Antiqua" w:hAnsi="Book Antiqua"/>
        </w:rPr>
        <w:t xml:space="preserve"> 2018; </w:t>
      </w:r>
      <w:r w:rsidRPr="00353EAC">
        <w:rPr>
          <w:rFonts w:ascii="Book Antiqua" w:hAnsi="Book Antiqua"/>
          <w:b/>
          <w:bCs/>
        </w:rPr>
        <w:t>198</w:t>
      </w:r>
      <w:r w:rsidRPr="00353EAC">
        <w:rPr>
          <w:rFonts w:ascii="Book Antiqua" w:hAnsi="Book Antiqua"/>
        </w:rPr>
        <w:t>: 1043-1054 [PMID: 29882682 DOI: 10.1164/rccm.201801-0064OC]</w:t>
      </w:r>
    </w:p>
    <w:p w14:paraId="2138D3D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34 </w:t>
      </w:r>
      <w:r w:rsidRPr="00353EAC">
        <w:rPr>
          <w:rFonts w:ascii="Book Antiqua" w:hAnsi="Book Antiqua"/>
          <w:b/>
          <w:bCs/>
        </w:rPr>
        <w:t>Sakr Y</w:t>
      </w:r>
      <w:r w:rsidRPr="00353EAC">
        <w:rPr>
          <w:rFonts w:ascii="Book Antiqua" w:hAnsi="Book Antiqua"/>
        </w:rPr>
        <w:t xml:space="preserve">, Rubatto Birri PN, Kotfis K, Nanchal R, Shah B, Kluge S, Schroeder ME, Marshall JC, Vincent JL; Intensive Care Over Nations Investigators. Higher Fluid Balance Increases the Risk of Death From Sepsis: Results From a Large International Audit. </w:t>
      </w:r>
      <w:r w:rsidRPr="00353EAC">
        <w:rPr>
          <w:rFonts w:ascii="Book Antiqua" w:hAnsi="Book Antiqua"/>
          <w:i/>
          <w:iCs/>
        </w:rPr>
        <w:t>Crit Care Med</w:t>
      </w:r>
      <w:r w:rsidRPr="00353EAC">
        <w:rPr>
          <w:rFonts w:ascii="Book Antiqua" w:hAnsi="Book Antiqua"/>
        </w:rPr>
        <w:t xml:space="preserve"> 2017; </w:t>
      </w:r>
      <w:r w:rsidRPr="00353EAC">
        <w:rPr>
          <w:rFonts w:ascii="Book Antiqua" w:hAnsi="Book Antiqua"/>
          <w:b/>
          <w:bCs/>
        </w:rPr>
        <w:t>45</w:t>
      </w:r>
      <w:r w:rsidRPr="00353EAC">
        <w:rPr>
          <w:rFonts w:ascii="Book Antiqua" w:hAnsi="Book Antiqua"/>
        </w:rPr>
        <w:t>: 386-394 [PMID: 27922878 DOI: 10.1097/CCM.0000000000002189]</w:t>
      </w:r>
    </w:p>
    <w:p w14:paraId="1C23A41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35 </w:t>
      </w:r>
      <w:r w:rsidRPr="00353EAC">
        <w:rPr>
          <w:rFonts w:ascii="Book Antiqua" w:hAnsi="Book Antiqua"/>
          <w:b/>
          <w:bCs/>
        </w:rPr>
        <w:t>Vincent JL</w:t>
      </w:r>
      <w:r w:rsidRPr="00353EAC">
        <w:rPr>
          <w:rFonts w:ascii="Book Antiqua" w:hAnsi="Book Antiqua"/>
        </w:rPr>
        <w:t xml:space="preserve">, Sakr Y, Sprung CL, Ranieri VM, Reinhart K, Gerlach H, Moreno R, Carlet J, Le Gall JR, Payen D; Sepsis Occurrence in Acutely Ill Patients Investigators. Sepsis in European intensive care units: results of the SOAP study. </w:t>
      </w:r>
      <w:r w:rsidRPr="00353EAC">
        <w:rPr>
          <w:rFonts w:ascii="Book Antiqua" w:hAnsi="Book Antiqua"/>
          <w:i/>
          <w:iCs/>
        </w:rPr>
        <w:t>Crit Care Med</w:t>
      </w:r>
      <w:r w:rsidRPr="00353EAC">
        <w:rPr>
          <w:rFonts w:ascii="Book Antiqua" w:hAnsi="Book Antiqua"/>
        </w:rPr>
        <w:t xml:space="preserve"> 2006; </w:t>
      </w:r>
      <w:r w:rsidRPr="00353EAC">
        <w:rPr>
          <w:rFonts w:ascii="Book Antiqua" w:hAnsi="Book Antiqua"/>
          <w:b/>
          <w:bCs/>
        </w:rPr>
        <w:t>34</w:t>
      </w:r>
      <w:r w:rsidRPr="00353EAC">
        <w:rPr>
          <w:rFonts w:ascii="Book Antiqua" w:hAnsi="Book Antiqua"/>
        </w:rPr>
        <w:t>: 344-353 [PMID: 16424713 DOI: 10.1097/01.ccm.0000194725.48928.3a]</w:t>
      </w:r>
    </w:p>
    <w:p w14:paraId="1E5BD18A"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36 </w:t>
      </w:r>
      <w:r w:rsidRPr="00353EAC">
        <w:rPr>
          <w:rFonts w:ascii="Book Antiqua" w:hAnsi="Book Antiqua"/>
          <w:b/>
          <w:bCs/>
        </w:rPr>
        <w:t>Sirvent JM</w:t>
      </w:r>
      <w:r w:rsidRPr="00353EAC">
        <w:rPr>
          <w:rFonts w:ascii="Book Antiqua" w:hAnsi="Book Antiqua"/>
        </w:rPr>
        <w:t xml:space="preserve">, Ferri C, Baró A, Murcia C, Lorencio C. Fluid balance in sepsis and septic shock as a determining factor of mortality. </w:t>
      </w:r>
      <w:r w:rsidRPr="00353EAC">
        <w:rPr>
          <w:rFonts w:ascii="Book Antiqua" w:hAnsi="Book Antiqua"/>
          <w:i/>
          <w:iCs/>
        </w:rPr>
        <w:t>Am J Emerg Med</w:t>
      </w:r>
      <w:r w:rsidRPr="00353EAC">
        <w:rPr>
          <w:rFonts w:ascii="Book Antiqua" w:hAnsi="Book Antiqua"/>
        </w:rPr>
        <w:t xml:space="preserve"> 2015; </w:t>
      </w:r>
      <w:r w:rsidRPr="00353EAC">
        <w:rPr>
          <w:rFonts w:ascii="Book Antiqua" w:hAnsi="Book Antiqua"/>
          <w:b/>
          <w:bCs/>
        </w:rPr>
        <w:t>33</w:t>
      </w:r>
      <w:r w:rsidRPr="00353EAC">
        <w:rPr>
          <w:rFonts w:ascii="Book Antiqua" w:hAnsi="Book Antiqua"/>
        </w:rPr>
        <w:t>: 186-189 [PMID: 25483379 DOI: 10.1016/j.ajem.2014.11.016]</w:t>
      </w:r>
    </w:p>
    <w:p w14:paraId="43826F4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37 </w:t>
      </w:r>
      <w:r w:rsidRPr="00353EAC">
        <w:rPr>
          <w:rFonts w:ascii="Book Antiqua" w:hAnsi="Book Antiqua"/>
          <w:b/>
          <w:bCs/>
        </w:rPr>
        <w:t>Smith SH</w:t>
      </w:r>
      <w:r w:rsidRPr="00353EAC">
        <w:rPr>
          <w:rFonts w:ascii="Book Antiqua" w:hAnsi="Book Antiqua"/>
        </w:rPr>
        <w:t xml:space="preserve">, Perner A. Higher vs. lower fluid volume for septic shock: clinical characteristics and outcome in unselected patients in a prospective, multicenter cohort. </w:t>
      </w:r>
      <w:r w:rsidRPr="00353EAC">
        <w:rPr>
          <w:rFonts w:ascii="Book Antiqua" w:hAnsi="Book Antiqua"/>
          <w:i/>
          <w:iCs/>
        </w:rPr>
        <w:t>Crit Care</w:t>
      </w:r>
      <w:r w:rsidRPr="00353EAC">
        <w:rPr>
          <w:rFonts w:ascii="Book Antiqua" w:hAnsi="Book Antiqua"/>
        </w:rPr>
        <w:t xml:space="preserve"> 2012; </w:t>
      </w:r>
      <w:r w:rsidRPr="00353EAC">
        <w:rPr>
          <w:rFonts w:ascii="Book Antiqua" w:hAnsi="Book Antiqua"/>
          <w:b/>
          <w:bCs/>
        </w:rPr>
        <w:t>16</w:t>
      </w:r>
      <w:r w:rsidRPr="00353EAC">
        <w:rPr>
          <w:rFonts w:ascii="Book Antiqua" w:hAnsi="Book Antiqua"/>
        </w:rPr>
        <w:t>: R76 [PMID: 22568926 DOI: 10.1186/cc11333]</w:t>
      </w:r>
    </w:p>
    <w:p w14:paraId="7DF3CFF4"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38 </w:t>
      </w:r>
      <w:r w:rsidRPr="00353EAC">
        <w:rPr>
          <w:rFonts w:ascii="Book Antiqua" w:hAnsi="Book Antiqua"/>
          <w:b/>
          <w:bCs/>
        </w:rPr>
        <w:t>Marik PE</w:t>
      </w:r>
      <w:r w:rsidRPr="00353EAC">
        <w:rPr>
          <w:rFonts w:ascii="Book Antiqua" w:hAnsi="Book Antiqua"/>
        </w:rPr>
        <w:t xml:space="preserve">, Linde-Zwirble WT, Bittner EA, Sahatjian J, Hansell D. Fluid administration in severe sepsis and septic shock, patterns and outcomes: an analysis of a large national database. </w:t>
      </w:r>
      <w:r w:rsidRPr="00353EAC">
        <w:rPr>
          <w:rFonts w:ascii="Book Antiqua" w:hAnsi="Book Antiqua"/>
          <w:i/>
          <w:iCs/>
        </w:rPr>
        <w:t>Intensive Care Med</w:t>
      </w:r>
      <w:r w:rsidRPr="00353EAC">
        <w:rPr>
          <w:rFonts w:ascii="Book Antiqua" w:hAnsi="Book Antiqua"/>
        </w:rPr>
        <w:t xml:space="preserve"> 2017; </w:t>
      </w:r>
      <w:r w:rsidRPr="00353EAC">
        <w:rPr>
          <w:rFonts w:ascii="Book Antiqua" w:hAnsi="Book Antiqua"/>
          <w:b/>
          <w:bCs/>
        </w:rPr>
        <w:t>43</w:t>
      </w:r>
      <w:r w:rsidRPr="00353EAC">
        <w:rPr>
          <w:rFonts w:ascii="Book Antiqua" w:hAnsi="Book Antiqua"/>
        </w:rPr>
        <w:t>: 625-632 [PMID: 28130687 DOI: 10.1007/s00134-016-4675-y]</w:t>
      </w:r>
    </w:p>
    <w:p w14:paraId="0D7DC9B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39 </w:t>
      </w:r>
      <w:r w:rsidRPr="00353EAC">
        <w:rPr>
          <w:rFonts w:ascii="Book Antiqua" w:hAnsi="Book Antiqua"/>
          <w:b/>
          <w:bCs/>
        </w:rPr>
        <w:t>Permpikul C</w:t>
      </w:r>
      <w:r w:rsidRPr="00353EAC">
        <w:rPr>
          <w:rFonts w:ascii="Book Antiqua" w:hAnsi="Book Antiqua"/>
        </w:rPr>
        <w:t xml:space="preserve">, Tongyoo S, Viarasilpa T, Trainarongsakul T, Chakorn T, Udompanturak S. Early Use of Norepinephrine in Septic Shock Resuscitation (CENSER). A Randomized Trial. </w:t>
      </w:r>
      <w:r w:rsidRPr="00353EAC">
        <w:rPr>
          <w:rFonts w:ascii="Book Antiqua" w:hAnsi="Book Antiqua"/>
          <w:i/>
          <w:iCs/>
        </w:rPr>
        <w:t>Am J Respir Crit Care Med</w:t>
      </w:r>
      <w:r w:rsidRPr="00353EAC">
        <w:rPr>
          <w:rFonts w:ascii="Book Antiqua" w:hAnsi="Book Antiqua"/>
        </w:rPr>
        <w:t xml:space="preserve"> 2019; </w:t>
      </w:r>
      <w:r w:rsidRPr="00353EAC">
        <w:rPr>
          <w:rFonts w:ascii="Book Antiqua" w:hAnsi="Book Antiqua"/>
          <w:b/>
          <w:bCs/>
        </w:rPr>
        <w:t>199</w:t>
      </w:r>
      <w:r w:rsidRPr="00353EAC">
        <w:rPr>
          <w:rFonts w:ascii="Book Antiqua" w:hAnsi="Book Antiqua"/>
        </w:rPr>
        <w:t>: 1097-1105 [PMID: 30704260 DOI: 10.1164/rccm.201806-1034OC]</w:t>
      </w:r>
    </w:p>
    <w:p w14:paraId="2DAF3D2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40 </w:t>
      </w:r>
      <w:r w:rsidRPr="00353EAC">
        <w:rPr>
          <w:rFonts w:ascii="Book Antiqua" w:hAnsi="Book Antiqua"/>
          <w:b/>
          <w:bCs/>
        </w:rPr>
        <w:t>Persichini R</w:t>
      </w:r>
      <w:r w:rsidRPr="00353EAC">
        <w:rPr>
          <w:rFonts w:ascii="Book Antiqua" w:hAnsi="Book Antiqua"/>
        </w:rPr>
        <w:t xml:space="preserve">, Silva S, Teboul JL, Jozwiak M, Chemla D, Richard C, Monnet X. Effects of norepinephrine on mean systemic pressure and venous return in human septic shock. </w:t>
      </w:r>
      <w:r w:rsidRPr="00353EAC">
        <w:rPr>
          <w:rFonts w:ascii="Book Antiqua" w:hAnsi="Book Antiqua"/>
          <w:i/>
          <w:iCs/>
        </w:rPr>
        <w:t>Crit Care Med</w:t>
      </w:r>
      <w:r w:rsidRPr="00353EAC">
        <w:rPr>
          <w:rFonts w:ascii="Book Antiqua" w:hAnsi="Book Antiqua"/>
        </w:rPr>
        <w:t xml:space="preserve"> 2012; </w:t>
      </w:r>
      <w:r w:rsidRPr="00353EAC">
        <w:rPr>
          <w:rFonts w:ascii="Book Antiqua" w:hAnsi="Book Antiqua"/>
          <w:b/>
          <w:bCs/>
        </w:rPr>
        <w:t>40</w:t>
      </w:r>
      <w:r w:rsidRPr="00353EAC">
        <w:rPr>
          <w:rFonts w:ascii="Book Antiqua" w:hAnsi="Book Antiqua"/>
        </w:rPr>
        <w:t>: 3146-3153 [PMID: 22926333 DOI: 10.1097/CCM.0b013e318260c6c3]</w:t>
      </w:r>
    </w:p>
    <w:p w14:paraId="36C8ECD0"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41 </w:t>
      </w:r>
      <w:r w:rsidRPr="00353EAC">
        <w:rPr>
          <w:rFonts w:ascii="Book Antiqua" w:hAnsi="Book Antiqua"/>
          <w:b/>
          <w:bCs/>
        </w:rPr>
        <w:t>Funk DJ</w:t>
      </w:r>
      <w:r w:rsidRPr="00353EAC">
        <w:rPr>
          <w:rFonts w:ascii="Book Antiqua" w:hAnsi="Book Antiqua"/>
        </w:rPr>
        <w:t xml:space="preserve">, Jacobsohn E, Kumar A. The role of venous return in critical illness and shock-part I: physiology. </w:t>
      </w:r>
      <w:r w:rsidRPr="00353EAC">
        <w:rPr>
          <w:rFonts w:ascii="Book Antiqua" w:hAnsi="Book Antiqua"/>
          <w:i/>
          <w:iCs/>
        </w:rPr>
        <w:t>Crit Care Med</w:t>
      </w:r>
      <w:r w:rsidRPr="00353EAC">
        <w:rPr>
          <w:rFonts w:ascii="Book Antiqua" w:hAnsi="Book Antiqua"/>
        </w:rPr>
        <w:t xml:space="preserve"> 2013; </w:t>
      </w:r>
      <w:r w:rsidRPr="00353EAC">
        <w:rPr>
          <w:rFonts w:ascii="Book Antiqua" w:hAnsi="Book Antiqua"/>
          <w:b/>
          <w:bCs/>
        </w:rPr>
        <w:t>41</w:t>
      </w:r>
      <w:r w:rsidRPr="00353EAC">
        <w:rPr>
          <w:rFonts w:ascii="Book Antiqua" w:hAnsi="Book Antiqua"/>
        </w:rPr>
        <w:t>: 255-262 [PMID: 23269130 DOI: 10.1097/CCM.0b013e3182772ab6]</w:t>
      </w:r>
    </w:p>
    <w:p w14:paraId="5531A886"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42 </w:t>
      </w:r>
      <w:r w:rsidRPr="00353EAC">
        <w:rPr>
          <w:rFonts w:ascii="Book Antiqua" w:hAnsi="Book Antiqua"/>
          <w:b/>
          <w:bCs/>
        </w:rPr>
        <w:t>Funk DJ</w:t>
      </w:r>
      <w:r w:rsidRPr="00353EAC">
        <w:rPr>
          <w:rFonts w:ascii="Book Antiqua" w:hAnsi="Book Antiqua"/>
        </w:rPr>
        <w:t xml:space="preserve">, Jacobsohn E, Kumar A. Role of the venous return in critical illness and shock: part II-shock and mechanical ventilation. </w:t>
      </w:r>
      <w:r w:rsidRPr="00353EAC">
        <w:rPr>
          <w:rFonts w:ascii="Book Antiqua" w:hAnsi="Book Antiqua"/>
          <w:i/>
          <w:iCs/>
        </w:rPr>
        <w:t>Crit Care Med</w:t>
      </w:r>
      <w:r w:rsidRPr="00353EAC">
        <w:rPr>
          <w:rFonts w:ascii="Book Antiqua" w:hAnsi="Book Antiqua"/>
        </w:rPr>
        <w:t xml:space="preserve"> 2013; </w:t>
      </w:r>
      <w:r w:rsidRPr="00353EAC">
        <w:rPr>
          <w:rFonts w:ascii="Book Antiqua" w:hAnsi="Book Antiqua"/>
          <w:b/>
          <w:bCs/>
        </w:rPr>
        <w:t>41</w:t>
      </w:r>
      <w:r w:rsidRPr="00353EAC">
        <w:rPr>
          <w:rFonts w:ascii="Book Antiqua" w:hAnsi="Book Antiqua"/>
        </w:rPr>
        <w:t>: 573-579 [PMID: 23263572 DOI: 10.1097/CCM.0b013e31827bfc25]</w:t>
      </w:r>
    </w:p>
    <w:p w14:paraId="6D1B0906"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43 </w:t>
      </w:r>
      <w:r w:rsidRPr="00353EAC">
        <w:rPr>
          <w:rFonts w:ascii="Book Antiqua" w:hAnsi="Book Antiqua"/>
          <w:b/>
          <w:bCs/>
        </w:rPr>
        <w:t>Joffre J</w:t>
      </w:r>
      <w:r w:rsidRPr="00353EAC">
        <w:rPr>
          <w:rFonts w:ascii="Book Antiqua" w:hAnsi="Book Antiqua"/>
        </w:rPr>
        <w:t xml:space="preserve">, Lloyd E, Wong E, Chung-Yeh C, Nguyen N, Xu F, Legrand M, Hellman J. Catecholaminergic Vasopressors Reduce Toll-Like Receptor Agonist-Induced Microvascular Endothelial Cell Permeability But Not Cytokine Production. </w:t>
      </w:r>
      <w:r w:rsidRPr="00353EAC">
        <w:rPr>
          <w:rFonts w:ascii="Book Antiqua" w:hAnsi="Book Antiqua"/>
          <w:i/>
          <w:iCs/>
        </w:rPr>
        <w:t>Crit Care Med</w:t>
      </w:r>
      <w:r w:rsidRPr="00353EAC">
        <w:rPr>
          <w:rFonts w:ascii="Book Antiqua" w:hAnsi="Book Antiqua"/>
        </w:rPr>
        <w:t xml:space="preserve"> 2021; </w:t>
      </w:r>
      <w:r w:rsidRPr="00353EAC">
        <w:rPr>
          <w:rFonts w:ascii="Book Antiqua" w:hAnsi="Book Antiqua"/>
          <w:b/>
          <w:bCs/>
        </w:rPr>
        <w:t>49</w:t>
      </w:r>
      <w:r w:rsidRPr="00353EAC">
        <w:rPr>
          <w:rFonts w:ascii="Book Antiqua" w:hAnsi="Book Antiqua"/>
        </w:rPr>
        <w:t>: e315-e326 [PMID: 33481407 DOI: 10.1097/CCM.0000000000004854]</w:t>
      </w:r>
    </w:p>
    <w:p w14:paraId="41361E0C"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44 </w:t>
      </w:r>
      <w:r w:rsidRPr="00353EAC">
        <w:rPr>
          <w:rFonts w:ascii="Book Antiqua" w:hAnsi="Book Antiqua"/>
          <w:b/>
          <w:bCs/>
        </w:rPr>
        <w:t>Legrand M</w:t>
      </w:r>
      <w:r w:rsidRPr="00353EAC">
        <w:rPr>
          <w:rFonts w:ascii="Book Antiqua" w:hAnsi="Book Antiqua"/>
        </w:rPr>
        <w:t xml:space="preserve">, Dupuis C, Simon C, Gayat E, Mateo J, Lukaszewicz AC, Payen D. Association between systemic hemodynamics and septic acute kidney injury in critically ill patients: a retrospective observational study. </w:t>
      </w:r>
      <w:r w:rsidRPr="00353EAC">
        <w:rPr>
          <w:rFonts w:ascii="Book Antiqua" w:hAnsi="Book Antiqua"/>
          <w:i/>
          <w:iCs/>
        </w:rPr>
        <w:t>Crit Care</w:t>
      </w:r>
      <w:r w:rsidRPr="00353EAC">
        <w:rPr>
          <w:rFonts w:ascii="Book Antiqua" w:hAnsi="Book Antiqua"/>
        </w:rPr>
        <w:t xml:space="preserve"> 2013; </w:t>
      </w:r>
      <w:r w:rsidRPr="00353EAC">
        <w:rPr>
          <w:rFonts w:ascii="Book Antiqua" w:hAnsi="Book Antiqua"/>
          <w:b/>
          <w:bCs/>
        </w:rPr>
        <w:t>17</w:t>
      </w:r>
      <w:r w:rsidRPr="00353EAC">
        <w:rPr>
          <w:rFonts w:ascii="Book Antiqua" w:hAnsi="Book Antiqua"/>
        </w:rPr>
        <w:t>: R278 [PMID: 24289206 DOI: 10.1186/cc13133]</w:t>
      </w:r>
    </w:p>
    <w:p w14:paraId="542B775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45 </w:t>
      </w:r>
      <w:r w:rsidRPr="00353EAC">
        <w:rPr>
          <w:rFonts w:ascii="Book Antiqua" w:hAnsi="Book Antiqua"/>
          <w:b/>
          <w:bCs/>
        </w:rPr>
        <w:t>Monge García MI</w:t>
      </w:r>
      <w:r w:rsidRPr="00353EAC">
        <w:rPr>
          <w:rFonts w:ascii="Book Antiqua" w:hAnsi="Book Antiqua"/>
        </w:rPr>
        <w:t xml:space="preserve">, Pinsky MR, Cecconi M. Predicting vasopressor needs using dynamic parameters. </w:t>
      </w:r>
      <w:r w:rsidRPr="00353EAC">
        <w:rPr>
          <w:rFonts w:ascii="Book Antiqua" w:hAnsi="Book Antiqua"/>
          <w:i/>
          <w:iCs/>
        </w:rPr>
        <w:t>Intensive Care Med</w:t>
      </w:r>
      <w:r w:rsidRPr="00353EAC">
        <w:rPr>
          <w:rFonts w:ascii="Book Antiqua" w:hAnsi="Book Antiqua"/>
        </w:rPr>
        <w:t xml:space="preserve"> 2017; </w:t>
      </w:r>
      <w:r w:rsidRPr="00353EAC">
        <w:rPr>
          <w:rFonts w:ascii="Book Antiqua" w:hAnsi="Book Antiqua"/>
          <w:b/>
          <w:bCs/>
        </w:rPr>
        <w:t>43</w:t>
      </w:r>
      <w:r w:rsidRPr="00353EAC">
        <w:rPr>
          <w:rFonts w:ascii="Book Antiqua" w:hAnsi="Book Antiqua"/>
        </w:rPr>
        <w:t>: 1841-1843 [PMID: 28275839 DOI: 10.1007/s00134-017-4752-x]</w:t>
      </w:r>
    </w:p>
    <w:p w14:paraId="228F3627"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46 </w:t>
      </w:r>
      <w:r w:rsidRPr="00353EAC">
        <w:rPr>
          <w:rFonts w:ascii="Book Antiqua" w:hAnsi="Book Antiqua"/>
          <w:b/>
          <w:bCs/>
        </w:rPr>
        <w:t>Guerci P</w:t>
      </w:r>
      <w:r w:rsidRPr="00353EAC">
        <w:rPr>
          <w:rFonts w:ascii="Book Antiqua" w:hAnsi="Book Antiqua"/>
        </w:rPr>
        <w:t xml:space="preserve">, Belveyre T, Mongardon N, Novy E. When to start vasopressin in septic shock: the strategy we propose. </w:t>
      </w:r>
      <w:r w:rsidRPr="00353EAC">
        <w:rPr>
          <w:rFonts w:ascii="Book Antiqua" w:hAnsi="Book Antiqua"/>
          <w:i/>
          <w:iCs/>
        </w:rPr>
        <w:t>Crit Care</w:t>
      </w:r>
      <w:r w:rsidRPr="00353EAC">
        <w:rPr>
          <w:rFonts w:ascii="Book Antiqua" w:hAnsi="Book Antiqua"/>
        </w:rPr>
        <w:t xml:space="preserve"> 2022; </w:t>
      </w:r>
      <w:r w:rsidRPr="00353EAC">
        <w:rPr>
          <w:rFonts w:ascii="Book Antiqua" w:hAnsi="Book Antiqua"/>
          <w:b/>
          <w:bCs/>
        </w:rPr>
        <w:t>26</w:t>
      </w:r>
      <w:r w:rsidRPr="00353EAC">
        <w:rPr>
          <w:rFonts w:ascii="Book Antiqua" w:hAnsi="Book Antiqua"/>
        </w:rPr>
        <w:t>: 125 [PMID: 35524285 DOI: 10.1186/s13054-022-04001-4]</w:t>
      </w:r>
    </w:p>
    <w:p w14:paraId="6B1D4A4F"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47 </w:t>
      </w:r>
      <w:r w:rsidRPr="00353EAC">
        <w:rPr>
          <w:rFonts w:ascii="Book Antiqua" w:hAnsi="Book Antiqua"/>
          <w:b/>
          <w:bCs/>
        </w:rPr>
        <w:t>Senatore F</w:t>
      </w:r>
      <w:r w:rsidRPr="00353EAC">
        <w:rPr>
          <w:rFonts w:ascii="Book Antiqua" w:hAnsi="Book Antiqua"/>
        </w:rPr>
        <w:t xml:space="preserve">, Balakumar P, Jagadeesh G. Dysregulation of the renin-angiotensin system in septic shock: Mechanistic insights and application of angiotensin II in clinical management. </w:t>
      </w:r>
      <w:r w:rsidRPr="00353EAC">
        <w:rPr>
          <w:rFonts w:ascii="Book Antiqua" w:hAnsi="Book Antiqua"/>
          <w:i/>
          <w:iCs/>
        </w:rPr>
        <w:t>Pharmacol Res</w:t>
      </w:r>
      <w:r w:rsidRPr="00353EAC">
        <w:rPr>
          <w:rFonts w:ascii="Book Antiqua" w:hAnsi="Book Antiqua"/>
        </w:rPr>
        <w:t xml:space="preserve"> 2021; </w:t>
      </w:r>
      <w:r w:rsidRPr="00353EAC">
        <w:rPr>
          <w:rFonts w:ascii="Book Antiqua" w:hAnsi="Book Antiqua"/>
          <w:b/>
          <w:bCs/>
        </w:rPr>
        <w:t>174</w:t>
      </w:r>
      <w:r w:rsidRPr="00353EAC">
        <w:rPr>
          <w:rFonts w:ascii="Book Antiqua" w:hAnsi="Book Antiqua"/>
        </w:rPr>
        <w:t>: 105916 [PMID: 34597810 DOI: 10.1016/j.phrs.2021.105916]</w:t>
      </w:r>
    </w:p>
    <w:p w14:paraId="5DB8B83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48 </w:t>
      </w:r>
      <w:r w:rsidRPr="00353EAC">
        <w:rPr>
          <w:rFonts w:ascii="Book Antiqua" w:hAnsi="Book Antiqua"/>
          <w:b/>
          <w:bCs/>
        </w:rPr>
        <w:t>Paul M</w:t>
      </w:r>
      <w:r w:rsidRPr="00353EAC">
        <w:rPr>
          <w:rFonts w:ascii="Book Antiqua" w:hAnsi="Book Antiqua"/>
        </w:rPr>
        <w:t xml:space="preserve">, PoyanMehr A, Kreutz R. Physiology of local renin-angiotensin systems. </w:t>
      </w:r>
      <w:r w:rsidRPr="00353EAC">
        <w:rPr>
          <w:rFonts w:ascii="Book Antiqua" w:hAnsi="Book Antiqua"/>
          <w:i/>
          <w:iCs/>
        </w:rPr>
        <w:t>Physiol Rev</w:t>
      </w:r>
      <w:r w:rsidRPr="00353EAC">
        <w:rPr>
          <w:rFonts w:ascii="Book Antiqua" w:hAnsi="Book Antiqua"/>
        </w:rPr>
        <w:t xml:space="preserve"> 2006; </w:t>
      </w:r>
      <w:r w:rsidRPr="00353EAC">
        <w:rPr>
          <w:rFonts w:ascii="Book Antiqua" w:hAnsi="Book Antiqua"/>
          <w:b/>
          <w:bCs/>
        </w:rPr>
        <w:t>86</w:t>
      </w:r>
      <w:r w:rsidRPr="00353EAC">
        <w:rPr>
          <w:rFonts w:ascii="Book Antiqua" w:hAnsi="Book Antiqua"/>
        </w:rPr>
        <w:t>: 747-803 [PMID: 16816138 DOI: 10.1152/physrev.00036.2005]</w:t>
      </w:r>
    </w:p>
    <w:p w14:paraId="128068E8"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49 </w:t>
      </w:r>
      <w:r w:rsidRPr="00353EAC">
        <w:rPr>
          <w:rFonts w:ascii="Book Antiqua" w:hAnsi="Book Antiqua"/>
          <w:b/>
          <w:bCs/>
        </w:rPr>
        <w:t>Bellomo R</w:t>
      </w:r>
      <w:r w:rsidRPr="00353EAC">
        <w:rPr>
          <w:rFonts w:ascii="Book Antiqua" w:hAnsi="Book Antiqua"/>
        </w:rPr>
        <w:t xml:space="preserve">, Forni LG, Busse LW, McCurdy MT, Ham KR, Boldt DW, Hästbacka J, Khanna AK, Albertson TE, Tumlin J, Storey K, Handisides D, Tidmarsh GF, Chawla LS, Ostermann M. Renin and Survival in Patients Given Angiotensin II for Catecholamine-Resistant Vasodilatory Shock. A Clinical Trial. </w:t>
      </w:r>
      <w:r w:rsidRPr="00353EAC">
        <w:rPr>
          <w:rFonts w:ascii="Book Antiqua" w:hAnsi="Book Antiqua"/>
          <w:i/>
          <w:iCs/>
        </w:rPr>
        <w:t>Am J Respir Crit Care Med</w:t>
      </w:r>
      <w:r w:rsidRPr="00353EAC">
        <w:rPr>
          <w:rFonts w:ascii="Book Antiqua" w:hAnsi="Book Antiqua"/>
        </w:rPr>
        <w:t xml:space="preserve"> 2020; </w:t>
      </w:r>
      <w:r w:rsidRPr="00353EAC">
        <w:rPr>
          <w:rFonts w:ascii="Book Antiqua" w:hAnsi="Book Antiqua"/>
          <w:b/>
          <w:bCs/>
        </w:rPr>
        <w:t>202</w:t>
      </w:r>
      <w:r w:rsidRPr="00353EAC">
        <w:rPr>
          <w:rFonts w:ascii="Book Antiqua" w:hAnsi="Book Antiqua"/>
        </w:rPr>
        <w:t>: 1253-1261 [PMID: 32609011 DOI: 10.1164/rccm.201911-2172OC]</w:t>
      </w:r>
    </w:p>
    <w:p w14:paraId="63454BF8"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50 </w:t>
      </w:r>
      <w:r w:rsidRPr="00353EAC">
        <w:rPr>
          <w:rFonts w:ascii="Book Antiqua" w:hAnsi="Book Antiqua"/>
          <w:b/>
          <w:bCs/>
        </w:rPr>
        <w:t>Jouffroy R</w:t>
      </w:r>
      <w:r w:rsidRPr="00353EAC">
        <w:rPr>
          <w:rFonts w:ascii="Book Antiqua" w:hAnsi="Book Antiqua"/>
        </w:rPr>
        <w:t xml:space="preserve">, Hajjar A, Gilbert B, Tourtier JP, Bloch-Laine E, Ecollan P, Boularan J, Bounes V, Vivien B, Gueye PN. Prehospital norepinephrine administration reduces 30-day mortality among septic shock patients. </w:t>
      </w:r>
      <w:r w:rsidRPr="00353EAC">
        <w:rPr>
          <w:rFonts w:ascii="Book Antiqua" w:hAnsi="Book Antiqua"/>
          <w:i/>
          <w:iCs/>
        </w:rPr>
        <w:t>BMC Infect Dis</w:t>
      </w:r>
      <w:r w:rsidRPr="00353EAC">
        <w:rPr>
          <w:rFonts w:ascii="Book Antiqua" w:hAnsi="Book Antiqua"/>
        </w:rPr>
        <w:t xml:space="preserve"> 2022; </w:t>
      </w:r>
      <w:r w:rsidRPr="00353EAC">
        <w:rPr>
          <w:rFonts w:ascii="Book Antiqua" w:hAnsi="Book Antiqua"/>
          <w:b/>
          <w:bCs/>
        </w:rPr>
        <w:t>22</w:t>
      </w:r>
      <w:r w:rsidRPr="00353EAC">
        <w:rPr>
          <w:rFonts w:ascii="Book Antiqua" w:hAnsi="Book Antiqua"/>
        </w:rPr>
        <w:t>: 345 [PMID: 35387608 DOI: 10.1186/s12879-022-07337-y]</w:t>
      </w:r>
    </w:p>
    <w:p w14:paraId="7480521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51 </w:t>
      </w:r>
      <w:r w:rsidRPr="00353EAC">
        <w:rPr>
          <w:rFonts w:ascii="Book Antiqua" w:hAnsi="Book Antiqua"/>
          <w:b/>
          <w:bCs/>
        </w:rPr>
        <w:t>Liu L</w:t>
      </w:r>
      <w:r w:rsidRPr="00353EAC">
        <w:rPr>
          <w:rFonts w:ascii="Book Antiqua" w:hAnsi="Book Antiqua"/>
        </w:rPr>
        <w:t xml:space="preserve">, Luo L, Li L, Jin M. Safety of high-concentration norepinephrine for peripheral intravenous use. Comment on Br J Anaesth 2020; 124: e108-14. </w:t>
      </w:r>
      <w:r w:rsidRPr="00353EAC">
        <w:rPr>
          <w:rFonts w:ascii="Book Antiqua" w:hAnsi="Book Antiqua"/>
          <w:i/>
          <w:iCs/>
        </w:rPr>
        <w:t>Br J Anaesth</w:t>
      </w:r>
      <w:r w:rsidRPr="00353EAC">
        <w:rPr>
          <w:rFonts w:ascii="Book Antiqua" w:hAnsi="Book Antiqua"/>
        </w:rPr>
        <w:t xml:space="preserve"> 2021; </w:t>
      </w:r>
      <w:r w:rsidRPr="00353EAC">
        <w:rPr>
          <w:rFonts w:ascii="Book Antiqua" w:hAnsi="Book Antiqua"/>
          <w:b/>
          <w:bCs/>
        </w:rPr>
        <w:t>127</w:t>
      </w:r>
      <w:r w:rsidRPr="00353EAC">
        <w:rPr>
          <w:rFonts w:ascii="Book Antiqua" w:hAnsi="Book Antiqua"/>
        </w:rPr>
        <w:t>: e135-e137 [PMID: 34353613 DOI: 10.1016/j.bja.2021.07.004]</w:t>
      </w:r>
    </w:p>
    <w:p w14:paraId="79D9425E"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52 </w:t>
      </w:r>
      <w:r w:rsidRPr="00353EAC">
        <w:rPr>
          <w:rFonts w:ascii="Book Antiqua" w:hAnsi="Book Antiqua"/>
          <w:b/>
          <w:bCs/>
        </w:rPr>
        <w:t>Nguyen TT</w:t>
      </w:r>
      <w:r w:rsidRPr="00353EAC">
        <w:rPr>
          <w:rFonts w:ascii="Book Antiqua" w:hAnsi="Book Antiqua"/>
        </w:rPr>
        <w:t xml:space="preserve">, Surrey A, Barmaan B, Miller S, Oswalt A, Evans D, Dhindsa H. Utilization and extravasation of peripheral norepinephrine in the emergency department. </w:t>
      </w:r>
      <w:r w:rsidRPr="00353EAC">
        <w:rPr>
          <w:rFonts w:ascii="Book Antiqua" w:hAnsi="Book Antiqua"/>
          <w:i/>
          <w:iCs/>
        </w:rPr>
        <w:t>Am J Emerg Med</w:t>
      </w:r>
      <w:r w:rsidRPr="00353EAC">
        <w:rPr>
          <w:rFonts w:ascii="Book Antiqua" w:hAnsi="Book Antiqua"/>
        </w:rPr>
        <w:t xml:space="preserve"> 2021; </w:t>
      </w:r>
      <w:r w:rsidRPr="00353EAC">
        <w:rPr>
          <w:rFonts w:ascii="Book Antiqua" w:hAnsi="Book Antiqua"/>
          <w:b/>
          <w:bCs/>
        </w:rPr>
        <w:t>39</w:t>
      </w:r>
      <w:r w:rsidRPr="00353EAC">
        <w:rPr>
          <w:rFonts w:ascii="Book Antiqua" w:hAnsi="Book Antiqua"/>
        </w:rPr>
        <w:t>: 55-59 [PMID: 31959524 DOI: 10.1016/j.ajem.2020.01.014]</w:t>
      </w:r>
    </w:p>
    <w:p w14:paraId="1ED41B71"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53 </w:t>
      </w:r>
      <w:r w:rsidRPr="00353EAC">
        <w:rPr>
          <w:rFonts w:ascii="Book Antiqua" w:hAnsi="Book Antiqua"/>
          <w:b/>
          <w:bCs/>
        </w:rPr>
        <w:t>Levy B</w:t>
      </w:r>
      <w:r w:rsidRPr="00353EAC">
        <w:rPr>
          <w:rFonts w:ascii="Book Antiqua" w:hAnsi="Book Antiqua"/>
        </w:rPr>
        <w:t xml:space="preserve">, Clere-Jehl R, Legras A, Morichau-Beauchant T, Leone M, Frederique G, Quenot JP, Kimmoun A, Cariou A, Lassus J, Harjola VP, Meziani F, Louis G, Rossignol P, Duarte K, Girerd N, Mebazaa A, Vignon P; Collaborators. Epinephrine Versus Norepinephrine for Cardiogenic Shock After Acute Myocardial Infarction. </w:t>
      </w:r>
      <w:r w:rsidRPr="00353EAC">
        <w:rPr>
          <w:rFonts w:ascii="Book Antiqua" w:hAnsi="Book Antiqua"/>
          <w:i/>
          <w:iCs/>
        </w:rPr>
        <w:t>J Am Coll Cardiol</w:t>
      </w:r>
      <w:r w:rsidRPr="00353EAC">
        <w:rPr>
          <w:rFonts w:ascii="Book Antiqua" w:hAnsi="Book Antiqua"/>
        </w:rPr>
        <w:t xml:space="preserve"> 2018; </w:t>
      </w:r>
      <w:r w:rsidRPr="00353EAC">
        <w:rPr>
          <w:rFonts w:ascii="Book Antiqua" w:hAnsi="Book Antiqua"/>
          <w:b/>
          <w:bCs/>
        </w:rPr>
        <w:t>72</w:t>
      </w:r>
      <w:r w:rsidRPr="00353EAC">
        <w:rPr>
          <w:rFonts w:ascii="Book Antiqua" w:hAnsi="Book Antiqua"/>
        </w:rPr>
        <w:t>: 173-182 [PMID: 29976291 DOI: 10.1016/j.jacc.2018.04.051]</w:t>
      </w:r>
    </w:p>
    <w:p w14:paraId="4A2D8B4D"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54 </w:t>
      </w:r>
      <w:r w:rsidRPr="00353EAC">
        <w:rPr>
          <w:rFonts w:ascii="Book Antiqua" w:hAnsi="Book Antiqua"/>
          <w:b/>
          <w:bCs/>
        </w:rPr>
        <w:t>De Backer D</w:t>
      </w:r>
      <w:r w:rsidRPr="00353EAC">
        <w:rPr>
          <w:rFonts w:ascii="Book Antiqua" w:hAnsi="Book Antiqua"/>
        </w:rPr>
        <w:t xml:space="preserve">, Biston P, Devriendt J, Madl C, Chochrad D, Aldecoa C, Brasseur A, Defrance P, Gottignies P, Vincent JL; SOAP II Investigators. Comparison of dopamine and norepinephrine in the treatment of shock. </w:t>
      </w:r>
      <w:r w:rsidRPr="00353EAC">
        <w:rPr>
          <w:rFonts w:ascii="Book Antiqua" w:hAnsi="Book Antiqua"/>
          <w:i/>
          <w:iCs/>
        </w:rPr>
        <w:t>N Engl J Med</w:t>
      </w:r>
      <w:r w:rsidRPr="00353EAC">
        <w:rPr>
          <w:rFonts w:ascii="Book Antiqua" w:hAnsi="Book Antiqua"/>
        </w:rPr>
        <w:t xml:space="preserve"> 2010; </w:t>
      </w:r>
      <w:r w:rsidRPr="00353EAC">
        <w:rPr>
          <w:rFonts w:ascii="Book Antiqua" w:hAnsi="Book Antiqua"/>
          <w:b/>
          <w:bCs/>
        </w:rPr>
        <w:t>362</w:t>
      </w:r>
      <w:r w:rsidRPr="00353EAC">
        <w:rPr>
          <w:rFonts w:ascii="Book Antiqua" w:hAnsi="Book Antiqua"/>
        </w:rPr>
        <w:t>: 779-789 [PMID: 20200382 DOI: 10.1056/NEJMoa0907118]</w:t>
      </w:r>
    </w:p>
    <w:p w14:paraId="5045ED3A"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55 </w:t>
      </w:r>
      <w:r w:rsidRPr="00353EAC">
        <w:rPr>
          <w:rFonts w:ascii="Book Antiqua" w:hAnsi="Book Antiqua"/>
          <w:b/>
          <w:bCs/>
        </w:rPr>
        <w:t>Gordon AC</w:t>
      </w:r>
      <w:r w:rsidRPr="00353EAC">
        <w:rPr>
          <w:rFonts w:ascii="Book Antiqua" w:hAnsi="Book Antiqua"/>
        </w:rPr>
        <w:t xml:space="preserve">, Mason AJ, Thirunavukkarasu N, Perkins GD, Cecconi M, Cepkova M, Pogson DG, Aya HD, Anjum A, Frazier GJ, Santhakumaran S, Ashby D, Brett SJ; VANISH Investigators. Effect of Early Vasopressin vs Norepinephrine on Kidney Failure in Patients With Septic Shock: The VANISH Randomized Clinical Trial. </w:t>
      </w:r>
      <w:r w:rsidRPr="00353EAC">
        <w:rPr>
          <w:rFonts w:ascii="Book Antiqua" w:hAnsi="Book Antiqua"/>
          <w:i/>
          <w:iCs/>
        </w:rPr>
        <w:t>JAMA</w:t>
      </w:r>
      <w:r w:rsidRPr="00353EAC">
        <w:rPr>
          <w:rFonts w:ascii="Book Antiqua" w:hAnsi="Book Antiqua"/>
        </w:rPr>
        <w:t xml:space="preserve"> 2016; </w:t>
      </w:r>
      <w:r w:rsidRPr="00353EAC">
        <w:rPr>
          <w:rFonts w:ascii="Book Antiqua" w:hAnsi="Book Antiqua"/>
          <w:b/>
          <w:bCs/>
        </w:rPr>
        <w:t>316</w:t>
      </w:r>
      <w:r w:rsidRPr="00353EAC">
        <w:rPr>
          <w:rFonts w:ascii="Book Antiqua" w:hAnsi="Book Antiqua"/>
        </w:rPr>
        <w:t>: 509-518 [PMID: 27483065 DOI: 10.1001/jama.2016.10485]</w:t>
      </w:r>
    </w:p>
    <w:p w14:paraId="25AAA543"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56 </w:t>
      </w:r>
      <w:r w:rsidRPr="00353EAC">
        <w:rPr>
          <w:rFonts w:ascii="Book Antiqua" w:hAnsi="Book Antiqua"/>
          <w:b/>
          <w:bCs/>
        </w:rPr>
        <w:t>Reardon DP</w:t>
      </w:r>
      <w:r w:rsidRPr="00353EAC">
        <w:rPr>
          <w:rFonts w:ascii="Book Antiqua" w:hAnsi="Book Antiqua"/>
        </w:rPr>
        <w:t xml:space="preserve">, DeGrado JR, Anger KE, Szumita PM. Early vasopressin reduces incidence of new onset arrhythmias. </w:t>
      </w:r>
      <w:r w:rsidRPr="00353EAC">
        <w:rPr>
          <w:rFonts w:ascii="Book Antiqua" w:hAnsi="Book Antiqua"/>
          <w:i/>
          <w:iCs/>
        </w:rPr>
        <w:t>J Crit Care</w:t>
      </w:r>
      <w:r w:rsidRPr="00353EAC">
        <w:rPr>
          <w:rFonts w:ascii="Book Antiqua" w:hAnsi="Book Antiqua"/>
        </w:rPr>
        <w:t xml:space="preserve"> 2014; </w:t>
      </w:r>
      <w:r w:rsidRPr="00353EAC">
        <w:rPr>
          <w:rFonts w:ascii="Book Antiqua" w:hAnsi="Book Antiqua"/>
          <w:b/>
          <w:bCs/>
        </w:rPr>
        <w:t>29</w:t>
      </w:r>
      <w:r w:rsidRPr="00353EAC">
        <w:rPr>
          <w:rFonts w:ascii="Book Antiqua" w:hAnsi="Book Antiqua"/>
        </w:rPr>
        <w:t>: 482-485 [PMID: 24747036 DOI: 10.1016/j.jcrc.2014.03.005]</w:t>
      </w:r>
    </w:p>
    <w:p w14:paraId="1E92B0F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57 </w:t>
      </w:r>
      <w:r w:rsidRPr="00353EAC">
        <w:rPr>
          <w:rFonts w:ascii="Book Antiqua" w:hAnsi="Book Antiqua"/>
          <w:b/>
          <w:bCs/>
        </w:rPr>
        <w:t>Annane D</w:t>
      </w:r>
      <w:r w:rsidRPr="00353EAC">
        <w:rPr>
          <w:rFonts w:ascii="Book Antiqua" w:hAnsi="Book Antiqua"/>
        </w:rPr>
        <w:t xml:space="preserve">, Sébille V, Charpentier C, Bollaert PE, François B, Korach JM, Capellier G, Cohen Y, Azoulay E, Troché G, Chaumet-Riffaud P, Bellissant E. Effect of treatment with low doses of hydrocortisone and fludrocortisone on mortality in patients with septic shock. </w:t>
      </w:r>
      <w:r w:rsidRPr="00353EAC">
        <w:rPr>
          <w:rFonts w:ascii="Book Antiqua" w:hAnsi="Book Antiqua"/>
          <w:i/>
          <w:iCs/>
        </w:rPr>
        <w:t>JAMA</w:t>
      </w:r>
      <w:r w:rsidRPr="00353EAC">
        <w:rPr>
          <w:rFonts w:ascii="Book Antiqua" w:hAnsi="Book Antiqua"/>
        </w:rPr>
        <w:t xml:space="preserve"> 2002; </w:t>
      </w:r>
      <w:r w:rsidRPr="00353EAC">
        <w:rPr>
          <w:rFonts w:ascii="Book Antiqua" w:hAnsi="Book Antiqua"/>
          <w:b/>
          <w:bCs/>
        </w:rPr>
        <w:t>288</w:t>
      </w:r>
      <w:r w:rsidRPr="00353EAC">
        <w:rPr>
          <w:rFonts w:ascii="Book Antiqua" w:hAnsi="Book Antiqua"/>
        </w:rPr>
        <w:t>: 862-871 [PMID: 12186604 DOI: 10.1001/jama.288.7.862]</w:t>
      </w:r>
    </w:p>
    <w:p w14:paraId="7C9CB5D8"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58 </w:t>
      </w:r>
      <w:r w:rsidRPr="00353EAC">
        <w:rPr>
          <w:rFonts w:ascii="Book Antiqua" w:hAnsi="Book Antiqua"/>
          <w:b/>
          <w:bCs/>
        </w:rPr>
        <w:t>Venkatesh B</w:t>
      </w:r>
      <w:r w:rsidRPr="00353EAC">
        <w:rPr>
          <w:rFonts w:ascii="Book Antiqua" w:hAnsi="Book Antiqua"/>
          <w:bCs/>
        </w:rPr>
        <w:t xml:space="preserve">, Finfer S, Cohen J, Rajbhandari D, Arabi Y, Bellomo R, Billot L, Correa M, Glass P, Harward M, Joyce C, Li Q, McArthur C, Perner A, Rhodes A, Thompson K, Webb S, Myburgh J; ADRENAL Trial Investigators and the Australian–New Zealand Intensive Care Society Clinical Trials Group. Adjunctive Glucocorticoid Therapy in </w:t>
      </w:r>
      <w:r w:rsidRPr="00353EAC">
        <w:rPr>
          <w:rFonts w:ascii="Book Antiqua" w:hAnsi="Book Antiqua"/>
          <w:bCs/>
        </w:rPr>
        <w:lastRenderedPageBreak/>
        <w:t xml:space="preserve">Patients with Septic Shock. </w:t>
      </w:r>
      <w:r w:rsidRPr="00353EAC">
        <w:rPr>
          <w:rFonts w:ascii="Book Antiqua" w:hAnsi="Book Antiqua"/>
          <w:bCs/>
          <w:i/>
        </w:rPr>
        <w:t>N Engl J Med</w:t>
      </w:r>
      <w:r w:rsidRPr="00353EAC">
        <w:rPr>
          <w:rFonts w:ascii="Book Antiqua" w:hAnsi="Book Antiqua"/>
          <w:bCs/>
        </w:rPr>
        <w:t xml:space="preserve"> 2018; </w:t>
      </w:r>
      <w:r w:rsidRPr="00353EAC">
        <w:rPr>
          <w:rFonts w:ascii="Book Antiqua" w:hAnsi="Book Antiqua"/>
          <w:b/>
          <w:bCs/>
        </w:rPr>
        <w:t>378:</w:t>
      </w:r>
      <w:r w:rsidRPr="00353EAC">
        <w:rPr>
          <w:rFonts w:ascii="Book Antiqua" w:hAnsi="Book Antiqua"/>
          <w:bCs/>
        </w:rPr>
        <w:t xml:space="preserve"> 797-808 [PMID: 29347874 DOI: 10.1056/NEJMoa1705835]</w:t>
      </w:r>
    </w:p>
    <w:p w14:paraId="22F91ACE"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59 </w:t>
      </w:r>
      <w:r w:rsidRPr="00353EAC">
        <w:rPr>
          <w:rFonts w:ascii="Book Antiqua" w:hAnsi="Book Antiqua"/>
          <w:b/>
          <w:bCs/>
        </w:rPr>
        <w:t>Annane D</w:t>
      </w:r>
      <w:r w:rsidRPr="00353EAC">
        <w:rPr>
          <w:rFonts w:ascii="Book Antiqua" w:hAnsi="Book Antiqua"/>
        </w:rPr>
        <w:t xml:space="preserve">, Renault A, Brun-Buisson C, Megarbane B, Quenot JP, Siami S, Cariou A, Forceville X, Schwebel C, Martin C, Timsit JF, Misset B, Ali Benali M, Colin G, Souweine B, Asehnoune K, Mercier E, Chimot L, Charpentier C, François B, Boulain T, Petitpas F, Constantin JM, Dhonneur G, Baudin F, Combes A, Bohé J, Loriferne JF, Amathieu R, Cook F, Slama M, Leroy O, Capellier G, Dargent A, Hissem T, Maxime V, Bellissant E; CRICS-TRIGGERSEP Network. Hydrocortisone plus Fludrocortisone for Adults with Septic Shock. </w:t>
      </w:r>
      <w:r w:rsidRPr="00353EAC">
        <w:rPr>
          <w:rFonts w:ascii="Book Antiqua" w:hAnsi="Book Antiqua"/>
          <w:i/>
          <w:iCs/>
        </w:rPr>
        <w:t>N Engl J Med</w:t>
      </w:r>
      <w:r w:rsidRPr="00353EAC">
        <w:rPr>
          <w:rFonts w:ascii="Book Antiqua" w:hAnsi="Book Antiqua"/>
        </w:rPr>
        <w:t xml:space="preserve"> 2018; </w:t>
      </w:r>
      <w:r w:rsidRPr="00353EAC">
        <w:rPr>
          <w:rFonts w:ascii="Book Antiqua" w:hAnsi="Book Antiqua"/>
          <w:b/>
          <w:bCs/>
        </w:rPr>
        <w:t>378</w:t>
      </w:r>
      <w:r w:rsidRPr="00353EAC">
        <w:rPr>
          <w:rFonts w:ascii="Book Antiqua" w:hAnsi="Book Antiqua"/>
        </w:rPr>
        <w:t>: 809-818 [PMID: 29490185 DOI: 10.1056/NEJMoa1705716]</w:t>
      </w:r>
    </w:p>
    <w:p w14:paraId="498603B6"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60 </w:t>
      </w:r>
      <w:r w:rsidRPr="00353EAC">
        <w:rPr>
          <w:rFonts w:ascii="Book Antiqua" w:hAnsi="Book Antiqua"/>
          <w:b/>
          <w:bCs/>
        </w:rPr>
        <w:t>Sprung CL</w:t>
      </w:r>
      <w:r w:rsidRPr="00353EAC">
        <w:rPr>
          <w:rFonts w:ascii="Book Antiqua" w:hAnsi="Book Antiqua"/>
        </w:rPr>
        <w:t xml:space="preserve">, Annane D, Keh D, Moreno R, Singer M, Freivogel K, Weiss YG, Benbenishty J, Kalenka A, Forst H, Laterre PF, Reinhart K, Cuthbertson BH, Payen D, Briegel J; CORTICUS Study Group. Hydrocortisone therapy for patients with septic shock. </w:t>
      </w:r>
      <w:r w:rsidRPr="00353EAC">
        <w:rPr>
          <w:rFonts w:ascii="Book Antiqua" w:hAnsi="Book Antiqua"/>
          <w:i/>
          <w:iCs/>
        </w:rPr>
        <w:t>N Engl J Med</w:t>
      </w:r>
      <w:r w:rsidRPr="00353EAC">
        <w:rPr>
          <w:rFonts w:ascii="Book Antiqua" w:hAnsi="Book Antiqua"/>
        </w:rPr>
        <w:t xml:space="preserve"> 2008; </w:t>
      </w:r>
      <w:r w:rsidRPr="00353EAC">
        <w:rPr>
          <w:rFonts w:ascii="Book Antiqua" w:hAnsi="Book Antiqua"/>
          <w:b/>
          <w:bCs/>
        </w:rPr>
        <w:t>358</w:t>
      </w:r>
      <w:r w:rsidRPr="00353EAC">
        <w:rPr>
          <w:rFonts w:ascii="Book Antiqua" w:hAnsi="Book Antiqua"/>
        </w:rPr>
        <w:t>: 111-124 [PMID: 18184957 DOI: 10.1056/NEJMoa071366]</w:t>
      </w:r>
    </w:p>
    <w:p w14:paraId="354943C5"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61 </w:t>
      </w:r>
      <w:r w:rsidRPr="00353EAC">
        <w:rPr>
          <w:rFonts w:ascii="Book Antiqua" w:hAnsi="Book Antiqua"/>
          <w:b/>
          <w:bCs/>
        </w:rPr>
        <w:t>Bai X</w:t>
      </w:r>
      <w:r w:rsidRPr="00353EAC">
        <w:rPr>
          <w:rFonts w:ascii="Book Antiqua" w:hAnsi="Book Antiqua"/>
        </w:rPr>
        <w:t xml:space="preserve">, Yu W, Ji W, Lin Z, Tan S, Duan K, Dong Y, Xu L, Li N. Early versus delayed administration of norepinephrine in patients with septic shock. </w:t>
      </w:r>
      <w:r w:rsidRPr="00353EAC">
        <w:rPr>
          <w:rFonts w:ascii="Book Antiqua" w:hAnsi="Book Antiqua"/>
          <w:i/>
          <w:iCs/>
        </w:rPr>
        <w:t>Crit Care</w:t>
      </w:r>
      <w:r w:rsidRPr="00353EAC">
        <w:rPr>
          <w:rFonts w:ascii="Book Antiqua" w:hAnsi="Book Antiqua"/>
        </w:rPr>
        <w:t xml:space="preserve"> 2014; </w:t>
      </w:r>
      <w:r w:rsidRPr="00353EAC">
        <w:rPr>
          <w:rFonts w:ascii="Book Antiqua" w:hAnsi="Book Antiqua"/>
          <w:b/>
          <w:bCs/>
        </w:rPr>
        <w:t>18</w:t>
      </w:r>
      <w:r w:rsidRPr="00353EAC">
        <w:rPr>
          <w:rFonts w:ascii="Book Antiqua" w:hAnsi="Book Antiqua"/>
        </w:rPr>
        <w:t>: 532 [PMID: 25277635 DOI: 10.1186/s13054-014-0532-y]</w:t>
      </w:r>
    </w:p>
    <w:p w14:paraId="56B9B08F"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62 </w:t>
      </w:r>
      <w:r w:rsidRPr="00353EAC">
        <w:rPr>
          <w:rFonts w:ascii="Book Antiqua" w:hAnsi="Book Antiqua"/>
          <w:b/>
          <w:bCs/>
        </w:rPr>
        <w:t>Colon Hidalgo D</w:t>
      </w:r>
      <w:r w:rsidRPr="00353EAC">
        <w:rPr>
          <w:rFonts w:ascii="Book Antiqua" w:hAnsi="Book Antiqua"/>
        </w:rPr>
        <w:t xml:space="preserve">, Patel J, Masic D, Park D, Rech MA. Delayed vasopressor initiation is associated with increased mortality in patients with septic shock. </w:t>
      </w:r>
      <w:r w:rsidRPr="00353EAC">
        <w:rPr>
          <w:rFonts w:ascii="Book Antiqua" w:hAnsi="Book Antiqua"/>
          <w:i/>
          <w:iCs/>
        </w:rPr>
        <w:t>J Crit Care</w:t>
      </w:r>
      <w:r w:rsidRPr="00353EAC">
        <w:rPr>
          <w:rFonts w:ascii="Book Antiqua" w:hAnsi="Book Antiqua"/>
        </w:rPr>
        <w:t xml:space="preserve"> 2020; </w:t>
      </w:r>
      <w:r w:rsidRPr="00353EAC">
        <w:rPr>
          <w:rFonts w:ascii="Book Antiqua" w:hAnsi="Book Antiqua"/>
          <w:b/>
          <w:bCs/>
        </w:rPr>
        <w:t>55</w:t>
      </w:r>
      <w:r w:rsidRPr="00353EAC">
        <w:rPr>
          <w:rFonts w:ascii="Book Antiqua" w:hAnsi="Book Antiqua"/>
        </w:rPr>
        <w:t>: 145-148 [PMID: 31731173 DOI: 10.1016/j.jcrc.2019.11.004]</w:t>
      </w:r>
    </w:p>
    <w:p w14:paraId="2CB74F8B"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63 </w:t>
      </w:r>
      <w:r w:rsidRPr="00353EAC">
        <w:rPr>
          <w:rFonts w:ascii="Book Antiqua" w:hAnsi="Book Antiqua"/>
          <w:b/>
          <w:bCs/>
        </w:rPr>
        <w:t>Elbouhy MA</w:t>
      </w:r>
      <w:r w:rsidRPr="00353EAC">
        <w:rPr>
          <w:rFonts w:ascii="Book Antiqua" w:hAnsi="Book Antiqua"/>
        </w:rPr>
        <w:t xml:space="preserve">, Soliman M, Gaber A, Taema KM, Abdel-Aziz A. Early Use of Norepinephrine Improves Survival in Septic Shock: Earlier than Early. </w:t>
      </w:r>
      <w:r w:rsidRPr="00353EAC">
        <w:rPr>
          <w:rFonts w:ascii="Book Antiqua" w:hAnsi="Book Antiqua"/>
          <w:i/>
          <w:iCs/>
        </w:rPr>
        <w:t>Arch Med Res</w:t>
      </w:r>
      <w:r w:rsidRPr="00353EAC">
        <w:rPr>
          <w:rFonts w:ascii="Book Antiqua" w:hAnsi="Book Antiqua"/>
        </w:rPr>
        <w:t xml:space="preserve"> 2019; </w:t>
      </w:r>
      <w:r w:rsidRPr="00353EAC">
        <w:rPr>
          <w:rFonts w:ascii="Book Antiqua" w:hAnsi="Book Antiqua"/>
          <w:b/>
          <w:bCs/>
        </w:rPr>
        <w:t>50</w:t>
      </w:r>
      <w:r w:rsidRPr="00353EAC">
        <w:rPr>
          <w:rFonts w:ascii="Book Antiqua" w:hAnsi="Book Antiqua"/>
        </w:rPr>
        <w:t>: 325-332 [PMID: 31677537 DOI: 10.1016/j.arcmed.2019.10.003]</w:t>
      </w:r>
    </w:p>
    <w:p w14:paraId="0F734910"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64 </w:t>
      </w:r>
      <w:r w:rsidRPr="00353EAC">
        <w:rPr>
          <w:rFonts w:ascii="Book Antiqua" w:hAnsi="Book Antiqua"/>
          <w:b/>
          <w:bCs/>
        </w:rPr>
        <w:t>Ospina-Tascón GA</w:t>
      </w:r>
      <w:r w:rsidRPr="00353EAC">
        <w:rPr>
          <w:rFonts w:ascii="Book Antiqua" w:hAnsi="Book Antiqua"/>
        </w:rPr>
        <w:t xml:space="preserve">, Hernandez G, Alvarez I, Calderón-Tapia LE, Manzano-Nunez R, Sánchez-Ortiz AI, Quiñones E, Ruiz-Yucuma JE, Aldana JL, Teboul JL, Cavalcanti AB, De Backer D, Bakker J. Effects of very early start of norepinephrine in patients with septic shock: a propensity score-based analysis. </w:t>
      </w:r>
      <w:r w:rsidRPr="00353EAC">
        <w:rPr>
          <w:rFonts w:ascii="Book Antiqua" w:hAnsi="Book Antiqua"/>
          <w:i/>
          <w:iCs/>
        </w:rPr>
        <w:t>Crit Care</w:t>
      </w:r>
      <w:r w:rsidRPr="00353EAC">
        <w:rPr>
          <w:rFonts w:ascii="Book Antiqua" w:hAnsi="Book Antiqua"/>
        </w:rPr>
        <w:t xml:space="preserve"> 2020; </w:t>
      </w:r>
      <w:r w:rsidRPr="00353EAC">
        <w:rPr>
          <w:rFonts w:ascii="Book Antiqua" w:hAnsi="Book Antiqua"/>
          <w:b/>
          <w:bCs/>
        </w:rPr>
        <w:t>24</w:t>
      </w:r>
      <w:r w:rsidRPr="00353EAC">
        <w:rPr>
          <w:rFonts w:ascii="Book Antiqua" w:hAnsi="Book Antiqua"/>
        </w:rPr>
        <w:t>: 52 [PMID: 32059682 DOI: 10.1186/s13054-020-2756-3]</w:t>
      </w:r>
    </w:p>
    <w:p w14:paraId="54C69BD1" w14:textId="77777777" w:rsidR="009041B5" w:rsidRPr="00353EAC" w:rsidRDefault="00F74228" w:rsidP="0033042F">
      <w:pPr>
        <w:spacing w:line="360" w:lineRule="auto"/>
        <w:rPr>
          <w:rFonts w:ascii="Book Antiqua" w:hAnsi="Book Antiqua"/>
        </w:rPr>
      </w:pPr>
      <w:r w:rsidRPr="00353EAC">
        <w:rPr>
          <w:rFonts w:ascii="Book Antiqua" w:hAnsi="Book Antiqua"/>
        </w:rPr>
        <w:lastRenderedPageBreak/>
        <w:t xml:space="preserve">65 </w:t>
      </w:r>
      <w:r w:rsidRPr="00353EAC">
        <w:rPr>
          <w:rFonts w:ascii="Book Antiqua" w:hAnsi="Book Antiqua"/>
          <w:b/>
          <w:bCs/>
        </w:rPr>
        <w:t>Yeo HJ</w:t>
      </w:r>
      <w:r w:rsidRPr="00353EAC">
        <w:rPr>
          <w:rFonts w:ascii="Book Antiqua" w:hAnsi="Book Antiqua"/>
        </w:rPr>
        <w:t xml:space="preserve">, Lee YS, Kim TH, Jang JH, Lee HB, Oh DK, Park MH, Lim CM, Cho WH; Korean Sepsis Alliance (KSA) Investigators. Vasopressor Initiation Within 1 Hour of Fluid Loading Is Associated With Increased Mortality in Septic Shock Patients: Analysis of National Registry Data. </w:t>
      </w:r>
      <w:r w:rsidRPr="00353EAC">
        <w:rPr>
          <w:rFonts w:ascii="Book Antiqua" w:hAnsi="Book Antiqua"/>
          <w:i/>
          <w:iCs/>
        </w:rPr>
        <w:t>Crit Care Med</w:t>
      </w:r>
      <w:r w:rsidRPr="00353EAC">
        <w:rPr>
          <w:rFonts w:ascii="Book Antiqua" w:hAnsi="Book Antiqua"/>
        </w:rPr>
        <w:t xml:space="preserve"> 2022; </w:t>
      </w:r>
      <w:r w:rsidRPr="00353EAC">
        <w:rPr>
          <w:rFonts w:ascii="Book Antiqua" w:hAnsi="Book Antiqua"/>
          <w:b/>
          <w:bCs/>
        </w:rPr>
        <w:t>50</w:t>
      </w:r>
      <w:r w:rsidRPr="00353EAC">
        <w:rPr>
          <w:rFonts w:ascii="Book Antiqua" w:hAnsi="Book Antiqua"/>
        </w:rPr>
        <w:t>: e351-e360 [PMID: 34612848 DOI: 10.1097/CCM.0000000000005363]</w:t>
      </w:r>
    </w:p>
    <w:p w14:paraId="625472D2" w14:textId="77777777" w:rsidR="009041B5" w:rsidRPr="00353EAC" w:rsidRDefault="00F74228" w:rsidP="0033042F">
      <w:pPr>
        <w:spacing w:line="360" w:lineRule="auto"/>
        <w:rPr>
          <w:rFonts w:ascii="Book Antiqua" w:hAnsi="Book Antiqua"/>
        </w:rPr>
      </w:pPr>
      <w:r w:rsidRPr="00353EAC">
        <w:rPr>
          <w:rFonts w:ascii="Book Antiqua" w:hAnsi="Book Antiqua"/>
        </w:rPr>
        <w:t xml:space="preserve">66 </w:t>
      </w:r>
      <w:r w:rsidRPr="00353EAC">
        <w:rPr>
          <w:rFonts w:ascii="Book Antiqua" w:hAnsi="Book Antiqua"/>
          <w:b/>
          <w:bCs/>
        </w:rPr>
        <w:t>Khanna A</w:t>
      </w:r>
      <w:r w:rsidRPr="00353EAC">
        <w:rPr>
          <w:rFonts w:ascii="Book Antiqua" w:hAnsi="Book Antiqua"/>
        </w:rPr>
        <w:t xml:space="preserve">, English SW, Wang XS, Ham K, Tumlin J, Szerlip H, Busse LW, Altaweel L, Albertson TE, Mackey C, McCurdy MT, Boldt DW, Chock S, Young PJ, Krell K, Wunderink RG, Ostermann M, Murugan R, Gong MN, Panwar R, Hästbacka J, Favory R, Venkatesh B, Thompson BT, Bellomo R, Jensen J, Kroll S, Chawla LS, Tidmarsh GF, Deane AM; ATHOS-3 Investigators. Angiotensin II for the Treatment of Vasodilatory Shock. </w:t>
      </w:r>
      <w:r w:rsidRPr="00353EAC">
        <w:rPr>
          <w:rFonts w:ascii="Book Antiqua" w:hAnsi="Book Antiqua"/>
          <w:i/>
          <w:iCs/>
        </w:rPr>
        <w:t>N Engl J Med</w:t>
      </w:r>
      <w:r w:rsidRPr="00353EAC">
        <w:rPr>
          <w:rFonts w:ascii="Book Antiqua" w:hAnsi="Book Antiqua"/>
        </w:rPr>
        <w:t xml:space="preserve"> 2017; </w:t>
      </w:r>
      <w:r w:rsidRPr="00353EAC">
        <w:rPr>
          <w:rFonts w:ascii="Book Antiqua" w:hAnsi="Book Antiqua"/>
          <w:b/>
          <w:bCs/>
        </w:rPr>
        <w:t>377</w:t>
      </w:r>
      <w:r w:rsidRPr="00353EAC">
        <w:rPr>
          <w:rFonts w:ascii="Book Antiqua" w:hAnsi="Book Antiqua"/>
        </w:rPr>
        <w:t>: 419-430 [PMID: 28528561 DOI: 10.1056/NEJMoa1704154]</w:t>
      </w:r>
    </w:p>
    <w:p w14:paraId="5CC5D095" w14:textId="77777777" w:rsidR="009041B5" w:rsidRPr="00353EAC" w:rsidRDefault="009041B5" w:rsidP="0033042F">
      <w:pPr>
        <w:spacing w:line="360" w:lineRule="auto"/>
        <w:rPr>
          <w:rFonts w:ascii="Book Antiqua" w:hAnsi="Book Antiqua"/>
        </w:rPr>
      </w:pPr>
    </w:p>
    <w:p w14:paraId="2BDFCC5B" w14:textId="77777777" w:rsidR="009041B5" w:rsidRPr="00353EAC" w:rsidRDefault="009041B5" w:rsidP="0033042F">
      <w:pPr>
        <w:spacing w:line="360" w:lineRule="auto"/>
        <w:rPr>
          <w:rFonts w:ascii="Book Antiqua" w:hAnsi="Book Antiqua"/>
        </w:rPr>
        <w:sectPr w:rsidR="009041B5" w:rsidRPr="00353EAC">
          <w:pgSz w:w="12240" w:h="15840"/>
          <w:pgMar w:top="1440" w:right="1440" w:bottom="1440" w:left="1440" w:header="720" w:footer="720" w:gutter="0"/>
          <w:cols w:space="720"/>
          <w:docGrid w:linePitch="360"/>
        </w:sectPr>
      </w:pPr>
    </w:p>
    <w:p w14:paraId="43AF8BE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lastRenderedPageBreak/>
        <w:t>Footnotes</w:t>
      </w:r>
    </w:p>
    <w:p w14:paraId="4098379A"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Conflict-of-interest statement: </w:t>
      </w:r>
      <w:r w:rsidRPr="00353EAC">
        <w:rPr>
          <w:rFonts w:ascii="Book Antiqua" w:eastAsia="Book Antiqua" w:hAnsi="Book Antiqua" w:cs="Book Antiqua"/>
        </w:rPr>
        <w:t>All authors declare that they have no competing interests.</w:t>
      </w:r>
    </w:p>
    <w:p w14:paraId="2A99D860" w14:textId="77777777" w:rsidR="009041B5" w:rsidRPr="00353EAC" w:rsidRDefault="009041B5" w:rsidP="0033042F">
      <w:pPr>
        <w:spacing w:line="360" w:lineRule="auto"/>
        <w:rPr>
          <w:rFonts w:ascii="Book Antiqua" w:hAnsi="Book Antiqua"/>
        </w:rPr>
      </w:pPr>
    </w:p>
    <w:p w14:paraId="6B0EB503"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bCs/>
        </w:rPr>
        <w:t xml:space="preserve">Open-Access: </w:t>
      </w:r>
      <w:r w:rsidRPr="00353EA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500DDA" w:rsidRPr="006C1F7A">
          <w:rPr>
            <w:rStyle w:val="af0"/>
            <w:rFonts w:ascii="Book Antiqua" w:eastAsia="Book Antiqua" w:hAnsi="Book Antiqua" w:cs="Book Antiqua"/>
          </w:rPr>
          <w:t>https://creativecommons</w:t>
        </w:r>
      </w:hyperlink>
      <w:r w:rsidRPr="00353EAC">
        <w:rPr>
          <w:rFonts w:ascii="Book Antiqua" w:eastAsia="Book Antiqua" w:hAnsi="Book Antiqua" w:cs="Book Antiqua"/>
        </w:rPr>
        <w:t>.org/Licenses/by-nc/4.0/</w:t>
      </w:r>
    </w:p>
    <w:p w14:paraId="2E4321A3" w14:textId="77777777" w:rsidR="009041B5" w:rsidRPr="00353EAC" w:rsidRDefault="009041B5" w:rsidP="0033042F">
      <w:pPr>
        <w:spacing w:line="360" w:lineRule="auto"/>
        <w:rPr>
          <w:rFonts w:ascii="Book Antiqua" w:hAnsi="Book Antiqua"/>
        </w:rPr>
      </w:pPr>
    </w:p>
    <w:p w14:paraId="606E3345"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Provenance and peer review: </w:t>
      </w:r>
      <w:r w:rsidRPr="00353EAC">
        <w:rPr>
          <w:rFonts w:ascii="Book Antiqua" w:eastAsia="Book Antiqua" w:hAnsi="Book Antiqua" w:cs="Book Antiqua"/>
        </w:rPr>
        <w:t>Invited article; Externally peer reviewed.</w:t>
      </w:r>
    </w:p>
    <w:p w14:paraId="7EB1BBB9"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Peer-review model: </w:t>
      </w:r>
      <w:r w:rsidRPr="00353EAC">
        <w:rPr>
          <w:rFonts w:ascii="Book Antiqua" w:eastAsia="Book Antiqua" w:hAnsi="Book Antiqua" w:cs="Book Antiqua"/>
        </w:rPr>
        <w:t>Single blind</w:t>
      </w:r>
    </w:p>
    <w:p w14:paraId="037BAA5D" w14:textId="77777777" w:rsidR="009041B5" w:rsidRPr="00353EAC" w:rsidRDefault="009041B5" w:rsidP="0033042F">
      <w:pPr>
        <w:spacing w:line="360" w:lineRule="auto"/>
        <w:rPr>
          <w:rFonts w:ascii="Book Antiqua" w:hAnsi="Book Antiqua"/>
        </w:rPr>
      </w:pPr>
    </w:p>
    <w:p w14:paraId="3A435288"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Peer-review started: </w:t>
      </w:r>
      <w:r w:rsidRPr="00353EAC">
        <w:rPr>
          <w:rFonts w:ascii="Book Antiqua" w:eastAsia="Book Antiqua" w:hAnsi="Book Antiqua" w:cs="Book Antiqua"/>
        </w:rPr>
        <w:t>March 20, 2023</w:t>
      </w:r>
    </w:p>
    <w:p w14:paraId="43C1ED58"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First decision: </w:t>
      </w:r>
      <w:r w:rsidRPr="00353EAC">
        <w:rPr>
          <w:rFonts w:ascii="Book Antiqua" w:eastAsia="Book Antiqua" w:hAnsi="Book Antiqua" w:cs="Book Antiqua"/>
        </w:rPr>
        <w:t>June 14, 2023</w:t>
      </w:r>
    </w:p>
    <w:p w14:paraId="01BB1CD1" w14:textId="3485FA78"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Article in press:</w:t>
      </w:r>
      <w:r w:rsidR="003A44B4">
        <w:rPr>
          <w:rFonts w:ascii="Book Antiqua" w:hAnsi="Book Antiqua" w:cs="Book Antiqua" w:hint="eastAsia"/>
          <w:b/>
          <w:color w:val="000000"/>
          <w:lang w:eastAsia="zh-CN"/>
        </w:rPr>
        <w:t xml:space="preserve"> </w:t>
      </w:r>
      <w:r w:rsidR="003A44B4" w:rsidRPr="00B345AE">
        <w:rPr>
          <w:rFonts w:ascii="Book Antiqua" w:eastAsia="Book Antiqua" w:hAnsi="Book Antiqua" w:cs="Book Antiqua"/>
        </w:rPr>
        <w:t>July 17, 2023</w:t>
      </w:r>
      <w:r w:rsidRPr="00353EAC">
        <w:rPr>
          <w:rFonts w:ascii="Book Antiqua" w:eastAsia="Book Antiqua" w:hAnsi="Book Antiqua" w:cs="Book Antiqua"/>
          <w:b/>
          <w:color w:val="000000"/>
        </w:rPr>
        <w:t xml:space="preserve"> </w:t>
      </w:r>
    </w:p>
    <w:p w14:paraId="024D3B39" w14:textId="77777777" w:rsidR="009041B5" w:rsidRPr="00353EAC" w:rsidRDefault="009041B5" w:rsidP="0033042F">
      <w:pPr>
        <w:spacing w:line="360" w:lineRule="auto"/>
        <w:rPr>
          <w:rFonts w:ascii="Book Antiqua" w:hAnsi="Book Antiqua"/>
        </w:rPr>
      </w:pPr>
    </w:p>
    <w:p w14:paraId="67E59D26"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Specialty type: </w:t>
      </w:r>
      <w:r w:rsidRPr="00353EAC">
        <w:rPr>
          <w:rFonts w:ascii="Book Antiqua" w:eastAsia="Book Antiqua" w:hAnsi="Book Antiqua" w:cs="Book Antiqua"/>
        </w:rPr>
        <w:t>Critical care medicine</w:t>
      </w:r>
    </w:p>
    <w:p w14:paraId="6ECAA86B"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 xml:space="preserve">Country/Territory of origin: </w:t>
      </w:r>
      <w:r w:rsidRPr="00353EAC">
        <w:rPr>
          <w:rFonts w:ascii="Book Antiqua" w:eastAsia="Book Antiqua" w:hAnsi="Book Antiqua" w:cs="Book Antiqua"/>
        </w:rPr>
        <w:t>China</w:t>
      </w:r>
    </w:p>
    <w:p w14:paraId="6FABFF76"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t>Peer-review report’s scientific quality classification</w:t>
      </w:r>
    </w:p>
    <w:p w14:paraId="347455F8"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A (Excellent): 0</w:t>
      </w:r>
    </w:p>
    <w:p w14:paraId="6E12C78F"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B (Very good): 0</w:t>
      </w:r>
    </w:p>
    <w:p w14:paraId="617EA931"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C (Good): C, C</w:t>
      </w:r>
    </w:p>
    <w:p w14:paraId="532D9A89"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D (Fair): 0</w:t>
      </w:r>
    </w:p>
    <w:p w14:paraId="178E5C87"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rPr>
        <w:t>Grade E (Poor): E</w:t>
      </w:r>
    </w:p>
    <w:p w14:paraId="4B8069F4" w14:textId="77777777" w:rsidR="009041B5" w:rsidRPr="00353EAC" w:rsidRDefault="009041B5" w:rsidP="0033042F">
      <w:pPr>
        <w:spacing w:line="360" w:lineRule="auto"/>
        <w:rPr>
          <w:rFonts w:ascii="Book Antiqua" w:hAnsi="Book Antiqua"/>
        </w:rPr>
      </w:pPr>
    </w:p>
    <w:p w14:paraId="186D975A" w14:textId="12E6A3B0" w:rsidR="009041B5" w:rsidRPr="00353EAC" w:rsidRDefault="00F74228" w:rsidP="0033042F">
      <w:pPr>
        <w:spacing w:line="360" w:lineRule="auto"/>
        <w:rPr>
          <w:rFonts w:ascii="Book Antiqua" w:hAnsi="Book Antiqua"/>
        </w:rPr>
        <w:sectPr w:rsidR="009041B5" w:rsidRPr="00353EAC">
          <w:pgSz w:w="12240" w:h="15840"/>
          <w:pgMar w:top="1440" w:right="1440" w:bottom="1440" w:left="1440" w:header="720" w:footer="720" w:gutter="0"/>
          <w:cols w:space="720"/>
          <w:docGrid w:linePitch="360"/>
        </w:sectPr>
      </w:pPr>
      <w:r w:rsidRPr="00353EAC">
        <w:rPr>
          <w:rFonts w:ascii="Book Antiqua" w:eastAsia="Book Antiqua" w:hAnsi="Book Antiqua" w:cs="Book Antiqua"/>
          <w:b/>
          <w:color w:val="000000"/>
        </w:rPr>
        <w:lastRenderedPageBreak/>
        <w:t xml:space="preserve">P-Reviewer: </w:t>
      </w:r>
      <w:r w:rsidRPr="00353EAC">
        <w:rPr>
          <w:rFonts w:ascii="Book Antiqua" w:eastAsia="Book Antiqua" w:hAnsi="Book Antiqua" w:cs="Book Antiqua"/>
        </w:rPr>
        <w:t>Bittner EA, United States; Karim HMR, India; Shelat VG, Singapore</w:t>
      </w:r>
      <w:r w:rsidRPr="00353EAC">
        <w:rPr>
          <w:rFonts w:ascii="Book Antiqua" w:eastAsia="Book Antiqua" w:hAnsi="Book Antiqua" w:cs="Book Antiqua"/>
          <w:b/>
          <w:color w:val="000000"/>
        </w:rPr>
        <w:t xml:space="preserve"> S-Editor: </w:t>
      </w:r>
      <w:r w:rsidRPr="00353EAC">
        <w:rPr>
          <w:rFonts w:ascii="Book Antiqua" w:eastAsia="Book Antiqua" w:hAnsi="Book Antiqua" w:cs="Book Antiqua"/>
          <w:color w:val="000000"/>
        </w:rPr>
        <w:t>Liu JH</w:t>
      </w:r>
      <w:r w:rsidRPr="00353EAC">
        <w:rPr>
          <w:rFonts w:ascii="Book Antiqua" w:eastAsia="Book Antiqua" w:hAnsi="Book Antiqua" w:cs="Book Antiqua"/>
          <w:b/>
          <w:color w:val="000000"/>
        </w:rPr>
        <w:t xml:space="preserve"> L-Editor: </w:t>
      </w:r>
      <w:r w:rsidR="00500DDA">
        <w:rPr>
          <w:rFonts w:ascii="Book Antiqua" w:eastAsia="Book Antiqua" w:hAnsi="Book Antiqua" w:cs="Book Antiqua"/>
          <w:bCs/>
          <w:color w:val="000000"/>
        </w:rPr>
        <w:t>Kerr C</w:t>
      </w:r>
      <w:r w:rsidRPr="00353EAC">
        <w:rPr>
          <w:rFonts w:ascii="Book Antiqua" w:eastAsia="Book Antiqua" w:hAnsi="Book Antiqua" w:cs="Book Antiqua"/>
          <w:b/>
          <w:color w:val="000000"/>
        </w:rPr>
        <w:t xml:space="preserve"> P-Editor:</w:t>
      </w:r>
      <w:r w:rsidR="003A44B4">
        <w:rPr>
          <w:rFonts w:ascii="Book Antiqua" w:hAnsi="Book Antiqua" w:cs="Book Antiqua" w:hint="eastAsia"/>
          <w:b/>
          <w:color w:val="000000"/>
          <w:lang w:eastAsia="zh-CN"/>
        </w:rPr>
        <w:t xml:space="preserve"> </w:t>
      </w:r>
      <w:r w:rsidR="003A44B4" w:rsidRPr="003A44B4">
        <w:rPr>
          <w:rFonts w:ascii="Book Antiqua" w:hAnsi="Book Antiqua" w:cs="Book Antiqua" w:hint="eastAsia"/>
          <w:color w:val="000000"/>
          <w:lang w:eastAsia="zh-CN"/>
        </w:rPr>
        <w:t>Zhang YL</w:t>
      </w:r>
      <w:r w:rsidRPr="00353EAC">
        <w:rPr>
          <w:rFonts w:ascii="Book Antiqua" w:eastAsia="Book Antiqua" w:hAnsi="Book Antiqua" w:cs="Book Antiqua"/>
          <w:b/>
          <w:color w:val="000000"/>
        </w:rPr>
        <w:t xml:space="preserve"> </w:t>
      </w:r>
    </w:p>
    <w:p w14:paraId="3F5405C7" w14:textId="77777777" w:rsidR="009041B5" w:rsidRPr="00353EAC" w:rsidRDefault="00F74228" w:rsidP="0033042F">
      <w:pPr>
        <w:spacing w:line="360" w:lineRule="auto"/>
        <w:rPr>
          <w:rFonts w:ascii="Book Antiqua" w:hAnsi="Book Antiqua"/>
        </w:rPr>
      </w:pPr>
      <w:r w:rsidRPr="00353EAC">
        <w:rPr>
          <w:rFonts w:ascii="Book Antiqua" w:eastAsia="Book Antiqua" w:hAnsi="Book Antiqua" w:cs="Book Antiqua"/>
          <w:b/>
          <w:color w:val="000000"/>
        </w:rPr>
        <w:lastRenderedPageBreak/>
        <w:t>Figure Legends</w:t>
      </w:r>
    </w:p>
    <w:p w14:paraId="156E71F8" w14:textId="50C34D5B" w:rsidR="009041B5" w:rsidRPr="00353EAC" w:rsidRDefault="00FF54CD" w:rsidP="0033042F">
      <w:pPr>
        <w:spacing w:line="360" w:lineRule="auto"/>
        <w:rPr>
          <w:rFonts w:ascii="Book Antiqua" w:eastAsia="Book Antiqua" w:hAnsi="Book Antiqua" w:cs="Book Antiqua"/>
          <w:b/>
        </w:rPr>
      </w:pPr>
      <w:r>
        <w:rPr>
          <w:noProof/>
        </w:rPr>
        <w:drawing>
          <wp:inline distT="0" distB="0" distL="0" distR="0" wp14:anchorId="7D3A635C" wp14:editId="74AA9FD9">
            <wp:extent cx="5939155" cy="3514725"/>
            <wp:effectExtent l="0" t="0" r="0" b="0"/>
            <wp:docPr id="117281817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155" cy="3514725"/>
                    </a:xfrm>
                    <a:prstGeom prst="rect">
                      <a:avLst/>
                    </a:prstGeom>
                    <a:noFill/>
                    <a:ln>
                      <a:noFill/>
                    </a:ln>
                  </pic:spPr>
                </pic:pic>
              </a:graphicData>
            </a:graphic>
          </wp:inline>
        </w:drawing>
      </w:r>
    </w:p>
    <w:p w14:paraId="4917064B" w14:textId="77777777" w:rsidR="009041B5" w:rsidRPr="00353EAC" w:rsidRDefault="00F74228" w:rsidP="0033042F">
      <w:pPr>
        <w:spacing w:line="360" w:lineRule="auto"/>
        <w:rPr>
          <w:rFonts w:ascii="Book Antiqua" w:eastAsia="Book Antiqua" w:hAnsi="Book Antiqua" w:cs="Book Antiqua"/>
          <w:b/>
        </w:rPr>
      </w:pPr>
      <w:r w:rsidRPr="00353EAC">
        <w:rPr>
          <w:rFonts w:ascii="Book Antiqua" w:eastAsia="Book Antiqua" w:hAnsi="Book Antiqua" w:cs="Book Antiqua"/>
          <w:b/>
        </w:rPr>
        <w:t>Figure 1 The PRISMA flow diagram of literature search, screen, and selection criteria.</w:t>
      </w:r>
    </w:p>
    <w:p w14:paraId="135944DD" w14:textId="77777777" w:rsidR="009041B5" w:rsidRPr="00353EAC" w:rsidRDefault="009041B5" w:rsidP="0033042F">
      <w:pPr>
        <w:spacing w:line="360" w:lineRule="auto"/>
        <w:rPr>
          <w:rFonts w:ascii="Book Antiqua" w:eastAsia="Book Antiqua" w:hAnsi="Book Antiqua" w:cs="Book Antiqua"/>
          <w:b/>
        </w:rPr>
      </w:pPr>
    </w:p>
    <w:p w14:paraId="62B38F0D" w14:textId="77777777" w:rsidR="009041B5" w:rsidRPr="00353EAC" w:rsidRDefault="009041B5" w:rsidP="0033042F">
      <w:pPr>
        <w:spacing w:line="360" w:lineRule="auto"/>
        <w:rPr>
          <w:rFonts w:ascii="Book Antiqua" w:hAnsi="Book Antiqua"/>
          <w:b/>
        </w:rPr>
      </w:pPr>
    </w:p>
    <w:p w14:paraId="1D83CB7A" w14:textId="0F0C7B07" w:rsidR="009041B5" w:rsidRPr="00353EAC" w:rsidRDefault="00FF54CD" w:rsidP="0033042F">
      <w:pPr>
        <w:spacing w:line="360" w:lineRule="auto"/>
        <w:rPr>
          <w:rFonts w:ascii="Book Antiqua" w:eastAsia="Book Antiqua" w:hAnsi="Book Antiqua" w:cs="Book Antiqua"/>
          <w:b/>
        </w:rPr>
      </w:pPr>
      <w:r>
        <w:rPr>
          <w:noProof/>
        </w:rPr>
        <w:drawing>
          <wp:inline distT="0" distB="0" distL="0" distR="0" wp14:anchorId="48583215" wp14:editId="023A3B95">
            <wp:extent cx="5939155" cy="3514725"/>
            <wp:effectExtent l="0" t="0" r="0" b="0"/>
            <wp:docPr id="12455441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155" cy="3514725"/>
                    </a:xfrm>
                    <a:prstGeom prst="rect">
                      <a:avLst/>
                    </a:prstGeom>
                    <a:noFill/>
                    <a:ln>
                      <a:noFill/>
                    </a:ln>
                  </pic:spPr>
                </pic:pic>
              </a:graphicData>
            </a:graphic>
          </wp:inline>
        </w:drawing>
      </w:r>
    </w:p>
    <w:p w14:paraId="6421D46B" w14:textId="74E34DAA" w:rsidR="009041B5" w:rsidRPr="00353EAC" w:rsidRDefault="00F74228" w:rsidP="0033042F">
      <w:pPr>
        <w:spacing w:line="360" w:lineRule="auto"/>
        <w:rPr>
          <w:rFonts w:ascii="Book Antiqua" w:eastAsia="Book Antiqua" w:hAnsi="Book Antiqua" w:cs="Book Antiqua"/>
        </w:rPr>
        <w:sectPr w:rsidR="009041B5" w:rsidRPr="00353EAC">
          <w:pgSz w:w="12240" w:h="15840"/>
          <w:pgMar w:top="1440" w:right="1440" w:bottom="1440" w:left="1440" w:header="720" w:footer="720" w:gutter="0"/>
          <w:cols w:space="720"/>
          <w:docGrid w:linePitch="360"/>
        </w:sectPr>
      </w:pPr>
      <w:r w:rsidRPr="00353EAC">
        <w:rPr>
          <w:rFonts w:ascii="Book Antiqua" w:eastAsia="Book Antiqua" w:hAnsi="Book Antiqua" w:cs="Book Antiqua"/>
          <w:b/>
        </w:rPr>
        <w:lastRenderedPageBreak/>
        <w:t xml:space="preserve">Figure 2 A possible protocol for early </w:t>
      </w:r>
      <w:r w:rsidR="00500DDA" w:rsidRPr="00353EAC">
        <w:rPr>
          <w:rFonts w:ascii="Book Antiqua" w:eastAsia="Book Antiqua" w:hAnsi="Book Antiqua" w:cs="Book Antiqua"/>
          <w:b/>
        </w:rPr>
        <w:t>administ</w:t>
      </w:r>
      <w:r w:rsidR="00500DDA">
        <w:rPr>
          <w:rFonts w:ascii="Book Antiqua" w:eastAsia="Book Antiqua" w:hAnsi="Book Antiqua" w:cs="Book Antiqua"/>
          <w:b/>
        </w:rPr>
        <w:t>ration of</w:t>
      </w:r>
      <w:r w:rsidR="00A43038">
        <w:rPr>
          <w:rFonts w:ascii="Book Antiqua" w:hAnsi="Book Antiqua" w:cs="Book Antiqua" w:hint="eastAsia"/>
          <w:b/>
          <w:lang w:eastAsia="zh-CN"/>
        </w:rPr>
        <w:t xml:space="preserve"> </w:t>
      </w:r>
      <w:r w:rsidRPr="00353EAC">
        <w:rPr>
          <w:rFonts w:ascii="Book Antiqua" w:eastAsia="Book Antiqua" w:hAnsi="Book Antiqua" w:cs="Book Antiqua"/>
          <w:b/>
        </w:rPr>
        <w:t xml:space="preserve">vasopressors in septic shock patients. </w:t>
      </w:r>
      <w:r w:rsidR="00232C81" w:rsidRPr="005A58B3">
        <w:rPr>
          <w:rFonts w:ascii="Book Antiqua" w:eastAsia="Book Antiqua" w:hAnsi="Book Antiqua" w:cs="Book Antiqua"/>
          <w:bCs/>
        </w:rPr>
        <w:t>During septic shock resuscitation, although not mentioned in the protocol, volume status and responsiveness should be assessed repeatedly and titrated crystalloids.</w:t>
      </w:r>
      <w:r w:rsidRPr="00353EAC">
        <w:rPr>
          <w:rFonts w:ascii="Book Antiqua" w:eastAsia="Book Antiqua" w:hAnsi="Book Antiqua" w:cs="Book Antiqua"/>
        </w:rPr>
        <w:t xml:space="preserve"> DAP: Diastolic arterial pressure; MAP: Mean arterial pressure.</w:t>
      </w:r>
    </w:p>
    <w:p w14:paraId="267082C3" w14:textId="77777777" w:rsidR="00D44AFF" w:rsidRDefault="00D44AFF" w:rsidP="0033042F">
      <w:pPr>
        <w:spacing w:line="360" w:lineRule="auto"/>
        <w:rPr>
          <w:rFonts w:ascii="Book Antiqua" w:hAnsi="Book Antiqua"/>
          <w:b/>
          <w:lang w:eastAsia="zh-CN"/>
        </w:rPr>
      </w:pPr>
    </w:p>
    <w:p w14:paraId="455535FA" w14:textId="77777777" w:rsidR="00D44AFF" w:rsidRDefault="00D44AFF" w:rsidP="0033042F">
      <w:pPr>
        <w:spacing w:line="360" w:lineRule="auto"/>
        <w:rPr>
          <w:rFonts w:ascii="Book Antiqua" w:hAnsi="Book Antiqua"/>
          <w:b/>
          <w:lang w:eastAsia="zh-CN"/>
        </w:rPr>
      </w:pPr>
    </w:p>
    <w:p w14:paraId="71048811" w14:textId="77777777" w:rsidR="00D44AFF" w:rsidRDefault="00D44AFF" w:rsidP="0033042F">
      <w:pPr>
        <w:spacing w:line="360" w:lineRule="auto"/>
        <w:rPr>
          <w:rFonts w:ascii="Book Antiqua" w:hAnsi="Book Antiqua"/>
          <w:b/>
          <w:lang w:eastAsia="zh-CN"/>
        </w:rPr>
      </w:pPr>
    </w:p>
    <w:p w14:paraId="55E4E29E" w14:textId="77777777" w:rsidR="00D44AFF" w:rsidRDefault="00D44AFF" w:rsidP="0033042F">
      <w:pPr>
        <w:spacing w:line="360" w:lineRule="auto"/>
        <w:rPr>
          <w:rFonts w:ascii="Book Antiqua" w:hAnsi="Book Antiqua"/>
          <w:b/>
          <w:lang w:eastAsia="zh-CN"/>
        </w:rPr>
      </w:pPr>
    </w:p>
    <w:p w14:paraId="48D6BD8F" w14:textId="77777777" w:rsidR="00D44AFF" w:rsidRDefault="00D44AFF" w:rsidP="0033042F">
      <w:pPr>
        <w:spacing w:line="360" w:lineRule="auto"/>
        <w:rPr>
          <w:rFonts w:ascii="Book Antiqua" w:hAnsi="Book Antiqua"/>
          <w:b/>
          <w:lang w:eastAsia="zh-CN"/>
        </w:rPr>
      </w:pPr>
    </w:p>
    <w:p w14:paraId="713301F2" w14:textId="77777777" w:rsidR="00D44AFF" w:rsidRDefault="00D44AFF" w:rsidP="0033042F">
      <w:pPr>
        <w:spacing w:line="360" w:lineRule="auto"/>
        <w:rPr>
          <w:rFonts w:ascii="Book Antiqua" w:hAnsi="Book Antiqua"/>
          <w:b/>
          <w:lang w:eastAsia="zh-CN"/>
        </w:rPr>
      </w:pPr>
    </w:p>
    <w:p w14:paraId="4CDE8970" w14:textId="77777777" w:rsidR="00D44AFF" w:rsidRDefault="00D44AFF" w:rsidP="0033042F">
      <w:pPr>
        <w:spacing w:line="360" w:lineRule="auto"/>
        <w:rPr>
          <w:rFonts w:ascii="Book Antiqua" w:hAnsi="Book Antiqua"/>
          <w:b/>
          <w:lang w:eastAsia="zh-CN"/>
        </w:rPr>
      </w:pPr>
    </w:p>
    <w:p w14:paraId="104B7684" w14:textId="77777777" w:rsidR="00D44AFF" w:rsidRDefault="00D44AFF" w:rsidP="0033042F">
      <w:pPr>
        <w:spacing w:line="360" w:lineRule="auto"/>
        <w:rPr>
          <w:rFonts w:ascii="Book Antiqua" w:hAnsi="Book Antiqua"/>
          <w:b/>
          <w:lang w:eastAsia="zh-CN"/>
        </w:rPr>
      </w:pPr>
    </w:p>
    <w:p w14:paraId="4C6B61CA" w14:textId="77777777" w:rsidR="00D44AFF" w:rsidRDefault="00D44AFF" w:rsidP="0033042F">
      <w:pPr>
        <w:spacing w:line="360" w:lineRule="auto"/>
        <w:rPr>
          <w:rFonts w:ascii="Book Antiqua" w:hAnsi="Book Antiqua"/>
          <w:b/>
          <w:lang w:eastAsia="zh-CN"/>
        </w:rPr>
      </w:pPr>
    </w:p>
    <w:p w14:paraId="4E9366B6" w14:textId="77777777" w:rsidR="00D44AFF" w:rsidRDefault="00D44AFF" w:rsidP="0033042F">
      <w:pPr>
        <w:spacing w:line="360" w:lineRule="auto"/>
        <w:rPr>
          <w:rFonts w:ascii="Book Antiqua" w:hAnsi="Book Antiqua"/>
          <w:b/>
          <w:lang w:eastAsia="zh-CN"/>
        </w:rPr>
      </w:pPr>
    </w:p>
    <w:p w14:paraId="00DF098E" w14:textId="7530624E" w:rsidR="009041B5" w:rsidRPr="00353EAC" w:rsidRDefault="00F74228" w:rsidP="0033042F">
      <w:pPr>
        <w:spacing w:line="360" w:lineRule="auto"/>
        <w:rPr>
          <w:rFonts w:ascii="Book Antiqua" w:hAnsi="Book Antiqua"/>
          <w:b/>
        </w:rPr>
      </w:pPr>
      <w:r w:rsidRPr="00353EAC">
        <w:rPr>
          <w:rFonts w:ascii="Book Antiqua" w:hAnsi="Book Antiqua"/>
          <w:b/>
        </w:rPr>
        <w:t xml:space="preserve">Table 1 </w:t>
      </w:r>
      <w:r w:rsidR="00500DDA">
        <w:rPr>
          <w:rFonts w:ascii="Book Antiqua" w:hAnsi="Book Antiqua"/>
          <w:b/>
        </w:rPr>
        <w:t>B</w:t>
      </w:r>
      <w:r w:rsidRPr="00353EAC">
        <w:rPr>
          <w:rFonts w:ascii="Book Antiqua" w:hAnsi="Book Antiqua"/>
          <w:b/>
        </w:rPr>
        <w:t>asic characteristics of studies on</w:t>
      </w:r>
      <w:r w:rsidR="000E423A">
        <w:rPr>
          <w:rFonts w:ascii="Book Antiqua" w:hAnsi="Book Antiqua" w:hint="eastAsia"/>
          <w:b/>
          <w:lang w:eastAsia="zh-CN"/>
        </w:rPr>
        <w:t xml:space="preserve"> </w:t>
      </w:r>
      <w:r w:rsidRPr="00353EAC">
        <w:rPr>
          <w:rFonts w:ascii="Book Antiqua" w:hAnsi="Book Antiqua"/>
          <w:b/>
        </w:rPr>
        <w:t>early initiation of vasopressor</w:t>
      </w:r>
      <w:r w:rsidR="00500DDA">
        <w:rPr>
          <w:rFonts w:ascii="Book Antiqua" w:hAnsi="Book Antiqua"/>
          <w:b/>
        </w:rPr>
        <w:t>s</w:t>
      </w:r>
      <w:r w:rsidRPr="00353EAC">
        <w:rPr>
          <w:rFonts w:ascii="Book Antiqua" w:hAnsi="Book Antiqua"/>
          <w:b/>
        </w:rPr>
        <w:t xml:space="preserve"> included in the systematic review</w:t>
      </w:r>
    </w:p>
    <w:tbl>
      <w:tblPr>
        <w:tblW w:w="8640" w:type="dxa"/>
        <w:tblInd w:w="108" w:type="dxa"/>
        <w:tblLook w:val="04A0" w:firstRow="1" w:lastRow="0" w:firstColumn="1" w:lastColumn="0" w:noHBand="0" w:noVBand="1"/>
      </w:tblPr>
      <w:tblGrid>
        <w:gridCol w:w="699"/>
        <w:gridCol w:w="1345"/>
        <w:gridCol w:w="1253"/>
        <w:gridCol w:w="1656"/>
        <w:gridCol w:w="2185"/>
        <w:gridCol w:w="1563"/>
        <w:gridCol w:w="1548"/>
        <w:gridCol w:w="1788"/>
        <w:gridCol w:w="1488"/>
        <w:gridCol w:w="1788"/>
        <w:gridCol w:w="1788"/>
        <w:gridCol w:w="1848"/>
      </w:tblGrid>
      <w:tr w:rsidR="001C0C1F" w:rsidRPr="001C0C1F" w14:paraId="028BF31F" w14:textId="77777777" w:rsidTr="001C0C1F">
        <w:trPr>
          <w:trHeight w:val="623"/>
        </w:trPr>
        <w:tc>
          <w:tcPr>
            <w:tcW w:w="273" w:type="dxa"/>
            <w:tcBorders>
              <w:top w:val="single" w:sz="8" w:space="0" w:color="auto"/>
              <w:left w:val="nil"/>
              <w:bottom w:val="single" w:sz="8" w:space="0" w:color="auto"/>
              <w:right w:val="nil"/>
            </w:tcBorders>
            <w:shd w:val="clear" w:color="auto" w:fill="auto"/>
            <w:vAlign w:val="center"/>
            <w:hideMark/>
          </w:tcPr>
          <w:p w14:paraId="37444CF7"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No.</w:t>
            </w:r>
          </w:p>
        </w:tc>
        <w:tc>
          <w:tcPr>
            <w:tcW w:w="602" w:type="dxa"/>
            <w:tcBorders>
              <w:top w:val="single" w:sz="8" w:space="0" w:color="auto"/>
              <w:left w:val="nil"/>
              <w:bottom w:val="single" w:sz="8" w:space="0" w:color="auto"/>
              <w:right w:val="nil"/>
            </w:tcBorders>
            <w:shd w:val="clear" w:color="auto" w:fill="auto"/>
            <w:vAlign w:val="center"/>
            <w:hideMark/>
          </w:tcPr>
          <w:p w14:paraId="52497D9D"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Refs</w:t>
            </w:r>
          </w:p>
        </w:tc>
        <w:tc>
          <w:tcPr>
            <w:tcW w:w="555" w:type="dxa"/>
            <w:tcBorders>
              <w:top w:val="single" w:sz="8" w:space="0" w:color="auto"/>
              <w:left w:val="nil"/>
              <w:bottom w:val="single" w:sz="8" w:space="0" w:color="auto"/>
              <w:right w:val="nil"/>
            </w:tcBorders>
            <w:shd w:val="clear" w:color="auto" w:fill="auto"/>
            <w:vAlign w:val="center"/>
            <w:hideMark/>
          </w:tcPr>
          <w:p w14:paraId="6864E0BA"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Country</w:t>
            </w:r>
          </w:p>
        </w:tc>
        <w:tc>
          <w:tcPr>
            <w:tcW w:w="759" w:type="dxa"/>
            <w:tcBorders>
              <w:top w:val="single" w:sz="8" w:space="0" w:color="auto"/>
              <w:left w:val="nil"/>
              <w:bottom w:val="single" w:sz="8" w:space="0" w:color="auto"/>
              <w:right w:val="nil"/>
            </w:tcBorders>
            <w:shd w:val="clear" w:color="auto" w:fill="auto"/>
            <w:vAlign w:val="center"/>
            <w:hideMark/>
          </w:tcPr>
          <w:p w14:paraId="010E209B"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Study design and period</w:t>
            </w:r>
          </w:p>
        </w:tc>
        <w:tc>
          <w:tcPr>
            <w:tcW w:w="1027" w:type="dxa"/>
            <w:tcBorders>
              <w:top w:val="single" w:sz="8" w:space="0" w:color="auto"/>
              <w:left w:val="nil"/>
              <w:bottom w:val="single" w:sz="8" w:space="0" w:color="auto"/>
              <w:right w:val="nil"/>
            </w:tcBorders>
            <w:shd w:val="clear" w:color="auto" w:fill="auto"/>
            <w:vAlign w:val="center"/>
            <w:hideMark/>
          </w:tcPr>
          <w:p w14:paraId="16059667"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No.of patients/early/late group</w:t>
            </w:r>
          </w:p>
        </w:tc>
        <w:tc>
          <w:tcPr>
            <w:tcW w:w="712" w:type="dxa"/>
            <w:tcBorders>
              <w:top w:val="single" w:sz="8" w:space="0" w:color="auto"/>
              <w:left w:val="nil"/>
              <w:bottom w:val="single" w:sz="8" w:space="0" w:color="auto"/>
              <w:right w:val="nil"/>
            </w:tcBorders>
            <w:shd w:val="clear" w:color="auto" w:fill="auto"/>
            <w:vAlign w:val="center"/>
            <w:hideMark/>
          </w:tcPr>
          <w:p w14:paraId="6F67BAD1"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Agents</w:t>
            </w:r>
          </w:p>
        </w:tc>
        <w:tc>
          <w:tcPr>
            <w:tcW w:w="704" w:type="dxa"/>
            <w:tcBorders>
              <w:top w:val="single" w:sz="8" w:space="0" w:color="auto"/>
              <w:left w:val="nil"/>
              <w:bottom w:val="single" w:sz="8" w:space="0" w:color="auto"/>
              <w:right w:val="nil"/>
            </w:tcBorders>
            <w:shd w:val="clear" w:color="auto" w:fill="auto"/>
            <w:vAlign w:val="center"/>
            <w:hideMark/>
          </w:tcPr>
          <w:p w14:paraId="7976E19D"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Time 0</w:t>
            </w:r>
          </w:p>
        </w:tc>
        <w:tc>
          <w:tcPr>
            <w:tcW w:w="826" w:type="dxa"/>
            <w:tcBorders>
              <w:top w:val="single" w:sz="8" w:space="0" w:color="auto"/>
              <w:left w:val="nil"/>
              <w:bottom w:val="single" w:sz="8" w:space="0" w:color="auto"/>
              <w:right w:val="nil"/>
            </w:tcBorders>
            <w:shd w:val="clear" w:color="auto" w:fill="auto"/>
            <w:vAlign w:val="center"/>
            <w:hideMark/>
          </w:tcPr>
          <w:p w14:paraId="60BA4C07"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Definition for early initiation</w:t>
            </w:r>
          </w:p>
        </w:tc>
        <w:tc>
          <w:tcPr>
            <w:tcW w:w="674" w:type="dxa"/>
            <w:tcBorders>
              <w:top w:val="single" w:sz="8" w:space="0" w:color="auto"/>
              <w:left w:val="nil"/>
              <w:bottom w:val="single" w:sz="8" w:space="0" w:color="auto"/>
              <w:right w:val="nil"/>
            </w:tcBorders>
            <w:shd w:val="clear" w:color="auto" w:fill="auto"/>
            <w:vAlign w:val="center"/>
            <w:hideMark/>
          </w:tcPr>
          <w:p w14:paraId="66039C74"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Primary outcome reported</w:t>
            </w:r>
          </w:p>
        </w:tc>
        <w:tc>
          <w:tcPr>
            <w:tcW w:w="826" w:type="dxa"/>
            <w:tcBorders>
              <w:top w:val="single" w:sz="8" w:space="0" w:color="auto"/>
              <w:left w:val="nil"/>
              <w:bottom w:val="single" w:sz="8" w:space="0" w:color="auto"/>
              <w:right w:val="nil"/>
            </w:tcBorders>
            <w:shd w:val="clear" w:color="auto" w:fill="auto"/>
            <w:vAlign w:val="center"/>
            <w:hideMark/>
          </w:tcPr>
          <w:p w14:paraId="33960E45"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Primary outcome</w:t>
            </w:r>
          </w:p>
        </w:tc>
        <w:tc>
          <w:tcPr>
            <w:tcW w:w="826" w:type="dxa"/>
            <w:tcBorders>
              <w:top w:val="single" w:sz="8" w:space="0" w:color="auto"/>
              <w:left w:val="nil"/>
              <w:bottom w:val="single" w:sz="8" w:space="0" w:color="auto"/>
              <w:right w:val="nil"/>
            </w:tcBorders>
            <w:shd w:val="clear" w:color="auto" w:fill="auto"/>
            <w:vAlign w:val="center"/>
            <w:hideMark/>
          </w:tcPr>
          <w:p w14:paraId="1EAE37C6"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Other points</w:t>
            </w:r>
          </w:p>
        </w:tc>
        <w:tc>
          <w:tcPr>
            <w:tcW w:w="856" w:type="dxa"/>
            <w:tcBorders>
              <w:top w:val="single" w:sz="8" w:space="0" w:color="auto"/>
              <w:left w:val="nil"/>
              <w:bottom w:val="single" w:sz="8" w:space="0" w:color="auto"/>
              <w:right w:val="nil"/>
            </w:tcBorders>
            <w:shd w:val="clear" w:color="auto" w:fill="auto"/>
            <w:vAlign w:val="center"/>
            <w:hideMark/>
          </w:tcPr>
          <w:p w14:paraId="1C9E5E14" w14:textId="77777777" w:rsidR="001C0C1F" w:rsidRPr="001C0C1F" w:rsidRDefault="001C0C1F" w:rsidP="001C0C1F">
            <w:pPr>
              <w:rPr>
                <w:rFonts w:ascii="Book Antiqua" w:eastAsia="等线" w:hAnsi="Book Antiqua" w:cs="宋体"/>
                <w:b/>
                <w:bCs/>
                <w:color w:val="000000"/>
                <w:lang w:eastAsia="zh-CN"/>
              </w:rPr>
            </w:pPr>
            <w:r w:rsidRPr="001C0C1F">
              <w:rPr>
                <w:rFonts w:ascii="Book Antiqua" w:eastAsia="等线" w:hAnsi="Book Antiqua" w:cs="宋体"/>
                <w:b/>
                <w:bCs/>
                <w:color w:val="000000"/>
                <w:lang w:eastAsia="zh-CN"/>
              </w:rPr>
              <w:t>Comments</w:t>
            </w:r>
          </w:p>
        </w:tc>
      </w:tr>
      <w:tr w:rsidR="001C0C1F" w:rsidRPr="001C0C1F" w14:paraId="4AB45849" w14:textId="77777777" w:rsidTr="001C0C1F">
        <w:trPr>
          <w:trHeight w:val="945"/>
        </w:trPr>
        <w:tc>
          <w:tcPr>
            <w:tcW w:w="273" w:type="dxa"/>
            <w:tcBorders>
              <w:top w:val="nil"/>
              <w:left w:val="nil"/>
              <w:bottom w:val="nil"/>
              <w:right w:val="nil"/>
            </w:tcBorders>
            <w:shd w:val="clear" w:color="auto" w:fill="auto"/>
            <w:vAlign w:val="center"/>
            <w:hideMark/>
          </w:tcPr>
          <w:p w14:paraId="4DFA952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w:t>
            </w:r>
          </w:p>
        </w:tc>
        <w:tc>
          <w:tcPr>
            <w:tcW w:w="602" w:type="dxa"/>
            <w:tcBorders>
              <w:top w:val="nil"/>
              <w:left w:val="nil"/>
              <w:bottom w:val="nil"/>
              <w:right w:val="nil"/>
            </w:tcBorders>
            <w:shd w:val="clear" w:color="auto" w:fill="auto"/>
            <w:vAlign w:val="center"/>
            <w:hideMark/>
          </w:tcPr>
          <w:p w14:paraId="2139999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Beck </w:t>
            </w:r>
            <w:r w:rsidRPr="001C0C1F">
              <w:rPr>
                <w:rFonts w:ascii="Book Antiqua" w:eastAsia="等线" w:hAnsi="Book Antiqua" w:cs="宋体"/>
                <w:i/>
                <w:iCs/>
                <w:color w:val="000000"/>
                <w:lang w:eastAsia="zh-CN"/>
              </w:rPr>
              <w:t>et al</w:t>
            </w:r>
            <w:r w:rsidRPr="001C0C1F">
              <w:rPr>
                <w:rFonts w:ascii="Book Antiqua" w:eastAsia="等线" w:hAnsi="Book Antiqua" w:cs="宋体"/>
                <w:color w:val="000000"/>
                <w:vertAlign w:val="superscript"/>
                <w:lang w:eastAsia="zh-CN"/>
              </w:rPr>
              <w:t>[31]</w:t>
            </w:r>
            <w:r w:rsidRPr="001C0C1F">
              <w:rPr>
                <w:rFonts w:ascii="Book Antiqua" w:eastAsia="等线" w:hAnsi="Book Antiqua" w:cs="宋体"/>
                <w:color w:val="000000"/>
                <w:lang w:eastAsia="zh-CN"/>
              </w:rPr>
              <w:t>, 2014</w:t>
            </w:r>
          </w:p>
        </w:tc>
        <w:tc>
          <w:tcPr>
            <w:tcW w:w="555" w:type="dxa"/>
            <w:tcBorders>
              <w:top w:val="nil"/>
              <w:left w:val="nil"/>
              <w:bottom w:val="nil"/>
              <w:right w:val="nil"/>
            </w:tcBorders>
            <w:shd w:val="clear" w:color="auto" w:fill="auto"/>
            <w:vAlign w:val="center"/>
            <w:hideMark/>
          </w:tcPr>
          <w:p w14:paraId="39C545B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 Canada</w:t>
            </w:r>
          </w:p>
        </w:tc>
        <w:tc>
          <w:tcPr>
            <w:tcW w:w="759" w:type="dxa"/>
            <w:tcBorders>
              <w:top w:val="nil"/>
              <w:left w:val="nil"/>
              <w:bottom w:val="nil"/>
              <w:right w:val="nil"/>
            </w:tcBorders>
            <w:shd w:val="clear" w:color="auto" w:fill="auto"/>
            <w:vAlign w:val="center"/>
            <w:hideMark/>
          </w:tcPr>
          <w:p w14:paraId="600F4DF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Multicenter, retrospective cohort study 1996-2008</w:t>
            </w:r>
          </w:p>
        </w:tc>
        <w:tc>
          <w:tcPr>
            <w:tcW w:w="1027" w:type="dxa"/>
            <w:tcBorders>
              <w:top w:val="nil"/>
              <w:left w:val="nil"/>
              <w:bottom w:val="nil"/>
              <w:right w:val="nil"/>
            </w:tcBorders>
            <w:shd w:val="clear" w:color="auto" w:fill="auto"/>
            <w:vAlign w:val="center"/>
            <w:hideMark/>
          </w:tcPr>
          <w:p w14:paraId="4630206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6514/-/-</w:t>
            </w:r>
          </w:p>
        </w:tc>
        <w:tc>
          <w:tcPr>
            <w:tcW w:w="712" w:type="dxa"/>
            <w:tcBorders>
              <w:top w:val="nil"/>
              <w:left w:val="nil"/>
              <w:bottom w:val="nil"/>
              <w:right w:val="nil"/>
            </w:tcBorders>
            <w:shd w:val="clear" w:color="auto" w:fill="auto"/>
            <w:vAlign w:val="center"/>
            <w:hideMark/>
          </w:tcPr>
          <w:p w14:paraId="3F57F76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 Dopamine, Phenyleph-rine, VP, Epinephrine</w:t>
            </w:r>
          </w:p>
        </w:tc>
        <w:tc>
          <w:tcPr>
            <w:tcW w:w="704" w:type="dxa"/>
            <w:tcBorders>
              <w:top w:val="nil"/>
              <w:left w:val="nil"/>
              <w:bottom w:val="nil"/>
              <w:right w:val="nil"/>
            </w:tcBorders>
            <w:shd w:val="clear" w:color="auto" w:fill="auto"/>
            <w:vAlign w:val="center"/>
            <w:hideMark/>
          </w:tcPr>
          <w:p w14:paraId="2CBBA235" w14:textId="77777777" w:rsidR="001C0C1F" w:rsidRPr="001C0C1F" w:rsidRDefault="001C0C1F" w:rsidP="001C0C1F">
            <w:pPr>
              <w:rPr>
                <w:rFonts w:ascii="Book Antiqua" w:eastAsia="等线" w:hAnsi="Book Antiqua" w:cs="宋体"/>
                <w:color w:val="000000"/>
                <w:lang w:eastAsia="zh-CN"/>
              </w:rPr>
            </w:pPr>
          </w:p>
        </w:tc>
        <w:tc>
          <w:tcPr>
            <w:tcW w:w="826" w:type="dxa"/>
            <w:tcBorders>
              <w:top w:val="nil"/>
              <w:left w:val="nil"/>
              <w:bottom w:val="nil"/>
              <w:right w:val="nil"/>
            </w:tcBorders>
            <w:shd w:val="clear" w:color="auto" w:fill="auto"/>
            <w:vAlign w:val="center"/>
            <w:hideMark/>
          </w:tcPr>
          <w:p w14:paraId="354A9908" w14:textId="77777777" w:rsidR="001C0C1F" w:rsidRPr="001C0C1F" w:rsidRDefault="001C0C1F" w:rsidP="001C0C1F">
            <w:pPr>
              <w:rPr>
                <w:rFonts w:eastAsia="Times New Roman"/>
                <w:sz w:val="20"/>
                <w:szCs w:val="20"/>
                <w:lang w:eastAsia="zh-CN"/>
              </w:rPr>
            </w:pPr>
          </w:p>
        </w:tc>
        <w:tc>
          <w:tcPr>
            <w:tcW w:w="674" w:type="dxa"/>
            <w:tcBorders>
              <w:top w:val="nil"/>
              <w:left w:val="nil"/>
              <w:bottom w:val="nil"/>
              <w:right w:val="nil"/>
            </w:tcBorders>
            <w:shd w:val="clear" w:color="auto" w:fill="auto"/>
            <w:vAlign w:val="center"/>
            <w:hideMark/>
          </w:tcPr>
          <w:p w14:paraId="09DD903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Survival to hospital discharge</w:t>
            </w:r>
          </w:p>
        </w:tc>
        <w:tc>
          <w:tcPr>
            <w:tcW w:w="826" w:type="dxa"/>
            <w:tcBorders>
              <w:top w:val="nil"/>
              <w:left w:val="nil"/>
              <w:bottom w:val="nil"/>
              <w:right w:val="nil"/>
            </w:tcBorders>
            <w:shd w:val="clear" w:color="auto" w:fill="auto"/>
            <w:vAlign w:val="center"/>
            <w:hideMark/>
          </w:tcPr>
          <w:p w14:paraId="13F24C53"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A weak correlation between vasopressor delay and hospital mortality (adjusted OR 1.02/h,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0.001)</w:t>
            </w:r>
          </w:p>
        </w:tc>
        <w:tc>
          <w:tcPr>
            <w:tcW w:w="826" w:type="dxa"/>
            <w:tcBorders>
              <w:top w:val="nil"/>
              <w:left w:val="nil"/>
              <w:bottom w:val="nil"/>
              <w:right w:val="nil"/>
            </w:tcBorders>
            <w:shd w:val="clear" w:color="auto" w:fill="auto"/>
            <w:vAlign w:val="center"/>
            <w:hideMark/>
          </w:tcPr>
          <w:p w14:paraId="5166C46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The significance was found between the delay to vasopressor initiation (&gt; 14 h post hypotension) and the occurrence of organ failure</w:t>
            </w:r>
          </w:p>
        </w:tc>
        <w:tc>
          <w:tcPr>
            <w:tcW w:w="856" w:type="dxa"/>
            <w:tcBorders>
              <w:top w:val="nil"/>
              <w:left w:val="nil"/>
              <w:bottom w:val="nil"/>
              <w:right w:val="nil"/>
            </w:tcBorders>
            <w:shd w:val="clear" w:color="auto" w:fill="auto"/>
            <w:vAlign w:val="center"/>
            <w:hideMark/>
          </w:tcPr>
          <w:p w14:paraId="6E8A4CE1"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 Markedly delayed initiation of vasopressor (&gt; 14 h after hypotension) in septic shock patients is associated with a small increase in mortality risk. 2 Delays in vasopressor initiation is only weakly associated with mortality, while delays in antimicrobial is more higher</w:t>
            </w:r>
          </w:p>
        </w:tc>
      </w:tr>
      <w:tr w:rsidR="001C0C1F" w:rsidRPr="001C0C1F" w14:paraId="567AD200" w14:textId="77777777" w:rsidTr="001C0C1F">
        <w:trPr>
          <w:trHeight w:val="315"/>
        </w:trPr>
        <w:tc>
          <w:tcPr>
            <w:tcW w:w="273" w:type="dxa"/>
            <w:vMerge w:val="restart"/>
            <w:tcBorders>
              <w:top w:val="nil"/>
              <w:left w:val="nil"/>
              <w:bottom w:val="nil"/>
              <w:right w:val="nil"/>
            </w:tcBorders>
            <w:shd w:val="clear" w:color="auto" w:fill="auto"/>
            <w:vAlign w:val="center"/>
            <w:hideMark/>
          </w:tcPr>
          <w:p w14:paraId="03ABCECD"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2</w:t>
            </w:r>
          </w:p>
        </w:tc>
        <w:tc>
          <w:tcPr>
            <w:tcW w:w="602" w:type="dxa"/>
            <w:vMerge w:val="restart"/>
            <w:tcBorders>
              <w:top w:val="nil"/>
              <w:left w:val="nil"/>
              <w:bottom w:val="nil"/>
              <w:right w:val="nil"/>
            </w:tcBorders>
            <w:shd w:val="clear" w:color="auto" w:fill="auto"/>
            <w:vAlign w:val="center"/>
            <w:hideMark/>
          </w:tcPr>
          <w:p w14:paraId="71293F9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Bai</w:t>
            </w:r>
            <w:r w:rsidRPr="001C0C1F">
              <w:rPr>
                <w:rFonts w:ascii="Book Antiqua" w:eastAsia="等线" w:hAnsi="Book Antiqua" w:cs="宋体"/>
                <w:i/>
                <w:iCs/>
                <w:color w:val="000000"/>
                <w:lang w:eastAsia="zh-CN"/>
              </w:rPr>
              <w:t xml:space="preserve"> et al</w:t>
            </w:r>
            <w:r w:rsidRPr="001C0C1F">
              <w:rPr>
                <w:rFonts w:ascii="Book Antiqua" w:eastAsia="等线" w:hAnsi="Book Antiqua" w:cs="宋体"/>
                <w:color w:val="000000"/>
                <w:vertAlign w:val="superscript"/>
                <w:lang w:eastAsia="zh-CN"/>
              </w:rPr>
              <w:t>[61]</w:t>
            </w:r>
            <w:r w:rsidRPr="001C0C1F">
              <w:rPr>
                <w:rFonts w:ascii="Book Antiqua" w:eastAsia="等线" w:hAnsi="Book Antiqua" w:cs="宋体"/>
                <w:color w:val="000000"/>
                <w:lang w:eastAsia="zh-CN"/>
              </w:rPr>
              <w:t>, 2014</w:t>
            </w:r>
          </w:p>
        </w:tc>
        <w:tc>
          <w:tcPr>
            <w:tcW w:w="555" w:type="dxa"/>
            <w:vMerge w:val="restart"/>
            <w:tcBorders>
              <w:top w:val="nil"/>
              <w:left w:val="nil"/>
              <w:bottom w:val="nil"/>
              <w:right w:val="nil"/>
            </w:tcBorders>
            <w:shd w:val="clear" w:color="auto" w:fill="auto"/>
            <w:vAlign w:val="center"/>
            <w:hideMark/>
          </w:tcPr>
          <w:p w14:paraId="567ABCF5"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China</w:t>
            </w:r>
          </w:p>
        </w:tc>
        <w:tc>
          <w:tcPr>
            <w:tcW w:w="759" w:type="dxa"/>
            <w:tcBorders>
              <w:top w:val="nil"/>
              <w:left w:val="nil"/>
              <w:bottom w:val="nil"/>
              <w:right w:val="nil"/>
            </w:tcBorders>
            <w:shd w:val="clear" w:color="auto" w:fill="auto"/>
            <w:vAlign w:val="center"/>
            <w:hideMark/>
          </w:tcPr>
          <w:p w14:paraId="3DAFE92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Two centers, retrospective </w:t>
            </w:r>
            <w:r w:rsidRPr="001C0C1F">
              <w:rPr>
                <w:rFonts w:ascii="Book Antiqua" w:eastAsia="等线" w:hAnsi="Book Antiqua" w:cs="宋体"/>
                <w:color w:val="000000"/>
                <w:lang w:eastAsia="zh-CN"/>
              </w:rPr>
              <w:lastRenderedPageBreak/>
              <w:t>cohort study</w:t>
            </w:r>
          </w:p>
        </w:tc>
        <w:tc>
          <w:tcPr>
            <w:tcW w:w="1027" w:type="dxa"/>
            <w:vMerge w:val="restart"/>
            <w:tcBorders>
              <w:top w:val="nil"/>
              <w:left w:val="nil"/>
              <w:bottom w:val="nil"/>
              <w:right w:val="nil"/>
            </w:tcBorders>
            <w:shd w:val="clear" w:color="auto" w:fill="auto"/>
            <w:vAlign w:val="center"/>
            <w:hideMark/>
          </w:tcPr>
          <w:p w14:paraId="208F86E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213/86/127</w:t>
            </w:r>
          </w:p>
        </w:tc>
        <w:tc>
          <w:tcPr>
            <w:tcW w:w="712" w:type="dxa"/>
            <w:vMerge w:val="restart"/>
            <w:tcBorders>
              <w:top w:val="nil"/>
              <w:left w:val="nil"/>
              <w:bottom w:val="nil"/>
              <w:right w:val="nil"/>
            </w:tcBorders>
            <w:shd w:val="clear" w:color="auto" w:fill="auto"/>
            <w:vAlign w:val="center"/>
            <w:hideMark/>
          </w:tcPr>
          <w:p w14:paraId="3D384089"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w:t>
            </w:r>
          </w:p>
        </w:tc>
        <w:tc>
          <w:tcPr>
            <w:tcW w:w="704" w:type="dxa"/>
            <w:vMerge w:val="restart"/>
            <w:tcBorders>
              <w:top w:val="nil"/>
              <w:left w:val="nil"/>
              <w:bottom w:val="nil"/>
              <w:right w:val="nil"/>
            </w:tcBorders>
            <w:shd w:val="clear" w:color="auto" w:fill="auto"/>
            <w:vAlign w:val="center"/>
            <w:hideMark/>
          </w:tcPr>
          <w:p w14:paraId="3210AD13"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Septic shock onset</w:t>
            </w:r>
          </w:p>
        </w:tc>
        <w:tc>
          <w:tcPr>
            <w:tcW w:w="826" w:type="dxa"/>
            <w:vMerge w:val="restart"/>
            <w:tcBorders>
              <w:top w:val="nil"/>
              <w:left w:val="nil"/>
              <w:bottom w:val="nil"/>
              <w:right w:val="nil"/>
            </w:tcBorders>
            <w:shd w:val="clear" w:color="auto" w:fill="auto"/>
            <w:vAlign w:val="center"/>
            <w:hideMark/>
          </w:tcPr>
          <w:p w14:paraId="44CC7B8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NE administered </w:t>
            </w:r>
            <w:r w:rsidRPr="001C0C1F">
              <w:rPr>
                <w:rFonts w:ascii="Book Antiqua" w:eastAsia="等线" w:hAnsi="Book Antiqua" w:cs="宋体"/>
                <w:color w:val="000000"/>
                <w:lang w:eastAsia="zh-CN"/>
              </w:rPr>
              <w:lastRenderedPageBreak/>
              <w:t>within 2 h after onset of septic shock</w:t>
            </w:r>
          </w:p>
        </w:tc>
        <w:tc>
          <w:tcPr>
            <w:tcW w:w="674" w:type="dxa"/>
            <w:vMerge w:val="restart"/>
            <w:tcBorders>
              <w:top w:val="nil"/>
              <w:left w:val="nil"/>
              <w:bottom w:val="nil"/>
              <w:right w:val="nil"/>
            </w:tcBorders>
            <w:shd w:val="clear" w:color="auto" w:fill="auto"/>
            <w:vAlign w:val="center"/>
            <w:hideMark/>
          </w:tcPr>
          <w:p w14:paraId="73ACE5A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28 d mortality</w:t>
            </w:r>
          </w:p>
        </w:tc>
        <w:tc>
          <w:tcPr>
            <w:tcW w:w="826" w:type="dxa"/>
            <w:vMerge w:val="restart"/>
            <w:tcBorders>
              <w:top w:val="nil"/>
              <w:left w:val="nil"/>
              <w:bottom w:val="nil"/>
              <w:right w:val="nil"/>
            </w:tcBorders>
            <w:shd w:val="clear" w:color="auto" w:fill="auto"/>
            <w:vAlign w:val="center"/>
            <w:hideMark/>
          </w:tcPr>
          <w:p w14:paraId="4AF232A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The early group was </w:t>
            </w:r>
            <w:r w:rsidRPr="001C0C1F">
              <w:rPr>
                <w:rFonts w:ascii="Book Antiqua" w:eastAsia="等线" w:hAnsi="Book Antiqua" w:cs="宋体"/>
                <w:color w:val="000000"/>
                <w:lang w:eastAsia="zh-CN"/>
              </w:rPr>
              <w:lastRenderedPageBreak/>
              <w:t xml:space="preserve">lower than the late group, 29.1% </w:t>
            </w:r>
            <w:r w:rsidRPr="001C0C1F">
              <w:rPr>
                <w:rFonts w:ascii="Book Antiqua" w:eastAsia="等线" w:hAnsi="Book Antiqua" w:cs="宋体"/>
                <w:i/>
                <w:iCs/>
                <w:color w:val="000000"/>
                <w:lang w:eastAsia="zh-CN"/>
              </w:rPr>
              <w:t xml:space="preserve">vs </w:t>
            </w:r>
            <w:r w:rsidRPr="001C0C1F">
              <w:rPr>
                <w:rFonts w:ascii="Book Antiqua" w:eastAsia="等线" w:hAnsi="Book Antiqua" w:cs="宋体"/>
                <w:color w:val="000000"/>
                <w:lang w:eastAsia="zh-CN"/>
              </w:rPr>
              <w:t xml:space="preserve">43.3%,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0.001</w:t>
            </w:r>
          </w:p>
        </w:tc>
        <w:tc>
          <w:tcPr>
            <w:tcW w:w="826" w:type="dxa"/>
            <w:vMerge w:val="restart"/>
            <w:tcBorders>
              <w:top w:val="nil"/>
              <w:left w:val="nil"/>
              <w:bottom w:val="nil"/>
              <w:right w:val="nil"/>
            </w:tcBorders>
            <w:shd w:val="clear" w:color="auto" w:fill="auto"/>
            <w:vAlign w:val="center"/>
            <w:hideMark/>
          </w:tcPr>
          <w:p w14:paraId="488EBA9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1 Duration of NE was </w:t>
            </w:r>
            <w:r w:rsidRPr="001C0C1F">
              <w:rPr>
                <w:rFonts w:ascii="Book Antiqua" w:eastAsia="等线" w:hAnsi="Book Antiqua" w:cs="宋体"/>
                <w:color w:val="000000"/>
                <w:lang w:eastAsia="zh-CN"/>
              </w:rPr>
              <w:lastRenderedPageBreak/>
              <w:t xml:space="preserve">significantly shorter in the early-NE group (2.6 ± 0.6 d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2.9 ± 1.0 d,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0.001). 2 Serum lactate levels at 2, 4, 6 and 8h after septic shock onset were significantly lower in the early-NE group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0.05)</w:t>
            </w:r>
          </w:p>
        </w:tc>
        <w:tc>
          <w:tcPr>
            <w:tcW w:w="856" w:type="dxa"/>
            <w:vMerge w:val="restart"/>
            <w:tcBorders>
              <w:top w:val="nil"/>
              <w:left w:val="nil"/>
              <w:bottom w:val="nil"/>
              <w:right w:val="nil"/>
            </w:tcBorders>
            <w:shd w:val="clear" w:color="auto" w:fill="auto"/>
            <w:vAlign w:val="center"/>
            <w:hideMark/>
          </w:tcPr>
          <w:p w14:paraId="2698FEF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1 Early administration </w:t>
            </w:r>
            <w:r w:rsidRPr="001C0C1F">
              <w:rPr>
                <w:rFonts w:ascii="Book Antiqua" w:eastAsia="等线" w:hAnsi="Book Antiqua" w:cs="宋体"/>
                <w:color w:val="000000"/>
                <w:lang w:eastAsia="zh-CN"/>
              </w:rPr>
              <w:lastRenderedPageBreak/>
              <w:t>(within 2 h after the septic shock onset) of NE in septic shock patients is associated with an increased survival rate. 2 Early NE initiation can increase MAP, shorten the duration of hypotension and, improve vital organ perfusion and decrease serum lactate levels</w:t>
            </w:r>
          </w:p>
        </w:tc>
      </w:tr>
      <w:tr w:rsidR="001C0C1F" w:rsidRPr="001C0C1F" w14:paraId="3453E4A1" w14:textId="77777777" w:rsidTr="001C0C1F">
        <w:trPr>
          <w:trHeight w:val="315"/>
        </w:trPr>
        <w:tc>
          <w:tcPr>
            <w:tcW w:w="273" w:type="dxa"/>
            <w:vMerge/>
            <w:tcBorders>
              <w:top w:val="nil"/>
              <w:left w:val="nil"/>
              <w:bottom w:val="nil"/>
              <w:right w:val="nil"/>
            </w:tcBorders>
            <w:vAlign w:val="center"/>
            <w:hideMark/>
          </w:tcPr>
          <w:p w14:paraId="40D73CA4" w14:textId="77777777" w:rsidR="001C0C1F" w:rsidRPr="001C0C1F" w:rsidRDefault="001C0C1F" w:rsidP="001C0C1F">
            <w:pPr>
              <w:rPr>
                <w:rFonts w:ascii="Book Antiqua" w:eastAsia="等线" w:hAnsi="Book Antiqua" w:cs="宋体"/>
                <w:color w:val="000000"/>
                <w:lang w:eastAsia="zh-CN"/>
              </w:rPr>
            </w:pPr>
          </w:p>
        </w:tc>
        <w:tc>
          <w:tcPr>
            <w:tcW w:w="602" w:type="dxa"/>
            <w:vMerge/>
            <w:tcBorders>
              <w:top w:val="nil"/>
              <w:left w:val="nil"/>
              <w:bottom w:val="nil"/>
              <w:right w:val="nil"/>
            </w:tcBorders>
            <w:vAlign w:val="center"/>
            <w:hideMark/>
          </w:tcPr>
          <w:p w14:paraId="1C3E35F9" w14:textId="77777777" w:rsidR="001C0C1F" w:rsidRPr="001C0C1F" w:rsidRDefault="001C0C1F" w:rsidP="001C0C1F">
            <w:pPr>
              <w:rPr>
                <w:rFonts w:ascii="Book Antiqua" w:eastAsia="等线" w:hAnsi="Book Antiqua" w:cs="宋体"/>
                <w:color w:val="000000"/>
                <w:lang w:eastAsia="zh-CN"/>
              </w:rPr>
            </w:pPr>
          </w:p>
        </w:tc>
        <w:tc>
          <w:tcPr>
            <w:tcW w:w="555" w:type="dxa"/>
            <w:vMerge/>
            <w:tcBorders>
              <w:top w:val="nil"/>
              <w:left w:val="nil"/>
              <w:bottom w:val="nil"/>
              <w:right w:val="nil"/>
            </w:tcBorders>
            <w:vAlign w:val="center"/>
            <w:hideMark/>
          </w:tcPr>
          <w:p w14:paraId="19A9557F" w14:textId="77777777" w:rsidR="001C0C1F" w:rsidRPr="001C0C1F" w:rsidRDefault="001C0C1F" w:rsidP="001C0C1F">
            <w:pPr>
              <w:rPr>
                <w:rFonts w:ascii="Book Antiqua" w:eastAsia="等线" w:hAnsi="Book Antiqua" w:cs="宋体"/>
                <w:color w:val="000000"/>
                <w:lang w:eastAsia="zh-CN"/>
              </w:rPr>
            </w:pPr>
          </w:p>
        </w:tc>
        <w:tc>
          <w:tcPr>
            <w:tcW w:w="759" w:type="dxa"/>
            <w:tcBorders>
              <w:top w:val="nil"/>
              <w:left w:val="nil"/>
              <w:bottom w:val="nil"/>
              <w:right w:val="nil"/>
            </w:tcBorders>
            <w:shd w:val="clear" w:color="auto" w:fill="auto"/>
            <w:vAlign w:val="center"/>
            <w:hideMark/>
          </w:tcPr>
          <w:p w14:paraId="104199E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Jan. 2011-Dec. 2012</w:t>
            </w:r>
          </w:p>
        </w:tc>
        <w:tc>
          <w:tcPr>
            <w:tcW w:w="1027" w:type="dxa"/>
            <w:vMerge/>
            <w:tcBorders>
              <w:top w:val="nil"/>
              <w:left w:val="nil"/>
              <w:bottom w:val="nil"/>
              <w:right w:val="nil"/>
            </w:tcBorders>
            <w:vAlign w:val="center"/>
            <w:hideMark/>
          </w:tcPr>
          <w:p w14:paraId="3FBA895D" w14:textId="77777777" w:rsidR="001C0C1F" w:rsidRPr="001C0C1F" w:rsidRDefault="001C0C1F" w:rsidP="001C0C1F">
            <w:pPr>
              <w:rPr>
                <w:rFonts w:ascii="Book Antiqua" w:eastAsia="等线" w:hAnsi="Book Antiqua" w:cs="宋体"/>
                <w:color w:val="000000"/>
                <w:lang w:eastAsia="zh-CN"/>
              </w:rPr>
            </w:pPr>
          </w:p>
        </w:tc>
        <w:tc>
          <w:tcPr>
            <w:tcW w:w="712" w:type="dxa"/>
            <w:vMerge/>
            <w:tcBorders>
              <w:top w:val="nil"/>
              <w:left w:val="nil"/>
              <w:bottom w:val="nil"/>
              <w:right w:val="nil"/>
            </w:tcBorders>
            <w:vAlign w:val="center"/>
            <w:hideMark/>
          </w:tcPr>
          <w:p w14:paraId="72348914" w14:textId="77777777" w:rsidR="001C0C1F" w:rsidRPr="001C0C1F" w:rsidRDefault="001C0C1F" w:rsidP="001C0C1F">
            <w:pPr>
              <w:rPr>
                <w:rFonts w:ascii="Book Antiqua" w:eastAsia="等线" w:hAnsi="Book Antiqua" w:cs="宋体"/>
                <w:color w:val="000000"/>
                <w:lang w:eastAsia="zh-CN"/>
              </w:rPr>
            </w:pPr>
          </w:p>
        </w:tc>
        <w:tc>
          <w:tcPr>
            <w:tcW w:w="704" w:type="dxa"/>
            <w:vMerge/>
            <w:tcBorders>
              <w:top w:val="nil"/>
              <w:left w:val="nil"/>
              <w:bottom w:val="nil"/>
              <w:right w:val="nil"/>
            </w:tcBorders>
            <w:vAlign w:val="center"/>
            <w:hideMark/>
          </w:tcPr>
          <w:p w14:paraId="647BAB5D"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776A0C96" w14:textId="77777777" w:rsidR="001C0C1F" w:rsidRPr="001C0C1F" w:rsidRDefault="001C0C1F" w:rsidP="001C0C1F">
            <w:pPr>
              <w:rPr>
                <w:rFonts w:ascii="Book Antiqua" w:eastAsia="等线" w:hAnsi="Book Antiqua" w:cs="宋体"/>
                <w:color w:val="000000"/>
                <w:lang w:eastAsia="zh-CN"/>
              </w:rPr>
            </w:pPr>
          </w:p>
        </w:tc>
        <w:tc>
          <w:tcPr>
            <w:tcW w:w="674" w:type="dxa"/>
            <w:vMerge/>
            <w:tcBorders>
              <w:top w:val="nil"/>
              <w:left w:val="nil"/>
              <w:bottom w:val="nil"/>
              <w:right w:val="nil"/>
            </w:tcBorders>
            <w:vAlign w:val="center"/>
            <w:hideMark/>
          </w:tcPr>
          <w:p w14:paraId="3A71D5B9"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3C20DE2B"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53F7E7CB" w14:textId="77777777" w:rsidR="001C0C1F" w:rsidRPr="001C0C1F" w:rsidRDefault="001C0C1F" w:rsidP="001C0C1F">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68843E38" w14:textId="77777777" w:rsidR="001C0C1F" w:rsidRPr="001C0C1F" w:rsidRDefault="001C0C1F" w:rsidP="001C0C1F">
            <w:pPr>
              <w:rPr>
                <w:rFonts w:ascii="Book Antiqua" w:eastAsia="等线" w:hAnsi="Book Antiqua" w:cs="宋体"/>
                <w:color w:val="000000"/>
                <w:lang w:eastAsia="zh-CN"/>
              </w:rPr>
            </w:pPr>
          </w:p>
        </w:tc>
      </w:tr>
      <w:tr w:rsidR="001C0C1F" w:rsidRPr="001C0C1F" w14:paraId="3B612ED5" w14:textId="77777777" w:rsidTr="001C0C1F">
        <w:trPr>
          <w:trHeight w:val="630"/>
        </w:trPr>
        <w:tc>
          <w:tcPr>
            <w:tcW w:w="273" w:type="dxa"/>
            <w:tcBorders>
              <w:top w:val="nil"/>
              <w:left w:val="nil"/>
              <w:bottom w:val="nil"/>
              <w:right w:val="nil"/>
            </w:tcBorders>
            <w:shd w:val="clear" w:color="auto" w:fill="auto"/>
            <w:vAlign w:val="center"/>
            <w:hideMark/>
          </w:tcPr>
          <w:p w14:paraId="1176B8C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3</w:t>
            </w:r>
          </w:p>
        </w:tc>
        <w:tc>
          <w:tcPr>
            <w:tcW w:w="602" w:type="dxa"/>
            <w:tcBorders>
              <w:top w:val="nil"/>
              <w:left w:val="nil"/>
              <w:bottom w:val="nil"/>
              <w:right w:val="nil"/>
            </w:tcBorders>
            <w:shd w:val="clear" w:color="auto" w:fill="auto"/>
            <w:vAlign w:val="center"/>
            <w:hideMark/>
          </w:tcPr>
          <w:p w14:paraId="129A637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Permpikul</w:t>
            </w:r>
            <w:r w:rsidRPr="001C0C1F">
              <w:rPr>
                <w:rFonts w:ascii="Book Antiqua" w:eastAsia="等线" w:hAnsi="Book Antiqua" w:cs="宋体"/>
                <w:i/>
                <w:iCs/>
                <w:color w:val="000000"/>
                <w:lang w:eastAsia="zh-CN"/>
              </w:rPr>
              <w:t xml:space="preserve"> et al</w:t>
            </w:r>
            <w:r w:rsidRPr="001C0C1F">
              <w:rPr>
                <w:rFonts w:ascii="Book Antiqua" w:eastAsia="等线" w:hAnsi="Book Antiqua" w:cs="宋体"/>
                <w:color w:val="000000"/>
                <w:vertAlign w:val="superscript"/>
                <w:lang w:eastAsia="zh-CN"/>
              </w:rPr>
              <w:t>[39]</w:t>
            </w:r>
            <w:r w:rsidRPr="001C0C1F">
              <w:rPr>
                <w:rFonts w:ascii="Book Antiqua" w:eastAsia="等线" w:hAnsi="Book Antiqua" w:cs="宋体"/>
                <w:color w:val="000000"/>
                <w:lang w:eastAsia="zh-CN"/>
              </w:rPr>
              <w:t>, 2019</w:t>
            </w:r>
          </w:p>
        </w:tc>
        <w:tc>
          <w:tcPr>
            <w:tcW w:w="555" w:type="dxa"/>
            <w:tcBorders>
              <w:top w:val="nil"/>
              <w:left w:val="nil"/>
              <w:bottom w:val="nil"/>
              <w:right w:val="nil"/>
            </w:tcBorders>
            <w:shd w:val="clear" w:color="auto" w:fill="auto"/>
            <w:vAlign w:val="center"/>
            <w:hideMark/>
          </w:tcPr>
          <w:p w14:paraId="47E57051"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Thailand</w:t>
            </w:r>
          </w:p>
        </w:tc>
        <w:tc>
          <w:tcPr>
            <w:tcW w:w="759" w:type="dxa"/>
            <w:tcBorders>
              <w:top w:val="nil"/>
              <w:left w:val="nil"/>
              <w:bottom w:val="nil"/>
              <w:right w:val="nil"/>
            </w:tcBorders>
            <w:shd w:val="clear" w:color="auto" w:fill="auto"/>
            <w:vAlign w:val="center"/>
            <w:hideMark/>
          </w:tcPr>
          <w:p w14:paraId="4812A8D8"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Single center, RCT, Oct. 2013-Mar. 2017</w:t>
            </w:r>
          </w:p>
        </w:tc>
        <w:tc>
          <w:tcPr>
            <w:tcW w:w="1027" w:type="dxa"/>
            <w:tcBorders>
              <w:top w:val="nil"/>
              <w:left w:val="nil"/>
              <w:bottom w:val="nil"/>
              <w:right w:val="nil"/>
            </w:tcBorders>
            <w:shd w:val="clear" w:color="auto" w:fill="auto"/>
            <w:vAlign w:val="center"/>
            <w:hideMark/>
          </w:tcPr>
          <w:p w14:paraId="0EE4430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310/155/155</w:t>
            </w:r>
          </w:p>
        </w:tc>
        <w:tc>
          <w:tcPr>
            <w:tcW w:w="712" w:type="dxa"/>
            <w:tcBorders>
              <w:top w:val="nil"/>
              <w:left w:val="nil"/>
              <w:bottom w:val="nil"/>
              <w:right w:val="nil"/>
            </w:tcBorders>
            <w:shd w:val="clear" w:color="auto" w:fill="auto"/>
            <w:vAlign w:val="center"/>
            <w:hideMark/>
          </w:tcPr>
          <w:p w14:paraId="65EB63B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w:t>
            </w:r>
          </w:p>
        </w:tc>
        <w:tc>
          <w:tcPr>
            <w:tcW w:w="704" w:type="dxa"/>
            <w:tcBorders>
              <w:top w:val="nil"/>
              <w:left w:val="nil"/>
              <w:bottom w:val="nil"/>
              <w:right w:val="nil"/>
            </w:tcBorders>
            <w:shd w:val="clear" w:color="auto" w:fill="auto"/>
            <w:vAlign w:val="center"/>
            <w:hideMark/>
          </w:tcPr>
          <w:p w14:paraId="125D41F8"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ED arrival</w:t>
            </w:r>
          </w:p>
        </w:tc>
        <w:tc>
          <w:tcPr>
            <w:tcW w:w="826" w:type="dxa"/>
            <w:tcBorders>
              <w:top w:val="nil"/>
              <w:left w:val="nil"/>
              <w:bottom w:val="nil"/>
              <w:right w:val="nil"/>
            </w:tcBorders>
            <w:shd w:val="clear" w:color="auto" w:fill="auto"/>
            <w:vAlign w:val="center"/>
            <w:hideMark/>
          </w:tcPr>
          <w:p w14:paraId="1EB87C7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Median time from emergency room arrival to NE administration was 93 min</w:t>
            </w:r>
          </w:p>
        </w:tc>
        <w:tc>
          <w:tcPr>
            <w:tcW w:w="674" w:type="dxa"/>
            <w:tcBorders>
              <w:top w:val="nil"/>
              <w:left w:val="nil"/>
              <w:bottom w:val="nil"/>
              <w:right w:val="nil"/>
            </w:tcBorders>
            <w:shd w:val="clear" w:color="auto" w:fill="auto"/>
            <w:vAlign w:val="center"/>
            <w:hideMark/>
          </w:tcPr>
          <w:p w14:paraId="268AE17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Shock control rate</w:t>
            </w:r>
          </w:p>
        </w:tc>
        <w:tc>
          <w:tcPr>
            <w:tcW w:w="826" w:type="dxa"/>
            <w:tcBorders>
              <w:top w:val="nil"/>
              <w:left w:val="nil"/>
              <w:bottom w:val="nil"/>
              <w:right w:val="nil"/>
            </w:tcBorders>
            <w:shd w:val="clear" w:color="auto" w:fill="auto"/>
            <w:vAlign w:val="center"/>
            <w:hideMark/>
          </w:tcPr>
          <w:p w14:paraId="38F8EAC6"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Early NE administration resulted in significant higher shock control rate than standard treatment, 76.1%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48.8%,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0.001</w:t>
            </w:r>
          </w:p>
        </w:tc>
        <w:tc>
          <w:tcPr>
            <w:tcW w:w="826" w:type="dxa"/>
            <w:tcBorders>
              <w:top w:val="nil"/>
              <w:left w:val="nil"/>
              <w:bottom w:val="nil"/>
              <w:right w:val="nil"/>
            </w:tcBorders>
            <w:shd w:val="clear" w:color="auto" w:fill="auto"/>
            <w:vAlign w:val="center"/>
            <w:hideMark/>
          </w:tcPr>
          <w:p w14:paraId="40538585"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1 Achievement of target MAP (&gt; 65 mmHg), urine output (&gt; 0.5 mL/kg) and lactate clearance (&gt; 10%) were all significantly higher in the early-NE group (all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&lt; 0.05). 2 There was no difference between groups for the rates of mechanical ventilator support or RRT. 3 patients in the early-NE </w:t>
            </w:r>
            <w:r w:rsidRPr="001C0C1F">
              <w:rPr>
                <w:rFonts w:ascii="Book Antiqua" w:eastAsia="等线" w:hAnsi="Book Antiqua" w:cs="宋体"/>
                <w:color w:val="000000"/>
                <w:lang w:eastAsia="zh-CN"/>
              </w:rPr>
              <w:lastRenderedPageBreak/>
              <w:t xml:space="preserve">group had a lower rate of cardiogenic pulmonary edema (14.4%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27.7%,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0.004) and new-onset arrhythmia (11%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20%,</w:t>
            </w:r>
            <w:r w:rsidRPr="001C0C1F">
              <w:rPr>
                <w:rFonts w:ascii="Book Antiqua" w:eastAsia="等线" w:hAnsi="Book Antiqua" w:cs="宋体"/>
                <w:i/>
                <w:iCs/>
                <w:color w:val="000000"/>
                <w:lang w:eastAsia="zh-CN"/>
              </w:rPr>
              <w:t xml:space="preserve"> P</w:t>
            </w:r>
            <w:r w:rsidRPr="001C0C1F">
              <w:rPr>
                <w:rFonts w:ascii="Book Antiqua" w:eastAsia="等线" w:hAnsi="Book Antiqua" w:cs="宋体"/>
                <w:color w:val="000000"/>
                <w:lang w:eastAsia="zh-CN"/>
              </w:rPr>
              <w:t xml:space="preserve"> = 0.03)</w:t>
            </w:r>
          </w:p>
        </w:tc>
        <w:tc>
          <w:tcPr>
            <w:tcW w:w="856" w:type="dxa"/>
            <w:tcBorders>
              <w:top w:val="nil"/>
              <w:left w:val="nil"/>
              <w:bottom w:val="nil"/>
              <w:right w:val="nil"/>
            </w:tcBorders>
            <w:shd w:val="clear" w:color="auto" w:fill="auto"/>
            <w:vAlign w:val="center"/>
            <w:hideMark/>
          </w:tcPr>
          <w:p w14:paraId="5F36261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This study confirms that the early use of NE, can enable septic shock patients to benefit in short-term endpoints, such as shock control rate, urine output and lactate clearance, represented both macro- and micro-circulation restoration</w:t>
            </w:r>
          </w:p>
        </w:tc>
      </w:tr>
      <w:tr w:rsidR="001C0C1F" w:rsidRPr="001C0C1F" w14:paraId="09DAE865" w14:textId="77777777" w:rsidTr="001C0C1F">
        <w:trPr>
          <w:trHeight w:val="368"/>
        </w:trPr>
        <w:tc>
          <w:tcPr>
            <w:tcW w:w="273" w:type="dxa"/>
            <w:tcBorders>
              <w:top w:val="nil"/>
              <w:left w:val="nil"/>
              <w:bottom w:val="nil"/>
              <w:right w:val="nil"/>
            </w:tcBorders>
            <w:shd w:val="clear" w:color="auto" w:fill="auto"/>
            <w:vAlign w:val="center"/>
            <w:hideMark/>
          </w:tcPr>
          <w:p w14:paraId="1A4E645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4</w:t>
            </w:r>
          </w:p>
        </w:tc>
        <w:tc>
          <w:tcPr>
            <w:tcW w:w="602" w:type="dxa"/>
            <w:tcBorders>
              <w:top w:val="nil"/>
              <w:left w:val="nil"/>
              <w:bottom w:val="nil"/>
              <w:right w:val="nil"/>
            </w:tcBorders>
            <w:shd w:val="clear" w:color="auto" w:fill="auto"/>
            <w:vAlign w:val="center"/>
            <w:hideMark/>
          </w:tcPr>
          <w:p w14:paraId="4C6D2C76"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Colon</w:t>
            </w:r>
            <w:r w:rsidRPr="001C0C1F">
              <w:rPr>
                <w:rFonts w:ascii="Book Antiqua" w:eastAsia="等线" w:hAnsi="Book Antiqua" w:cs="宋体"/>
                <w:i/>
                <w:iCs/>
                <w:color w:val="000000"/>
                <w:lang w:eastAsia="zh-CN"/>
              </w:rPr>
              <w:t xml:space="preserve"> et al</w:t>
            </w:r>
            <w:r w:rsidRPr="001C0C1F">
              <w:rPr>
                <w:rFonts w:ascii="Book Antiqua" w:eastAsia="等线" w:hAnsi="Book Antiqua" w:cs="宋体"/>
                <w:color w:val="000000"/>
                <w:vertAlign w:val="superscript"/>
                <w:lang w:eastAsia="zh-CN"/>
              </w:rPr>
              <w:t>[62]</w:t>
            </w:r>
            <w:r w:rsidRPr="001C0C1F">
              <w:rPr>
                <w:rFonts w:ascii="Book Antiqua" w:eastAsia="等线" w:hAnsi="Book Antiqua" w:cs="宋体"/>
                <w:color w:val="000000"/>
                <w:lang w:eastAsia="zh-CN"/>
              </w:rPr>
              <w:t>, 2019</w:t>
            </w:r>
          </w:p>
        </w:tc>
        <w:tc>
          <w:tcPr>
            <w:tcW w:w="555" w:type="dxa"/>
            <w:tcBorders>
              <w:top w:val="nil"/>
              <w:left w:val="nil"/>
              <w:bottom w:val="nil"/>
              <w:right w:val="nil"/>
            </w:tcBorders>
            <w:shd w:val="clear" w:color="auto" w:fill="auto"/>
            <w:vAlign w:val="center"/>
            <w:hideMark/>
          </w:tcPr>
          <w:p w14:paraId="134F7B3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United States</w:t>
            </w:r>
          </w:p>
        </w:tc>
        <w:tc>
          <w:tcPr>
            <w:tcW w:w="759" w:type="dxa"/>
            <w:tcBorders>
              <w:top w:val="nil"/>
              <w:left w:val="nil"/>
              <w:bottom w:val="nil"/>
              <w:right w:val="nil"/>
            </w:tcBorders>
            <w:shd w:val="clear" w:color="auto" w:fill="auto"/>
            <w:vAlign w:val="center"/>
            <w:hideMark/>
          </w:tcPr>
          <w:p w14:paraId="6B35D5D9"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Single center, retrospective cohort study Jan. 2017-Jul. 2017</w:t>
            </w:r>
          </w:p>
        </w:tc>
        <w:tc>
          <w:tcPr>
            <w:tcW w:w="1027" w:type="dxa"/>
            <w:tcBorders>
              <w:top w:val="nil"/>
              <w:left w:val="nil"/>
              <w:bottom w:val="nil"/>
              <w:right w:val="nil"/>
            </w:tcBorders>
            <w:shd w:val="clear" w:color="auto" w:fill="auto"/>
            <w:vAlign w:val="center"/>
            <w:hideMark/>
          </w:tcPr>
          <w:p w14:paraId="0B59D7E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119/76/43</w:t>
            </w:r>
          </w:p>
        </w:tc>
        <w:tc>
          <w:tcPr>
            <w:tcW w:w="712" w:type="dxa"/>
            <w:tcBorders>
              <w:top w:val="nil"/>
              <w:left w:val="nil"/>
              <w:bottom w:val="nil"/>
              <w:right w:val="nil"/>
            </w:tcBorders>
            <w:shd w:val="clear" w:color="auto" w:fill="auto"/>
            <w:vAlign w:val="center"/>
            <w:hideMark/>
          </w:tcPr>
          <w:p w14:paraId="10BB7189"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Vasopress-ors</w:t>
            </w:r>
          </w:p>
        </w:tc>
        <w:tc>
          <w:tcPr>
            <w:tcW w:w="704" w:type="dxa"/>
            <w:tcBorders>
              <w:top w:val="nil"/>
              <w:left w:val="nil"/>
              <w:bottom w:val="nil"/>
              <w:right w:val="nil"/>
            </w:tcBorders>
            <w:shd w:val="clear" w:color="auto" w:fill="auto"/>
            <w:vAlign w:val="center"/>
            <w:hideMark/>
          </w:tcPr>
          <w:p w14:paraId="01FF615A"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Initial hypotension</w:t>
            </w:r>
          </w:p>
        </w:tc>
        <w:tc>
          <w:tcPr>
            <w:tcW w:w="826" w:type="dxa"/>
            <w:tcBorders>
              <w:top w:val="nil"/>
              <w:left w:val="nil"/>
              <w:bottom w:val="nil"/>
              <w:right w:val="nil"/>
            </w:tcBorders>
            <w:shd w:val="clear" w:color="auto" w:fill="auto"/>
            <w:vAlign w:val="center"/>
            <w:hideMark/>
          </w:tcPr>
          <w:p w14:paraId="3D465F3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Received vasopressor within 6 h from initial hypotension</w:t>
            </w:r>
          </w:p>
        </w:tc>
        <w:tc>
          <w:tcPr>
            <w:tcW w:w="674" w:type="dxa"/>
            <w:tcBorders>
              <w:top w:val="nil"/>
              <w:left w:val="nil"/>
              <w:bottom w:val="nil"/>
              <w:right w:val="nil"/>
            </w:tcBorders>
            <w:shd w:val="clear" w:color="auto" w:fill="auto"/>
            <w:vAlign w:val="center"/>
            <w:hideMark/>
          </w:tcPr>
          <w:p w14:paraId="4FC05AB6"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30 d mortality</w:t>
            </w:r>
          </w:p>
        </w:tc>
        <w:tc>
          <w:tcPr>
            <w:tcW w:w="826" w:type="dxa"/>
            <w:tcBorders>
              <w:top w:val="nil"/>
              <w:left w:val="nil"/>
              <w:bottom w:val="nil"/>
              <w:right w:val="nil"/>
            </w:tcBorders>
            <w:shd w:val="clear" w:color="auto" w:fill="auto"/>
            <w:vAlign w:val="center"/>
            <w:hideMark/>
          </w:tcPr>
          <w:p w14:paraId="2164E7C3"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Vasopressor initiation after 6 h from shock onset is associated with a significant increase in 30 d mortality, 25%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51.1%,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0.01</w:t>
            </w:r>
          </w:p>
        </w:tc>
        <w:tc>
          <w:tcPr>
            <w:tcW w:w="826" w:type="dxa"/>
            <w:tcBorders>
              <w:top w:val="nil"/>
              <w:left w:val="nil"/>
              <w:bottom w:val="nil"/>
              <w:right w:val="nil"/>
            </w:tcBorders>
            <w:shd w:val="clear" w:color="auto" w:fill="auto"/>
            <w:vAlign w:val="center"/>
            <w:hideMark/>
          </w:tcPr>
          <w:p w14:paraId="371BF00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1 Logistic regression analysis: administration of vasopressors after 6 h from hypotension were independently associated with increased 30 d mortality. 2 The time to target MAP was shorter in the early vasopressor group (1.5 h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3 h,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0.01)</w:t>
            </w:r>
          </w:p>
        </w:tc>
        <w:tc>
          <w:tcPr>
            <w:tcW w:w="856" w:type="dxa"/>
            <w:tcBorders>
              <w:top w:val="nil"/>
              <w:left w:val="nil"/>
              <w:bottom w:val="nil"/>
              <w:right w:val="nil"/>
            </w:tcBorders>
            <w:shd w:val="clear" w:color="auto" w:fill="auto"/>
            <w:vAlign w:val="center"/>
            <w:hideMark/>
          </w:tcPr>
          <w:p w14:paraId="45D4A56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 Demonstrates that there is a mortality benefit with early use of vasopressor. 2 Early administration of vasopressor in septic shock patients (&lt; 6 h from initial hypotension) is associated with decreased mortality, that is likely secondary to faster achievement of MAP goals</w:t>
            </w:r>
          </w:p>
        </w:tc>
      </w:tr>
      <w:tr w:rsidR="001C0C1F" w:rsidRPr="001C0C1F" w14:paraId="2994291E" w14:textId="77777777" w:rsidTr="001C0C1F">
        <w:trPr>
          <w:trHeight w:val="945"/>
        </w:trPr>
        <w:tc>
          <w:tcPr>
            <w:tcW w:w="273" w:type="dxa"/>
            <w:tcBorders>
              <w:top w:val="nil"/>
              <w:left w:val="nil"/>
              <w:bottom w:val="nil"/>
              <w:right w:val="nil"/>
            </w:tcBorders>
            <w:shd w:val="clear" w:color="auto" w:fill="auto"/>
            <w:vAlign w:val="center"/>
            <w:hideMark/>
          </w:tcPr>
          <w:p w14:paraId="2E121B19"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5</w:t>
            </w:r>
          </w:p>
        </w:tc>
        <w:tc>
          <w:tcPr>
            <w:tcW w:w="602" w:type="dxa"/>
            <w:tcBorders>
              <w:top w:val="nil"/>
              <w:left w:val="nil"/>
              <w:bottom w:val="nil"/>
              <w:right w:val="nil"/>
            </w:tcBorders>
            <w:shd w:val="clear" w:color="auto" w:fill="auto"/>
            <w:vAlign w:val="center"/>
            <w:hideMark/>
          </w:tcPr>
          <w:p w14:paraId="07A64E99"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Elbouhy</w:t>
            </w:r>
            <w:r w:rsidRPr="001C0C1F">
              <w:rPr>
                <w:rFonts w:ascii="Book Antiqua" w:eastAsia="等线" w:hAnsi="Book Antiqua" w:cs="宋体"/>
                <w:i/>
                <w:iCs/>
                <w:color w:val="000000"/>
                <w:lang w:eastAsia="zh-CN"/>
              </w:rPr>
              <w:t xml:space="preserve"> et al</w:t>
            </w:r>
            <w:r w:rsidRPr="001C0C1F">
              <w:rPr>
                <w:rFonts w:ascii="Book Antiqua" w:eastAsia="等线" w:hAnsi="Book Antiqua" w:cs="宋体"/>
                <w:color w:val="000000"/>
                <w:vertAlign w:val="superscript"/>
                <w:lang w:eastAsia="zh-CN"/>
              </w:rPr>
              <w:t>[63]</w:t>
            </w:r>
            <w:r w:rsidRPr="001C0C1F">
              <w:rPr>
                <w:rFonts w:ascii="Book Antiqua" w:eastAsia="等线" w:hAnsi="Book Antiqua" w:cs="宋体"/>
                <w:color w:val="000000"/>
                <w:lang w:eastAsia="zh-CN"/>
              </w:rPr>
              <w:t>, 2019</w:t>
            </w:r>
          </w:p>
        </w:tc>
        <w:tc>
          <w:tcPr>
            <w:tcW w:w="555" w:type="dxa"/>
            <w:tcBorders>
              <w:top w:val="nil"/>
              <w:left w:val="nil"/>
              <w:bottom w:val="nil"/>
              <w:right w:val="nil"/>
            </w:tcBorders>
            <w:shd w:val="clear" w:color="auto" w:fill="auto"/>
            <w:vAlign w:val="center"/>
            <w:hideMark/>
          </w:tcPr>
          <w:p w14:paraId="1222061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Egypt</w:t>
            </w:r>
          </w:p>
        </w:tc>
        <w:tc>
          <w:tcPr>
            <w:tcW w:w="759" w:type="dxa"/>
            <w:tcBorders>
              <w:top w:val="nil"/>
              <w:left w:val="nil"/>
              <w:bottom w:val="nil"/>
              <w:right w:val="nil"/>
            </w:tcBorders>
            <w:shd w:val="clear" w:color="auto" w:fill="auto"/>
            <w:vAlign w:val="center"/>
            <w:hideMark/>
          </w:tcPr>
          <w:p w14:paraId="3E519221"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Single center, RCT Jan. 2017-Dec. 2018</w:t>
            </w:r>
          </w:p>
        </w:tc>
        <w:tc>
          <w:tcPr>
            <w:tcW w:w="1027" w:type="dxa"/>
            <w:tcBorders>
              <w:top w:val="nil"/>
              <w:left w:val="nil"/>
              <w:bottom w:val="nil"/>
              <w:right w:val="nil"/>
            </w:tcBorders>
            <w:shd w:val="clear" w:color="auto" w:fill="auto"/>
            <w:vAlign w:val="center"/>
            <w:hideMark/>
          </w:tcPr>
          <w:p w14:paraId="5A5FBEA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101/57/44</w:t>
            </w:r>
          </w:p>
        </w:tc>
        <w:tc>
          <w:tcPr>
            <w:tcW w:w="712" w:type="dxa"/>
            <w:tcBorders>
              <w:top w:val="nil"/>
              <w:left w:val="nil"/>
              <w:bottom w:val="nil"/>
              <w:right w:val="nil"/>
            </w:tcBorders>
            <w:shd w:val="clear" w:color="auto" w:fill="auto"/>
            <w:vAlign w:val="center"/>
            <w:hideMark/>
          </w:tcPr>
          <w:p w14:paraId="2622BFA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w:t>
            </w:r>
          </w:p>
        </w:tc>
        <w:tc>
          <w:tcPr>
            <w:tcW w:w="704" w:type="dxa"/>
            <w:tcBorders>
              <w:top w:val="nil"/>
              <w:left w:val="nil"/>
              <w:bottom w:val="nil"/>
              <w:right w:val="nil"/>
            </w:tcBorders>
            <w:shd w:val="clear" w:color="auto" w:fill="auto"/>
            <w:vAlign w:val="center"/>
            <w:hideMark/>
          </w:tcPr>
          <w:p w14:paraId="1E1F241D"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ED admission</w:t>
            </w:r>
          </w:p>
        </w:tc>
        <w:tc>
          <w:tcPr>
            <w:tcW w:w="826" w:type="dxa"/>
            <w:tcBorders>
              <w:top w:val="nil"/>
              <w:left w:val="nil"/>
              <w:bottom w:val="nil"/>
              <w:right w:val="nil"/>
            </w:tcBorders>
            <w:shd w:val="clear" w:color="auto" w:fill="auto"/>
            <w:vAlign w:val="center"/>
            <w:hideMark/>
          </w:tcPr>
          <w:p w14:paraId="2BB93A16"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 infusion started after 25 (20–30) min from ED admission, simultaneous administration of crystalloid fluids</w:t>
            </w:r>
          </w:p>
        </w:tc>
        <w:tc>
          <w:tcPr>
            <w:tcW w:w="674" w:type="dxa"/>
            <w:tcBorders>
              <w:top w:val="nil"/>
              <w:left w:val="nil"/>
              <w:bottom w:val="nil"/>
              <w:right w:val="nil"/>
            </w:tcBorders>
            <w:shd w:val="clear" w:color="auto" w:fill="auto"/>
            <w:vAlign w:val="center"/>
            <w:hideMark/>
          </w:tcPr>
          <w:p w14:paraId="7BF637C1"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In-hospital survival</w:t>
            </w:r>
          </w:p>
        </w:tc>
        <w:tc>
          <w:tcPr>
            <w:tcW w:w="826" w:type="dxa"/>
            <w:tcBorders>
              <w:top w:val="nil"/>
              <w:left w:val="nil"/>
              <w:bottom w:val="nil"/>
              <w:right w:val="nil"/>
            </w:tcBorders>
            <w:shd w:val="clear" w:color="auto" w:fill="auto"/>
            <w:vAlign w:val="center"/>
            <w:hideMark/>
          </w:tcPr>
          <w:p w14:paraId="2FC5D82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Early NE in septic shock improved in-hospital survival, 71.9%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45.5%,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0.007</w:t>
            </w:r>
          </w:p>
        </w:tc>
        <w:tc>
          <w:tcPr>
            <w:tcW w:w="826" w:type="dxa"/>
            <w:tcBorders>
              <w:top w:val="nil"/>
              <w:left w:val="nil"/>
              <w:bottom w:val="nil"/>
              <w:right w:val="nil"/>
            </w:tcBorders>
            <w:shd w:val="clear" w:color="auto" w:fill="auto"/>
            <w:vAlign w:val="center"/>
            <w:hideMark/>
          </w:tcPr>
          <w:p w14:paraId="54033A4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 MAP of 65 mmHg was achieved after 2 h in the early group compared to 3 h in the late group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0.003). 2 Post-resuscitation serum lactate level was 2 mmol/L in </w:t>
            </w:r>
            <w:r w:rsidRPr="001C0C1F">
              <w:rPr>
                <w:rFonts w:ascii="Book Antiqua" w:eastAsia="等线" w:hAnsi="Book Antiqua" w:cs="宋体"/>
                <w:color w:val="000000"/>
                <w:lang w:eastAsia="zh-CN"/>
              </w:rPr>
              <w:lastRenderedPageBreak/>
              <w:t>the early group and 2.9 mmol/L in the late group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0.037). 3 Acute kidney injury developed in 24 of the early group (42%) compared to 23 of the late group (52%)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0.3). 4 Patients in the early group were resuscitated by significantly lower volume of fluids, 25 mL/kg compared to 32.5 mL/kg in the late group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0.000). 5 The in-hospital survival rate in the early group was 71.9% compared to 45.5% in the late group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0.007)</w:t>
            </w:r>
          </w:p>
        </w:tc>
        <w:tc>
          <w:tcPr>
            <w:tcW w:w="856" w:type="dxa"/>
            <w:tcBorders>
              <w:top w:val="nil"/>
              <w:left w:val="nil"/>
              <w:bottom w:val="nil"/>
              <w:right w:val="nil"/>
            </w:tcBorders>
            <w:shd w:val="clear" w:color="auto" w:fill="auto"/>
            <w:vAlign w:val="center"/>
            <w:hideMark/>
          </w:tcPr>
          <w:p w14:paraId="1AE04A6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1 They found that early use of NE initiated simultaneously with fluids was associated with earlier achievement of target MAP, earlier lactate clearance with earlier achievement of </w:t>
            </w:r>
            <w:r w:rsidRPr="001C0C1F">
              <w:rPr>
                <w:rFonts w:ascii="Book Antiqua" w:eastAsia="等线" w:hAnsi="Book Antiqua" w:cs="宋体"/>
                <w:color w:val="000000"/>
                <w:lang w:eastAsia="zh-CN"/>
              </w:rPr>
              <w:lastRenderedPageBreak/>
              <w:t>lactate &lt; 2 mmoL/L and consequently higher in-hospital survival. 2 The significantly lower volume required for fluids resuscitationin the early-NE than in the late-NE group</w:t>
            </w:r>
          </w:p>
        </w:tc>
      </w:tr>
      <w:tr w:rsidR="001C0C1F" w:rsidRPr="001C0C1F" w14:paraId="6921ECE9" w14:textId="77777777" w:rsidTr="001C0C1F">
        <w:trPr>
          <w:trHeight w:val="315"/>
        </w:trPr>
        <w:tc>
          <w:tcPr>
            <w:tcW w:w="273" w:type="dxa"/>
            <w:vMerge w:val="restart"/>
            <w:tcBorders>
              <w:top w:val="nil"/>
              <w:left w:val="nil"/>
              <w:bottom w:val="nil"/>
              <w:right w:val="nil"/>
            </w:tcBorders>
            <w:shd w:val="clear" w:color="auto" w:fill="auto"/>
            <w:vAlign w:val="center"/>
            <w:hideMark/>
          </w:tcPr>
          <w:p w14:paraId="33FA1E7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6</w:t>
            </w:r>
          </w:p>
        </w:tc>
        <w:tc>
          <w:tcPr>
            <w:tcW w:w="602" w:type="dxa"/>
            <w:vMerge w:val="restart"/>
            <w:tcBorders>
              <w:top w:val="nil"/>
              <w:left w:val="nil"/>
              <w:bottom w:val="nil"/>
              <w:right w:val="nil"/>
            </w:tcBorders>
            <w:shd w:val="clear" w:color="auto" w:fill="auto"/>
            <w:vAlign w:val="center"/>
            <w:hideMark/>
          </w:tcPr>
          <w:p w14:paraId="1D70A343"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Ospina-Tascón</w:t>
            </w:r>
            <w:r w:rsidRPr="001C0C1F">
              <w:rPr>
                <w:rFonts w:ascii="Book Antiqua" w:eastAsia="等线" w:hAnsi="Book Antiqua" w:cs="宋体"/>
                <w:i/>
                <w:iCs/>
                <w:color w:val="000000"/>
                <w:lang w:eastAsia="zh-CN"/>
              </w:rPr>
              <w:t xml:space="preserve"> et al</w:t>
            </w:r>
            <w:r w:rsidRPr="001C0C1F">
              <w:rPr>
                <w:rFonts w:ascii="Book Antiqua" w:eastAsia="等线" w:hAnsi="Book Antiqua" w:cs="宋体"/>
                <w:color w:val="000000"/>
                <w:vertAlign w:val="superscript"/>
                <w:lang w:eastAsia="zh-CN"/>
              </w:rPr>
              <w:t>[64]</w:t>
            </w:r>
            <w:r w:rsidRPr="001C0C1F">
              <w:rPr>
                <w:rFonts w:ascii="Book Antiqua" w:eastAsia="等线" w:hAnsi="Book Antiqua" w:cs="宋体"/>
                <w:color w:val="000000"/>
                <w:lang w:eastAsia="zh-CN"/>
              </w:rPr>
              <w:t>, 2020</w:t>
            </w:r>
          </w:p>
        </w:tc>
        <w:tc>
          <w:tcPr>
            <w:tcW w:w="555" w:type="dxa"/>
            <w:vMerge w:val="restart"/>
            <w:tcBorders>
              <w:top w:val="nil"/>
              <w:left w:val="nil"/>
              <w:bottom w:val="nil"/>
              <w:right w:val="nil"/>
            </w:tcBorders>
            <w:shd w:val="clear" w:color="auto" w:fill="auto"/>
            <w:vAlign w:val="center"/>
            <w:hideMark/>
          </w:tcPr>
          <w:p w14:paraId="053412D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Colombia</w:t>
            </w:r>
          </w:p>
        </w:tc>
        <w:tc>
          <w:tcPr>
            <w:tcW w:w="759" w:type="dxa"/>
            <w:tcBorders>
              <w:top w:val="nil"/>
              <w:left w:val="nil"/>
              <w:bottom w:val="nil"/>
              <w:right w:val="nil"/>
            </w:tcBorders>
            <w:shd w:val="clear" w:color="auto" w:fill="auto"/>
            <w:vAlign w:val="center"/>
            <w:hideMark/>
          </w:tcPr>
          <w:p w14:paraId="39C473BD"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Single center, prospective cohort study</w:t>
            </w:r>
          </w:p>
        </w:tc>
        <w:tc>
          <w:tcPr>
            <w:tcW w:w="1027" w:type="dxa"/>
            <w:vMerge w:val="restart"/>
            <w:tcBorders>
              <w:top w:val="nil"/>
              <w:left w:val="nil"/>
              <w:bottom w:val="nil"/>
              <w:right w:val="nil"/>
            </w:tcBorders>
            <w:shd w:val="clear" w:color="auto" w:fill="auto"/>
            <w:vAlign w:val="center"/>
            <w:hideMark/>
          </w:tcPr>
          <w:p w14:paraId="4098F021"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186/93/93</w:t>
            </w:r>
          </w:p>
        </w:tc>
        <w:tc>
          <w:tcPr>
            <w:tcW w:w="712" w:type="dxa"/>
            <w:vMerge w:val="restart"/>
            <w:tcBorders>
              <w:top w:val="nil"/>
              <w:left w:val="nil"/>
              <w:bottom w:val="nil"/>
              <w:right w:val="nil"/>
            </w:tcBorders>
            <w:shd w:val="clear" w:color="auto" w:fill="auto"/>
            <w:vAlign w:val="center"/>
            <w:hideMark/>
          </w:tcPr>
          <w:p w14:paraId="4640ECF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 VP</w:t>
            </w:r>
          </w:p>
        </w:tc>
        <w:tc>
          <w:tcPr>
            <w:tcW w:w="704" w:type="dxa"/>
            <w:vMerge w:val="restart"/>
            <w:tcBorders>
              <w:top w:val="nil"/>
              <w:left w:val="nil"/>
              <w:bottom w:val="nil"/>
              <w:right w:val="nil"/>
            </w:tcBorders>
            <w:shd w:val="clear" w:color="auto" w:fill="auto"/>
            <w:vAlign w:val="center"/>
            <w:hideMark/>
          </w:tcPr>
          <w:p w14:paraId="43D09F4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First resuscitative fluid load</w:t>
            </w:r>
          </w:p>
        </w:tc>
        <w:tc>
          <w:tcPr>
            <w:tcW w:w="826" w:type="dxa"/>
            <w:vMerge w:val="restart"/>
            <w:tcBorders>
              <w:top w:val="nil"/>
              <w:left w:val="nil"/>
              <w:bottom w:val="nil"/>
              <w:right w:val="nil"/>
            </w:tcBorders>
            <w:shd w:val="clear" w:color="auto" w:fill="auto"/>
            <w:vAlign w:val="center"/>
            <w:hideMark/>
          </w:tcPr>
          <w:p w14:paraId="357BE3FA"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Vasopressor support initiated within the next hour or even before the first fluid load with resuscitative </w:t>
            </w:r>
            <w:r w:rsidRPr="001C0C1F">
              <w:rPr>
                <w:rFonts w:ascii="Book Antiqua" w:eastAsia="等线" w:hAnsi="Book Antiqua" w:cs="宋体"/>
                <w:color w:val="000000"/>
                <w:lang w:eastAsia="zh-CN"/>
              </w:rPr>
              <w:lastRenderedPageBreak/>
              <w:t>intention (FRLoad)</w:t>
            </w:r>
          </w:p>
        </w:tc>
        <w:tc>
          <w:tcPr>
            <w:tcW w:w="674" w:type="dxa"/>
            <w:vMerge w:val="restart"/>
            <w:tcBorders>
              <w:top w:val="nil"/>
              <w:left w:val="nil"/>
              <w:bottom w:val="nil"/>
              <w:right w:val="nil"/>
            </w:tcBorders>
            <w:shd w:val="clear" w:color="auto" w:fill="auto"/>
            <w:vAlign w:val="center"/>
            <w:hideMark/>
          </w:tcPr>
          <w:p w14:paraId="6CE5BE9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Association between early vasopressor and 28 d mortality</w:t>
            </w:r>
          </w:p>
        </w:tc>
        <w:tc>
          <w:tcPr>
            <w:tcW w:w="826" w:type="dxa"/>
            <w:vMerge w:val="restart"/>
            <w:tcBorders>
              <w:top w:val="nil"/>
              <w:left w:val="nil"/>
              <w:bottom w:val="nil"/>
              <w:right w:val="nil"/>
            </w:tcBorders>
            <w:shd w:val="clear" w:color="auto" w:fill="auto"/>
            <w:vAlign w:val="center"/>
            <w:hideMark/>
          </w:tcPr>
          <w:p w14:paraId="44CD9FB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Early vasopressor was associated with a significant reduction in the risk of death </w:t>
            </w:r>
            <w:r w:rsidRPr="001C0C1F">
              <w:rPr>
                <w:rFonts w:ascii="Book Antiqua" w:eastAsia="等线" w:hAnsi="Book Antiqua" w:cs="宋体"/>
                <w:color w:val="000000"/>
                <w:lang w:eastAsia="zh-CN"/>
              </w:rPr>
              <w:lastRenderedPageBreak/>
              <w:t xml:space="preserve">compared to delayed vasopressor (HR 0.31, CI95% 0.17-0.57,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0.001) at day 28</w:t>
            </w:r>
          </w:p>
        </w:tc>
        <w:tc>
          <w:tcPr>
            <w:tcW w:w="826" w:type="dxa"/>
            <w:vMerge w:val="restart"/>
            <w:tcBorders>
              <w:top w:val="nil"/>
              <w:left w:val="nil"/>
              <w:bottom w:val="nil"/>
              <w:right w:val="nil"/>
            </w:tcBorders>
            <w:shd w:val="clear" w:color="auto" w:fill="auto"/>
            <w:vAlign w:val="center"/>
            <w:hideMark/>
          </w:tcPr>
          <w:p w14:paraId="1F7508D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1 Patients in the early vasopressor group received less resuscitation fluids in the first 8h of resuscitation </w:t>
            </w:r>
            <w:r w:rsidRPr="001C0C1F">
              <w:rPr>
                <w:rFonts w:ascii="Book Antiqua" w:eastAsia="等线" w:hAnsi="Book Antiqua" w:cs="宋体"/>
                <w:color w:val="000000"/>
                <w:lang w:eastAsia="zh-CN"/>
              </w:rPr>
              <w:lastRenderedPageBreak/>
              <w:t>(</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0.001). 2 There were no significant differences regarding the maximal dose of NE, steroids and VP use, or requirement of RRT. 3 No cases of severe digital or severe vasopressor-induced splanchnic ischemia were documented</w:t>
            </w:r>
          </w:p>
        </w:tc>
        <w:tc>
          <w:tcPr>
            <w:tcW w:w="856" w:type="dxa"/>
            <w:vMerge w:val="restart"/>
            <w:tcBorders>
              <w:top w:val="nil"/>
              <w:left w:val="nil"/>
              <w:bottom w:val="nil"/>
              <w:right w:val="nil"/>
            </w:tcBorders>
            <w:shd w:val="clear" w:color="auto" w:fill="auto"/>
            <w:vAlign w:val="center"/>
            <w:hideMark/>
          </w:tcPr>
          <w:p w14:paraId="67E2213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1 Early vasopressor support is associated with less use of resuscitation fluids, less fluid accumulation, </w:t>
            </w:r>
            <w:r w:rsidRPr="001C0C1F">
              <w:rPr>
                <w:rFonts w:ascii="Book Antiqua" w:eastAsia="等线" w:hAnsi="Book Antiqua" w:cs="宋体"/>
                <w:color w:val="000000"/>
                <w:lang w:eastAsia="zh-CN"/>
              </w:rPr>
              <w:lastRenderedPageBreak/>
              <w:t>and shortening of hypotension time. 2 Early vasopressor was not associated with increased kidney injury or ischemia-related adverse effects, and it might decrease mortality in patients with septic shock</w:t>
            </w:r>
          </w:p>
        </w:tc>
      </w:tr>
      <w:tr w:rsidR="001C0C1F" w:rsidRPr="001C0C1F" w14:paraId="26322F7C" w14:textId="77777777" w:rsidTr="001C0C1F">
        <w:trPr>
          <w:trHeight w:val="315"/>
        </w:trPr>
        <w:tc>
          <w:tcPr>
            <w:tcW w:w="273" w:type="dxa"/>
            <w:vMerge/>
            <w:tcBorders>
              <w:top w:val="nil"/>
              <w:left w:val="nil"/>
              <w:bottom w:val="nil"/>
              <w:right w:val="nil"/>
            </w:tcBorders>
            <w:vAlign w:val="center"/>
            <w:hideMark/>
          </w:tcPr>
          <w:p w14:paraId="558A98FC" w14:textId="77777777" w:rsidR="001C0C1F" w:rsidRPr="001C0C1F" w:rsidRDefault="001C0C1F" w:rsidP="001C0C1F">
            <w:pPr>
              <w:rPr>
                <w:rFonts w:ascii="Book Antiqua" w:eastAsia="等线" w:hAnsi="Book Antiqua" w:cs="宋体"/>
                <w:color w:val="000000"/>
                <w:lang w:eastAsia="zh-CN"/>
              </w:rPr>
            </w:pPr>
          </w:p>
        </w:tc>
        <w:tc>
          <w:tcPr>
            <w:tcW w:w="602" w:type="dxa"/>
            <w:vMerge/>
            <w:tcBorders>
              <w:top w:val="nil"/>
              <w:left w:val="nil"/>
              <w:bottom w:val="nil"/>
              <w:right w:val="nil"/>
            </w:tcBorders>
            <w:vAlign w:val="center"/>
            <w:hideMark/>
          </w:tcPr>
          <w:p w14:paraId="411BDC6E" w14:textId="77777777" w:rsidR="001C0C1F" w:rsidRPr="001C0C1F" w:rsidRDefault="001C0C1F" w:rsidP="001C0C1F">
            <w:pPr>
              <w:rPr>
                <w:rFonts w:ascii="Book Antiqua" w:eastAsia="等线" w:hAnsi="Book Antiqua" w:cs="宋体"/>
                <w:color w:val="000000"/>
                <w:lang w:eastAsia="zh-CN"/>
              </w:rPr>
            </w:pPr>
          </w:p>
        </w:tc>
        <w:tc>
          <w:tcPr>
            <w:tcW w:w="555" w:type="dxa"/>
            <w:vMerge/>
            <w:tcBorders>
              <w:top w:val="nil"/>
              <w:left w:val="nil"/>
              <w:bottom w:val="nil"/>
              <w:right w:val="nil"/>
            </w:tcBorders>
            <w:vAlign w:val="center"/>
            <w:hideMark/>
          </w:tcPr>
          <w:p w14:paraId="64E43C7A" w14:textId="77777777" w:rsidR="001C0C1F" w:rsidRPr="001C0C1F" w:rsidRDefault="001C0C1F" w:rsidP="001C0C1F">
            <w:pPr>
              <w:rPr>
                <w:rFonts w:ascii="Book Antiqua" w:eastAsia="等线" w:hAnsi="Book Antiqua" w:cs="宋体"/>
                <w:color w:val="000000"/>
                <w:lang w:eastAsia="zh-CN"/>
              </w:rPr>
            </w:pPr>
          </w:p>
        </w:tc>
        <w:tc>
          <w:tcPr>
            <w:tcW w:w="759" w:type="dxa"/>
            <w:tcBorders>
              <w:top w:val="nil"/>
              <w:left w:val="nil"/>
              <w:bottom w:val="nil"/>
              <w:right w:val="nil"/>
            </w:tcBorders>
            <w:shd w:val="clear" w:color="auto" w:fill="auto"/>
            <w:vAlign w:val="center"/>
            <w:hideMark/>
          </w:tcPr>
          <w:p w14:paraId="22F11054"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Jan.2015-</w:t>
            </w:r>
          </w:p>
        </w:tc>
        <w:tc>
          <w:tcPr>
            <w:tcW w:w="1027" w:type="dxa"/>
            <w:vMerge/>
            <w:tcBorders>
              <w:top w:val="nil"/>
              <w:left w:val="nil"/>
              <w:bottom w:val="nil"/>
              <w:right w:val="nil"/>
            </w:tcBorders>
            <w:vAlign w:val="center"/>
            <w:hideMark/>
          </w:tcPr>
          <w:p w14:paraId="150C3199" w14:textId="77777777" w:rsidR="001C0C1F" w:rsidRPr="001C0C1F" w:rsidRDefault="001C0C1F" w:rsidP="001C0C1F">
            <w:pPr>
              <w:rPr>
                <w:rFonts w:ascii="Book Antiqua" w:eastAsia="等线" w:hAnsi="Book Antiqua" w:cs="宋体"/>
                <w:color w:val="000000"/>
                <w:lang w:eastAsia="zh-CN"/>
              </w:rPr>
            </w:pPr>
          </w:p>
        </w:tc>
        <w:tc>
          <w:tcPr>
            <w:tcW w:w="712" w:type="dxa"/>
            <w:vMerge/>
            <w:tcBorders>
              <w:top w:val="nil"/>
              <w:left w:val="nil"/>
              <w:bottom w:val="nil"/>
              <w:right w:val="nil"/>
            </w:tcBorders>
            <w:vAlign w:val="center"/>
            <w:hideMark/>
          </w:tcPr>
          <w:p w14:paraId="0FD76E36" w14:textId="77777777" w:rsidR="001C0C1F" w:rsidRPr="001C0C1F" w:rsidRDefault="001C0C1F" w:rsidP="001C0C1F">
            <w:pPr>
              <w:rPr>
                <w:rFonts w:ascii="Book Antiqua" w:eastAsia="等线" w:hAnsi="Book Antiqua" w:cs="宋体"/>
                <w:color w:val="000000"/>
                <w:lang w:eastAsia="zh-CN"/>
              </w:rPr>
            </w:pPr>
          </w:p>
        </w:tc>
        <w:tc>
          <w:tcPr>
            <w:tcW w:w="704" w:type="dxa"/>
            <w:vMerge/>
            <w:tcBorders>
              <w:top w:val="nil"/>
              <w:left w:val="nil"/>
              <w:bottom w:val="nil"/>
              <w:right w:val="nil"/>
            </w:tcBorders>
            <w:vAlign w:val="center"/>
            <w:hideMark/>
          </w:tcPr>
          <w:p w14:paraId="56ABC6DD"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16F8DD6F" w14:textId="77777777" w:rsidR="001C0C1F" w:rsidRPr="001C0C1F" w:rsidRDefault="001C0C1F" w:rsidP="001C0C1F">
            <w:pPr>
              <w:rPr>
                <w:rFonts w:ascii="Book Antiqua" w:eastAsia="等线" w:hAnsi="Book Antiqua" w:cs="宋体"/>
                <w:color w:val="000000"/>
                <w:lang w:eastAsia="zh-CN"/>
              </w:rPr>
            </w:pPr>
          </w:p>
        </w:tc>
        <w:tc>
          <w:tcPr>
            <w:tcW w:w="674" w:type="dxa"/>
            <w:vMerge/>
            <w:tcBorders>
              <w:top w:val="nil"/>
              <w:left w:val="nil"/>
              <w:bottom w:val="nil"/>
              <w:right w:val="nil"/>
            </w:tcBorders>
            <w:vAlign w:val="center"/>
            <w:hideMark/>
          </w:tcPr>
          <w:p w14:paraId="6453BA4C"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7B1EE0AE"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6A9E62B4" w14:textId="77777777" w:rsidR="001C0C1F" w:rsidRPr="001C0C1F" w:rsidRDefault="001C0C1F" w:rsidP="001C0C1F">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593D7805" w14:textId="77777777" w:rsidR="001C0C1F" w:rsidRPr="001C0C1F" w:rsidRDefault="001C0C1F" w:rsidP="001C0C1F">
            <w:pPr>
              <w:rPr>
                <w:rFonts w:ascii="Book Antiqua" w:eastAsia="等线" w:hAnsi="Book Antiqua" w:cs="宋体"/>
                <w:color w:val="000000"/>
                <w:lang w:eastAsia="zh-CN"/>
              </w:rPr>
            </w:pPr>
          </w:p>
        </w:tc>
      </w:tr>
      <w:tr w:rsidR="001C0C1F" w:rsidRPr="001C0C1F" w14:paraId="15758472" w14:textId="77777777" w:rsidTr="001C0C1F">
        <w:trPr>
          <w:trHeight w:val="315"/>
        </w:trPr>
        <w:tc>
          <w:tcPr>
            <w:tcW w:w="273" w:type="dxa"/>
            <w:vMerge/>
            <w:tcBorders>
              <w:top w:val="nil"/>
              <w:left w:val="nil"/>
              <w:bottom w:val="nil"/>
              <w:right w:val="nil"/>
            </w:tcBorders>
            <w:vAlign w:val="center"/>
            <w:hideMark/>
          </w:tcPr>
          <w:p w14:paraId="6E546F73" w14:textId="77777777" w:rsidR="001C0C1F" w:rsidRPr="001C0C1F" w:rsidRDefault="001C0C1F" w:rsidP="001C0C1F">
            <w:pPr>
              <w:rPr>
                <w:rFonts w:ascii="Book Antiqua" w:eastAsia="等线" w:hAnsi="Book Antiqua" w:cs="宋体"/>
                <w:color w:val="000000"/>
                <w:lang w:eastAsia="zh-CN"/>
              </w:rPr>
            </w:pPr>
          </w:p>
        </w:tc>
        <w:tc>
          <w:tcPr>
            <w:tcW w:w="602" w:type="dxa"/>
            <w:vMerge/>
            <w:tcBorders>
              <w:top w:val="nil"/>
              <w:left w:val="nil"/>
              <w:bottom w:val="nil"/>
              <w:right w:val="nil"/>
            </w:tcBorders>
            <w:vAlign w:val="center"/>
            <w:hideMark/>
          </w:tcPr>
          <w:p w14:paraId="384492F4" w14:textId="77777777" w:rsidR="001C0C1F" w:rsidRPr="001C0C1F" w:rsidRDefault="001C0C1F" w:rsidP="001C0C1F">
            <w:pPr>
              <w:rPr>
                <w:rFonts w:ascii="Book Antiqua" w:eastAsia="等线" w:hAnsi="Book Antiqua" w:cs="宋体"/>
                <w:color w:val="000000"/>
                <w:lang w:eastAsia="zh-CN"/>
              </w:rPr>
            </w:pPr>
          </w:p>
        </w:tc>
        <w:tc>
          <w:tcPr>
            <w:tcW w:w="555" w:type="dxa"/>
            <w:vMerge/>
            <w:tcBorders>
              <w:top w:val="nil"/>
              <w:left w:val="nil"/>
              <w:bottom w:val="nil"/>
              <w:right w:val="nil"/>
            </w:tcBorders>
            <w:vAlign w:val="center"/>
            <w:hideMark/>
          </w:tcPr>
          <w:p w14:paraId="39C65E00" w14:textId="77777777" w:rsidR="001C0C1F" w:rsidRPr="001C0C1F" w:rsidRDefault="001C0C1F" w:rsidP="001C0C1F">
            <w:pPr>
              <w:rPr>
                <w:rFonts w:ascii="Book Antiqua" w:eastAsia="等线" w:hAnsi="Book Antiqua" w:cs="宋体"/>
                <w:color w:val="000000"/>
                <w:lang w:eastAsia="zh-CN"/>
              </w:rPr>
            </w:pPr>
          </w:p>
        </w:tc>
        <w:tc>
          <w:tcPr>
            <w:tcW w:w="759" w:type="dxa"/>
            <w:tcBorders>
              <w:top w:val="nil"/>
              <w:left w:val="nil"/>
              <w:bottom w:val="nil"/>
              <w:right w:val="nil"/>
            </w:tcBorders>
            <w:shd w:val="clear" w:color="auto" w:fill="auto"/>
            <w:vAlign w:val="center"/>
            <w:hideMark/>
          </w:tcPr>
          <w:p w14:paraId="0A110B28"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Feb.2017</w:t>
            </w:r>
          </w:p>
        </w:tc>
        <w:tc>
          <w:tcPr>
            <w:tcW w:w="1027" w:type="dxa"/>
            <w:vMerge/>
            <w:tcBorders>
              <w:top w:val="nil"/>
              <w:left w:val="nil"/>
              <w:bottom w:val="nil"/>
              <w:right w:val="nil"/>
            </w:tcBorders>
            <w:vAlign w:val="center"/>
            <w:hideMark/>
          </w:tcPr>
          <w:p w14:paraId="4AE5B940" w14:textId="77777777" w:rsidR="001C0C1F" w:rsidRPr="001C0C1F" w:rsidRDefault="001C0C1F" w:rsidP="001C0C1F">
            <w:pPr>
              <w:rPr>
                <w:rFonts w:ascii="Book Antiqua" w:eastAsia="等线" w:hAnsi="Book Antiqua" w:cs="宋体"/>
                <w:color w:val="000000"/>
                <w:lang w:eastAsia="zh-CN"/>
              </w:rPr>
            </w:pPr>
          </w:p>
        </w:tc>
        <w:tc>
          <w:tcPr>
            <w:tcW w:w="712" w:type="dxa"/>
            <w:vMerge/>
            <w:tcBorders>
              <w:top w:val="nil"/>
              <w:left w:val="nil"/>
              <w:bottom w:val="nil"/>
              <w:right w:val="nil"/>
            </w:tcBorders>
            <w:vAlign w:val="center"/>
            <w:hideMark/>
          </w:tcPr>
          <w:p w14:paraId="6A009D2C" w14:textId="77777777" w:rsidR="001C0C1F" w:rsidRPr="001C0C1F" w:rsidRDefault="001C0C1F" w:rsidP="001C0C1F">
            <w:pPr>
              <w:rPr>
                <w:rFonts w:ascii="Book Antiqua" w:eastAsia="等线" w:hAnsi="Book Antiqua" w:cs="宋体"/>
                <w:color w:val="000000"/>
                <w:lang w:eastAsia="zh-CN"/>
              </w:rPr>
            </w:pPr>
          </w:p>
        </w:tc>
        <w:tc>
          <w:tcPr>
            <w:tcW w:w="704" w:type="dxa"/>
            <w:vMerge/>
            <w:tcBorders>
              <w:top w:val="nil"/>
              <w:left w:val="nil"/>
              <w:bottom w:val="nil"/>
              <w:right w:val="nil"/>
            </w:tcBorders>
            <w:vAlign w:val="center"/>
            <w:hideMark/>
          </w:tcPr>
          <w:p w14:paraId="349A816B"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2663B6F2" w14:textId="77777777" w:rsidR="001C0C1F" w:rsidRPr="001C0C1F" w:rsidRDefault="001C0C1F" w:rsidP="001C0C1F">
            <w:pPr>
              <w:rPr>
                <w:rFonts w:ascii="Book Antiqua" w:eastAsia="等线" w:hAnsi="Book Antiqua" w:cs="宋体"/>
                <w:color w:val="000000"/>
                <w:lang w:eastAsia="zh-CN"/>
              </w:rPr>
            </w:pPr>
          </w:p>
        </w:tc>
        <w:tc>
          <w:tcPr>
            <w:tcW w:w="674" w:type="dxa"/>
            <w:vMerge/>
            <w:tcBorders>
              <w:top w:val="nil"/>
              <w:left w:val="nil"/>
              <w:bottom w:val="nil"/>
              <w:right w:val="nil"/>
            </w:tcBorders>
            <w:vAlign w:val="center"/>
            <w:hideMark/>
          </w:tcPr>
          <w:p w14:paraId="5A6E29EB"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4F4B0B90"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0D07826F" w14:textId="77777777" w:rsidR="001C0C1F" w:rsidRPr="001C0C1F" w:rsidRDefault="001C0C1F" w:rsidP="001C0C1F">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74239E1C" w14:textId="77777777" w:rsidR="001C0C1F" w:rsidRPr="001C0C1F" w:rsidRDefault="001C0C1F" w:rsidP="001C0C1F">
            <w:pPr>
              <w:rPr>
                <w:rFonts w:ascii="Book Antiqua" w:eastAsia="等线" w:hAnsi="Book Antiqua" w:cs="宋体"/>
                <w:color w:val="000000"/>
                <w:lang w:eastAsia="zh-CN"/>
              </w:rPr>
            </w:pPr>
          </w:p>
        </w:tc>
      </w:tr>
      <w:tr w:rsidR="001C0C1F" w:rsidRPr="001C0C1F" w14:paraId="4AAC495B" w14:textId="77777777" w:rsidTr="001C0C1F">
        <w:trPr>
          <w:trHeight w:val="315"/>
        </w:trPr>
        <w:tc>
          <w:tcPr>
            <w:tcW w:w="273" w:type="dxa"/>
            <w:vMerge w:val="restart"/>
            <w:tcBorders>
              <w:top w:val="nil"/>
              <w:left w:val="nil"/>
              <w:bottom w:val="nil"/>
              <w:right w:val="nil"/>
            </w:tcBorders>
            <w:shd w:val="clear" w:color="auto" w:fill="auto"/>
            <w:vAlign w:val="center"/>
            <w:hideMark/>
          </w:tcPr>
          <w:p w14:paraId="5866CF05"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7</w:t>
            </w:r>
          </w:p>
        </w:tc>
        <w:tc>
          <w:tcPr>
            <w:tcW w:w="602" w:type="dxa"/>
            <w:vMerge w:val="restart"/>
            <w:tcBorders>
              <w:top w:val="nil"/>
              <w:left w:val="nil"/>
              <w:bottom w:val="nil"/>
              <w:right w:val="nil"/>
            </w:tcBorders>
            <w:shd w:val="clear" w:color="auto" w:fill="auto"/>
            <w:vAlign w:val="center"/>
            <w:hideMark/>
          </w:tcPr>
          <w:p w14:paraId="7B20E933"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Yeo</w:t>
            </w:r>
            <w:r w:rsidRPr="001C0C1F">
              <w:rPr>
                <w:rFonts w:ascii="Book Antiqua" w:eastAsia="等线" w:hAnsi="Book Antiqua" w:cs="宋体"/>
                <w:i/>
                <w:iCs/>
                <w:color w:val="000000"/>
                <w:lang w:eastAsia="zh-CN"/>
              </w:rPr>
              <w:t xml:space="preserve"> et al</w:t>
            </w:r>
            <w:r w:rsidRPr="001C0C1F">
              <w:rPr>
                <w:rFonts w:ascii="Book Antiqua" w:eastAsia="等线" w:hAnsi="Book Antiqua" w:cs="宋体"/>
                <w:color w:val="000000"/>
                <w:vertAlign w:val="superscript"/>
                <w:lang w:eastAsia="zh-CN"/>
              </w:rPr>
              <w:t>[65]</w:t>
            </w:r>
            <w:r w:rsidRPr="001C0C1F">
              <w:rPr>
                <w:rFonts w:ascii="Book Antiqua" w:eastAsia="等线" w:hAnsi="Book Antiqua" w:cs="宋体"/>
                <w:color w:val="000000"/>
                <w:lang w:eastAsia="zh-CN"/>
              </w:rPr>
              <w:t>, 2021</w:t>
            </w:r>
          </w:p>
        </w:tc>
        <w:tc>
          <w:tcPr>
            <w:tcW w:w="555" w:type="dxa"/>
            <w:vMerge w:val="restart"/>
            <w:tcBorders>
              <w:top w:val="nil"/>
              <w:left w:val="nil"/>
              <w:bottom w:val="nil"/>
              <w:right w:val="nil"/>
            </w:tcBorders>
            <w:shd w:val="clear" w:color="auto" w:fill="auto"/>
            <w:vAlign w:val="center"/>
            <w:hideMark/>
          </w:tcPr>
          <w:p w14:paraId="389F496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Korean</w:t>
            </w:r>
          </w:p>
        </w:tc>
        <w:tc>
          <w:tcPr>
            <w:tcW w:w="759" w:type="dxa"/>
            <w:vMerge w:val="restart"/>
            <w:tcBorders>
              <w:top w:val="nil"/>
              <w:left w:val="nil"/>
              <w:bottom w:val="nil"/>
              <w:right w:val="nil"/>
            </w:tcBorders>
            <w:shd w:val="clear" w:color="auto" w:fill="auto"/>
            <w:vAlign w:val="center"/>
            <w:hideMark/>
          </w:tcPr>
          <w:p w14:paraId="51D0DD3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Multicenter, prospective observational study Sep. 2019-Feb. 2020</w:t>
            </w:r>
          </w:p>
        </w:tc>
        <w:tc>
          <w:tcPr>
            <w:tcW w:w="1027" w:type="dxa"/>
            <w:vMerge w:val="restart"/>
            <w:tcBorders>
              <w:top w:val="nil"/>
              <w:left w:val="nil"/>
              <w:bottom w:val="nil"/>
              <w:right w:val="nil"/>
            </w:tcBorders>
            <w:shd w:val="clear" w:color="auto" w:fill="auto"/>
            <w:vAlign w:val="center"/>
            <w:hideMark/>
          </w:tcPr>
          <w:p w14:paraId="54C2B801"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298/149/149</w:t>
            </w:r>
          </w:p>
        </w:tc>
        <w:tc>
          <w:tcPr>
            <w:tcW w:w="712" w:type="dxa"/>
            <w:tcBorders>
              <w:top w:val="nil"/>
              <w:left w:val="nil"/>
              <w:bottom w:val="nil"/>
              <w:right w:val="nil"/>
            </w:tcBorders>
            <w:shd w:val="clear" w:color="auto" w:fill="auto"/>
            <w:vAlign w:val="center"/>
            <w:hideMark/>
          </w:tcPr>
          <w:p w14:paraId="4D19ED55"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w:t>
            </w:r>
          </w:p>
        </w:tc>
        <w:tc>
          <w:tcPr>
            <w:tcW w:w="704" w:type="dxa"/>
            <w:vMerge w:val="restart"/>
            <w:tcBorders>
              <w:top w:val="nil"/>
              <w:left w:val="nil"/>
              <w:bottom w:val="nil"/>
              <w:right w:val="nil"/>
            </w:tcBorders>
            <w:shd w:val="clear" w:color="auto" w:fill="auto"/>
            <w:vAlign w:val="center"/>
            <w:hideMark/>
          </w:tcPr>
          <w:p w14:paraId="76B2B01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First resuscitative fluid load</w:t>
            </w:r>
          </w:p>
        </w:tc>
        <w:tc>
          <w:tcPr>
            <w:tcW w:w="826" w:type="dxa"/>
            <w:vMerge w:val="restart"/>
            <w:tcBorders>
              <w:top w:val="nil"/>
              <w:left w:val="nil"/>
              <w:bottom w:val="nil"/>
              <w:right w:val="nil"/>
            </w:tcBorders>
            <w:shd w:val="clear" w:color="auto" w:fill="auto"/>
            <w:vAlign w:val="center"/>
            <w:hideMark/>
          </w:tcPr>
          <w:p w14:paraId="401A56D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Vasopressor was initiated within 1 h of the first resuscitative fluid load</w:t>
            </w:r>
          </w:p>
        </w:tc>
        <w:tc>
          <w:tcPr>
            <w:tcW w:w="674" w:type="dxa"/>
            <w:vMerge w:val="restart"/>
            <w:tcBorders>
              <w:top w:val="nil"/>
              <w:left w:val="nil"/>
              <w:bottom w:val="nil"/>
              <w:right w:val="nil"/>
            </w:tcBorders>
            <w:shd w:val="clear" w:color="auto" w:fill="auto"/>
            <w:vAlign w:val="center"/>
            <w:hideMark/>
          </w:tcPr>
          <w:p w14:paraId="4D836DD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28 d mortality</w:t>
            </w:r>
          </w:p>
        </w:tc>
        <w:tc>
          <w:tcPr>
            <w:tcW w:w="826" w:type="dxa"/>
            <w:vMerge w:val="restart"/>
            <w:tcBorders>
              <w:top w:val="nil"/>
              <w:left w:val="nil"/>
              <w:bottom w:val="nil"/>
              <w:right w:val="nil"/>
            </w:tcBorders>
            <w:shd w:val="clear" w:color="auto" w:fill="auto"/>
            <w:vAlign w:val="center"/>
            <w:hideMark/>
          </w:tcPr>
          <w:p w14:paraId="461ADB14"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Vasopressor initiation within 1 h was associated with higher 28 d mortality, 47.7%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33.6%,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0.013</w:t>
            </w:r>
          </w:p>
        </w:tc>
        <w:tc>
          <w:tcPr>
            <w:tcW w:w="826" w:type="dxa"/>
            <w:vMerge w:val="restart"/>
            <w:tcBorders>
              <w:top w:val="nil"/>
              <w:left w:val="nil"/>
              <w:bottom w:val="nil"/>
              <w:right w:val="nil"/>
            </w:tcBorders>
            <w:shd w:val="clear" w:color="auto" w:fill="auto"/>
            <w:vAlign w:val="center"/>
            <w:hideMark/>
          </w:tcPr>
          <w:p w14:paraId="0F536AA8"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 Volume of fluid given within the initial 6 h was significantly lower in the early group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0.046). 2 The total SOFA score on day 3 in ICU was significantly lower in the late group than that in the early group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0.045). Lactate levels were significantly lower on day 3 in the late group than that in the early group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 xml:space="preserve"> = 0.014)</w:t>
            </w:r>
          </w:p>
        </w:tc>
        <w:tc>
          <w:tcPr>
            <w:tcW w:w="856" w:type="dxa"/>
            <w:vMerge w:val="restart"/>
            <w:tcBorders>
              <w:top w:val="nil"/>
              <w:left w:val="nil"/>
              <w:bottom w:val="nil"/>
              <w:right w:val="nil"/>
            </w:tcBorders>
            <w:shd w:val="clear" w:color="auto" w:fill="auto"/>
            <w:vAlign w:val="center"/>
            <w:hideMark/>
          </w:tcPr>
          <w:p w14:paraId="0E2F6116"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 Use of a vasopressor within 1 h of the first fluid loading was related to higher mortality in patients with septic shock. 2 Less fluid was administered to the early group, but inadequate fluid resuscitation exhibited worse organ function and lactate clearance 3 d after septic shock onset</w:t>
            </w:r>
          </w:p>
        </w:tc>
      </w:tr>
      <w:tr w:rsidR="001C0C1F" w:rsidRPr="001C0C1F" w14:paraId="56D44682" w14:textId="77777777" w:rsidTr="001C0C1F">
        <w:trPr>
          <w:trHeight w:val="315"/>
        </w:trPr>
        <w:tc>
          <w:tcPr>
            <w:tcW w:w="273" w:type="dxa"/>
            <w:vMerge/>
            <w:tcBorders>
              <w:top w:val="nil"/>
              <w:left w:val="nil"/>
              <w:bottom w:val="nil"/>
              <w:right w:val="nil"/>
            </w:tcBorders>
            <w:vAlign w:val="center"/>
            <w:hideMark/>
          </w:tcPr>
          <w:p w14:paraId="4E870305" w14:textId="77777777" w:rsidR="001C0C1F" w:rsidRPr="001C0C1F" w:rsidRDefault="001C0C1F" w:rsidP="001C0C1F">
            <w:pPr>
              <w:rPr>
                <w:rFonts w:ascii="Book Antiqua" w:eastAsia="等线" w:hAnsi="Book Antiqua" w:cs="宋体"/>
                <w:color w:val="000000"/>
                <w:lang w:eastAsia="zh-CN"/>
              </w:rPr>
            </w:pPr>
          </w:p>
        </w:tc>
        <w:tc>
          <w:tcPr>
            <w:tcW w:w="602" w:type="dxa"/>
            <w:vMerge/>
            <w:tcBorders>
              <w:top w:val="nil"/>
              <w:left w:val="nil"/>
              <w:bottom w:val="nil"/>
              <w:right w:val="nil"/>
            </w:tcBorders>
            <w:vAlign w:val="center"/>
            <w:hideMark/>
          </w:tcPr>
          <w:p w14:paraId="2C8BC44A" w14:textId="77777777" w:rsidR="001C0C1F" w:rsidRPr="001C0C1F" w:rsidRDefault="001C0C1F" w:rsidP="001C0C1F">
            <w:pPr>
              <w:rPr>
                <w:rFonts w:ascii="Book Antiqua" w:eastAsia="等线" w:hAnsi="Book Antiqua" w:cs="宋体"/>
                <w:color w:val="000000"/>
                <w:lang w:eastAsia="zh-CN"/>
              </w:rPr>
            </w:pPr>
          </w:p>
        </w:tc>
        <w:tc>
          <w:tcPr>
            <w:tcW w:w="555" w:type="dxa"/>
            <w:vMerge/>
            <w:tcBorders>
              <w:top w:val="nil"/>
              <w:left w:val="nil"/>
              <w:bottom w:val="nil"/>
              <w:right w:val="nil"/>
            </w:tcBorders>
            <w:vAlign w:val="center"/>
            <w:hideMark/>
          </w:tcPr>
          <w:p w14:paraId="08F60CD3" w14:textId="77777777" w:rsidR="001C0C1F" w:rsidRPr="001C0C1F" w:rsidRDefault="001C0C1F" w:rsidP="001C0C1F">
            <w:pPr>
              <w:rPr>
                <w:rFonts w:ascii="Book Antiqua" w:eastAsia="等线" w:hAnsi="Book Antiqua" w:cs="宋体"/>
                <w:color w:val="000000"/>
                <w:lang w:eastAsia="zh-CN"/>
              </w:rPr>
            </w:pPr>
          </w:p>
        </w:tc>
        <w:tc>
          <w:tcPr>
            <w:tcW w:w="759" w:type="dxa"/>
            <w:vMerge/>
            <w:tcBorders>
              <w:top w:val="nil"/>
              <w:left w:val="nil"/>
              <w:bottom w:val="nil"/>
              <w:right w:val="nil"/>
            </w:tcBorders>
            <w:vAlign w:val="center"/>
            <w:hideMark/>
          </w:tcPr>
          <w:p w14:paraId="6256A822" w14:textId="77777777" w:rsidR="001C0C1F" w:rsidRPr="001C0C1F" w:rsidRDefault="001C0C1F" w:rsidP="001C0C1F">
            <w:pPr>
              <w:rPr>
                <w:rFonts w:ascii="Book Antiqua" w:eastAsia="等线" w:hAnsi="Book Antiqua" w:cs="宋体"/>
                <w:color w:val="000000"/>
                <w:lang w:eastAsia="zh-CN"/>
              </w:rPr>
            </w:pPr>
          </w:p>
        </w:tc>
        <w:tc>
          <w:tcPr>
            <w:tcW w:w="1027" w:type="dxa"/>
            <w:vMerge/>
            <w:tcBorders>
              <w:top w:val="nil"/>
              <w:left w:val="nil"/>
              <w:bottom w:val="nil"/>
              <w:right w:val="nil"/>
            </w:tcBorders>
            <w:vAlign w:val="center"/>
            <w:hideMark/>
          </w:tcPr>
          <w:p w14:paraId="317D0402" w14:textId="77777777" w:rsidR="001C0C1F" w:rsidRPr="001C0C1F" w:rsidRDefault="001C0C1F" w:rsidP="001C0C1F">
            <w:pPr>
              <w:rPr>
                <w:rFonts w:ascii="Book Antiqua" w:eastAsia="等线" w:hAnsi="Book Antiqua" w:cs="宋体"/>
                <w:color w:val="000000"/>
                <w:lang w:eastAsia="zh-CN"/>
              </w:rPr>
            </w:pPr>
          </w:p>
        </w:tc>
        <w:tc>
          <w:tcPr>
            <w:tcW w:w="712" w:type="dxa"/>
            <w:tcBorders>
              <w:top w:val="nil"/>
              <w:left w:val="nil"/>
              <w:bottom w:val="nil"/>
              <w:right w:val="nil"/>
            </w:tcBorders>
            <w:shd w:val="clear" w:color="auto" w:fill="auto"/>
            <w:vAlign w:val="center"/>
            <w:hideMark/>
          </w:tcPr>
          <w:p w14:paraId="240F8A88"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VP, epinephrine,</w:t>
            </w:r>
          </w:p>
        </w:tc>
        <w:tc>
          <w:tcPr>
            <w:tcW w:w="704" w:type="dxa"/>
            <w:vMerge/>
            <w:tcBorders>
              <w:top w:val="nil"/>
              <w:left w:val="nil"/>
              <w:bottom w:val="nil"/>
              <w:right w:val="nil"/>
            </w:tcBorders>
            <w:vAlign w:val="center"/>
            <w:hideMark/>
          </w:tcPr>
          <w:p w14:paraId="03425A07"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2384711F" w14:textId="77777777" w:rsidR="001C0C1F" w:rsidRPr="001C0C1F" w:rsidRDefault="001C0C1F" w:rsidP="001C0C1F">
            <w:pPr>
              <w:rPr>
                <w:rFonts w:ascii="Book Antiqua" w:eastAsia="等线" w:hAnsi="Book Antiqua" w:cs="宋体"/>
                <w:color w:val="000000"/>
                <w:lang w:eastAsia="zh-CN"/>
              </w:rPr>
            </w:pPr>
          </w:p>
        </w:tc>
        <w:tc>
          <w:tcPr>
            <w:tcW w:w="674" w:type="dxa"/>
            <w:vMerge/>
            <w:tcBorders>
              <w:top w:val="nil"/>
              <w:left w:val="nil"/>
              <w:bottom w:val="nil"/>
              <w:right w:val="nil"/>
            </w:tcBorders>
            <w:vAlign w:val="center"/>
            <w:hideMark/>
          </w:tcPr>
          <w:p w14:paraId="2AF47D0B"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006DE41E"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12D51391" w14:textId="77777777" w:rsidR="001C0C1F" w:rsidRPr="001C0C1F" w:rsidRDefault="001C0C1F" w:rsidP="001C0C1F">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135C4BCA" w14:textId="77777777" w:rsidR="001C0C1F" w:rsidRPr="001C0C1F" w:rsidRDefault="001C0C1F" w:rsidP="001C0C1F">
            <w:pPr>
              <w:rPr>
                <w:rFonts w:ascii="Book Antiqua" w:eastAsia="等线" w:hAnsi="Book Antiqua" w:cs="宋体"/>
                <w:color w:val="000000"/>
                <w:lang w:eastAsia="zh-CN"/>
              </w:rPr>
            </w:pPr>
          </w:p>
        </w:tc>
      </w:tr>
      <w:tr w:rsidR="001C0C1F" w:rsidRPr="001C0C1F" w14:paraId="18E54B3D" w14:textId="77777777" w:rsidTr="001C0C1F">
        <w:trPr>
          <w:trHeight w:val="315"/>
        </w:trPr>
        <w:tc>
          <w:tcPr>
            <w:tcW w:w="273" w:type="dxa"/>
            <w:vMerge/>
            <w:tcBorders>
              <w:top w:val="nil"/>
              <w:left w:val="nil"/>
              <w:bottom w:val="nil"/>
              <w:right w:val="nil"/>
            </w:tcBorders>
            <w:vAlign w:val="center"/>
            <w:hideMark/>
          </w:tcPr>
          <w:p w14:paraId="28A1BB50" w14:textId="77777777" w:rsidR="001C0C1F" w:rsidRPr="001C0C1F" w:rsidRDefault="001C0C1F" w:rsidP="001C0C1F">
            <w:pPr>
              <w:rPr>
                <w:rFonts w:ascii="Book Antiqua" w:eastAsia="等线" w:hAnsi="Book Antiqua" w:cs="宋体"/>
                <w:color w:val="000000"/>
                <w:lang w:eastAsia="zh-CN"/>
              </w:rPr>
            </w:pPr>
          </w:p>
        </w:tc>
        <w:tc>
          <w:tcPr>
            <w:tcW w:w="602" w:type="dxa"/>
            <w:vMerge/>
            <w:tcBorders>
              <w:top w:val="nil"/>
              <w:left w:val="nil"/>
              <w:bottom w:val="nil"/>
              <w:right w:val="nil"/>
            </w:tcBorders>
            <w:vAlign w:val="center"/>
            <w:hideMark/>
          </w:tcPr>
          <w:p w14:paraId="5F9BB232" w14:textId="77777777" w:rsidR="001C0C1F" w:rsidRPr="001C0C1F" w:rsidRDefault="001C0C1F" w:rsidP="001C0C1F">
            <w:pPr>
              <w:rPr>
                <w:rFonts w:ascii="Book Antiqua" w:eastAsia="等线" w:hAnsi="Book Antiqua" w:cs="宋体"/>
                <w:color w:val="000000"/>
                <w:lang w:eastAsia="zh-CN"/>
              </w:rPr>
            </w:pPr>
          </w:p>
        </w:tc>
        <w:tc>
          <w:tcPr>
            <w:tcW w:w="555" w:type="dxa"/>
            <w:vMerge/>
            <w:tcBorders>
              <w:top w:val="nil"/>
              <w:left w:val="nil"/>
              <w:bottom w:val="nil"/>
              <w:right w:val="nil"/>
            </w:tcBorders>
            <w:vAlign w:val="center"/>
            <w:hideMark/>
          </w:tcPr>
          <w:p w14:paraId="7310029A" w14:textId="77777777" w:rsidR="001C0C1F" w:rsidRPr="001C0C1F" w:rsidRDefault="001C0C1F" w:rsidP="001C0C1F">
            <w:pPr>
              <w:rPr>
                <w:rFonts w:ascii="Book Antiqua" w:eastAsia="等线" w:hAnsi="Book Antiqua" w:cs="宋体"/>
                <w:color w:val="000000"/>
                <w:lang w:eastAsia="zh-CN"/>
              </w:rPr>
            </w:pPr>
          </w:p>
        </w:tc>
        <w:tc>
          <w:tcPr>
            <w:tcW w:w="759" w:type="dxa"/>
            <w:vMerge/>
            <w:tcBorders>
              <w:top w:val="nil"/>
              <w:left w:val="nil"/>
              <w:bottom w:val="nil"/>
              <w:right w:val="nil"/>
            </w:tcBorders>
            <w:vAlign w:val="center"/>
            <w:hideMark/>
          </w:tcPr>
          <w:p w14:paraId="4840B100" w14:textId="77777777" w:rsidR="001C0C1F" w:rsidRPr="001C0C1F" w:rsidRDefault="001C0C1F" w:rsidP="001C0C1F">
            <w:pPr>
              <w:rPr>
                <w:rFonts w:ascii="Book Antiqua" w:eastAsia="等线" w:hAnsi="Book Antiqua" w:cs="宋体"/>
                <w:color w:val="000000"/>
                <w:lang w:eastAsia="zh-CN"/>
              </w:rPr>
            </w:pPr>
          </w:p>
        </w:tc>
        <w:tc>
          <w:tcPr>
            <w:tcW w:w="1027" w:type="dxa"/>
            <w:vMerge/>
            <w:tcBorders>
              <w:top w:val="nil"/>
              <w:left w:val="nil"/>
              <w:bottom w:val="nil"/>
              <w:right w:val="nil"/>
            </w:tcBorders>
            <w:vAlign w:val="center"/>
            <w:hideMark/>
          </w:tcPr>
          <w:p w14:paraId="74D32BEE" w14:textId="77777777" w:rsidR="001C0C1F" w:rsidRPr="001C0C1F" w:rsidRDefault="001C0C1F" w:rsidP="001C0C1F">
            <w:pPr>
              <w:rPr>
                <w:rFonts w:ascii="Book Antiqua" w:eastAsia="等线" w:hAnsi="Book Antiqua" w:cs="宋体"/>
                <w:color w:val="000000"/>
                <w:lang w:eastAsia="zh-CN"/>
              </w:rPr>
            </w:pPr>
          </w:p>
        </w:tc>
        <w:tc>
          <w:tcPr>
            <w:tcW w:w="712" w:type="dxa"/>
            <w:tcBorders>
              <w:top w:val="nil"/>
              <w:left w:val="nil"/>
              <w:bottom w:val="nil"/>
              <w:right w:val="nil"/>
            </w:tcBorders>
            <w:shd w:val="clear" w:color="auto" w:fill="auto"/>
            <w:vAlign w:val="center"/>
            <w:hideMark/>
          </w:tcPr>
          <w:p w14:paraId="64494EF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dopamine</w:t>
            </w:r>
          </w:p>
        </w:tc>
        <w:tc>
          <w:tcPr>
            <w:tcW w:w="704" w:type="dxa"/>
            <w:vMerge/>
            <w:tcBorders>
              <w:top w:val="nil"/>
              <w:left w:val="nil"/>
              <w:bottom w:val="nil"/>
              <w:right w:val="nil"/>
            </w:tcBorders>
            <w:vAlign w:val="center"/>
            <w:hideMark/>
          </w:tcPr>
          <w:p w14:paraId="6B67E765"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0C250355" w14:textId="77777777" w:rsidR="001C0C1F" w:rsidRPr="001C0C1F" w:rsidRDefault="001C0C1F" w:rsidP="001C0C1F">
            <w:pPr>
              <w:rPr>
                <w:rFonts w:ascii="Book Antiqua" w:eastAsia="等线" w:hAnsi="Book Antiqua" w:cs="宋体"/>
                <w:color w:val="000000"/>
                <w:lang w:eastAsia="zh-CN"/>
              </w:rPr>
            </w:pPr>
          </w:p>
        </w:tc>
        <w:tc>
          <w:tcPr>
            <w:tcW w:w="674" w:type="dxa"/>
            <w:vMerge/>
            <w:tcBorders>
              <w:top w:val="nil"/>
              <w:left w:val="nil"/>
              <w:bottom w:val="nil"/>
              <w:right w:val="nil"/>
            </w:tcBorders>
            <w:vAlign w:val="center"/>
            <w:hideMark/>
          </w:tcPr>
          <w:p w14:paraId="02FD8E41"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5446F3D5"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41051044" w14:textId="77777777" w:rsidR="001C0C1F" w:rsidRPr="001C0C1F" w:rsidRDefault="001C0C1F" w:rsidP="001C0C1F">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7A4DE208" w14:textId="77777777" w:rsidR="001C0C1F" w:rsidRPr="001C0C1F" w:rsidRDefault="001C0C1F" w:rsidP="001C0C1F">
            <w:pPr>
              <w:rPr>
                <w:rFonts w:ascii="Book Antiqua" w:eastAsia="等线" w:hAnsi="Book Antiqua" w:cs="宋体"/>
                <w:color w:val="000000"/>
                <w:lang w:eastAsia="zh-CN"/>
              </w:rPr>
            </w:pPr>
          </w:p>
        </w:tc>
      </w:tr>
      <w:tr w:rsidR="001C0C1F" w:rsidRPr="001C0C1F" w14:paraId="74201745" w14:textId="77777777" w:rsidTr="001C0C1F">
        <w:trPr>
          <w:trHeight w:val="315"/>
        </w:trPr>
        <w:tc>
          <w:tcPr>
            <w:tcW w:w="273" w:type="dxa"/>
            <w:vMerge w:val="restart"/>
            <w:tcBorders>
              <w:top w:val="nil"/>
              <w:left w:val="nil"/>
              <w:bottom w:val="nil"/>
              <w:right w:val="nil"/>
            </w:tcBorders>
            <w:shd w:val="clear" w:color="auto" w:fill="auto"/>
            <w:vAlign w:val="center"/>
            <w:hideMark/>
          </w:tcPr>
          <w:p w14:paraId="2F84203A"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8</w:t>
            </w:r>
          </w:p>
        </w:tc>
        <w:tc>
          <w:tcPr>
            <w:tcW w:w="602" w:type="dxa"/>
            <w:vMerge w:val="restart"/>
            <w:tcBorders>
              <w:top w:val="nil"/>
              <w:left w:val="nil"/>
              <w:bottom w:val="nil"/>
              <w:right w:val="nil"/>
            </w:tcBorders>
            <w:shd w:val="clear" w:color="auto" w:fill="auto"/>
            <w:vAlign w:val="center"/>
            <w:hideMark/>
          </w:tcPr>
          <w:p w14:paraId="7AD52C54"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Jouffroy</w:t>
            </w:r>
            <w:r w:rsidRPr="001C0C1F">
              <w:rPr>
                <w:rFonts w:ascii="Book Antiqua" w:eastAsia="等线" w:hAnsi="Book Antiqua" w:cs="宋体"/>
                <w:i/>
                <w:iCs/>
                <w:color w:val="000000"/>
                <w:lang w:eastAsia="zh-CN"/>
              </w:rPr>
              <w:t xml:space="preserve"> et </w:t>
            </w:r>
            <w:r w:rsidRPr="001C0C1F">
              <w:rPr>
                <w:rFonts w:ascii="Book Antiqua" w:eastAsia="等线" w:hAnsi="Book Antiqua" w:cs="宋体"/>
                <w:i/>
                <w:iCs/>
                <w:color w:val="000000"/>
                <w:lang w:eastAsia="zh-CN"/>
              </w:rPr>
              <w:lastRenderedPageBreak/>
              <w:t>al</w:t>
            </w:r>
            <w:r w:rsidRPr="001C0C1F">
              <w:rPr>
                <w:rFonts w:ascii="Book Antiqua" w:eastAsia="等线" w:hAnsi="Book Antiqua" w:cs="宋体"/>
                <w:color w:val="000000"/>
                <w:vertAlign w:val="superscript"/>
                <w:lang w:eastAsia="zh-CN"/>
              </w:rPr>
              <w:t>[50]</w:t>
            </w:r>
            <w:r w:rsidRPr="001C0C1F">
              <w:rPr>
                <w:rFonts w:ascii="Book Antiqua" w:eastAsia="等线" w:hAnsi="Book Antiqua" w:cs="宋体"/>
                <w:color w:val="000000"/>
                <w:lang w:eastAsia="zh-CN"/>
              </w:rPr>
              <w:t>, 2022</w:t>
            </w:r>
          </w:p>
        </w:tc>
        <w:tc>
          <w:tcPr>
            <w:tcW w:w="555" w:type="dxa"/>
            <w:vMerge w:val="restart"/>
            <w:tcBorders>
              <w:top w:val="nil"/>
              <w:left w:val="nil"/>
              <w:bottom w:val="nil"/>
              <w:right w:val="nil"/>
            </w:tcBorders>
            <w:shd w:val="clear" w:color="auto" w:fill="auto"/>
            <w:vAlign w:val="center"/>
            <w:hideMark/>
          </w:tcPr>
          <w:p w14:paraId="5F129BD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 France</w:t>
            </w:r>
          </w:p>
        </w:tc>
        <w:tc>
          <w:tcPr>
            <w:tcW w:w="759" w:type="dxa"/>
            <w:tcBorders>
              <w:top w:val="nil"/>
              <w:left w:val="nil"/>
              <w:bottom w:val="nil"/>
              <w:right w:val="nil"/>
            </w:tcBorders>
            <w:shd w:val="clear" w:color="auto" w:fill="auto"/>
            <w:vAlign w:val="center"/>
            <w:hideMark/>
          </w:tcPr>
          <w:p w14:paraId="67F21ED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Multicenter, </w:t>
            </w:r>
            <w:r w:rsidRPr="001C0C1F">
              <w:rPr>
                <w:rFonts w:ascii="Book Antiqua" w:eastAsia="等线" w:hAnsi="Book Antiqua" w:cs="宋体"/>
                <w:color w:val="000000"/>
                <w:lang w:eastAsia="zh-CN"/>
              </w:rPr>
              <w:lastRenderedPageBreak/>
              <w:t>retrospective study</w:t>
            </w:r>
          </w:p>
        </w:tc>
        <w:tc>
          <w:tcPr>
            <w:tcW w:w="1027" w:type="dxa"/>
            <w:vMerge w:val="restart"/>
            <w:tcBorders>
              <w:top w:val="nil"/>
              <w:left w:val="nil"/>
              <w:bottom w:val="nil"/>
              <w:right w:val="nil"/>
            </w:tcBorders>
            <w:shd w:val="clear" w:color="auto" w:fill="auto"/>
            <w:vAlign w:val="center"/>
            <w:hideMark/>
          </w:tcPr>
          <w:p w14:paraId="4E94EDE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478/143/335</w:t>
            </w:r>
          </w:p>
        </w:tc>
        <w:tc>
          <w:tcPr>
            <w:tcW w:w="712" w:type="dxa"/>
            <w:vMerge w:val="restart"/>
            <w:tcBorders>
              <w:top w:val="nil"/>
              <w:left w:val="nil"/>
              <w:bottom w:val="nil"/>
              <w:right w:val="nil"/>
            </w:tcBorders>
            <w:shd w:val="clear" w:color="auto" w:fill="auto"/>
            <w:vAlign w:val="center"/>
            <w:hideMark/>
          </w:tcPr>
          <w:p w14:paraId="42767BD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w:t>
            </w:r>
          </w:p>
        </w:tc>
        <w:tc>
          <w:tcPr>
            <w:tcW w:w="704" w:type="dxa"/>
            <w:vMerge w:val="restart"/>
            <w:tcBorders>
              <w:top w:val="nil"/>
              <w:left w:val="nil"/>
              <w:bottom w:val="nil"/>
              <w:right w:val="nil"/>
            </w:tcBorders>
            <w:shd w:val="clear" w:color="auto" w:fill="auto"/>
            <w:vAlign w:val="center"/>
            <w:hideMark/>
          </w:tcPr>
          <w:p w14:paraId="56791223"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Prehospital</w:t>
            </w:r>
          </w:p>
        </w:tc>
        <w:tc>
          <w:tcPr>
            <w:tcW w:w="826" w:type="dxa"/>
            <w:vMerge w:val="restart"/>
            <w:tcBorders>
              <w:top w:val="nil"/>
              <w:left w:val="nil"/>
              <w:bottom w:val="nil"/>
              <w:right w:val="nil"/>
            </w:tcBorders>
            <w:shd w:val="clear" w:color="auto" w:fill="auto"/>
            <w:vAlign w:val="center"/>
            <w:hideMark/>
          </w:tcPr>
          <w:p w14:paraId="7DB9A34D"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Patients with </w:t>
            </w:r>
            <w:r w:rsidRPr="001C0C1F">
              <w:rPr>
                <w:rFonts w:ascii="Book Antiqua" w:eastAsia="等线" w:hAnsi="Book Antiqua" w:cs="宋体"/>
                <w:color w:val="000000"/>
                <w:lang w:eastAsia="zh-CN"/>
              </w:rPr>
              <w:lastRenderedPageBreak/>
              <w:t>prehospital NE administration (early NE)</w:t>
            </w:r>
          </w:p>
        </w:tc>
        <w:tc>
          <w:tcPr>
            <w:tcW w:w="674" w:type="dxa"/>
            <w:vMerge w:val="restart"/>
            <w:tcBorders>
              <w:top w:val="nil"/>
              <w:left w:val="nil"/>
              <w:bottom w:val="nil"/>
              <w:right w:val="nil"/>
            </w:tcBorders>
            <w:shd w:val="clear" w:color="auto" w:fill="auto"/>
            <w:vAlign w:val="center"/>
            <w:hideMark/>
          </w:tcPr>
          <w:p w14:paraId="55BAB1F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30 d </w:t>
            </w:r>
            <w:r w:rsidRPr="001C0C1F">
              <w:rPr>
                <w:rFonts w:ascii="Book Antiqua" w:eastAsia="等线" w:hAnsi="Book Antiqua" w:cs="宋体"/>
                <w:color w:val="000000"/>
                <w:lang w:eastAsia="zh-CN"/>
              </w:rPr>
              <w:lastRenderedPageBreak/>
              <w:t>mortality</w:t>
            </w:r>
          </w:p>
        </w:tc>
        <w:tc>
          <w:tcPr>
            <w:tcW w:w="826" w:type="dxa"/>
            <w:vMerge w:val="restart"/>
            <w:tcBorders>
              <w:top w:val="nil"/>
              <w:left w:val="nil"/>
              <w:bottom w:val="nil"/>
              <w:right w:val="nil"/>
            </w:tcBorders>
            <w:shd w:val="clear" w:color="auto" w:fill="auto"/>
            <w:vAlign w:val="center"/>
            <w:hideMark/>
          </w:tcPr>
          <w:p w14:paraId="764A2745"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Prehospital </w:t>
            </w:r>
            <w:r w:rsidRPr="001C0C1F">
              <w:rPr>
                <w:rFonts w:ascii="Book Antiqua" w:eastAsia="等线" w:hAnsi="Book Antiqua" w:cs="宋体"/>
                <w:color w:val="000000"/>
                <w:lang w:eastAsia="zh-CN"/>
              </w:rPr>
              <w:lastRenderedPageBreak/>
              <w:t>NE infusion (early NE) is associated with a decrease in 30 d mortality</w:t>
            </w:r>
          </w:p>
        </w:tc>
        <w:tc>
          <w:tcPr>
            <w:tcW w:w="826" w:type="dxa"/>
            <w:vMerge w:val="restart"/>
            <w:tcBorders>
              <w:top w:val="nil"/>
              <w:left w:val="nil"/>
              <w:bottom w:val="nil"/>
              <w:right w:val="nil"/>
            </w:tcBorders>
            <w:shd w:val="clear" w:color="auto" w:fill="auto"/>
            <w:vAlign w:val="center"/>
            <w:hideMark/>
          </w:tcPr>
          <w:p w14:paraId="15D17A6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N/A</w:t>
            </w:r>
          </w:p>
        </w:tc>
        <w:tc>
          <w:tcPr>
            <w:tcW w:w="856" w:type="dxa"/>
            <w:vMerge w:val="restart"/>
            <w:tcBorders>
              <w:top w:val="nil"/>
              <w:left w:val="nil"/>
              <w:bottom w:val="nil"/>
              <w:right w:val="nil"/>
            </w:tcBorders>
            <w:shd w:val="clear" w:color="auto" w:fill="auto"/>
            <w:vAlign w:val="center"/>
            <w:hideMark/>
          </w:tcPr>
          <w:p w14:paraId="20519078"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A strength of </w:t>
            </w:r>
            <w:r w:rsidRPr="001C0C1F">
              <w:rPr>
                <w:rFonts w:ascii="Book Antiqua" w:eastAsia="等线" w:hAnsi="Book Antiqua" w:cs="宋体"/>
                <w:color w:val="000000"/>
                <w:lang w:eastAsia="zh-CN"/>
              </w:rPr>
              <w:lastRenderedPageBreak/>
              <w:t>this study is that NE administration is started within 1 h after septic shock onset and before the completion of the fluid resuscitation</w:t>
            </w:r>
          </w:p>
        </w:tc>
      </w:tr>
      <w:tr w:rsidR="001C0C1F" w:rsidRPr="001C0C1F" w14:paraId="69145887" w14:textId="77777777" w:rsidTr="001C0C1F">
        <w:trPr>
          <w:trHeight w:val="315"/>
        </w:trPr>
        <w:tc>
          <w:tcPr>
            <w:tcW w:w="273" w:type="dxa"/>
            <w:vMerge/>
            <w:tcBorders>
              <w:top w:val="nil"/>
              <w:left w:val="nil"/>
              <w:bottom w:val="nil"/>
              <w:right w:val="nil"/>
            </w:tcBorders>
            <w:vAlign w:val="center"/>
            <w:hideMark/>
          </w:tcPr>
          <w:p w14:paraId="0E299D71" w14:textId="77777777" w:rsidR="001C0C1F" w:rsidRPr="001C0C1F" w:rsidRDefault="001C0C1F" w:rsidP="001C0C1F">
            <w:pPr>
              <w:rPr>
                <w:rFonts w:ascii="Book Antiqua" w:eastAsia="等线" w:hAnsi="Book Antiqua" w:cs="宋体"/>
                <w:color w:val="000000"/>
                <w:lang w:eastAsia="zh-CN"/>
              </w:rPr>
            </w:pPr>
          </w:p>
        </w:tc>
        <w:tc>
          <w:tcPr>
            <w:tcW w:w="602" w:type="dxa"/>
            <w:vMerge/>
            <w:tcBorders>
              <w:top w:val="nil"/>
              <w:left w:val="nil"/>
              <w:bottom w:val="nil"/>
              <w:right w:val="nil"/>
            </w:tcBorders>
            <w:vAlign w:val="center"/>
            <w:hideMark/>
          </w:tcPr>
          <w:p w14:paraId="6D89B6C3" w14:textId="77777777" w:rsidR="001C0C1F" w:rsidRPr="001C0C1F" w:rsidRDefault="001C0C1F" w:rsidP="001C0C1F">
            <w:pPr>
              <w:rPr>
                <w:rFonts w:ascii="Book Antiqua" w:eastAsia="等线" w:hAnsi="Book Antiqua" w:cs="宋体"/>
                <w:color w:val="000000"/>
                <w:lang w:eastAsia="zh-CN"/>
              </w:rPr>
            </w:pPr>
          </w:p>
        </w:tc>
        <w:tc>
          <w:tcPr>
            <w:tcW w:w="555" w:type="dxa"/>
            <w:vMerge/>
            <w:tcBorders>
              <w:top w:val="nil"/>
              <w:left w:val="nil"/>
              <w:bottom w:val="nil"/>
              <w:right w:val="nil"/>
            </w:tcBorders>
            <w:vAlign w:val="center"/>
            <w:hideMark/>
          </w:tcPr>
          <w:p w14:paraId="57355851" w14:textId="77777777" w:rsidR="001C0C1F" w:rsidRPr="001C0C1F" w:rsidRDefault="001C0C1F" w:rsidP="001C0C1F">
            <w:pPr>
              <w:rPr>
                <w:rFonts w:ascii="Book Antiqua" w:eastAsia="等线" w:hAnsi="Book Antiqua" w:cs="宋体"/>
                <w:color w:val="000000"/>
                <w:lang w:eastAsia="zh-CN"/>
              </w:rPr>
            </w:pPr>
          </w:p>
        </w:tc>
        <w:tc>
          <w:tcPr>
            <w:tcW w:w="759" w:type="dxa"/>
            <w:tcBorders>
              <w:top w:val="nil"/>
              <w:left w:val="nil"/>
              <w:bottom w:val="nil"/>
              <w:right w:val="nil"/>
            </w:tcBorders>
            <w:shd w:val="clear" w:color="auto" w:fill="auto"/>
            <w:vAlign w:val="center"/>
            <w:hideMark/>
          </w:tcPr>
          <w:p w14:paraId="3489F078"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Apr. 2016-</w:t>
            </w:r>
          </w:p>
        </w:tc>
        <w:tc>
          <w:tcPr>
            <w:tcW w:w="1027" w:type="dxa"/>
            <w:vMerge/>
            <w:tcBorders>
              <w:top w:val="nil"/>
              <w:left w:val="nil"/>
              <w:bottom w:val="nil"/>
              <w:right w:val="nil"/>
            </w:tcBorders>
            <w:vAlign w:val="center"/>
            <w:hideMark/>
          </w:tcPr>
          <w:p w14:paraId="2ADB0BA7" w14:textId="77777777" w:rsidR="001C0C1F" w:rsidRPr="001C0C1F" w:rsidRDefault="001C0C1F" w:rsidP="001C0C1F">
            <w:pPr>
              <w:rPr>
                <w:rFonts w:ascii="Book Antiqua" w:eastAsia="等线" w:hAnsi="Book Antiqua" w:cs="宋体"/>
                <w:color w:val="000000"/>
                <w:lang w:eastAsia="zh-CN"/>
              </w:rPr>
            </w:pPr>
          </w:p>
        </w:tc>
        <w:tc>
          <w:tcPr>
            <w:tcW w:w="712" w:type="dxa"/>
            <w:vMerge/>
            <w:tcBorders>
              <w:top w:val="nil"/>
              <w:left w:val="nil"/>
              <w:bottom w:val="nil"/>
              <w:right w:val="nil"/>
            </w:tcBorders>
            <w:vAlign w:val="center"/>
            <w:hideMark/>
          </w:tcPr>
          <w:p w14:paraId="305ADA43" w14:textId="77777777" w:rsidR="001C0C1F" w:rsidRPr="001C0C1F" w:rsidRDefault="001C0C1F" w:rsidP="001C0C1F">
            <w:pPr>
              <w:rPr>
                <w:rFonts w:ascii="Book Antiqua" w:eastAsia="等线" w:hAnsi="Book Antiqua" w:cs="宋体"/>
                <w:color w:val="000000"/>
                <w:lang w:eastAsia="zh-CN"/>
              </w:rPr>
            </w:pPr>
          </w:p>
        </w:tc>
        <w:tc>
          <w:tcPr>
            <w:tcW w:w="704" w:type="dxa"/>
            <w:vMerge/>
            <w:tcBorders>
              <w:top w:val="nil"/>
              <w:left w:val="nil"/>
              <w:bottom w:val="nil"/>
              <w:right w:val="nil"/>
            </w:tcBorders>
            <w:vAlign w:val="center"/>
            <w:hideMark/>
          </w:tcPr>
          <w:p w14:paraId="287418F4"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08EE0F9A" w14:textId="77777777" w:rsidR="001C0C1F" w:rsidRPr="001C0C1F" w:rsidRDefault="001C0C1F" w:rsidP="001C0C1F">
            <w:pPr>
              <w:rPr>
                <w:rFonts w:ascii="Book Antiqua" w:eastAsia="等线" w:hAnsi="Book Antiqua" w:cs="宋体"/>
                <w:color w:val="000000"/>
                <w:lang w:eastAsia="zh-CN"/>
              </w:rPr>
            </w:pPr>
          </w:p>
        </w:tc>
        <w:tc>
          <w:tcPr>
            <w:tcW w:w="674" w:type="dxa"/>
            <w:vMerge/>
            <w:tcBorders>
              <w:top w:val="nil"/>
              <w:left w:val="nil"/>
              <w:bottom w:val="nil"/>
              <w:right w:val="nil"/>
            </w:tcBorders>
            <w:vAlign w:val="center"/>
            <w:hideMark/>
          </w:tcPr>
          <w:p w14:paraId="2FD93AF2"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3BB73200"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7E060CE7" w14:textId="77777777" w:rsidR="001C0C1F" w:rsidRPr="001C0C1F" w:rsidRDefault="001C0C1F" w:rsidP="001C0C1F">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4929F121" w14:textId="77777777" w:rsidR="001C0C1F" w:rsidRPr="001C0C1F" w:rsidRDefault="001C0C1F" w:rsidP="001C0C1F">
            <w:pPr>
              <w:rPr>
                <w:rFonts w:ascii="Book Antiqua" w:eastAsia="等线" w:hAnsi="Book Antiqua" w:cs="宋体"/>
                <w:color w:val="000000"/>
                <w:lang w:eastAsia="zh-CN"/>
              </w:rPr>
            </w:pPr>
          </w:p>
        </w:tc>
      </w:tr>
      <w:tr w:rsidR="001C0C1F" w:rsidRPr="001C0C1F" w14:paraId="7A8FA383" w14:textId="77777777" w:rsidTr="001C0C1F">
        <w:trPr>
          <w:trHeight w:val="315"/>
        </w:trPr>
        <w:tc>
          <w:tcPr>
            <w:tcW w:w="273" w:type="dxa"/>
            <w:vMerge/>
            <w:tcBorders>
              <w:top w:val="nil"/>
              <w:left w:val="nil"/>
              <w:bottom w:val="nil"/>
              <w:right w:val="nil"/>
            </w:tcBorders>
            <w:vAlign w:val="center"/>
            <w:hideMark/>
          </w:tcPr>
          <w:p w14:paraId="4C950F34" w14:textId="77777777" w:rsidR="001C0C1F" w:rsidRPr="001C0C1F" w:rsidRDefault="001C0C1F" w:rsidP="001C0C1F">
            <w:pPr>
              <w:rPr>
                <w:rFonts w:ascii="Book Antiqua" w:eastAsia="等线" w:hAnsi="Book Antiqua" w:cs="宋体"/>
                <w:color w:val="000000"/>
                <w:lang w:eastAsia="zh-CN"/>
              </w:rPr>
            </w:pPr>
          </w:p>
        </w:tc>
        <w:tc>
          <w:tcPr>
            <w:tcW w:w="602" w:type="dxa"/>
            <w:vMerge/>
            <w:tcBorders>
              <w:top w:val="nil"/>
              <w:left w:val="nil"/>
              <w:bottom w:val="nil"/>
              <w:right w:val="nil"/>
            </w:tcBorders>
            <w:vAlign w:val="center"/>
            <w:hideMark/>
          </w:tcPr>
          <w:p w14:paraId="0D7527C5" w14:textId="77777777" w:rsidR="001C0C1F" w:rsidRPr="001C0C1F" w:rsidRDefault="001C0C1F" w:rsidP="001C0C1F">
            <w:pPr>
              <w:rPr>
                <w:rFonts w:ascii="Book Antiqua" w:eastAsia="等线" w:hAnsi="Book Antiqua" w:cs="宋体"/>
                <w:color w:val="000000"/>
                <w:lang w:eastAsia="zh-CN"/>
              </w:rPr>
            </w:pPr>
          </w:p>
        </w:tc>
        <w:tc>
          <w:tcPr>
            <w:tcW w:w="555" w:type="dxa"/>
            <w:vMerge/>
            <w:tcBorders>
              <w:top w:val="nil"/>
              <w:left w:val="nil"/>
              <w:bottom w:val="nil"/>
              <w:right w:val="nil"/>
            </w:tcBorders>
            <w:vAlign w:val="center"/>
            <w:hideMark/>
          </w:tcPr>
          <w:p w14:paraId="628356EE" w14:textId="77777777" w:rsidR="001C0C1F" w:rsidRPr="001C0C1F" w:rsidRDefault="001C0C1F" w:rsidP="001C0C1F">
            <w:pPr>
              <w:rPr>
                <w:rFonts w:ascii="Book Antiqua" w:eastAsia="等线" w:hAnsi="Book Antiqua" w:cs="宋体"/>
                <w:color w:val="000000"/>
                <w:lang w:eastAsia="zh-CN"/>
              </w:rPr>
            </w:pPr>
          </w:p>
        </w:tc>
        <w:tc>
          <w:tcPr>
            <w:tcW w:w="759" w:type="dxa"/>
            <w:tcBorders>
              <w:top w:val="nil"/>
              <w:left w:val="nil"/>
              <w:bottom w:val="nil"/>
              <w:right w:val="nil"/>
            </w:tcBorders>
            <w:shd w:val="clear" w:color="auto" w:fill="auto"/>
            <w:vAlign w:val="center"/>
            <w:hideMark/>
          </w:tcPr>
          <w:p w14:paraId="63AAC24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Dec. 2020</w:t>
            </w:r>
          </w:p>
        </w:tc>
        <w:tc>
          <w:tcPr>
            <w:tcW w:w="1027" w:type="dxa"/>
            <w:vMerge/>
            <w:tcBorders>
              <w:top w:val="nil"/>
              <w:left w:val="nil"/>
              <w:bottom w:val="nil"/>
              <w:right w:val="nil"/>
            </w:tcBorders>
            <w:vAlign w:val="center"/>
            <w:hideMark/>
          </w:tcPr>
          <w:p w14:paraId="28ECD5A5" w14:textId="77777777" w:rsidR="001C0C1F" w:rsidRPr="001C0C1F" w:rsidRDefault="001C0C1F" w:rsidP="001C0C1F">
            <w:pPr>
              <w:rPr>
                <w:rFonts w:ascii="Book Antiqua" w:eastAsia="等线" w:hAnsi="Book Antiqua" w:cs="宋体"/>
                <w:color w:val="000000"/>
                <w:lang w:eastAsia="zh-CN"/>
              </w:rPr>
            </w:pPr>
          </w:p>
        </w:tc>
        <w:tc>
          <w:tcPr>
            <w:tcW w:w="712" w:type="dxa"/>
            <w:vMerge/>
            <w:tcBorders>
              <w:top w:val="nil"/>
              <w:left w:val="nil"/>
              <w:bottom w:val="nil"/>
              <w:right w:val="nil"/>
            </w:tcBorders>
            <w:vAlign w:val="center"/>
            <w:hideMark/>
          </w:tcPr>
          <w:p w14:paraId="20CCF455" w14:textId="77777777" w:rsidR="001C0C1F" w:rsidRPr="001C0C1F" w:rsidRDefault="001C0C1F" w:rsidP="001C0C1F">
            <w:pPr>
              <w:rPr>
                <w:rFonts w:ascii="Book Antiqua" w:eastAsia="等线" w:hAnsi="Book Antiqua" w:cs="宋体"/>
                <w:color w:val="000000"/>
                <w:lang w:eastAsia="zh-CN"/>
              </w:rPr>
            </w:pPr>
          </w:p>
        </w:tc>
        <w:tc>
          <w:tcPr>
            <w:tcW w:w="704" w:type="dxa"/>
            <w:vMerge/>
            <w:tcBorders>
              <w:top w:val="nil"/>
              <w:left w:val="nil"/>
              <w:bottom w:val="nil"/>
              <w:right w:val="nil"/>
            </w:tcBorders>
            <w:vAlign w:val="center"/>
            <w:hideMark/>
          </w:tcPr>
          <w:p w14:paraId="71C62F1A"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5B09EA8F" w14:textId="77777777" w:rsidR="001C0C1F" w:rsidRPr="001C0C1F" w:rsidRDefault="001C0C1F" w:rsidP="001C0C1F">
            <w:pPr>
              <w:rPr>
                <w:rFonts w:ascii="Book Antiqua" w:eastAsia="等线" w:hAnsi="Book Antiqua" w:cs="宋体"/>
                <w:color w:val="000000"/>
                <w:lang w:eastAsia="zh-CN"/>
              </w:rPr>
            </w:pPr>
          </w:p>
        </w:tc>
        <w:tc>
          <w:tcPr>
            <w:tcW w:w="674" w:type="dxa"/>
            <w:vMerge/>
            <w:tcBorders>
              <w:top w:val="nil"/>
              <w:left w:val="nil"/>
              <w:bottom w:val="nil"/>
              <w:right w:val="nil"/>
            </w:tcBorders>
            <w:vAlign w:val="center"/>
            <w:hideMark/>
          </w:tcPr>
          <w:p w14:paraId="2678625E"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736271A2" w14:textId="77777777" w:rsidR="001C0C1F" w:rsidRPr="001C0C1F" w:rsidRDefault="001C0C1F" w:rsidP="001C0C1F">
            <w:pPr>
              <w:rPr>
                <w:rFonts w:ascii="Book Antiqua" w:eastAsia="等线" w:hAnsi="Book Antiqua" w:cs="宋体"/>
                <w:color w:val="000000"/>
                <w:lang w:eastAsia="zh-CN"/>
              </w:rPr>
            </w:pPr>
          </w:p>
        </w:tc>
        <w:tc>
          <w:tcPr>
            <w:tcW w:w="826" w:type="dxa"/>
            <w:vMerge/>
            <w:tcBorders>
              <w:top w:val="nil"/>
              <w:left w:val="nil"/>
              <w:bottom w:val="nil"/>
              <w:right w:val="nil"/>
            </w:tcBorders>
            <w:vAlign w:val="center"/>
            <w:hideMark/>
          </w:tcPr>
          <w:p w14:paraId="22AE4A9D" w14:textId="77777777" w:rsidR="001C0C1F" w:rsidRPr="001C0C1F" w:rsidRDefault="001C0C1F" w:rsidP="001C0C1F">
            <w:pPr>
              <w:rPr>
                <w:rFonts w:ascii="Book Antiqua" w:eastAsia="等线" w:hAnsi="Book Antiqua" w:cs="宋体"/>
                <w:color w:val="000000"/>
                <w:lang w:eastAsia="zh-CN"/>
              </w:rPr>
            </w:pPr>
          </w:p>
        </w:tc>
        <w:tc>
          <w:tcPr>
            <w:tcW w:w="856" w:type="dxa"/>
            <w:vMerge/>
            <w:tcBorders>
              <w:top w:val="nil"/>
              <w:left w:val="nil"/>
              <w:bottom w:val="nil"/>
              <w:right w:val="nil"/>
            </w:tcBorders>
            <w:vAlign w:val="center"/>
            <w:hideMark/>
          </w:tcPr>
          <w:p w14:paraId="13713F21" w14:textId="77777777" w:rsidR="001C0C1F" w:rsidRPr="001C0C1F" w:rsidRDefault="001C0C1F" w:rsidP="001C0C1F">
            <w:pPr>
              <w:rPr>
                <w:rFonts w:ascii="Book Antiqua" w:eastAsia="等线" w:hAnsi="Book Antiqua" w:cs="宋体"/>
                <w:color w:val="000000"/>
                <w:lang w:eastAsia="zh-CN"/>
              </w:rPr>
            </w:pPr>
          </w:p>
        </w:tc>
      </w:tr>
      <w:tr w:rsidR="001C0C1F" w:rsidRPr="001C0C1F" w14:paraId="2ED421FA" w14:textId="77777777" w:rsidTr="001C0C1F">
        <w:trPr>
          <w:trHeight w:val="630"/>
        </w:trPr>
        <w:tc>
          <w:tcPr>
            <w:tcW w:w="273" w:type="dxa"/>
            <w:tcBorders>
              <w:top w:val="nil"/>
              <w:left w:val="nil"/>
              <w:bottom w:val="nil"/>
              <w:right w:val="nil"/>
            </w:tcBorders>
            <w:shd w:val="clear" w:color="auto" w:fill="auto"/>
            <w:vAlign w:val="center"/>
            <w:hideMark/>
          </w:tcPr>
          <w:p w14:paraId="7380C036"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9</w:t>
            </w:r>
          </w:p>
        </w:tc>
        <w:tc>
          <w:tcPr>
            <w:tcW w:w="602" w:type="dxa"/>
            <w:tcBorders>
              <w:top w:val="nil"/>
              <w:left w:val="nil"/>
              <w:bottom w:val="nil"/>
              <w:right w:val="nil"/>
            </w:tcBorders>
            <w:shd w:val="clear" w:color="auto" w:fill="auto"/>
            <w:vAlign w:val="center"/>
            <w:hideMark/>
          </w:tcPr>
          <w:p w14:paraId="2D5ADFEA"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Xu</w:t>
            </w:r>
            <w:r w:rsidRPr="001C0C1F">
              <w:rPr>
                <w:rFonts w:ascii="Book Antiqua" w:eastAsia="等线" w:hAnsi="Book Antiqua" w:cs="宋体"/>
                <w:i/>
                <w:iCs/>
                <w:color w:val="000000"/>
                <w:lang w:eastAsia="zh-CN"/>
              </w:rPr>
              <w:t>et al</w:t>
            </w:r>
            <w:r w:rsidRPr="001C0C1F">
              <w:rPr>
                <w:rFonts w:ascii="Book Antiqua" w:eastAsia="等线" w:hAnsi="Book Antiqua" w:cs="宋体"/>
                <w:color w:val="000000"/>
                <w:vertAlign w:val="superscript"/>
                <w:lang w:eastAsia="zh-CN"/>
              </w:rPr>
              <w:t>[7]</w:t>
            </w:r>
            <w:r w:rsidRPr="001C0C1F">
              <w:rPr>
                <w:rFonts w:ascii="Book Antiqua" w:eastAsia="等线" w:hAnsi="Book Antiqua" w:cs="宋体"/>
                <w:color w:val="000000"/>
                <w:lang w:eastAsia="zh-CN"/>
              </w:rPr>
              <w:t>, 2022,</w:t>
            </w:r>
          </w:p>
        </w:tc>
        <w:tc>
          <w:tcPr>
            <w:tcW w:w="555" w:type="dxa"/>
            <w:tcBorders>
              <w:top w:val="nil"/>
              <w:left w:val="nil"/>
              <w:bottom w:val="nil"/>
              <w:right w:val="nil"/>
            </w:tcBorders>
            <w:shd w:val="clear" w:color="auto" w:fill="auto"/>
            <w:vAlign w:val="center"/>
            <w:hideMark/>
          </w:tcPr>
          <w:p w14:paraId="124CD71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United States</w:t>
            </w:r>
          </w:p>
        </w:tc>
        <w:tc>
          <w:tcPr>
            <w:tcW w:w="759" w:type="dxa"/>
            <w:tcBorders>
              <w:top w:val="nil"/>
              <w:left w:val="nil"/>
              <w:bottom w:val="nil"/>
              <w:right w:val="nil"/>
            </w:tcBorders>
            <w:shd w:val="clear" w:color="auto" w:fill="auto"/>
            <w:vAlign w:val="center"/>
            <w:hideMark/>
          </w:tcPr>
          <w:p w14:paraId="28E396D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Single center, retrospective observational cohort study 2008-2019</w:t>
            </w:r>
          </w:p>
        </w:tc>
        <w:tc>
          <w:tcPr>
            <w:tcW w:w="1027" w:type="dxa"/>
            <w:tcBorders>
              <w:top w:val="nil"/>
              <w:left w:val="nil"/>
              <w:bottom w:val="nil"/>
              <w:right w:val="nil"/>
            </w:tcBorders>
            <w:shd w:val="clear" w:color="auto" w:fill="auto"/>
            <w:vAlign w:val="center"/>
            <w:hideMark/>
          </w:tcPr>
          <w:p w14:paraId="3E1DC27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2862/1431/1431</w:t>
            </w:r>
          </w:p>
        </w:tc>
        <w:tc>
          <w:tcPr>
            <w:tcW w:w="712" w:type="dxa"/>
            <w:tcBorders>
              <w:top w:val="nil"/>
              <w:left w:val="nil"/>
              <w:bottom w:val="nil"/>
              <w:right w:val="nil"/>
            </w:tcBorders>
            <w:shd w:val="clear" w:color="auto" w:fill="auto"/>
            <w:vAlign w:val="center"/>
            <w:hideMark/>
          </w:tcPr>
          <w:p w14:paraId="16BB2B33"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w:t>
            </w:r>
          </w:p>
        </w:tc>
        <w:tc>
          <w:tcPr>
            <w:tcW w:w="704" w:type="dxa"/>
            <w:tcBorders>
              <w:top w:val="nil"/>
              <w:left w:val="nil"/>
              <w:bottom w:val="nil"/>
              <w:right w:val="nil"/>
            </w:tcBorders>
            <w:shd w:val="clear" w:color="auto" w:fill="auto"/>
            <w:vAlign w:val="center"/>
            <w:hideMark/>
          </w:tcPr>
          <w:p w14:paraId="25750BA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Septic shock onset</w:t>
            </w:r>
          </w:p>
        </w:tc>
        <w:tc>
          <w:tcPr>
            <w:tcW w:w="826" w:type="dxa"/>
            <w:tcBorders>
              <w:top w:val="nil"/>
              <w:left w:val="nil"/>
              <w:bottom w:val="nil"/>
              <w:right w:val="nil"/>
            </w:tcBorders>
            <w:shd w:val="clear" w:color="auto" w:fill="auto"/>
            <w:vAlign w:val="center"/>
            <w:hideMark/>
          </w:tcPr>
          <w:p w14:paraId="164E0F58"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Receiving NE within the first 3 h</w:t>
            </w:r>
          </w:p>
        </w:tc>
        <w:tc>
          <w:tcPr>
            <w:tcW w:w="674" w:type="dxa"/>
            <w:tcBorders>
              <w:top w:val="nil"/>
              <w:left w:val="nil"/>
              <w:bottom w:val="nil"/>
              <w:right w:val="nil"/>
            </w:tcBorders>
            <w:shd w:val="clear" w:color="auto" w:fill="auto"/>
            <w:vAlign w:val="center"/>
            <w:hideMark/>
          </w:tcPr>
          <w:p w14:paraId="4BAF637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28 d mortality</w:t>
            </w:r>
          </w:p>
        </w:tc>
        <w:tc>
          <w:tcPr>
            <w:tcW w:w="826" w:type="dxa"/>
            <w:tcBorders>
              <w:top w:val="nil"/>
              <w:left w:val="nil"/>
              <w:bottom w:val="nil"/>
              <w:right w:val="nil"/>
            </w:tcBorders>
            <w:shd w:val="clear" w:color="auto" w:fill="auto"/>
            <w:vAlign w:val="center"/>
            <w:hideMark/>
          </w:tcPr>
          <w:p w14:paraId="22884E96"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Early group had lower 28 d mortality, 30.0% </w:t>
            </w:r>
            <w:r w:rsidRPr="001C0C1F">
              <w:rPr>
                <w:rFonts w:ascii="Book Antiqua" w:eastAsia="等线" w:hAnsi="Book Antiqua" w:cs="宋体"/>
                <w:i/>
                <w:iCs/>
                <w:color w:val="000000"/>
                <w:lang w:eastAsia="zh-CN"/>
              </w:rPr>
              <w:t>vs</w:t>
            </w:r>
            <w:r w:rsidRPr="001C0C1F">
              <w:rPr>
                <w:rFonts w:ascii="Book Antiqua" w:eastAsia="等线" w:hAnsi="Book Antiqua" w:cs="宋体"/>
                <w:color w:val="000000"/>
                <w:lang w:eastAsia="zh-CN"/>
              </w:rPr>
              <w:t xml:space="preserve"> 37.8%, </w:t>
            </w:r>
            <w:r w:rsidRPr="001C0C1F">
              <w:rPr>
                <w:rFonts w:ascii="Book Antiqua" w:eastAsia="等线" w:hAnsi="Book Antiqua" w:cs="宋体"/>
                <w:i/>
                <w:iCs/>
                <w:color w:val="000000"/>
                <w:lang w:eastAsia="zh-CN"/>
              </w:rPr>
              <w:t>P</w:t>
            </w:r>
            <w:r w:rsidRPr="001C0C1F">
              <w:rPr>
                <w:rFonts w:ascii="Book Antiqua" w:eastAsia="等线" w:hAnsi="Book Antiqua" w:cs="宋体"/>
                <w:color w:val="000000"/>
                <w:lang w:eastAsia="zh-CN"/>
              </w:rPr>
              <w:t>&lt; 0.001</w:t>
            </w:r>
          </w:p>
        </w:tc>
        <w:tc>
          <w:tcPr>
            <w:tcW w:w="826" w:type="dxa"/>
            <w:tcBorders>
              <w:top w:val="nil"/>
              <w:left w:val="nil"/>
              <w:bottom w:val="nil"/>
              <w:right w:val="nil"/>
            </w:tcBorders>
            <w:shd w:val="clear" w:color="auto" w:fill="auto"/>
            <w:vAlign w:val="center"/>
            <w:hideMark/>
          </w:tcPr>
          <w:p w14:paraId="623B8F5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Patients in the early-NE initiation group had a significantly shorter duration of ICU and hospital stay, shorter duration of supportive NE and invasive mechanical ventilation, lower incidence of acute kidney injury, and lower proportion of organ failure progression than patients in the delayed NE initiation group</w:t>
            </w:r>
          </w:p>
        </w:tc>
        <w:tc>
          <w:tcPr>
            <w:tcW w:w="856" w:type="dxa"/>
            <w:tcBorders>
              <w:top w:val="nil"/>
              <w:left w:val="nil"/>
              <w:bottom w:val="nil"/>
              <w:right w:val="nil"/>
            </w:tcBorders>
            <w:shd w:val="clear" w:color="auto" w:fill="auto"/>
            <w:vAlign w:val="center"/>
            <w:hideMark/>
          </w:tcPr>
          <w:p w14:paraId="21F77F1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 initiation within the first 3 h, regardless of preload dependency, was associated with longer survival time and shorter duration of supportive NE and invasive mechanical ventilation and may delay or partially reverse rapid onset organ failure</w:t>
            </w:r>
          </w:p>
        </w:tc>
      </w:tr>
      <w:tr w:rsidR="001C0C1F" w:rsidRPr="001C0C1F" w14:paraId="3533C95C" w14:textId="77777777" w:rsidTr="001C0C1F">
        <w:trPr>
          <w:trHeight w:val="638"/>
        </w:trPr>
        <w:tc>
          <w:tcPr>
            <w:tcW w:w="273" w:type="dxa"/>
            <w:tcBorders>
              <w:top w:val="nil"/>
              <w:left w:val="nil"/>
              <w:bottom w:val="single" w:sz="8" w:space="0" w:color="auto"/>
              <w:right w:val="nil"/>
            </w:tcBorders>
            <w:shd w:val="clear" w:color="auto" w:fill="auto"/>
            <w:vAlign w:val="center"/>
            <w:hideMark/>
          </w:tcPr>
          <w:p w14:paraId="1B282E44"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Sum</w:t>
            </w:r>
          </w:p>
        </w:tc>
        <w:tc>
          <w:tcPr>
            <w:tcW w:w="602" w:type="dxa"/>
            <w:tcBorders>
              <w:top w:val="nil"/>
              <w:left w:val="nil"/>
              <w:bottom w:val="single" w:sz="8" w:space="0" w:color="auto"/>
              <w:right w:val="nil"/>
            </w:tcBorders>
            <w:shd w:val="clear" w:color="auto" w:fill="auto"/>
            <w:vAlign w:val="center"/>
            <w:hideMark/>
          </w:tcPr>
          <w:p w14:paraId="6F83B44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USA 2, other countries 1</w:t>
            </w:r>
          </w:p>
        </w:tc>
        <w:tc>
          <w:tcPr>
            <w:tcW w:w="555" w:type="dxa"/>
            <w:tcBorders>
              <w:top w:val="nil"/>
              <w:left w:val="nil"/>
              <w:bottom w:val="single" w:sz="8" w:space="0" w:color="auto"/>
              <w:right w:val="nil"/>
            </w:tcBorders>
            <w:shd w:val="clear" w:color="auto" w:fill="auto"/>
            <w:vAlign w:val="center"/>
            <w:hideMark/>
          </w:tcPr>
          <w:p w14:paraId="2AA6FB61" w14:textId="573578EA" w:rsidR="001C0C1F" w:rsidRPr="001C0C1F" w:rsidRDefault="001C0C1F" w:rsidP="001C0C1F">
            <w:pPr>
              <w:rPr>
                <w:rFonts w:ascii="Book Antiqua" w:eastAsia="等线" w:hAnsi="Book Antiqua" w:cs="宋体"/>
                <w:color w:val="000000"/>
                <w:lang w:eastAsia="zh-CN"/>
              </w:rPr>
            </w:pPr>
          </w:p>
        </w:tc>
        <w:tc>
          <w:tcPr>
            <w:tcW w:w="759" w:type="dxa"/>
            <w:tcBorders>
              <w:top w:val="nil"/>
              <w:left w:val="nil"/>
              <w:bottom w:val="single" w:sz="8" w:space="0" w:color="auto"/>
              <w:right w:val="nil"/>
            </w:tcBorders>
            <w:shd w:val="clear" w:color="auto" w:fill="auto"/>
            <w:vAlign w:val="center"/>
            <w:hideMark/>
          </w:tcPr>
          <w:p w14:paraId="63068317"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2 RCTs</w:t>
            </w:r>
          </w:p>
        </w:tc>
        <w:tc>
          <w:tcPr>
            <w:tcW w:w="1027" w:type="dxa"/>
            <w:tcBorders>
              <w:top w:val="nil"/>
              <w:left w:val="nil"/>
              <w:bottom w:val="single" w:sz="8" w:space="0" w:color="auto"/>
              <w:right w:val="nil"/>
            </w:tcBorders>
            <w:shd w:val="clear" w:color="auto" w:fill="auto"/>
            <w:vAlign w:val="center"/>
            <w:hideMark/>
          </w:tcPr>
          <w:p w14:paraId="0BDFF4C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11081/2190/2377</w:t>
            </w:r>
          </w:p>
        </w:tc>
        <w:tc>
          <w:tcPr>
            <w:tcW w:w="712" w:type="dxa"/>
            <w:tcBorders>
              <w:top w:val="nil"/>
              <w:left w:val="nil"/>
              <w:bottom w:val="single" w:sz="8" w:space="0" w:color="auto"/>
              <w:right w:val="nil"/>
            </w:tcBorders>
            <w:shd w:val="clear" w:color="auto" w:fill="auto"/>
            <w:vAlign w:val="center"/>
            <w:hideMark/>
          </w:tcPr>
          <w:p w14:paraId="29BF4872"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NE 5</w:t>
            </w:r>
          </w:p>
        </w:tc>
        <w:tc>
          <w:tcPr>
            <w:tcW w:w="704" w:type="dxa"/>
            <w:tcBorders>
              <w:top w:val="nil"/>
              <w:left w:val="nil"/>
              <w:bottom w:val="single" w:sz="8" w:space="0" w:color="auto"/>
              <w:right w:val="nil"/>
            </w:tcBorders>
            <w:shd w:val="clear" w:color="auto" w:fill="auto"/>
            <w:vAlign w:val="center"/>
            <w:hideMark/>
          </w:tcPr>
          <w:p w14:paraId="2A4B0D70"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Shock onset 3, ED arrival 2, First fluid 2, Prehospital 1</w:t>
            </w:r>
          </w:p>
        </w:tc>
        <w:tc>
          <w:tcPr>
            <w:tcW w:w="826" w:type="dxa"/>
            <w:tcBorders>
              <w:top w:val="nil"/>
              <w:left w:val="nil"/>
              <w:bottom w:val="single" w:sz="8" w:space="0" w:color="auto"/>
              <w:right w:val="nil"/>
            </w:tcBorders>
            <w:shd w:val="clear" w:color="auto" w:fill="auto"/>
            <w:vAlign w:val="center"/>
            <w:hideMark/>
          </w:tcPr>
          <w:p w14:paraId="1C4F5B3B"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Within 2, 3 and6 h after shock, Within 0, 0.5, 1 h of fluid start, Prehospital</w:t>
            </w:r>
          </w:p>
        </w:tc>
        <w:tc>
          <w:tcPr>
            <w:tcW w:w="674" w:type="dxa"/>
            <w:tcBorders>
              <w:top w:val="nil"/>
              <w:left w:val="nil"/>
              <w:bottom w:val="single" w:sz="8" w:space="0" w:color="auto"/>
              <w:right w:val="nil"/>
            </w:tcBorders>
            <w:shd w:val="clear" w:color="auto" w:fill="auto"/>
            <w:vAlign w:val="center"/>
            <w:hideMark/>
          </w:tcPr>
          <w:p w14:paraId="2B6B9C3C"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28 d mortality 4 and30 d mortality 2 hospital survival 2</w:t>
            </w:r>
          </w:p>
        </w:tc>
        <w:tc>
          <w:tcPr>
            <w:tcW w:w="826" w:type="dxa"/>
            <w:tcBorders>
              <w:top w:val="nil"/>
              <w:left w:val="nil"/>
              <w:bottom w:val="single" w:sz="8" w:space="0" w:color="auto"/>
              <w:right w:val="nil"/>
            </w:tcBorders>
            <w:shd w:val="clear" w:color="auto" w:fill="auto"/>
            <w:vAlign w:val="center"/>
            <w:hideMark/>
          </w:tcPr>
          <w:p w14:paraId="5A556D4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Mortality was lower in early group in 7 studies; mortality in early group was 28.1%–47.7%, in </w:t>
            </w:r>
            <w:r w:rsidRPr="001C0C1F">
              <w:rPr>
                <w:rFonts w:ascii="Book Antiqua" w:eastAsia="等线" w:hAnsi="Book Antiqua" w:cs="宋体"/>
                <w:color w:val="000000"/>
                <w:lang w:eastAsia="zh-CN"/>
              </w:rPr>
              <w:lastRenderedPageBreak/>
              <w:t>control group was 33.6%–54.5%</w:t>
            </w:r>
          </w:p>
        </w:tc>
        <w:tc>
          <w:tcPr>
            <w:tcW w:w="826" w:type="dxa"/>
            <w:tcBorders>
              <w:top w:val="nil"/>
              <w:left w:val="nil"/>
              <w:bottom w:val="single" w:sz="8" w:space="0" w:color="auto"/>
              <w:right w:val="nil"/>
            </w:tcBorders>
            <w:shd w:val="clear" w:color="auto" w:fill="auto"/>
            <w:vAlign w:val="center"/>
            <w:hideMark/>
          </w:tcPr>
          <w:p w14:paraId="1A4F3C6E"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lastRenderedPageBreak/>
              <w:t xml:space="preserve">　</w:t>
            </w:r>
          </w:p>
        </w:tc>
        <w:tc>
          <w:tcPr>
            <w:tcW w:w="856" w:type="dxa"/>
            <w:tcBorders>
              <w:top w:val="nil"/>
              <w:left w:val="nil"/>
              <w:bottom w:val="single" w:sz="8" w:space="0" w:color="auto"/>
              <w:right w:val="nil"/>
            </w:tcBorders>
            <w:shd w:val="clear" w:color="auto" w:fill="auto"/>
            <w:vAlign w:val="center"/>
            <w:hideMark/>
          </w:tcPr>
          <w:p w14:paraId="6CCDFB6F" w14:textId="77777777" w:rsidR="001C0C1F" w:rsidRPr="001C0C1F" w:rsidRDefault="001C0C1F" w:rsidP="001C0C1F">
            <w:pPr>
              <w:rPr>
                <w:rFonts w:ascii="Book Antiqua" w:eastAsia="等线" w:hAnsi="Book Antiqua" w:cs="宋体"/>
                <w:color w:val="000000"/>
                <w:lang w:eastAsia="zh-CN"/>
              </w:rPr>
            </w:pPr>
            <w:r w:rsidRPr="001C0C1F">
              <w:rPr>
                <w:rFonts w:ascii="Book Antiqua" w:eastAsia="等线" w:hAnsi="Book Antiqua" w:cs="宋体"/>
                <w:color w:val="000000"/>
                <w:lang w:eastAsia="zh-CN"/>
              </w:rPr>
              <w:t xml:space="preserve">　</w:t>
            </w:r>
          </w:p>
        </w:tc>
      </w:tr>
    </w:tbl>
    <w:p w14:paraId="09656D48" w14:textId="77777777" w:rsidR="005F4E1E" w:rsidRDefault="00F74228" w:rsidP="0033042F">
      <w:pPr>
        <w:spacing w:line="360" w:lineRule="auto"/>
        <w:rPr>
          <w:rFonts w:ascii="Book Antiqua" w:hAnsi="Book Antiqua"/>
          <w:lang w:eastAsia="zh-CN"/>
        </w:rPr>
      </w:pPr>
      <w:r w:rsidRPr="00353EAC">
        <w:rPr>
          <w:rFonts w:ascii="Book Antiqua" w:hAnsi="Book Antiqua"/>
        </w:rPr>
        <w:t>ED: Emergency department; MAP: Mean arterial pressure; NE: Norepinephrine; RRT: Renal replacement therapy; SOFA: Sequential organ failure assessment;</w:t>
      </w:r>
      <w:r w:rsidRPr="00353EAC">
        <w:rPr>
          <w:rFonts w:ascii="Book Antiqua" w:hAnsi="Book Antiqua" w:cstheme="minorHAnsi"/>
        </w:rPr>
        <w:t xml:space="preserve"> ICU:Intensive care unit;</w:t>
      </w:r>
      <w:r w:rsidRPr="00353EAC">
        <w:rPr>
          <w:rFonts w:ascii="Book Antiqua" w:hAnsi="Book Antiqua"/>
        </w:rPr>
        <w:t xml:space="preserve"> VP: Vasopressin; N/A: Not applicable.</w:t>
      </w:r>
    </w:p>
    <w:p w14:paraId="074B1484" w14:textId="77777777" w:rsidR="005F4E1E" w:rsidRDefault="005F4E1E" w:rsidP="0033042F">
      <w:pPr>
        <w:spacing w:line="360" w:lineRule="auto"/>
        <w:rPr>
          <w:rFonts w:ascii="Book Antiqua" w:hAnsi="Book Antiqua"/>
          <w:lang w:eastAsia="zh-CN"/>
        </w:rPr>
      </w:pPr>
    </w:p>
    <w:p w14:paraId="665EB550" w14:textId="77777777" w:rsidR="005F4E1E" w:rsidRDefault="00F74228" w:rsidP="0033042F">
      <w:pPr>
        <w:spacing w:line="360" w:lineRule="auto"/>
        <w:rPr>
          <w:rFonts w:ascii="Book Antiqua" w:hAnsi="Book Antiqua"/>
          <w:lang w:eastAsia="zh-CN"/>
        </w:rPr>
      </w:pPr>
      <w:r w:rsidRPr="00353EAC">
        <w:rPr>
          <w:rFonts w:ascii="Book Antiqua" w:hAnsi="Book Antiqua"/>
        </w:rPr>
        <w:br w:type="page"/>
      </w:r>
    </w:p>
    <w:p w14:paraId="7B7D3900" w14:textId="77777777" w:rsidR="005F4E1E" w:rsidRDefault="005F4E1E" w:rsidP="0033042F">
      <w:pPr>
        <w:spacing w:line="360" w:lineRule="auto"/>
        <w:rPr>
          <w:rFonts w:ascii="Book Antiqua" w:hAnsi="Book Antiqua"/>
          <w:lang w:eastAsia="zh-CN"/>
        </w:rPr>
      </w:pPr>
    </w:p>
    <w:p w14:paraId="0E009D61" w14:textId="77777777" w:rsidR="005F4E1E" w:rsidRDefault="005F4E1E" w:rsidP="0033042F">
      <w:pPr>
        <w:spacing w:line="360" w:lineRule="auto"/>
        <w:rPr>
          <w:rFonts w:ascii="Book Antiqua" w:hAnsi="Book Antiqua"/>
          <w:lang w:eastAsia="zh-CN"/>
        </w:rPr>
      </w:pPr>
    </w:p>
    <w:p w14:paraId="48A246C3" w14:textId="77777777" w:rsidR="005F4E1E" w:rsidRDefault="005F4E1E" w:rsidP="0033042F">
      <w:pPr>
        <w:spacing w:line="360" w:lineRule="auto"/>
        <w:rPr>
          <w:rFonts w:ascii="Book Antiqua" w:hAnsi="Book Antiqua"/>
          <w:lang w:eastAsia="zh-CN"/>
        </w:rPr>
      </w:pPr>
    </w:p>
    <w:p w14:paraId="14818D58" w14:textId="77777777" w:rsidR="005F4E1E" w:rsidRDefault="005F4E1E" w:rsidP="0033042F">
      <w:pPr>
        <w:spacing w:line="360" w:lineRule="auto"/>
        <w:rPr>
          <w:rFonts w:ascii="Book Antiqua" w:hAnsi="Book Antiqua"/>
          <w:lang w:eastAsia="zh-CN"/>
        </w:rPr>
      </w:pPr>
    </w:p>
    <w:p w14:paraId="49182F07" w14:textId="77777777" w:rsidR="005F4E1E" w:rsidRDefault="005F4E1E" w:rsidP="0033042F">
      <w:pPr>
        <w:spacing w:line="360" w:lineRule="auto"/>
        <w:rPr>
          <w:rFonts w:ascii="Book Antiqua" w:hAnsi="Book Antiqua"/>
          <w:lang w:eastAsia="zh-CN"/>
        </w:rPr>
      </w:pPr>
    </w:p>
    <w:p w14:paraId="3FD0F303" w14:textId="77777777" w:rsidR="005F4E1E" w:rsidRDefault="005F4E1E" w:rsidP="0033042F">
      <w:pPr>
        <w:spacing w:line="360" w:lineRule="auto"/>
        <w:rPr>
          <w:rFonts w:ascii="Book Antiqua" w:hAnsi="Book Antiqua"/>
          <w:lang w:eastAsia="zh-CN"/>
        </w:rPr>
      </w:pPr>
    </w:p>
    <w:p w14:paraId="4E07A144" w14:textId="77777777" w:rsidR="005F4E1E" w:rsidRDefault="005F4E1E" w:rsidP="0033042F">
      <w:pPr>
        <w:spacing w:line="360" w:lineRule="auto"/>
        <w:rPr>
          <w:rFonts w:ascii="Book Antiqua" w:hAnsi="Book Antiqua"/>
          <w:lang w:eastAsia="zh-CN"/>
        </w:rPr>
      </w:pPr>
    </w:p>
    <w:p w14:paraId="15C28C1E" w14:textId="77777777" w:rsidR="005F4E1E" w:rsidRDefault="005F4E1E" w:rsidP="0033042F">
      <w:pPr>
        <w:spacing w:line="360" w:lineRule="auto"/>
        <w:rPr>
          <w:rFonts w:ascii="Book Antiqua" w:hAnsi="Book Antiqua"/>
          <w:lang w:eastAsia="zh-CN"/>
        </w:rPr>
      </w:pPr>
    </w:p>
    <w:p w14:paraId="63860947" w14:textId="77777777" w:rsidR="005F4E1E" w:rsidRDefault="005F4E1E" w:rsidP="0033042F">
      <w:pPr>
        <w:spacing w:line="360" w:lineRule="auto"/>
        <w:rPr>
          <w:rFonts w:ascii="Book Antiqua" w:hAnsi="Book Antiqua"/>
          <w:lang w:eastAsia="zh-CN"/>
        </w:rPr>
      </w:pPr>
    </w:p>
    <w:p w14:paraId="1F5BEF96" w14:textId="5A5EA217" w:rsidR="009041B5" w:rsidRPr="00353EAC" w:rsidRDefault="00F74228" w:rsidP="0033042F">
      <w:pPr>
        <w:spacing w:line="360" w:lineRule="auto"/>
        <w:rPr>
          <w:rFonts w:ascii="Book Antiqua" w:hAnsi="Book Antiqua"/>
          <w:b/>
        </w:rPr>
      </w:pPr>
      <w:r w:rsidRPr="00353EAC">
        <w:rPr>
          <w:rFonts w:ascii="Book Antiqua" w:hAnsi="Book Antiqua"/>
          <w:b/>
        </w:rPr>
        <w:t xml:space="preserve">Table 2 </w:t>
      </w:r>
      <w:r w:rsidR="00865C66">
        <w:rPr>
          <w:rFonts w:ascii="Book Antiqua" w:hAnsi="Book Antiqua"/>
          <w:b/>
        </w:rPr>
        <w:t>B</w:t>
      </w:r>
      <w:r w:rsidRPr="00353EAC">
        <w:rPr>
          <w:rFonts w:ascii="Book Antiqua" w:hAnsi="Book Antiqua"/>
          <w:b/>
        </w:rPr>
        <w:t>asic characteristics of studies on early combination with another vasopressor included in the systematic review</w:t>
      </w:r>
    </w:p>
    <w:tbl>
      <w:tblPr>
        <w:tblW w:w="20864" w:type="dxa"/>
        <w:tblInd w:w="108" w:type="dxa"/>
        <w:tblLook w:val="04A0" w:firstRow="1" w:lastRow="0" w:firstColumn="1" w:lastColumn="0" w:noHBand="0" w:noVBand="1"/>
      </w:tblPr>
      <w:tblGrid>
        <w:gridCol w:w="699"/>
        <w:gridCol w:w="1593"/>
        <w:gridCol w:w="1593"/>
        <w:gridCol w:w="1662"/>
        <w:gridCol w:w="1587"/>
        <w:gridCol w:w="990"/>
        <w:gridCol w:w="1629"/>
        <w:gridCol w:w="2005"/>
        <w:gridCol w:w="1740"/>
        <w:gridCol w:w="2218"/>
        <w:gridCol w:w="2708"/>
        <w:gridCol w:w="2440"/>
      </w:tblGrid>
      <w:tr w:rsidR="00890B15" w:rsidRPr="00890B15" w14:paraId="71580ADE" w14:textId="77777777" w:rsidTr="00890B15">
        <w:trPr>
          <w:trHeight w:val="623"/>
        </w:trPr>
        <w:tc>
          <w:tcPr>
            <w:tcW w:w="523" w:type="dxa"/>
            <w:tcBorders>
              <w:top w:val="single" w:sz="8" w:space="0" w:color="auto"/>
              <w:left w:val="nil"/>
              <w:bottom w:val="single" w:sz="8" w:space="0" w:color="auto"/>
              <w:right w:val="nil"/>
            </w:tcBorders>
            <w:shd w:val="clear" w:color="auto" w:fill="auto"/>
            <w:vAlign w:val="center"/>
            <w:hideMark/>
          </w:tcPr>
          <w:p w14:paraId="43FB245A"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No.</w:t>
            </w:r>
          </w:p>
        </w:tc>
        <w:tc>
          <w:tcPr>
            <w:tcW w:w="1466" w:type="dxa"/>
            <w:tcBorders>
              <w:top w:val="single" w:sz="8" w:space="0" w:color="auto"/>
              <w:left w:val="nil"/>
              <w:bottom w:val="single" w:sz="8" w:space="0" w:color="auto"/>
              <w:right w:val="nil"/>
            </w:tcBorders>
            <w:shd w:val="clear" w:color="auto" w:fill="auto"/>
            <w:vAlign w:val="center"/>
            <w:hideMark/>
          </w:tcPr>
          <w:p w14:paraId="14AE6DAF"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Refs</w:t>
            </w:r>
          </w:p>
        </w:tc>
        <w:tc>
          <w:tcPr>
            <w:tcW w:w="1473" w:type="dxa"/>
            <w:tcBorders>
              <w:top w:val="single" w:sz="8" w:space="0" w:color="auto"/>
              <w:left w:val="nil"/>
              <w:bottom w:val="single" w:sz="8" w:space="0" w:color="auto"/>
              <w:right w:val="nil"/>
            </w:tcBorders>
            <w:shd w:val="clear" w:color="auto" w:fill="auto"/>
            <w:vAlign w:val="center"/>
            <w:hideMark/>
          </w:tcPr>
          <w:p w14:paraId="02B29604"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Country</w:t>
            </w:r>
          </w:p>
        </w:tc>
        <w:tc>
          <w:tcPr>
            <w:tcW w:w="1631" w:type="dxa"/>
            <w:tcBorders>
              <w:top w:val="single" w:sz="8" w:space="0" w:color="auto"/>
              <w:left w:val="nil"/>
              <w:bottom w:val="single" w:sz="8" w:space="0" w:color="auto"/>
              <w:right w:val="nil"/>
            </w:tcBorders>
            <w:shd w:val="clear" w:color="auto" w:fill="auto"/>
            <w:vAlign w:val="center"/>
            <w:hideMark/>
          </w:tcPr>
          <w:p w14:paraId="1831B6DA"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Study design and period</w:t>
            </w:r>
          </w:p>
        </w:tc>
        <w:tc>
          <w:tcPr>
            <w:tcW w:w="1505" w:type="dxa"/>
            <w:tcBorders>
              <w:top w:val="single" w:sz="8" w:space="0" w:color="auto"/>
              <w:left w:val="nil"/>
              <w:bottom w:val="single" w:sz="8" w:space="0" w:color="auto"/>
              <w:right w:val="nil"/>
            </w:tcBorders>
            <w:shd w:val="clear" w:color="auto" w:fill="auto"/>
            <w:vAlign w:val="center"/>
            <w:hideMark/>
          </w:tcPr>
          <w:p w14:paraId="464080CB"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No.of patients</w:t>
            </w:r>
          </w:p>
        </w:tc>
        <w:tc>
          <w:tcPr>
            <w:tcW w:w="814" w:type="dxa"/>
            <w:tcBorders>
              <w:top w:val="single" w:sz="8" w:space="0" w:color="auto"/>
              <w:left w:val="nil"/>
              <w:bottom w:val="single" w:sz="8" w:space="0" w:color="auto"/>
              <w:right w:val="nil"/>
            </w:tcBorders>
            <w:shd w:val="clear" w:color="auto" w:fill="auto"/>
            <w:vAlign w:val="center"/>
            <w:hideMark/>
          </w:tcPr>
          <w:p w14:paraId="3399D40C"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Agents</w:t>
            </w:r>
          </w:p>
        </w:tc>
        <w:tc>
          <w:tcPr>
            <w:tcW w:w="1454" w:type="dxa"/>
            <w:tcBorders>
              <w:top w:val="single" w:sz="8" w:space="0" w:color="auto"/>
              <w:left w:val="nil"/>
              <w:bottom w:val="single" w:sz="8" w:space="0" w:color="auto"/>
              <w:right w:val="nil"/>
            </w:tcBorders>
            <w:shd w:val="clear" w:color="auto" w:fill="auto"/>
            <w:vAlign w:val="center"/>
            <w:hideMark/>
          </w:tcPr>
          <w:p w14:paraId="2F68A435"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Time0</w:t>
            </w:r>
          </w:p>
        </w:tc>
        <w:tc>
          <w:tcPr>
            <w:tcW w:w="1907" w:type="dxa"/>
            <w:tcBorders>
              <w:top w:val="single" w:sz="8" w:space="0" w:color="auto"/>
              <w:left w:val="nil"/>
              <w:bottom w:val="single" w:sz="8" w:space="0" w:color="auto"/>
              <w:right w:val="nil"/>
            </w:tcBorders>
            <w:shd w:val="clear" w:color="auto" w:fill="auto"/>
            <w:vAlign w:val="center"/>
            <w:hideMark/>
          </w:tcPr>
          <w:p w14:paraId="5C70428B"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Definition for early combination</w:t>
            </w:r>
          </w:p>
        </w:tc>
        <w:tc>
          <w:tcPr>
            <w:tcW w:w="1690" w:type="dxa"/>
            <w:tcBorders>
              <w:top w:val="single" w:sz="8" w:space="0" w:color="auto"/>
              <w:left w:val="nil"/>
              <w:bottom w:val="single" w:sz="8" w:space="0" w:color="auto"/>
              <w:right w:val="nil"/>
            </w:tcBorders>
            <w:shd w:val="clear" w:color="auto" w:fill="auto"/>
            <w:vAlign w:val="center"/>
            <w:hideMark/>
          </w:tcPr>
          <w:p w14:paraId="59B5BEAA"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Primary outcome reported</w:t>
            </w:r>
          </w:p>
        </w:tc>
        <w:tc>
          <w:tcPr>
            <w:tcW w:w="2428" w:type="dxa"/>
            <w:tcBorders>
              <w:top w:val="single" w:sz="8" w:space="0" w:color="auto"/>
              <w:left w:val="nil"/>
              <w:bottom w:val="single" w:sz="8" w:space="0" w:color="auto"/>
              <w:right w:val="nil"/>
            </w:tcBorders>
            <w:shd w:val="clear" w:color="auto" w:fill="auto"/>
            <w:vAlign w:val="center"/>
            <w:hideMark/>
          </w:tcPr>
          <w:p w14:paraId="2C605660"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Primary outcome</w:t>
            </w:r>
          </w:p>
        </w:tc>
        <w:tc>
          <w:tcPr>
            <w:tcW w:w="3210" w:type="dxa"/>
            <w:tcBorders>
              <w:top w:val="single" w:sz="8" w:space="0" w:color="auto"/>
              <w:left w:val="nil"/>
              <w:bottom w:val="single" w:sz="8" w:space="0" w:color="auto"/>
              <w:right w:val="nil"/>
            </w:tcBorders>
            <w:shd w:val="clear" w:color="auto" w:fill="auto"/>
            <w:vAlign w:val="center"/>
            <w:hideMark/>
          </w:tcPr>
          <w:p w14:paraId="06DE79D2"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Other points</w:t>
            </w:r>
          </w:p>
        </w:tc>
        <w:tc>
          <w:tcPr>
            <w:tcW w:w="2763" w:type="dxa"/>
            <w:tcBorders>
              <w:top w:val="single" w:sz="8" w:space="0" w:color="auto"/>
              <w:left w:val="nil"/>
              <w:bottom w:val="single" w:sz="8" w:space="0" w:color="auto"/>
              <w:right w:val="nil"/>
            </w:tcBorders>
            <w:shd w:val="clear" w:color="auto" w:fill="auto"/>
            <w:vAlign w:val="center"/>
            <w:hideMark/>
          </w:tcPr>
          <w:p w14:paraId="1FF411B5" w14:textId="77777777" w:rsidR="00890B15" w:rsidRPr="00890B15" w:rsidRDefault="00890B15" w:rsidP="00890B15">
            <w:pPr>
              <w:rPr>
                <w:rFonts w:ascii="Book Antiqua" w:eastAsia="等线" w:hAnsi="Book Antiqua" w:cs="宋体"/>
                <w:b/>
                <w:bCs/>
                <w:color w:val="000000"/>
                <w:lang w:eastAsia="zh-CN"/>
              </w:rPr>
            </w:pPr>
            <w:r w:rsidRPr="00890B15">
              <w:rPr>
                <w:rFonts w:ascii="Book Antiqua" w:eastAsia="等线" w:hAnsi="Book Antiqua" w:cs="宋体"/>
                <w:b/>
                <w:bCs/>
                <w:color w:val="000000"/>
                <w:lang w:eastAsia="zh-CN"/>
              </w:rPr>
              <w:t>Comments</w:t>
            </w:r>
          </w:p>
        </w:tc>
      </w:tr>
      <w:tr w:rsidR="00890B15" w:rsidRPr="00890B15" w14:paraId="0DAF3CFA" w14:textId="77777777" w:rsidTr="00890B15">
        <w:trPr>
          <w:trHeight w:val="683"/>
        </w:trPr>
        <w:tc>
          <w:tcPr>
            <w:tcW w:w="523" w:type="dxa"/>
            <w:tcBorders>
              <w:top w:val="nil"/>
              <w:left w:val="nil"/>
              <w:bottom w:val="nil"/>
              <w:right w:val="nil"/>
            </w:tcBorders>
            <w:shd w:val="clear" w:color="auto" w:fill="auto"/>
            <w:vAlign w:val="center"/>
            <w:hideMark/>
          </w:tcPr>
          <w:p w14:paraId="59A5D6BD"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1</w:t>
            </w:r>
          </w:p>
        </w:tc>
        <w:tc>
          <w:tcPr>
            <w:tcW w:w="1466" w:type="dxa"/>
            <w:tcBorders>
              <w:top w:val="nil"/>
              <w:left w:val="nil"/>
              <w:bottom w:val="nil"/>
              <w:right w:val="nil"/>
            </w:tcBorders>
            <w:shd w:val="clear" w:color="auto" w:fill="auto"/>
            <w:vAlign w:val="center"/>
            <w:hideMark/>
          </w:tcPr>
          <w:p w14:paraId="4A2C06A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 xml:space="preserve">Reardon </w:t>
            </w:r>
            <w:r w:rsidRPr="00890B15">
              <w:rPr>
                <w:rFonts w:ascii="Book Antiqua" w:eastAsia="等线" w:hAnsi="Book Antiqua" w:cs="宋体"/>
                <w:i/>
                <w:iCs/>
                <w:color w:val="000000"/>
                <w:lang w:eastAsia="zh-CN"/>
              </w:rPr>
              <w:t>et al</w:t>
            </w:r>
            <w:r w:rsidRPr="00890B15">
              <w:rPr>
                <w:rFonts w:ascii="Book Antiqua" w:eastAsia="等线" w:hAnsi="Book Antiqua" w:cs="宋体"/>
                <w:color w:val="000000"/>
                <w:vertAlign w:val="superscript"/>
                <w:lang w:eastAsia="zh-CN"/>
              </w:rPr>
              <w:t>[56]</w:t>
            </w:r>
            <w:r w:rsidRPr="00890B15">
              <w:rPr>
                <w:rFonts w:ascii="Book Antiqua" w:eastAsia="等线" w:hAnsi="Book Antiqua" w:cs="宋体"/>
                <w:color w:val="000000"/>
                <w:lang w:eastAsia="zh-CN"/>
              </w:rPr>
              <w:t xml:space="preserve">, 2014, </w:t>
            </w:r>
          </w:p>
        </w:tc>
        <w:tc>
          <w:tcPr>
            <w:tcW w:w="1473" w:type="dxa"/>
            <w:tcBorders>
              <w:top w:val="nil"/>
              <w:left w:val="nil"/>
              <w:bottom w:val="nil"/>
              <w:right w:val="nil"/>
            </w:tcBorders>
            <w:shd w:val="clear" w:color="auto" w:fill="auto"/>
            <w:vAlign w:val="center"/>
            <w:hideMark/>
          </w:tcPr>
          <w:p w14:paraId="1608D18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United States</w:t>
            </w:r>
          </w:p>
        </w:tc>
        <w:tc>
          <w:tcPr>
            <w:tcW w:w="1631" w:type="dxa"/>
            <w:tcBorders>
              <w:top w:val="nil"/>
              <w:left w:val="nil"/>
              <w:bottom w:val="nil"/>
              <w:right w:val="nil"/>
            </w:tcBorders>
            <w:shd w:val="clear" w:color="auto" w:fill="auto"/>
            <w:vAlign w:val="center"/>
            <w:hideMark/>
          </w:tcPr>
          <w:p w14:paraId="6B5BB243"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Single center, retrospective study Jan. 2010-Dec. 2011</w:t>
            </w:r>
          </w:p>
        </w:tc>
        <w:tc>
          <w:tcPr>
            <w:tcW w:w="1505" w:type="dxa"/>
            <w:tcBorders>
              <w:top w:val="nil"/>
              <w:left w:val="nil"/>
              <w:bottom w:val="nil"/>
              <w:right w:val="nil"/>
            </w:tcBorders>
            <w:shd w:val="clear" w:color="auto" w:fill="auto"/>
            <w:vAlign w:val="center"/>
            <w:hideMark/>
          </w:tcPr>
          <w:p w14:paraId="37D29C57"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71, 35 (early)/36 (late)</w:t>
            </w:r>
          </w:p>
        </w:tc>
        <w:tc>
          <w:tcPr>
            <w:tcW w:w="814" w:type="dxa"/>
            <w:tcBorders>
              <w:top w:val="nil"/>
              <w:left w:val="nil"/>
              <w:bottom w:val="nil"/>
              <w:right w:val="nil"/>
            </w:tcBorders>
            <w:shd w:val="clear" w:color="auto" w:fill="auto"/>
            <w:vAlign w:val="center"/>
            <w:hideMark/>
          </w:tcPr>
          <w:p w14:paraId="25C493F1"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VP</w:t>
            </w:r>
          </w:p>
        </w:tc>
        <w:tc>
          <w:tcPr>
            <w:tcW w:w="1454" w:type="dxa"/>
            <w:tcBorders>
              <w:top w:val="nil"/>
              <w:left w:val="nil"/>
              <w:bottom w:val="nil"/>
              <w:right w:val="nil"/>
            </w:tcBorders>
            <w:shd w:val="clear" w:color="auto" w:fill="auto"/>
            <w:vAlign w:val="center"/>
            <w:hideMark/>
          </w:tcPr>
          <w:p w14:paraId="016C5255"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Catecholami-ne initiation</w:t>
            </w:r>
          </w:p>
        </w:tc>
        <w:tc>
          <w:tcPr>
            <w:tcW w:w="1907" w:type="dxa"/>
            <w:tcBorders>
              <w:top w:val="nil"/>
              <w:left w:val="nil"/>
              <w:bottom w:val="nil"/>
              <w:right w:val="nil"/>
            </w:tcBorders>
            <w:shd w:val="clear" w:color="auto" w:fill="auto"/>
            <w:vAlign w:val="center"/>
            <w:hideMark/>
          </w:tcPr>
          <w:p w14:paraId="339F28D3"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VP was initiated within 6h of catecholamine therapy</w:t>
            </w:r>
          </w:p>
        </w:tc>
        <w:tc>
          <w:tcPr>
            <w:tcW w:w="1690" w:type="dxa"/>
            <w:tcBorders>
              <w:top w:val="nil"/>
              <w:left w:val="nil"/>
              <w:bottom w:val="nil"/>
              <w:right w:val="nil"/>
            </w:tcBorders>
            <w:shd w:val="clear" w:color="auto" w:fill="auto"/>
            <w:vAlign w:val="center"/>
            <w:hideMark/>
          </w:tcPr>
          <w:p w14:paraId="7BEDE4FE"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Impact of VP on catecholamine dose and duration</w:t>
            </w:r>
          </w:p>
        </w:tc>
        <w:tc>
          <w:tcPr>
            <w:tcW w:w="2428" w:type="dxa"/>
            <w:tcBorders>
              <w:top w:val="nil"/>
              <w:left w:val="nil"/>
              <w:bottom w:val="nil"/>
              <w:right w:val="nil"/>
            </w:tcBorders>
            <w:shd w:val="clear" w:color="auto" w:fill="auto"/>
            <w:vAlign w:val="center"/>
            <w:hideMark/>
          </w:tcPr>
          <w:p w14:paraId="7076CE68"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No difference in dose and duration of catecholamine or VP therapy between the 2 groups</w:t>
            </w:r>
          </w:p>
        </w:tc>
        <w:tc>
          <w:tcPr>
            <w:tcW w:w="3210" w:type="dxa"/>
            <w:tcBorders>
              <w:top w:val="nil"/>
              <w:left w:val="nil"/>
              <w:bottom w:val="nil"/>
              <w:right w:val="nil"/>
            </w:tcBorders>
            <w:shd w:val="clear" w:color="auto" w:fill="auto"/>
            <w:vAlign w:val="center"/>
            <w:hideMark/>
          </w:tcPr>
          <w:p w14:paraId="18D96432"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1 There was a significant difference in incidence of new-onset arrhythmias between the early VP and late groups (</w:t>
            </w:r>
            <w:r w:rsidRPr="00890B15">
              <w:rPr>
                <w:rFonts w:ascii="Book Antiqua" w:eastAsia="等线" w:hAnsi="Book Antiqua" w:cs="宋体"/>
                <w:i/>
                <w:iCs/>
                <w:color w:val="000000"/>
                <w:lang w:eastAsia="zh-CN"/>
              </w:rPr>
              <w:t>P</w:t>
            </w:r>
            <w:r w:rsidRPr="00890B15">
              <w:rPr>
                <w:rFonts w:ascii="Book Antiqua" w:eastAsia="等线" w:hAnsi="Book Antiqua" w:cs="宋体"/>
                <w:color w:val="000000"/>
                <w:lang w:eastAsia="zh-CN"/>
              </w:rPr>
              <w:t>&lt; 0.001). 2 There was a trend toward worsening troponin T and CK-MB in the late VP group</w:t>
            </w:r>
          </w:p>
        </w:tc>
        <w:tc>
          <w:tcPr>
            <w:tcW w:w="2763" w:type="dxa"/>
            <w:tcBorders>
              <w:top w:val="nil"/>
              <w:left w:val="nil"/>
              <w:bottom w:val="nil"/>
              <w:right w:val="nil"/>
            </w:tcBorders>
            <w:shd w:val="clear" w:color="auto" w:fill="auto"/>
            <w:vAlign w:val="center"/>
            <w:hideMark/>
          </w:tcPr>
          <w:p w14:paraId="66E581BE"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1 Early VP therapy was associated with no difference in total catecholamine requirements but decreased incidence of new-onset arrhythmias. 2 There was also a trend toward improvement in cardiac biomarkers in the early VP group</w:t>
            </w:r>
          </w:p>
        </w:tc>
      </w:tr>
      <w:tr w:rsidR="00890B15" w:rsidRPr="00890B15" w14:paraId="695087C2" w14:textId="77777777" w:rsidTr="00890B15">
        <w:trPr>
          <w:trHeight w:val="683"/>
        </w:trPr>
        <w:tc>
          <w:tcPr>
            <w:tcW w:w="523" w:type="dxa"/>
            <w:tcBorders>
              <w:top w:val="nil"/>
              <w:left w:val="nil"/>
              <w:bottom w:val="nil"/>
              <w:right w:val="nil"/>
            </w:tcBorders>
            <w:shd w:val="clear" w:color="auto" w:fill="auto"/>
            <w:vAlign w:val="center"/>
            <w:hideMark/>
          </w:tcPr>
          <w:p w14:paraId="16C30C54"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2</w:t>
            </w:r>
          </w:p>
        </w:tc>
        <w:tc>
          <w:tcPr>
            <w:tcW w:w="1466" w:type="dxa"/>
            <w:tcBorders>
              <w:top w:val="nil"/>
              <w:left w:val="nil"/>
              <w:bottom w:val="nil"/>
              <w:right w:val="nil"/>
            </w:tcBorders>
            <w:shd w:val="clear" w:color="auto" w:fill="auto"/>
            <w:vAlign w:val="center"/>
            <w:hideMark/>
          </w:tcPr>
          <w:p w14:paraId="53BCAD42"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Hammond</w:t>
            </w:r>
            <w:r w:rsidRPr="00890B15">
              <w:rPr>
                <w:rFonts w:ascii="Book Antiqua" w:eastAsia="等线" w:hAnsi="Book Antiqua" w:cs="宋体"/>
                <w:i/>
                <w:iCs/>
                <w:color w:val="000000"/>
                <w:lang w:eastAsia="zh-CN"/>
              </w:rPr>
              <w:t xml:space="preserve"> et al</w:t>
            </w:r>
            <w:r w:rsidRPr="00890B15">
              <w:rPr>
                <w:rFonts w:ascii="Book Antiqua" w:eastAsia="等线" w:hAnsi="Book Antiqua" w:cs="宋体"/>
                <w:color w:val="000000"/>
                <w:vertAlign w:val="superscript"/>
                <w:lang w:eastAsia="zh-CN"/>
              </w:rPr>
              <w:t>[11]</w:t>
            </w:r>
            <w:r w:rsidRPr="00890B15">
              <w:rPr>
                <w:rFonts w:ascii="Book Antiqua" w:eastAsia="等线" w:hAnsi="Book Antiqua" w:cs="宋体"/>
                <w:color w:val="000000"/>
                <w:lang w:eastAsia="zh-CN"/>
              </w:rPr>
              <w:t xml:space="preserve">, 2018, </w:t>
            </w:r>
          </w:p>
        </w:tc>
        <w:tc>
          <w:tcPr>
            <w:tcW w:w="1473" w:type="dxa"/>
            <w:tcBorders>
              <w:top w:val="nil"/>
              <w:left w:val="nil"/>
              <w:bottom w:val="nil"/>
              <w:right w:val="nil"/>
            </w:tcBorders>
            <w:shd w:val="clear" w:color="auto" w:fill="auto"/>
            <w:vAlign w:val="center"/>
            <w:hideMark/>
          </w:tcPr>
          <w:p w14:paraId="084FA668"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United States</w:t>
            </w:r>
          </w:p>
        </w:tc>
        <w:tc>
          <w:tcPr>
            <w:tcW w:w="1631" w:type="dxa"/>
            <w:tcBorders>
              <w:top w:val="nil"/>
              <w:left w:val="nil"/>
              <w:bottom w:val="nil"/>
              <w:right w:val="nil"/>
            </w:tcBorders>
            <w:shd w:val="clear" w:color="auto" w:fill="auto"/>
            <w:vAlign w:val="center"/>
            <w:hideMark/>
          </w:tcPr>
          <w:p w14:paraId="72AF86B2"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Single center, prospective trial Nov. 2015-Jun. 2016</w:t>
            </w:r>
          </w:p>
        </w:tc>
        <w:tc>
          <w:tcPr>
            <w:tcW w:w="1505" w:type="dxa"/>
            <w:tcBorders>
              <w:top w:val="nil"/>
              <w:left w:val="nil"/>
              <w:bottom w:val="nil"/>
              <w:right w:val="nil"/>
            </w:tcBorders>
            <w:shd w:val="clear" w:color="auto" w:fill="auto"/>
            <w:vAlign w:val="center"/>
            <w:hideMark/>
          </w:tcPr>
          <w:p w14:paraId="52CF4D3B"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82, 41 (VP)/41 (NE)</w:t>
            </w:r>
          </w:p>
        </w:tc>
        <w:tc>
          <w:tcPr>
            <w:tcW w:w="814" w:type="dxa"/>
            <w:tcBorders>
              <w:top w:val="nil"/>
              <w:left w:val="nil"/>
              <w:bottom w:val="nil"/>
              <w:right w:val="nil"/>
            </w:tcBorders>
            <w:shd w:val="clear" w:color="auto" w:fill="auto"/>
            <w:vAlign w:val="center"/>
            <w:hideMark/>
          </w:tcPr>
          <w:p w14:paraId="75D29FEE"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VP</w:t>
            </w:r>
          </w:p>
        </w:tc>
        <w:tc>
          <w:tcPr>
            <w:tcW w:w="1454" w:type="dxa"/>
            <w:tcBorders>
              <w:top w:val="nil"/>
              <w:left w:val="nil"/>
              <w:bottom w:val="nil"/>
              <w:right w:val="nil"/>
            </w:tcBorders>
            <w:shd w:val="clear" w:color="auto" w:fill="auto"/>
            <w:vAlign w:val="center"/>
            <w:hideMark/>
          </w:tcPr>
          <w:p w14:paraId="2C4E62F3"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NE initiation</w:t>
            </w:r>
          </w:p>
        </w:tc>
        <w:tc>
          <w:tcPr>
            <w:tcW w:w="1907" w:type="dxa"/>
            <w:tcBorders>
              <w:top w:val="nil"/>
              <w:left w:val="nil"/>
              <w:bottom w:val="nil"/>
              <w:right w:val="nil"/>
            </w:tcBorders>
            <w:shd w:val="clear" w:color="auto" w:fill="auto"/>
            <w:vAlign w:val="center"/>
            <w:hideMark/>
          </w:tcPr>
          <w:p w14:paraId="5636D6E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VP was initiated within 4 h of NE</w:t>
            </w:r>
          </w:p>
        </w:tc>
        <w:tc>
          <w:tcPr>
            <w:tcW w:w="1690" w:type="dxa"/>
            <w:tcBorders>
              <w:top w:val="nil"/>
              <w:left w:val="nil"/>
              <w:bottom w:val="nil"/>
              <w:right w:val="nil"/>
            </w:tcBorders>
            <w:shd w:val="clear" w:color="auto" w:fill="auto"/>
            <w:vAlign w:val="center"/>
            <w:hideMark/>
          </w:tcPr>
          <w:p w14:paraId="10E002FD"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Time to target MAP</w:t>
            </w:r>
          </w:p>
        </w:tc>
        <w:tc>
          <w:tcPr>
            <w:tcW w:w="2428" w:type="dxa"/>
            <w:tcBorders>
              <w:top w:val="nil"/>
              <w:left w:val="nil"/>
              <w:bottom w:val="nil"/>
              <w:right w:val="nil"/>
            </w:tcBorders>
            <w:shd w:val="clear" w:color="auto" w:fill="auto"/>
            <w:vAlign w:val="center"/>
            <w:hideMark/>
          </w:tcPr>
          <w:p w14:paraId="7CDF62E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Early VP to NE achieved target MAP faster than those receiving initial NE alone (</w:t>
            </w:r>
            <w:r w:rsidRPr="00890B15">
              <w:rPr>
                <w:rFonts w:ascii="Book Antiqua" w:eastAsia="等线" w:hAnsi="Book Antiqua" w:cs="宋体"/>
                <w:i/>
                <w:iCs/>
                <w:color w:val="000000"/>
                <w:lang w:eastAsia="zh-CN"/>
              </w:rPr>
              <w:t>P</w:t>
            </w:r>
            <w:r w:rsidRPr="00890B15">
              <w:rPr>
                <w:rFonts w:ascii="Book Antiqua" w:eastAsia="等线" w:hAnsi="Book Antiqua" w:cs="宋体"/>
                <w:color w:val="000000"/>
                <w:lang w:eastAsia="zh-CN"/>
              </w:rPr>
              <w:t xml:space="preserve"> = 0.058)</w:t>
            </w:r>
          </w:p>
        </w:tc>
        <w:tc>
          <w:tcPr>
            <w:tcW w:w="3210" w:type="dxa"/>
            <w:tcBorders>
              <w:top w:val="nil"/>
              <w:left w:val="nil"/>
              <w:bottom w:val="nil"/>
              <w:right w:val="nil"/>
            </w:tcBorders>
            <w:shd w:val="clear" w:color="auto" w:fill="auto"/>
            <w:vAlign w:val="center"/>
            <w:hideMark/>
          </w:tcPr>
          <w:p w14:paraId="20E2EEB9"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w:t>
            </w:r>
          </w:p>
        </w:tc>
        <w:tc>
          <w:tcPr>
            <w:tcW w:w="2763" w:type="dxa"/>
            <w:tcBorders>
              <w:top w:val="nil"/>
              <w:left w:val="nil"/>
              <w:bottom w:val="nil"/>
              <w:right w:val="nil"/>
            </w:tcBorders>
            <w:shd w:val="clear" w:color="auto" w:fill="auto"/>
            <w:vAlign w:val="center"/>
            <w:hideMark/>
          </w:tcPr>
          <w:p w14:paraId="3CECF3C4"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Early concomitant VP and NE achieved and maintained a target MAP faster than initial NE alone, particularly in those in whom absolute or relative VP deficiency is suspected or confirmed</w:t>
            </w:r>
          </w:p>
        </w:tc>
      </w:tr>
      <w:tr w:rsidR="00890B15" w:rsidRPr="00890B15" w14:paraId="72A8947C" w14:textId="77777777" w:rsidTr="00890B15">
        <w:trPr>
          <w:trHeight w:val="630"/>
        </w:trPr>
        <w:tc>
          <w:tcPr>
            <w:tcW w:w="523" w:type="dxa"/>
            <w:vMerge w:val="restart"/>
            <w:tcBorders>
              <w:top w:val="nil"/>
              <w:left w:val="nil"/>
              <w:bottom w:val="nil"/>
              <w:right w:val="nil"/>
            </w:tcBorders>
            <w:shd w:val="clear" w:color="auto" w:fill="auto"/>
            <w:vAlign w:val="center"/>
            <w:hideMark/>
          </w:tcPr>
          <w:p w14:paraId="51750A59"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lastRenderedPageBreak/>
              <w:t>3</w:t>
            </w:r>
          </w:p>
        </w:tc>
        <w:tc>
          <w:tcPr>
            <w:tcW w:w="1466" w:type="dxa"/>
            <w:vMerge w:val="restart"/>
            <w:tcBorders>
              <w:top w:val="nil"/>
              <w:left w:val="nil"/>
              <w:bottom w:val="nil"/>
              <w:right w:val="nil"/>
            </w:tcBorders>
            <w:shd w:val="clear" w:color="auto" w:fill="auto"/>
            <w:vAlign w:val="center"/>
            <w:hideMark/>
          </w:tcPr>
          <w:p w14:paraId="121ACF41"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Hammond</w:t>
            </w:r>
            <w:r w:rsidRPr="00890B15">
              <w:rPr>
                <w:rFonts w:ascii="Book Antiqua" w:eastAsia="等线" w:hAnsi="Book Antiqua" w:cs="宋体"/>
                <w:i/>
                <w:iCs/>
                <w:color w:val="000000"/>
                <w:lang w:eastAsia="zh-CN"/>
              </w:rPr>
              <w:t xml:space="preserve"> et al</w:t>
            </w:r>
            <w:r w:rsidRPr="00890B15">
              <w:rPr>
                <w:rFonts w:ascii="Book Antiqua" w:eastAsia="等线" w:hAnsi="Book Antiqua" w:cs="宋体"/>
                <w:color w:val="000000"/>
                <w:vertAlign w:val="superscript"/>
                <w:lang w:eastAsia="zh-CN"/>
              </w:rPr>
              <w:t>[13]</w:t>
            </w:r>
            <w:r w:rsidRPr="00890B15">
              <w:rPr>
                <w:rFonts w:ascii="Book Antiqua" w:eastAsia="等线" w:hAnsi="Book Antiqua" w:cs="宋体"/>
                <w:color w:val="000000"/>
                <w:lang w:eastAsia="zh-CN"/>
              </w:rPr>
              <w:t xml:space="preserve">, 2019, </w:t>
            </w:r>
          </w:p>
        </w:tc>
        <w:tc>
          <w:tcPr>
            <w:tcW w:w="1473" w:type="dxa"/>
            <w:vMerge w:val="restart"/>
            <w:tcBorders>
              <w:top w:val="nil"/>
              <w:left w:val="nil"/>
              <w:bottom w:val="nil"/>
              <w:right w:val="nil"/>
            </w:tcBorders>
            <w:shd w:val="clear" w:color="auto" w:fill="auto"/>
            <w:vAlign w:val="center"/>
            <w:hideMark/>
          </w:tcPr>
          <w:p w14:paraId="298D98B4"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United States</w:t>
            </w:r>
          </w:p>
        </w:tc>
        <w:tc>
          <w:tcPr>
            <w:tcW w:w="1631" w:type="dxa"/>
            <w:tcBorders>
              <w:top w:val="nil"/>
              <w:left w:val="nil"/>
              <w:bottom w:val="nil"/>
              <w:right w:val="nil"/>
            </w:tcBorders>
            <w:shd w:val="clear" w:color="auto" w:fill="auto"/>
            <w:vAlign w:val="center"/>
            <w:hideMark/>
          </w:tcPr>
          <w:p w14:paraId="3827EBB0"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Single center, retrospective cohort study</w:t>
            </w:r>
          </w:p>
        </w:tc>
        <w:tc>
          <w:tcPr>
            <w:tcW w:w="1505" w:type="dxa"/>
            <w:vMerge w:val="restart"/>
            <w:tcBorders>
              <w:top w:val="nil"/>
              <w:left w:val="nil"/>
              <w:bottom w:val="nil"/>
              <w:right w:val="nil"/>
            </w:tcBorders>
            <w:shd w:val="clear" w:color="auto" w:fill="auto"/>
            <w:vAlign w:val="center"/>
            <w:hideMark/>
          </w:tcPr>
          <w:p w14:paraId="6E897E8D"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93, 48 (VP)/48 (NE)</w:t>
            </w:r>
          </w:p>
        </w:tc>
        <w:tc>
          <w:tcPr>
            <w:tcW w:w="814" w:type="dxa"/>
            <w:vMerge w:val="restart"/>
            <w:tcBorders>
              <w:top w:val="nil"/>
              <w:left w:val="nil"/>
              <w:bottom w:val="nil"/>
              <w:right w:val="nil"/>
            </w:tcBorders>
            <w:shd w:val="clear" w:color="auto" w:fill="auto"/>
            <w:vAlign w:val="center"/>
            <w:hideMark/>
          </w:tcPr>
          <w:p w14:paraId="2BC8C93B"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VP</w:t>
            </w:r>
          </w:p>
        </w:tc>
        <w:tc>
          <w:tcPr>
            <w:tcW w:w="1454" w:type="dxa"/>
            <w:vMerge w:val="restart"/>
            <w:tcBorders>
              <w:top w:val="nil"/>
              <w:left w:val="nil"/>
              <w:bottom w:val="nil"/>
              <w:right w:val="nil"/>
            </w:tcBorders>
            <w:shd w:val="clear" w:color="auto" w:fill="auto"/>
            <w:vAlign w:val="center"/>
            <w:hideMark/>
          </w:tcPr>
          <w:p w14:paraId="50DCA663"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NE initiation</w:t>
            </w:r>
          </w:p>
        </w:tc>
        <w:tc>
          <w:tcPr>
            <w:tcW w:w="1907" w:type="dxa"/>
            <w:vMerge w:val="restart"/>
            <w:tcBorders>
              <w:top w:val="nil"/>
              <w:left w:val="nil"/>
              <w:bottom w:val="nil"/>
              <w:right w:val="nil"/>
            </w:tcBorders>
            <w:shd w:val="clear" w:color="auto" w:fill="auto"/>
            <w:vAlign w:val="center"/>
            <w:hideMark/>
          </w:tcPr>
          <w:p w14:paraId="3BE80885"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VP was initiated within 4 h of NE</w:t>
            </w:r>
          </w:p>
        </w:tc>
        <w:tc>
          <w:tcPr>
            <w:tcW w:w="1690" w:type="dxa"/>
            <w:vMerge w:val="restart"/>
            <w:tcBorders>
              <w:top w:val="nil"/>
              <w:left w:val="nil"/>
              <w:bottom w:val="nil"/>
              <w:right w:val="nil"/>
            </w:tcBorders>
            <w:shd w:val="clear" w:color="auto" w:fill="auto"/>
            <w:vAlign w:val="center"/>
            <w:hideMark/>
          </w:tcPr>
          <w:p w14:paraId="4F9BA703"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Time to target MAP</w:t>
            </w:r>
          </w:p>
        </w:tc>
        <w:tc>
          <w:tcPr>
            <w:tcW w:w="2428" w:type="dxa"/>
            <w:vMerge w:val="restart"/>
            <w:tcBorders>
              <w:top w:val="nil"/>
              <w:left w:val="nil"/>
              <w:bottom w:val="nil"/>
              <w:right w:val="nil"/>
            </w:tcBorders>
            <w:shd w:val="clear" w:color="auto" w:fill="auto"/>
            <w:vAlign w:val="center"/>
            <w:hideMark/>
          </w:tcPr>
          <w:p w14:paraId="21630FF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Early VP to NE achieved target MAP sooner than later or no initiation (</w:t>
            </w:r>
            <w:r w:rsidRPr="00890B15">
              <w:rPr>
                <w:rFonts w:ascii="Book Antiqua" w:eastAsia="等线" w:hAnsi="Book Antiqua" w:cs="宋体"/>
                <w:i/>
                <w:iCs/>
                <w:color w:val="000000"/>
                <w:lang w:eastAsia="zh-CN"/>
              </w:rPr>
              <w:t>P</w:t>
            </w:r>
            <w:r w:rsidRPr="00890B15">
              <w:rPr>
                <w:rFonts w:ascii="Book Antiqua" w:eastAsia="等线" w:hAnsi="Book Antiqua" w:cs="宋体"/>
                <w:color w:val="000000"/>
                <w:lang w:eastAsia="zh-CN"/>
              </w:rPr>
              <w:t>= 0.023)</w:t>
            </w:r>
          </w:p>
        </w:tc>
        <w:tc>
          <w:tcPr>
            <w:tcW w:w="3210" w:type="dxa"/>
            <w:vMerge w:val="restart"/>
            <w:tcBorders>
              <w:top w:val="nil"/>
              <w:left w:val="nil"/>
              <w:bottom w:val="nil"/>
              <w:right w:val="nil"/>
            </w:tcBorders>
            <w:shd w:val="clear" w:color="auto" w:fill="auto"/>
            <w:vAlign w:val="center"/>
            <w:hideMark/>
          </w:tcPr>
          <w:p w14:paraId="7068ED9E"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1 Changes in SOFA at 76 h since septic shock onset, the early VP saw a significant decrease of 4 compared to a decrease of 1 for NE alone (</w:t>
            </w:r>
            <w:r w:rsidRPr="00890B15">
              <w:rPr>
                <w:rFonts w:ascii="Book Antiqua" w:eastAsia="等线" w:hAnsi="Book Antiqua" w:cs="宋体"/>
                <w:i/>
                <w:iCs/>
                <w:color w:val="000000"/>
                <w:lang w:eastAsia="zh-CN"/>
              </w:rPr>
              <w:t>P</w:t>
            </w:r>
            <w:r w:rsidRPr="00890B15">
              <w:rPr>
                <w:rFonts w:ascii="Book Antiqua" w:eastAsia="等线" w:hAnsi="Book Antiqua" w:cs="宋体"/>
                <w:color w:val="000000"/>
                <w:lang w:eastAsia="zh-CN"/>
              </w:rPr>
              <w:t xml:space="preserve"> = 0.012). 2 Early VP were discharged from the hospital 10 d sooner than those in the NE alone (14.3 </w:t>
            </w:r>
            <w:r w:rsidRPr="00890B15">
              <w:rPr>
                <w:rFonts w:ascii="Book Antiqua" w:eastAsia="等线" w:hAnsi="Book Antiqua" w:cs="宋体"/>
                <w:i/>
                <w:iCs/>
                <w:color w:val="000000"/>
                <w:lang w:eastAsia="zh-CN"/>
              </w:rPr>
              <w:t>vs</w:t>
            </w:r>
            <w:r w:rsidRPr="00890B15">
              <w:rPr>
                <w:rFonts w:ascii="Book Antiqua" w:eastAsia="等线" w:hAnsi="Book Antiqua" w:cs="宋体"/>
                <w:color w:val="000000"/>
                <w:lang w:eastAsia="zh-CN"/>
              </w:rPr>
              <w:t xml:space="preserve"> 25.2 d, </w:t>
            </w:r>
            <w:r w:rsidRPr="00890B15">
              <w:rPr>
                <w:rFonts w:ascii="Book Antiqua" w:eastAsia="等线" w:hAnsi="Book Antiqua" w:cs="宋体"/>
                <w:i/>
                <w:iCs/>
                <w:color w:val="000000"/>
                <w:lang w:eastAsia="zh-CN"/>
              </w:rPr>
              <w:t>P</w:t>
            </w:r>
            <w:r w:rsidRPr="00890B15">
              <w:rPr>
                <w:rFonts w:ascii="Book Antiqua" w:eastAsia="等线" w:hAnsi="Book Antiqua" w:cs="宋体"/>
                <w:color w:val="000000"/>
                <w:lang w:eastAsia="zh-CN"/>
              </w:rPr>
              <w:t xml:space="preserve"> = 0.014). 3 Incidence and duration of RRT were comparable between groups (17% </w:t>
            </w:r>
            <w:r w:rsidRPr="00890B15">
              <w:rPr>
                <w:rFonts w:ascii="Book Antiqua" w:eastAsia="等线" w:hAnsi="Book Antiqua" w:cs="宋体"/>
                <w:i/>
                <w:iCs/>
                <w:color w:val="000000"/>
                <w:lang w:eastAsia="zh-CN"/>
              </w:rPr>
              <w:t>vs</w:t>
            </w:r>
            <w:r w:rsidRPr="00890B15">
              <w:rPr>
                <w:rFonts w:ascii="Book Antiqua" w:eastAsia="等线" w:hAnsi="Book Antiqua" w:cs="宋体"/>
                <w:color w:val="000000"/>
                <w:lang w:eastAsia="zh-CN"/>
              </w:rPr>
              <w:t xml:space="preserve"> 25% and 6.7 </w:t>
            </w:r>
            <w:r w:rsidRPr="00890B15">
              <w:rPr>
                <w:rFonts w:ascii="Book Antiqua" w:eastAsia="等线" w:hAnsi="Book Antiqua" w:cs="宋体"/>
                <w:i/>
                <w:iCs/>
                <w:color w:val="000000"/>
                <w:lang w:eastAsia="zh-CN"/>
              </w:rPr>
              <w:t>vs</w:t>
            </w:r>
            <w:r w:rsidRPr="00890B15">
              <w:rPr>
                <w:rFonts w:ascii="Book Antiqua" w:eastAsia="等线" w:hAnsi="Book Antiqua" w:cs="宋体"/>
                <w:color w:val="000000"/>
                <w:lang w:eastAsia="zh-CN"/>
              </w:rPr>
              <w:t xml:space="preserve"> 11.2 d, respectively)</w:t>
            </w:r>
          </w:p>
        </w:tc>
        <w:tc>
          <w:tcPr>
            <w:tcW w:w="2763" w:type="dxa"/>
            <w:vMerge w:val="restart"/>
            <w:tcBorders>
              <w:top w:val="nil"/>
              <w:left w:val="nil"/>
              <w:bottom w:val="nil"/>
              <w:right w:val="nil"/>
            </w:tcBorders>
            <w:shd w:val="clear" w:color="auto" w:fill="auto"/>
            <w:vAlign w:val="center"/>
            <w:hideMark/>
          </w:tcPr>
          <w:p w14:paraId="0470B3A6"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Early VP in combination with NE achieved a target MAP faster than the NE alone and may be more likely to resolve organ dysfunction at 72 h, although the in-hospital and 28-d mortalities were similar between groups, patients who survived benefited from earlier achievement and maintenance of goal MAP</w:t>
            </w:r>
          </w:p>
        </w:tc>
      </w:tr>
      <w:tr w:rsidR="00890B15" w:rsidRPr="00890B15" w14:paraId="3B81CD98" w14:textId="77777777" w:rsidTr="00890B15">
        <w:trPr>
          <w:trHeight w:val="315"/>
        </w:trPr>
        <w:tc>
          <w:tcPr>
            <w:tcW w:w="523" w:type="dxa"/>
            <w:vMerge/>
            <w:tcBorders>
              <w:top w:val="nil"/>
              <w:left w:val="nil"/>
              <w:bottom w:val="nil"/>
              <w:right w:val="nil"/>
            </w:tcBorders>
            <w:vAlign w:val="center"/>
            <w:hideMark/>
          </w:tcPr>
          <w:p w14:paraId="48554731" w14:textId="77777777" w:rsidR="00890B15" w:rsidRPr="00890B15" w:rsidRDefault="00890B15" w:rsidP="00890B15">
            <w:pPr>
              <w:rPr>
                <w:rFonts w:ascii="Book Antiqua" w:eastAsia="等线" w:hAnsi="Book Antiqua" w:cs="宋体"/>
                <w:color w:val="000000"/>
                <w:lang w:eastAsia="zh-CN"/>
              </w:rPr>
            </w:pPr>
          </w:p>
        </w:tc>
        <w:tc>
          <w:tcPr>
            <w:tcW w:w="1466" w:type="dxa"/>
            <w:vMerge/>
            <w:tcBorders>
              <w:top w:val="nil"/>
              <w:left w:val="nil"/>
              <w:bottom w:val="nil"/>
              <w:right w:val="nil"/>
            </w:tcBorders>
            <w:vAlign w:val="center"/>
            <w:hideMark/>
          </w:tcPr>
          <w:p w14:paraId="0A98FD3E" w14:textId="77777777" w:rsidR="00890B15" w:rsidRPr="00890B15" w:rsidRDefault="00890B15" w:rsidP="00890B15">
            <w:pPr>
              <w:rPr>
                <w:rFonts w:ascii="Book Antiqua" w:eastAsia="等线" w:hAnsi="Book Antiqua" w:cs="宋体"/>
                <w:color w:val="000000"/>
                <w:lang w:eastAsia="zh-CN"/>
              </w:rPr>
            </w:pPr>
          </w:p>
        </w:tc>
        <w:tc>
          <w:tcPr>
            <w:tcW w:w="1473" w:type="dxa"/>
            <w:vMerge/>
            <w:tcBorders>
              <w:top w:val="nil"/>
              <w:left w:val="nil"/>
              <w:bottom w:val="nil"/>
              <w:right w:val="nil"/>
            </w:tcBorders>
            <w:vAlign w:val="center"/>
            <w:hideMark/>
          </w:tcPr>
          <w:p w14:paraId="2A37F038" w14:textId="77777777" w:rsidR="00890B15" w:rsidRPr="00890B15" w:rsidRDefault="00890B15" w:rsidP="00890B15">
            <w:pPr>
              <w:rPr>
                <w:rFonts w:ascii="Book Antiqua" w:eastAsia="等线" w:hAnsi="Book Antiqua" w:cs="宋体"/>
                <w:color w:val="000000"/>
                <w:lang w:eastAsia="zh-CN"/>
              </w:rPr>
            </w:pPr>
          </w:p>
        </w:tc>
        <w:tc>
          <w:tcPr>
            <w:tcW w:w="1631" w:type="dxa"/>
            <w:tcBorders>
              <w:top w:val="nil"/>
              <w:left w:val="nil"/>
              <w:bottom w:val="nil"/>
              <w:right w:val="nil"/>
            </w:tcBorders>
            <w:shd w:val="clear" w:color="auto" w:fill="auto"/>
            <w:vAlign w:val="center"/>
            <w:hideMark/>
          </w:tcPr>
          <w:p w14:paraId="3F074CC4"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May 2014-Oct. 2015</w:t>
            </w:r>
          </w:p>
        </w:tc>
        <w:tc>
          <w:tcPr>
            <w:tcW w:w="1505" w:type="dxa"/>
            <w:vMerge/>
            <w:tcBorders>
              <w:top w:val="nil"/>
              <w:left w:val="nil"/>
              <w:bottom w:val="nil"/>
              <w:right w:val="nil"/>
            </w:tcBorders>
            <w:vAlign w:val="center"/>
            <w:hideMark/>
          </w:tcPr>
          <w:p w14:paraId="1618CC6E" w14:textId="77777777" w:rsidR="00890B15" w:rsidRPr="00890B15" w:rsidRDefault="00890B15" w:rsidP="00890B15">
            <w:pPr>
              <w:rPr>
                <w:rFonts w:ascii="Book Antiqua" w:eastAsia="等线" w:hAnsi="Book Antiqua" w:cs="宋体"/>
                <w:color w:val="000000"/>
                <w:lang w:eastAsia="zh-CN"/>
              </w:rPr>
            </w:pPr>
          </w:p>
        </w:tc>
        <w:tc>
          <w:tcPr>
            <w:tcW w:w="814" w:type="dxa"/>
            <w:vMerge/>
            <w:tcBorders>
              <w:top w:val="nil"/>
              <w:left w:val="nil"/>
              <w:bottom w:val="nil"/>
              <w:right w:val="nil"/>
            </w:tcBorders>
            <w:vAlign w:val="center"/>
            <w:hideMark/>
          </w:tcPr>
          <w:p w14:paraId="5067478A" w14:textId="77777777" w:rsidR="00890B15" w:rsidRPr="00890B15" w:rsidRDefault="00890B15" w:rsidP="00890B15">
            <w:pPr>
              <w:rPr>
                <w:rFonts w:ascii="Book Antiqua" w:eastAsia="等线" w:hAnsi="Book Antiqua" w:cs="宋体"/>
                <w:color w:val="000000"/>
                <w:lang w:eastAsia="zh-CN"/>
              </w:rPr>
            </w:pPr>
          </w:p>
        </w:tc>
        <w:tc>
          <w:tcPr>
            <w:tcW w:w="1454" w:type="dxa"/>
            <w:vMerge/>
            <w:tcBorders>
              <w:top w:val="nil"/>
              <w:left w:val="nil"/>
              <w:bottom w:val="nil"/>
              <w:right w:val="nil"/>
            </w:tcBorders>
            <w:vAlign w:val="center"/>
            <w:hideMark/>
          </w:tcPr>
          <w:p w14:paraId="25306016" w14:textId="77777777" w:rsidR="00890B15" w:rsidRPr="00890B15" w:rsidRDefault="00890B15" w:rsidP="00890B15">
            <w:pPr>
              <w:rPr>
                <w:rFonts w:ascii="Book Antiqua" w:eastAsia="等线" w:hAnsi="Book Antiqua" w:cs="宋体"/>
                <w:color w:val="000000"/>
                <w:lang w:eastAsia="zh-CN"/>
              </w:rPr>
            </w:pPr>
          </w:p>
        </w:tc>
        <w:tc>
          <w:tcPr>
            <w:tcW w:w="1907" w:type="dxa"/>
            <w:vMerge/>
            <w:tcBorders>
              <w:top w:val="nil"/>
              <w:left w:val="nil"/>
              <w:bottom w:val="nil"/>
              <w:right w:val="nil"/>
            </w:tcBorders>
            <w:vAlign w:val="center"/>
            <w:hideMark/>
          </w:tcPr>
          <w:p w14:paraId="4BE2F57F" w14:textId="77777777" w:rsidR="00890B15" w:rsidRPr="00890B15" w:rsidRDefault="00890B15" w:rsidP="00890B15">
            <w:pPr>
              <w:rPr>
                <w:rFonts w:ascii="Book Antiqua" w:eastAsia="等线" w:hAnsi="Book Antiqua" w:cs="宋体"/>
                <w:color w:val="000000"/>
                <w:lang w:eastAsia="zh-CN"/>
              </w:rPr>
            </w:pPr>
          </w:p>
        </w:tc>
        <w:tc>
          <w:tcPr>
            <w:tcW w:w="1690" w:type="dxa"/>
            <w:vMerge/>
            <w:tcBorders>
              <w:top w:val="nil"/>
              <w:left w:val="nil"/>
              <w:bottom w:val="nil"/>
              <w:right w:val="nil"/>
            </w:tcBorders>
            <w:vAlign w:val="center"/>
            <w:hideMark/>
          </w:tcPr>
          <w:p w14:paraId="5CF0EA3E" w14:textId="77777777" w:rsidR="00890B15" w:rsidRPr="00890B15" w:rsidRDefault="00890B15" w:rsidP="00890B15">
            <w:pPr>
              <w:rPr>
                <w:rFonts w:ascii="Book Antiqua" w:eastAsia="等线" w:hAnsi="Book Antiqua" w:cs="宋体"/>
                <w:color w:val="000000"/>
                <w:lang w:eastAsia="zh-CN"/>
              </w:rPr>
            </w:pPr>
          </w:p>
        </w:tc>
        <w:tc>
          <w:tcPr>
            <w:tcW w:w="2428" w:type="dxa"/>
            <w:vMerge/>
            <w:tcBorders>
              <w:top w:val="nil"/>
              <w:left w:val="nil"/>
              <w:bottom w:val="nil"/>
              <w:right w:val="nil"/>
            </w:tcBorders>
            <w:vAlign w:val="center"/>
            <w:hideMark/>
          </w:tcPr>
          <w:p w14:paraId="215735F3" w14:textId="77777777" w:rsidR="00890B15" w:rsidRPr="00890B15" w:rsidRDefault="00890B15" w:rsidP="00890B15">
            <w:pPr>
              <w:rPr>
                <w:rFonts w:ascii="Book Antiqua" w:eastAsia="等线" w:hAnsi="Book Antiqua" w:cs="宋体"/>
                <w:color w:val="000000"/>
                <w:lang w:eastAsia="zh-CN"/>
              </w:rPr>
            </w:pPr>
          </w:p>
        </w:tc>
        <w:tc>
          <w:tcPr>
            <w:tcW w:w="3210" w:type="dxa"/>
            <w:vMerge/>
            <w:tcBorders>
              <w:top w:val="nil"/>
              <w:left w:val="nil"/>
              <w:bottom w:val="nil"/>
              <w:right w:val="nil"/>
            </w:tcBorders>
            <w:vAlign w:val="center"/>
            <w:hideMark/>
          </w:tcPr>
          <w:p w14:paraId="29BD748F" w14:textId="77777777" w:rsidR="00890B15" w:rsidRPr="00890B15" w:rsidRDefault="00890B15" w:rsidP="00890B15">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42D5E26" w14:textId="77777777" w:rsidR="00890B15" w:rsidRPr="00890B15" w:rsidRDefault="00890B15" w:rsidP="00890B15">
            <w:pPr>
              <w:rPr>
                <w:rFonts w:ascii="Book Antiqua" w:eastAsia="等线" w:hAnsi="Book Antiqua" w:cs="宋体"/>
                <w:color w:val="000000"/>
                <w:lang w:eastAsia="zh-CN"/>
              </w:rPr>
            </w:pPr>
          </w:p>
        </w:tc>
      </w:tr>
      <w:tr w:rsidR="00890B15" w:rsidRPr="00890B15" w14:paraId="410FACF3" w14:textId="77777777" w:rsidTr="00890B15">
        <w:trPr>
          <w:trHeight w:val="630"/>
        </w:trPr>
        <w:tc>
          <w:tcPr>
            <w:tcW w:w="523" w:type="dxa"/>
            <w:tcBorders>
              <w:top w:val="nil"/>
              <w:left w:val="nil"/>
              <w:bottom w:val="nil"/>
              <w:right w:val="nil"/>
            </w:tcBorders>
            <w:shd w:val="clear" w:color="auto" w:fill="auto"/>
            <w:vAlign w:val="center"/>
            <w:hideMark/>
          </w:tcPr>
          <w:p w14:paraId="7DB9085F"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4</w:t>
            </w:r>
          </w:p>
        </w:tc>
        <w:tc>
          <w:tcPr>
            <w:tcW w:w="1466" w:type="dxa"/>
            <w:tcBorders>
              <w:top w:val="nil"/>
              <w:left w:val="nil"/>
              <w:bottom w:val="nil"/>
              <w:right w:val="nil"/>
            </w:tcBorders>
            <w:shd w:val="clear" w:color="auto" w:fill="auto"/>
            <w:vAlign w:val="center"/>
            <w:hideMark/>
          </w:tcPr>
          <w:p w14:paraId="3E8321A4"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Khanna</w:t>
            </w:r>
            <w:r w:rsidRPr="00890B15">
              <w:rPr>
                <w:rFonts w:ascii="Book Antiqua" w:eastAsia="等线" w:hAnsi="Book Antiqua" w:cs="宋体"/>
                <w:i/>
                <w:iCs/>
                <w:color w:val="000000"/>
                <w:lang w:eastAsia="zh-CN"/>
              </w:rPr>
              <w:t xml:space="preserve"> et al</w:t>
            </w:r>
            <w:r w:rsidRPr="00890B15">
              <w:rPr>
                <w:rFonts w:ascii="Book Antiqua" w:eastAsia="等线" w:hAnsi="Book Antiqua" w:cs="宋体"/>
                <w:color w:val="000000"/>
                <w:vertAlign w:val="superscript"/>
                <w:lang w:eastAsia="zh-CN"/>
              </w:rPr>
              <w:t>[66]</w:t>
            </w:r>
            <w:r w:rsidRPr="00890B15">
              <w:rPr>
                <w:rFonts w:ascii="Book Antiqua" w:eastAsia="等线" w:hAnsi="Book Antiqua" w:cs="宋体"/>
                <w:color w:val="000000"/>
                <w:lang w:eastAsia="zh-CN"/>
              </w:rPr>
              <w:t xml:space="preserve">, 2017, </w:t>
            </w:r>
          </w:p>
        </w:tc>
        <w:tc>
          <w:tcPr>
            <w:tcW w:w="1473" w:type="dxa"/>
            <w:tcBorders>
              <w:top w:val="nil"/>
              <w:left w:val="nil"/>
              <w:bottom w:val="nil"/>
              <w:right w:val="nil"/>
            </w:tcBorders>
            <w:shd w:val="clear" w:color="auto" w:fill="auto"/>
            <w:vAlign w:val="center"/>
            <w:hideMark/>
          </w:tcPr>
          <w:p w14:paraId="47AE779B"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International</w:t>
            </w:r>
          </w:p>
        </w:tc>
        <w:tc>
          <w:tcPr>
            <w:tcW w:w="1631" w:type="dxa"/>
            <w:tcBorders>
              <w:top w:val="nil"/>
              <w:left w:val="nil"/>
              <w:bottom w:val="nil"/>
              <w:right w:val="nil"/>
            </w:tcBorders>
            <w:shd w:val="clear" w:color="auto" w:fill="auto"/>
            <w:vAlign w:val="center"/>
            <w:hideMark/>
          </w:tcPr>
          <w:p w14:paraId="0B2F45C9"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Multicenter, RCT May. 2015-Jan 2017</w:t>
            </w:r>
          </w:p>
        </w:tc>
        <w:tc>
          <w:tcPr>
            <w:tcW w:w="1505" w:type="dxa"/>
            <w:tcBorders>
              <w:top w:val="nil"/>
              <w:left w:val="nil"/>
              <w:bottom w:val="nil"/>
              <w:right w:val="nil"/>
            </w:tcBorders>
            <w:shd w:val="clear" w:color="auto" w:fill="auto"/>
            <w:vAlign w:val="center"/>
            <w:hideMark/>
          </w:tcPr>
          <w:p w14:paraId="2F94E6A5"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321/163/158</w:t>
            </w:r>
          </w:p>
        </w:tc>
        <w:tc>
          <w:tcPr>
            <w:tcW w:w="814" w:type="dxa"/>
            <w:tcBorders>
              <w:top w:val="nil"/>
              <w:left w:val="nil"/>
              <w:bottom w:val="nil"/>
              <w:right w:val="nil"/>
            </w:tcBorders>
            <w:shd w:val="clear" w:color="auto" w:fill="auto"/>
            <w:vAlign w:val="center"/>
            <w:hideMark/>
          </w:tcPr>
          <w:p w14:paraId="7E610B60"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ATII</w:t>
            </w:r>
          </w:p>
        </w:tc>
        <w:tc>
          <w:tcPr>
            <w:tcW w:w="1454" w:type="dxa"/>
            <w:tcBorders>
              <w:top w:val="nil"/>
              <w:left w:val="nil"/>
              <w:bottom w:val="nil"/>
              <w:right w:val="nil"/>
            </w:tcBorders>
            <w:shd w:val="clear" w:color="auto" w:fill="auto"/>
            <w:vAlign w:val="center"/>
            <w:hideMark/>
          </w:tcPr>
          <w:p w14:paraId="6BFE4DFF"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NE initiation</w:t>
            </w:r>
          </w:p>
        </w:tc>
        <w:tc>
          <w:tcPr>
            <w:tcW w:w="1907" w:type="dxa"/>
            <w:tcBorders>
              <w:top w:val="nil"/>
              <w:left w:val="nil"/>
              <w:bottom w:val="nil"/>
              <w:right w:val="nil"/>
            </w:tcBorders>
            <w:shd w:val="clear" w:color="auto" w:fill="auto"/>
            <w:vAlign w:val="center"/>
            <w:hideMark/>
          </w:tcPr>
          <w:p w14:paraId="16030DAD"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&gt; 0.2 μg/kg/min of NE</w:t>
            </w:r>
          </w:p>
        </w:tc>
        <w:tc>
          <w:tcPr>
            <w:tcW w:w="1690" w:type="dxa"/>
            <w:tcBorders>
              <w:top w:val="nil"/>
              <w:left w:val="nil"/>
              <w:bottom w:val="nil"/>
              <w:right w:val="nil"/>
            </w:tcBorders>
            <w:shd w:val="clear" w:color="auto" w:fill="auto"/>
            <w:vAlign w:val="center"/>
            <w:hideMark/>
          </w:tcPr>
          <w:p w14:paraId="0E3057D4"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Response to MAP at h 3</w:t>
            </w:r>
          </w:p>
        </w:tc>
        <w:tc>
          <w:tcPr>
            <w:tcW w:w="2428" w:type="dxa"/>
            <w:tcBorders>
              <w:top w:val="nil"/>
              <w:left w:val="nil"/>
              <w:bottom w:val="nil"/>
              <w:right w:val="nil"/>
            </w:tcBorders>
            <w:shd w:val="clear" w:color="auto" w:fill="auto"/>
            <w:vAlign w:val="center"/>
            <w:hideMark/>
          </w:tcPr>
          <w:p w14:paraId="6FA61968"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 xml:space="preserve">More patients in the ATII response to MAP at 3 h (69.9% </w:t>
            </w:r>
            <w:r w:rsidRPr="00890B15">
              <w:rPr>
                <w:rFonts w:ascii="Book Antiqua" w:eastAsia="等线" w:hAnsi="Book Antiqua" w:cs="宋体"/>
                <w:i/>
                <w:iCs/>
                <w:color w:val="000000"/>
                <w:lang w:eastAsia="zh-CN"/>
              </w:rPr>
              <w:t>vs</w:t>
            </w:r>
            <w:r w:rsidRPr="00890B15">
              <w:rPr>
                <w:rFonts w:ascii="Book Antiqua" w:eastAsia="等线" w:hAnsi="Book Antiqua" w:cs="宋体"/>
                <w:color w:val="000000"/>
                <w:lang w:eastAsia="zh-CN"/>
              </w:rPr>
              <w:t xml:space="preserve"> 23.4%, </w:t>
            </w:r>
            <w:r w:rsidRPr="00890B15">
              <w:rPr>
                <w:rFonts w:ascii="Book Antiqua" w:eastAsia="等线" w:hAnsi="Book Antiqua" w:cs="宋体"/>
                <w:i/>
                <w:iCs/>
                <w:color w:val="000000"/>
                <w:lang w:eastAsia="zh-CN"/>
              </w:rPr>
              <w:t>P</w:t>
            </w:r>
            <w:r w:rsidRPr="00890B15">
              <w:rPr>
                <w:rFonts w:ascii="Book Antiqua" w:eastAsia="等线" w:hAnsi="Book Antiqua" w:cs="宋体"/>
                <w:color w:val="000000"/>
                <w:lang w:eastAsia="zh-CN"/>
              </w:rPr>
              <w:t>&lt; 0.001)</w:t>
            </w:r>
          </w:p>
        </w:tc>
        <w:tc>
          <w:tcPr>
            <w:tcW w:w="3210" w:type="dxa"/>
            <w:tcBorders>
              <w:top w:val="nil"/>
              <w:left w:val="nil"/>
              <w:bottom w:val="nil"/>
              <w:right w:val="nil"/>
            </w:tcBorders>
            <w:shd w:val="clear" w:color="auto" w:fill="auto"/>
            <w:vAlign w:val="center"/>
            <w:hideMark/>
          </w:tcPr>
          <w:p w14:paraId="5229B03A"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1 At 48 h, mean doses of background vasopressors were consistently less in the AT II group. 2 At 48 h, the mean improvement in the cardiovascular SOFA score was greater in the ATII group (</w:t>
            </w:r>
            <w:r w:rsidRPr="00890B15">
              <w:rPr>
                <w:rFonts w:ascii="Symbol" w:eastAsia="等线" w:hAnsi="Symbol" w:cs="宋体"/>
                <w:color w:val="000000"/>
                <w:lang w:eastAsia="zh-CN"/>
              </w:rPr>
              <w:t>-</w:t>
            </w:r>
            <w:r w:rsidRPr="00890B15">
              <w:rPr>
                <w:rFonts w:ascii="Book Antiqua" w:eastAsia="等线" w:hAnsi="Book Antiqua" w:cs="宋体"/>
                <w:color w:val="000000"/>
                <w:lang w:eastAsia="zh-CN"/>
              </w:rPr>
              <w:t xml:space="preserve">1.75 </w:t>
            </w:r>
            <w:r w:rsidRPr="00890B15">
              <w:rPr>
                <w:rFonts w:ascii="Book Antiqua" w:eastAsia="等线" w:hAnsi="Book Antiqua" w:cs="宋体"/>
                <w:i/>
                <w:iCs/>
                <w:color w:val="000000"/>
                <w:lang w:eastAsia="zh-CN"/>
              </w:rPr>
              <w:t>vs</w:t>
            </w:r>
            <w:r w:rsidRPr="00890B15">
              <w:rPr>
                <w:rFonts w:ascii="Symbol" w:eastAsia="等线" w:hAnsi="Symbol" w:cs="宋体"/>
                <w:color w:val="000000"/>
                <w:lang w:eastAsia="zh-CN"/>
              </w:rPr>
              <w:t>-</w:t>
            </w:r>
            <w:r w:rsidRPr="00890B15">
              <w:rPr>
                <w:rFonts w:ascii="Book Antiqua" w:eastAsia="等线" w:hAnsi="Book Antiqua" w:cs="宋体"/>
                <w:color w:val="000000"/>
                <w:lang w:eastAsia="zh-CN"/>
              </w:rPr>
              <w:t xml:space="preserve">1.28, </w:t>
            </w:r>
            <w:r w:rsidRPr="00890B15">
              <w:rPr>
                <w:rFonts w:ascii="Book Antiqua" w:eastAsia="等线" w:hAnsi="Book Antiqua" w:cs="宋体"/>
                <w:i/>
                <w:iCs/>
                <w:color w:val="000000"/>
                <w:lang w:eastAsia="zh-CN"/>
              </w:rPr>
              <w:t>P</w:t>
            </w:r>
            <w:r w:rsidRPr="00890B15">
              <w:rPr>
                <w:rFonts w:ascii="Book Antiqua" w:eastAsia="等线" w:hAnsi="Book Antiqua" w:cs="宋体"/>
                <w:color w:val="000000"/>
                <w:lang w:eastAsia="zh-CN"/>
              </w:rPr>
              <w:t xml:space="preserve"> = 0.01). 3 No difference between the two groups for serious adverse reactions. 4 No difference between the two groups for 28 d mortality</w:t>
            </w:r>
          </w:p>
        </w:tc>
        <w:tc>
          <w:tcPr>
            <w:tcW w:w="2763" w:type="dxa"/>
            <w:tcBorders>
              <w:top w:val="nil"/>
              <w:left w:val="nil"/>
              <w:bottom w:val="nil"/>
              <w:right w:val="nil"/>
            </w:tcBorders>
            <w:shd w:val="clear" w:color="auto" w:fill="auto"/>
            <w:vAlign w:val="center"/>
            <w:hideMark/>
          </w:tcPr>
          <w:p w14:paraId="245A8E3E"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1 Demonstrates the safety and efficacy of widespread clinical use of ATII. 2 ATII reduces the need for catecholamines in patients with catecholamine-resistant vasodilatory shock (CRVS), while reducing the cardiovascular injury it causes</w:t>
            </w:r>
          </w:p>
        </w:tc>
      </w:tr>
      <w:tr w:rsidR="00890B15" w:rsidRPr="00890B15" w14:paraId="5A635B0F" w14:textId="77777777" w:rsidTr="00890B15">
        <w:trPr>
          <w:trHeight w:val="315"/>
        </w:trPr>
        <w:tc>
          <w:tcPr>
            <w:tcW w:w="523" w:type="dxa"/>
            <w:vMerge w:val="restart"/>
            <w:tcBorders>
              <w:top w:val="nil"/>
              <w:left w:val="nil"/>
              <w:bottom w:val="nil"/>
              <w:right w:val="nil"/>
            </w:tcBorders>
            <w:shd w:val="clear" w:color="auto" w:fill="auto"/>
            <w:vAlign w:val="center"/>
            <w:hideMark/>
          </w:tcPr>
          <w:p w14:paraId="116ACA9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5</w:t>
            </w:r>
          </w:p>
        </w:tc>
        <w:tc>
          <w:tcPr>
            <w:tcW w:w="1466" w:type="dxa"/>
            <w:vMerge w:val="restart"/>
            <w:tcBorders>
              <w:top w:val="nil"/>
              <w:left w:val="nil"/>
              <w:bottom w:val="nil"/>
              <w:right w:val="nil"/>
            </w:tcBorders>
            <w:shd w:val="clear" w:color="auto" w:fill="auto"/>
            <w:vAlign w:val="center"/>
            <w:hideMark/>
          </w:tcPr>
          <w:p w14:paraId="48EB7E77"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Bellomo</w:t>
            </w:r>
            <w:r w:rsidRPr="00890B15">
              <w:rPr>
                <w:rFonts w:ascii="Book Antiqua" w:eastAsia="等线" w:hAnsi="Book Antiqua" w:cs="宋体"/>
                <w:i/>
                <w:iCs/>
                <w:color w:val="000000"/>
                <w:lang w:eastAsia="zh-CN"/>
              </w:rPr>
              <w:t xml:space="preserve"> et al</w:t>
            </w:r>
            <w:r w:rsidRPr="00890B15">
              <w:rPr>
                <w:rFonts w:ascii="Book Antiqua" w:eastAsia="等线" w:hAnsi="Book Antiqua" w:cs="宋体"/>
                <w:color w:val="000000"/>
                <w:vertAlign w:val="superscript"/>
                <w:lang w:eastAsia="zh-CN"/>
              </w:rPr>
              <w:t>[49]</w:t>
            </w:r>
            <w:r w:rsidRPr="00890B15">
              <w:rPr>
                <w:rFonts w:ascii="Book Antiqua" w:eastAsia="等线" w:hAnsi="Book Antiqua" w:cs="宋体"/>
                <w:color w:val="000000"/>
                <w:lang w:eastAsia="zh-CN"/>
              </w:rPr>
              <w:t>, 2020, International</w:t>
            </w:r>
          </w:p>
        </w:tc>
        <w:tc>
          <w:tcPr>
            <w:tcW w:w="1473" w:type="dxa"/>
            <w:vMerge w:val="restart"/>
            <w:tcBorders>
              <w:top w:val="nil"/>
              <w:left w:val="nil"/>
              <w:bottom w:val="nil"/>
              <w:right w:val="nil"/>
            </w:tcBorders>
            <w:shd w:val="clear" w:color="auto" w:fill="auto"/>
            <w:vAlign w:val="center"/>
            <w:hideMark/>
          </w:tcPr>
          <w:p w14:paraId="0D5F7320"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International</w:t>
            </w:r>
          </w:p>
        </w:tc>
        <w:tc>
          <w:tcPr>
            <w:tcW w:w="1631" w:type="dxa"/>
            <w:vMerge w:val="restart"/>
            <w:tcBorders>
              <w:top w:val="nil"/>
              <w:left w:val="nil"/>
              <w:bottom w:val="nil"/>
              <w:right w:val="nil"/>
            </w:tcBorders>
            <w:shd w:val="clear" w:color="auto" w:fill="auto"/>
            <w:vAlign w:val="center"/>
            <w:hideMark/>
          </w:tcPr>
          <w:p w14:paraId="21D04893"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Multicenter, Retrospective study</w:t>
            </w:r>
          </w:p>
        </w:tc>
        <w:tc>
          <w:tcPr>
            <w:tcW w:w="1505" w:type="dxa"/>
            <w:vMerge w:val="restart"/>
            <w:tcBorders>
              <w:top w:val="nil"/>
              <w:left w:val="nil"/>
              <w:bottom w:val="nil"/>
              <w:right w:val="nil"/>
            </w:tcBorders>
            <w:shd w:val="clear" w:color="auto" w:fill="auto"/>
            <w:vAlign w:val="center"/>
            <w:hideMark/>
          </w:tcPr>
          <w:p w14:paraId="4E7D00D9"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255/127 (low)/119 (high)</w:t>
            </w:r>
          </w:p>
        </w:tc>
        <w:tc>
          <w:tcPr>
            <w:tcW w:w="814" w:type="dxa"/>
            <w:vMerge w:val="restart"/>
            <w:tcBorders>
              <w:top w:val="nil"/>
              <w:left w:val="nil"/>
              <w:bottom w:val="nil"/>
              <w:right w:val="nil"/>
            </w:tcBorders>
            <w:shd w:val="clear" w:color="auto" w:fill="auto"/>
            <w:vAlign w:val="center"/>
            <w:hideMark/>
          </w:tcPr>
          <w:p w14:paraId="2C966FAE"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ATII</w:t>
            </w:r>
          </w:p>
        </w:tc>
        <w:tc>
          <w:tcPr>
            <w:tcW w:w="1454" w:type="dxa"/>
            <w:vMerge w:val="restart"/>
            <w:tcBorders>
              <w:top w:val="nil"/>
              <w:left w:val="nil"/>
              <w:bottom w:val="nil"/>
              <w:right w:val="nil"/>
            </w:tcBorders>
            <w:shd w:val="clear" w:color="auto" w:fill="auto"/>
            <w:vAlign w:val="center"/>
            <w:hideMark/>
          </w:tcPr>
          <w:p w14:paraId="224740CD"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NE initiation</w:t>
            </w:r>
          </w:p>
        </w:tc>
        <w:tc>
          <w:tcPr>
            <w:tcW w:w="1907" w:type="dxa"/>
            <w:vMerge w:val="restart"/>
            <w:tcBorders>
              <w:top w:val="nil"/>
              <w:left w:val="nil"/>
              <w:bottom w:val="nil"/>
              <w:right w:val="nil"/>
            </w:tcBorders>
            <w:shd w:val="clear" w:color="auto" w:fill="auto"/>
            <w:vAlign w:val="center"/>
            <w:hideMark/>
          </w:tcPr>
          <w:p w14:paraId="228DC31A"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&gt; 0.2 μg/kg/min of NE</w:t>
            </w:r>
          </w:p>
        </w:tc>
        <w:tc>
          <w:tcPr>
            <w:tcW w:w="1690" w:type="dxa"/>
            <w:tcBorders>
              <w:top w:val="nil"/>
              <w:left w:val="nil"/>
              <w:bottom w:val="nil"/>
              <w:right w:val="nil"/>
            </w:tcBorders>
            <w:shd w:val="clear" w:color="auto" w:fill="auto"/>
            <w:vAlign w:val="center"/>
            <w:hideMark/>
          </w:tcPr>
          <w:p w14:paraId="338292FD"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Renin kinetic changes and</w:t>
            </w:r>
          </w:p>
        </w:tc>
        <w:tc>
          <w:tcPr>
            <w:tcW w:w="2428" w:type="dxa"/>
            <w:vMerge w:val="restart"/>
            <w:tcBorders>
              <w:top w:val="nil"/>
              <w:left w:val="nil"/>
              <w:bottom w:val="nil"/>
              <w:right w:val="nil"/>
            </w:tcBorders>
            <w:shd w:val="clear" w:color="auto" w:fill="auto"/>
            <w:vAlign w:val="center"/>
            <w:hideMark/>
          </w:tcPr>
          <w:p w14:paraId="334DC5E2"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In patients with higher renin concentrations, ATII significantly reduced 28-d mortality compared with placebo (</w:t>
            </w:r>
            <w:r w:rsidRPr="00890B15">
              <w:rPr>
                <w:rFonts w:ascii="Book Antiqua" w:eastAsia="等线" w:hAnsi="Book Antiqua" w:cs="宋体"/>
                <w:i/>
                <w:iCs/>
                <w:color w:val="000000"/>
                <w:lang w:eastAsia="zh-CN"/>
              </w:rPr>
              <w:t>P</w:t>
            </w:r>
            <w:r w:rsidRPr="00890B15">
              <w:rPr>
                <w:rFonts w:ascii="Book Antiqua" w:eastAsia="等线" w:hAnsi="Book Antiqua" w:cs="宋体"/>
                <w:color w:val="000000"/>
                <w:lang w:eastAsia="zh-CN"/>
              </w:rPr>
              <w:t xml:space="preserve"> = 0.012)</w:t>
            </w:r>
          </w:p>
        </w:tc>
        <w:tc>
          <w:tcPr>
            <w:tcW w:w="3210" w:type="dxa"/>
            <w:vMerge w:val="restart"/>
            <w:tcBorders>
              <w:top w:val="nil"/>
              <w:left w:val="nil"/>
              <w:bottom w:val="nil"/>
              <w:right w:val="nil"/>
            </w:tcBorders>
            <w:shd w:val="clear" w:color="auto" w:fill="auto"/>
            <w:vAlign w:val="center"/>
            <w:hideMark/>
          </w:tcPr>
          <w:p w14:paraId="49AD3E00"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 xml:space="preserve">1 Baseline serum renin concentration was above the upper limits of normal in 194 of 255 (76%) patients with a median renin concentration of 172.7 pg/mL. 2 At 3 h after initiation of ATII therapy, there was a 54.3% reduction in </w:t>
            </w:r>
            <w:r w:rsidRPr="00890B15">
              <w:rPr>
                <w:rFonts w:ascii="Book Antiqua" w:eastAsia="等线" w:hAnsi="Book Antiqua" w:cs="宋体"/>
                <w:color w:val="000000"/>
                <w:lang w:eastAsia="zh-CN"/>
              </w:rPr>
              <w:lastRenderedPageBreak/>
              <w:t>renin compared with a 14.1% reduction with placebo (</w:t>
            </w:r>
            <w:r w:rsidRPr="00890B15">
              <w:rPr>
                <w:rFonts w:ascii="Book Antiqua" w:eastAsia="等线" w:hAnsi="Book Antiqua" w:cs="宋体"/>
                <w:i/>
                <w:iCs/>
                <w:color w:val="000000"/>
                <w:lang w:eastAsia="zh-CN"/>
              </w:rPr>
              <w:t xml:space="preserve">P </w:t>
            </w:r>
            <w:r w:rsidRPr="00890B15">
              <w:rPr>
                <w:rFonts w:ascii="Book Antiqua" w:eastAsia="等线" w:hAnsi="Book Antiqua" w:cs="宋体"/>
                <w:color w:val="000000"/>
                <w:lang w:eastAsia="zh-CN"/>
              </w:rPr>
              <w:t>&lt; 0.0001)</w:t>
            </w:r>
          </w:p>
        </w:tc>
        <w:tc>
          <w:tcPr>
            <w:tcW w:w="2763" w:type="dxa"/>
            <w:vMerge w:val="restart"/>
            <w:tcBorders>
              <w:top w:val="nil"/>
              <w:left w:val="nil"/>
              <w:bottom w:val="nil"/>
              <w:right w:val="nil"/>
            </w:tcBorders>
            <w:shd w:val="clear" w:color="auto" w:fill="auto"/>
            <w:vAlign w:val="center"/>
            <w:hideMark/>
          </w:tcPr>
          <w:p w14:paraId="16306A1B"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lastRenderedPageBreak/>
              <w:t>Serum renin concentrations are significantly higher in CRVS and may identify patients in whom early combination with ATII has a beneficial effect on clinical outcome</w:t>
            </w:r>
          </w:p>
        </w:tc>
      </w:tr>
      <w:tr w:rsidR="00890B15" w:rsidRPr="00890B15" w14:paraId="6AE9BF7A" w14:textId="77777777" w:rsidTr="00890B15">
        <w:trPr>
          <w:trHeight w:val="315"/>
        </w:trPr>
        <w:tc>
          <w:tcPr>
            <w:tcW w:w="523" w:type="dxa"/>
            <w:vMerge/>
            <w:tcBorders>
              <w:top w:val="nil"/>
              <w:left w:val="nil"/>
              <w:bottom w:val="nil"/>
              <w:right w:val="nil"/>
            </w:tcBorders>
            <w:vAlign w:val="center"/>
            <w:hideMark/>
          </w:tcPr>
          <w:p w14:paraId="30A932B4" w14:textId="77777777" w:rsidR="00890B15" w:rsidRPr="00890B15" w:rsidRDefault="00890B15" w:rsidP="00890B15">
            <w:pPr>
              <w:rPr>
                <w:rFonts w:ascii="Book Antiqua" w:eastAsia="等线" w:hAnsi="Book Antiqua" w:cs="宋体"/>
                <w:color w:val="000000"/>
                <w:lang w:eastAsia="zh-CN"/>
              </w:rPr>
            </w:pPr>
          </w:p>
        </w:tc>
        <w:tc>
          <w:tcPr>
            <w:tcW w:w="1466" w:type="dxa"/>
            <w:vMerge/>
            <w:tcBorders>
              <w:top w:val="nil"/>
              <w:left w:val="nil"/>
              <w:bottom w:val="nil"/>
              <w:right w:val="nil"/>
            </w:tcBorders>
            <w:vAlign w:val="center"/>
            <w:hideMark/>
          </w:tcPr>
          <w:p w14:paraId="660AFE94" w14:textId="77777777" w:rsidR="00890B15" w:rsidRPr="00890B15" w:rsidRDefault="00890B15" w:rsidP="00890B15">
            <w:pPr>
              <w:rPr>
                <w:rFonts w:ascii="Book Antiqua" w:eastAsia="等线" w:hAnsi="Book Antiqua" w:cs="宋体"/>
                <w:color w:val="000000"/>
                <w:lang w:eastAsia="zh-CN"/>
              </w:rPr>
            </w:pPr>
          </w:p>
        </w:tc>
        <w:tc>
          <w:tcPr>
            <w:tcW w:w="1473" w:type="dxa"/>
            <w:vMerge/>
            <w:tcBorders>
              <w:top w:val="nil"/>
              <w:left w:val="nil"/>
              <w:bottom w:val="nil"/>
              <w:right w:val="nil"/>
            </w:tcBorders>
            <w:vAlign w:val="center"/>
            <w:hideMark/>
          </w:tcPr>
          <w:p w14:paraId="4ED54FC7" w14:textId="77777777" w:rsidR="00890B15" w:rsidRPr="00890B15" w:rsidRDefault="00890B15" w:rsidP="00890B15">
            <w:pPr>
              <w:rPr>
                <w:rFonts w:ascii="Book Antiqua" w:eastAsia="等线" w:hAnsi="Book Antiqua" w:cs="宋体"/>
                <w:color w:val="000000"/>
                <w:lang w:eastAsia="zh-CN"/>
              </w:rPr>
            </w:pPr>
          </w:p>
        </w:tc>
        <w:tc>
          <w:tcPr>
            <w:tcW w:w="1631" w:type="dxa"/>
            <w:vMerge/>
            <w:tcBorders>
              <w:top w:val="nil"/>
              <w:left w:val="nil"/>
              <w:bottom w:val="nil"/>
              <w:right w:val="nil"/>
            </w:tcBorders>
            <w:vAlign w:val="center"/>
            <w:hideMark/>
          </w:tcPr>
          <w:p w14:paraId="6862613A" w14:textId="77777777" w:rsidR="00890B15" w:rsidRPr="00890B15" w:rsidRDefault="00890B15" w:rsidP="00890B15">
            <w:pPr>
              <w:rPr>
                <w:rFonts w:ascii="Book Antiqua" w:eastAsia="等线" w:hAnsi="Book Antiqua" w:cs="宋体"/>
                <w:color w:val="000000"/>
                <w:lang w:eastAsia="zh-CN"/>
              </w:rPr>
            </w:pPr>
          </w:p>
        </w:tc>
        <w:tc>
          <w:tcPr>
            <w:tcW w:w="1505" w:type="dxa"/>
            <w:vMerge/>
            <w:tcBorders>
              <w:top w:val="nil"/>
              <w:left w:val="nil"/>
              <w:bottom w:val="nil"/>
              <w:right w:val="nil"/>
            </w:tcBorders>
            <w:vAlign w:val="center"/>
            <w:hideMark/>
          </w:tcPr>
          <w:p w14:paraId="2138E968" w14:textId="77777777" w:rsidR="00890B15" w:rsidRPr="00890B15" w:rsidRDefault="00890B15" w:rsidP="00890B15">
            <w:pPr>
              <w:rPr>
                <w:rFonts w:ascii="Book Antiqua" w:eastAsia="等线" w:hAnsi="Book Antiqua" w:cs="宋体"/>
                <w:color w:val="000000"/>
                <w:lang w:eastAsia="zh-CN"/>
              </w:rPr>
            </w:pPr>
          </w:p>
        </w:tc>
        <w:tc>
          <w:tcPr>
            <w:tcW w:w="814" w:type="dxa"/>
            <w:vMerge/>
            <w:tcBorders>
              <w:top w:val="nil"/>
              <w:left w:val="nil"/>
              <w:bottom w:val="nil"/>
              <w:right w:val="nil"/>
            </w:tcBorders>
            <w:vAlign w:val="center"/>
            <w:hideMark/>
          </w:tcPr>
          <w:p w14:paraId="1F5EED83" w14:textId="77777777" w:rsidR="00890B15" w:rsidRPr="00890B15" w:rsidRDefault="00890B15" w:rsidP="00890B15">
            <w:pPr>
              <w:rPr>
                <w:rFonts w:ascii="Book Antiqua" w:eastAsia="等线" w:hAnsi="Book Antiqua" w:cs="宋体"/>
                <w:color w:val="000000"/>
                <w:lang w:eastAsia="zh-CN"/>
              </w:rPr>
            </w:pPr>
          </w:p>
        </w:tc>
        <w:tc>
          <w:tcPr>
            <w:tcW w:w="1454" w:type="dxa"/>
            <w:vMerge/>
            <w:tcBorders>
              <w:top w:val="nil"/>
              <w:left w:val="nil"/>
              <w:bottom w:val="nil"/>
              <w:right w:val="nil"/>
            </w:tcBorders>
            <w:vAlign w:val="center"/>
            <w:hideMark/>
          </w:tcPr>
          <w:p w14:paraId="17CA6CF2" w14:textId="77777777" w:rsidR="00890B15" w:rsidRPr="00890B15" w:rsidRDefault="00890B15" w:rsidP="00890B15">
            <w:pPr>
              <w:rPr>
                <w:rFonts w:ascii="Book Antiqua" w:eastAsia="等线" w:hAnsi="Book Antiqua" w:cs="宋体"/>
                <w:color w:val="000000"/>
                <w:lang w:eastAsia="zh-CN"/>
              </w:rPr>
            </w:pPr>
          </w:p>
        </w:tc>
        <w:tc>
          <w:tcPr>
            <w:tcW w:w="1907" w:type="dxa"/>
            <w:vMerge/>
            <w:tcBorders>
              <w:top w:val="nil"/>
              <w:left w:val="nil"/>
              <w:bottom w:val="nil"/>
              <w:right w:val="nil"/>
            </w:tcBorders>
            <w:vAlign w:val="center"/>
            <w:hideMark/>
          </w:tcPr>
          <w:p w14:paraId="4BC235CA" w14:textId="77777777" w:rsidR="00890B15" w:rsidRPr="00890B15" w:rsidRDefault="00890B15" w:rsidP="00890B15">
            <w:pPr>
              <w:rPr>
                <w:rFonts w:ascii="Book Antiqua" w:eastAsia="等线" w:hAnsi="Book Antiqua" w:cs="宋体"/>
                <w:color w:val="000000"/>
                <w:lang w:eastAsia="zh-CN"/>
              </w:rPr>
            </w:pPr>
          </w:p>
        </w:tc>
        <w:tc>
          <w:tcPr>
            <w:tcW w:w="1690" w:type="dxa"/>
            <w:tcBorders>
              <w:top w:val="nil"/>
              <w:left w:val="nil"/>
              <w:bottom w:val="nil"/>
              <w:right w:val="nil"/>
            </w:tcBorders>
            <w:shd w:val="clear" w:color="auto" w:fill="auto"/>
            <w:vAlign w:val="center"/>
            <w:hideMark/>
          </w:tcPr>
          <w:p w14:paraId="749650D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their prognostic value in CRVS</w:t>
            </w:r>
          </w:p>
        </w:tc>
        <w:tc>
          <w:tcPr>
            <w:tcW w:w="2428" w:type="dxa"/>
            <w:vMerge/>
            <w:tcBorders>
              <w:top w:val="nil"/>
              <w:left w:val="nil"/>
              <w:bottom w:val="nil"/>
              <w:right w:val="nil"/>
            </w:tcBorders>
            <w:vAlign w:val="center"/>
            <w:hideMark/>
          </w:tcPr>
          <w:p w14:paraId="45A8F6E4" w14:textId="77777777" w:rsidR="00890B15" w:rsidRPr="00890B15" w:rsidRDefault="00890B15" w:rsidP="00890B15">
            <w:pPr>
              <w:rPr>
                <w:rFonts w:ascii="Book Antiqua" w:eastAsia="等线" w:hAnsi="Book Antiqua" w:cs="宋体"/>
                <w:color w:val="000000"/>
                <w:lang w:eastAsia="zh-CN"/>
              </w:rPr>
            </w:pPr>
          </w:p>
        </w:tc>
        <w:tc>
          <w:tcPr>
            <w:tcW w:w="3210" w:type="dxa"/>
            <w:vMerge/>
            <w:tcBorders>
              <w:top w:val="nil"/>
              <w:left w:val="nil"/>
              <w:bottom w:val="nil"/>
              <w:right w:val="nil"/>
            </w:tcBorders>
            <w:vAlign w:val="center"/>
            <w:hideMark/>
          </w:tcPr>
          <w:p w14:paraId="7E14631D" w14:textId="77777777" w:rsidR="00890B15" w:rsidRPr="00890B15" w:rsidRDefault="00890B15" w:rsidP="00890B15">
            <w:pPr>
              <w:rPr>
                <w:rFonts w:ascii="Book Antiqua" w:eastAsia="等线" w:hAnsi="Book Antiqua" w:cs="宋体"/>
                <w:color w:val="000000"/>
                <w:lang w:eastAsia="zh-CN"/>
              </w:rPr>
            </w:pPr>
          </w:p>
        </w:tc>
        <w:tc>
          <w:tcPr>
            <w:tcW w:w="2763" w:type="dxa"/>
            <w:vMerge/>
            <w:tcBorders>
              <w:top w:val="nil"/>
              <w:left w:val="nil"/>
              <w:bottom w:val="nil"/>
              <w:right w:val="nil"/>
            </w:tcBorders>
            <w:vAlign w:val="center"/>
            <w:hideMark/>
          </w:tcPr>
          <w:p w14:paraId="6F2B4B04" w14:textId="77777777" w:rsidR="00890B15" w:rsidRPr="00890B15" w:rsidRDefault="00890B15" w:rsidP="00890B15">
            <w:pPr>
              <w:rPr>
                <w:rFonts w:ascii="Book Antiqua" w:eastAsia="等线" w:hAnsi="Book Antiqua" w:cs="宋体"/>
                <w:color w:val="000000"/>
                <w:lang w:eastAsia="zh-CN"/>
              </w:rPr>
            </w:pPr>
          </w:p>
        </w:tc>
      </w:tr>
      <w:tr w:rsidR="00890B15" w:rsidRPr="00890B15" w14:paraId="0FFB4682" w14:textId="77777777" w:rsidTr="00890B15">
        <w:trPr>
          <w:trHeight w:val="953"/>
        </w:trPr>
        <w:tc>
          <w:tcPr>
            <w:tcW w:w="523" w:type="dxa"/>
            <w:tcBorders>
              <w:top w:val="nil"/>
              <w:left w:val="nil"/>
              <w:bottom w:val="single" w:sz="8" w:space="0" w:color="auto"/>
              <w:right w:val="nil"/>
            </w:tcBorders>
            <w:shd w:val="clear" w:color="auto" w:fill="auto"/>
            <w:vAlign w:val="center"/>
            <w:hideMark/>
          </w:tcPr>
          <w:p w14:paraId="2463A23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Sum</w:t>
            </w:r>
          </w:p>
        </w:tc>
        <w:tc>
          <w:tcPr>
            <w:tcW w:w="1466" w:type="dxa"/>
            <w:tcBorders>
              <w:top w:val="nil"/>
              <w:left w:val="nil"/>
              <w:bottom w:val="single" w:sz="8" w:space="0" w:color="auto"/>
              <w:right w:val="nil"/>
            </w:tcBorders>
            <w:shd w:val="clear" w:color="auto" w:fill="auto"/>
            <w:vAlign w:val="center"/>
            <w:hideMark/>
          </w:tcPr>
          <w:p w14:paraId="1D539577"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United States 3, International 2</w:t>
            </w:r>
          </w:p>
        </w:tc>
        <w:tc>
          <w:tcPr>
            <w:tcW w:w="1473" w:type="dxa"/>
            <w:tcBorders>
              <w:top w:val="nil"/>
              <w:left w:val="nil"/>
              <w:bottom w:val="single" w:sz="8" w:space="0" w:color="auto"/>
              <w:right w:val="nil"/>
            </w:tcBorders>
            <w:shd w:val="clear" w:color="auto" w:fill="auto"/>
            <w:vAlign w:val="center"/>
            <w:hideMark/>
          </w:tcPr>
          <w:p w14:paraId="2A99BC84" w14:textId="1D200CCD" w:rsidR="00890B15" w:rsidRPr="00890B15" w:rsidRDefault="00890B15" w:rsidP="00890B15">
            <w:pPr>
              <w:rPr>
                <w:rFonts w:ascii="Book Antiqua" w:eastAsia="等线" w:hAnsi="Book Antiqua" w:cs="宋体"/>
                <w:color w:val="000000"/>
                <w:lang w:eastAsia="zh-CN"/>
              </w:rPr>
            </w:pPr>
          </w:p>
        </w:tc>
        <w:tc>
          <w:tcPr>
            <w:tcW w:w="1631" w:type="dxa"/>
            <w:tcBorders>
              <w:top w:val="nil"/>
              <w:left w:val="nil"/>
              <w:bottom w:val="single" w:sz="8" w:space="0" w:color="auto"/>
              <w:right w:val="nil"/>
            </w:tcBorders>
            <w:shd w:val="clear" w:color="auto" w:fill="auto"/>
            <w:vAlign w:val="center"/>
            <w:hideMark/>
          </w:tcPr>
          <w:p w14:paraId="66E1D5F7"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RCT 1, Retrospective study 3</w:t>
            </w:r>
          </w:p>
        </w:tc>
        <w:tc>
          <w:tcPr>
            <w:tcW w:w="1505" w:type="dxa"/>
            <w:tcBorders>
              <w:top w:val="nil"/>
              <w:left w:val="nil"/>
              <w:bottom w:val="single" w:sz="8" w:space="0" w:color="auto"/>
              <w:right w:val="nil"/>
            </w:tcBorders>
            <w:shd w:val="clear" w:color="auto" w:fill="auto"/>
            <w:vAlign w:val="center"/>
            <w:hideMark/>
          </w:tcPr>
          <w:p w14:paraId="00DA3F8C"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822, 414/402</w:t>
            </w:r>
          </w:p>
        </w:tc>
        <w:tc>
          <w:tcPr>
            <w:tcW w:w="814" w:type="dxa"/>
            <w:tcBorders>
              <w:top w:val="nil"/>
              <w:left w:val="nil"/>
              <w:bottom w:val="single" w:sz="8" w:space="0" w:color="auto"/>
              <w:right w:val="nil"/>
            </w:tcBorders>
            <w:shd w:val="clear" w:color="auto" w:fill="auto"/>
            <w:vAlign w:val="center"/>
            <w:hideMark/>
          </w:tcPr>
          <w:p w14:paraId="4FC49707"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VP 3, ATII 2</w:t>
            </w:r>
          </w:p>
        </w:tc>
        <w:tc>
          <w:tcPr>
            <w:tcW w:w="1454" w:type="dxa"/>
            <w:tcBorders>
              <w:top w:val="nil"/>
              <w:left w:val="nil"/>
              <w:bottom w:val="single" w:sz="8" w:space="0" w:color="auto"/>
              <w:right w:val="nil"/>
            </w:tcBorders>
            <w:shd w:val="clear" w:color="auto" w:fill="auto"/>
            <w:vAlign w:val="center"/>
            <w:hideMark/>
          </w:tcPr>
          <w:p w14:paraId="43E2D816"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Vasopressors initiation 5</w:t>
            </w:r>
          </w:p>
        </w:tc>
        <w:tc>
          <w:tcPr>
            <w:tcW w:w="1907" w:type="dxa"/>
            <w:tcBorders>
              <w:top w:val="nil"/>
              <w:left w:val="nil"/>
              <w:bottom w:val="single" w:sz="8" w:space="0" w:color="auto"/>
              <w:right w:val="nil"/>
            </w:tcBorders>
            <w:shd w:val="clear" w:color="auto" w:fill="auto"/>
            <w:vAlign w:val="center"/>
            <w:hideMark/>
          </w:tcPr>
          <w:p w14:paraId="7088A28D"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Within 4, 6 h of catecholamine, &gt; 0.2 μg/kg/min of NE</w:t>
            </w:r>
          </w:p>
        </w:tc>
        <w:tc>
          <w:tcPr>
            <w:tcW w:w="1690" w:type="dxa"/>
            <w:tcBorders>
              <w:top w:val="nil"/>
              <w:left w:val="nil"/>
              <w:bottom w:val="single" w:sz="8" w:space="0" w:color="auto"/>
              <w:right w:val="nil"/>
            </w:tcBorders>
            <w:shd w:val="clear" w:color="auto" w:fill="auto"/>
            <w:vAlign w:val="center"/>
            <w:hideMark/>
          </w:tcPr>
          <w:p w14:paraId="44D0DDE7"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Time to target MAP 2</w:t>
            </w:r>
          </w:p>
        </w:tc>
        <w:tc>
          <w:tcPr>
            <w:tcW w:w="2428" w:type="dxa"/>
            <w:tcBorders>
              <w:top w:val="nil"/>
              <w:left w:val="nil"/>
              <w:bottom w:val="single" w:sz="8" w:space="0" w:color="auto"/>
              <w:right w:val="nil"/>
            </w:tcBorders>
            <w:shd w:val="clear" w:color="auto" w:fill="auto"/>
            <w:vAlign w:val="center"/>
            <w:hideMark/>
          </w:tcPr>
          <w:p w14:paraId="1BDDC94D"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1 VP, Achieved target MAP faster 2, No difference 1. 2 ATII response to MAP 1 reduced mortality 1</w:t>
            </w:r>
          </w:p>
        </w:tc>
        <w:tc>
          <w:tcPr>
            <w:tcW w:w="3210" w:type="dxa"/>
            <w:tcBorders>
              <w:top w:val="nil"/>
              <w:left w:val="nil"/>
              <w:bottom w:val="single" w:sz="8" w:space="0" w:color="auto"/>
              <w:right w:val="nil"/>
            </w:tcBorders>
            <w:shd w:val="clear" w:color="auto" w:fill="auto"/>
            <w:vAlign w:val="center"/>
            <w:hideMark/>
          </w:tcPr>
          <w:p w14:paraId="26805568"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 xml:space="preserve">　</w:t>
            </w:r>
          </w:p>
        </w:tc>
        <w:tc>
          <w:tcPr>
            <w:tcW w:w="2763" w:type="dxa"/>
            <w:tcBorders>
              <w:top w:val="nil"/>
              <w:left w:val="nil"/>
              <w:bottom w:val="single" w:sz="8" w:space="0" w:color="auto"/>
              <w:right w:val="nil"/>
            </w:tcBorders>
            <w:shd w:val="clear" w:color="auto" w:fill="auto"/>
            <w:vAlign w:val="center"/>
            <w:hideMark/>
          </w:tcPr>
          <w:p w14:paraId="245946BB" w14:textId="77777777" w:rsidR="00890B15" w:rsidRPr="00890B15" w:rsidRDefault="00890B15" w:rsidP="00890B15">
            <w:pPr>
              <w:rPr>
                <w:rFonts w:ascii="Book Antiqua" w:eastAsia="等线" w:hAnsi="Book Antiqua" w:cs="宋体"/>
                <w:color w:val="000000"/>
                <w:lang w:eastAsia="zh-CN"/>
              </w:rPr>
            </w:pPr>
            <w:r w:rsidRPr="00890B15">
              <w:rPr>
                <w:rFonts w:ascii="Book Antiqua" w:eastAsia="等线" w:hAnsi="Book Antiqua" w:cs="宋体"/>
                <w:color w:val="000000"/>
                <w:lang w:eastAsia="zh-CN"/>
              </w:rPr>
              <w:t xml:space="preserve">　</w:t>
            </w:r>
          </w:p>
        </w:tc>
      </w:tr>
    </w:tbl>
    <w:p w14:paraId="40AB8E53" w14:textId="77777777" w:rsidR="009041B5" w:rsidRPr="00353EAC" w:rsidRDefault="00F74228" w:rsidP="0033042F">
      <w:pPr>
        <w:spacing w:line="360" w:lineRule="auto"/>
        <w:rPr>
          <w:rFonts w:ascii="Book Antiqua" w:hAnsi="Book Antiqua"/>
          <w:b/>
        </w:rPr>
      </w:pPr>
      <w:r w:rsidRPr="00353EAC">
        <w:rPr>
          <w:rFonts w:ascii="Book Antiqua" w:hAnsi="Book Antiqua"/>
        </w:rPr>
        <w:t>ATII: Angiotensin-II; CRVS: Catecholamine-resistant vasodilatory shock; MAP: Mean arterial pressure; NE: Norepinephrine; RRT: Renal replacement therapy; SOFA: Sequential organ failure assessment; VP: Vasopressin.</w:t>
      </w:r>
    </w:p>
    <w:p w14:paraId="107FCB3D" w14:textId="6AEE5CAE" w:rsidR="00D90380" w:rsidRDefault="00D90380" w:rsidP="0033042F">
      <w:pPr>
        <w:spacing w:line="360" w:lineRule="auto"/>
        <w:rPr>
          <w:rFonts w:ascii="Book Antiqua" w:hAnsi="Book Antiqua"/>
        </w:rPr>
      </w:pPr>
    </w:p>
    <w:p w14:paraId="55666989" w14:textId="77777777" w:rsidR="00D90380" w:rsidRDefault="00D90380">
      <w:pPr>
        <w:rPr>
          <w:rFonts w:ascii="Book Antiqua" w:hAnsi="Book Antiqua"/>
        </w:rPr>
      </w:pPr>
      <w:r>
        <w:rPr>
          <w:rFonts w:ascii="Book Antiqua" w:hAnsi="Book Antiqua"/>
        </w:rPr>
        <w:br w:type="page"/>
      </w:r>
    </w:p>
    <w:p w14:paraId="6927F0E5" w14:textId="77777777" w:rsidR="00D90380" w:rsidRDefault="00D90380" w:rsidP="00D90380">
      <w:pPr>
        <w:snapToGrid w:val="0"/>
        <w:ind w:leftChars="100" w:left="240"/>
        <w:jc w:val="center"/>
        <w:rPr>
          <w:rFonts w:ascii="Book Antiqua" w:hAnsi="Book Antiqua"/>
        </w:rPr>
      </w:pPr>
      <w:bookmarkStart w:id="4" w:name="_Hlk144475133"/>
    </w:p>
    <w:p w14:paraId="3C51775B" w14:textId="77777777" w:rsidR="00D90380" w:rsidRDefault="00D90380" w:rsidP="00D90380">
      <w:pPr>
        <w:snapToGrid w:val="0"/>
        <w:ind w:leftChars="100" w:left="240"/>
        <w:jc w:val="center"/>
        <w:rPr>
          <w:rFonts w:ascii="Book Antiqua" w:hAnsi="Book Antiqua"/>
        </w:rPr>
      </w:pPr>
    </w:p>
    <w:p w14:paraId="1C5CA2B2" w14:textId="77777777" w:rsidR="00D90380" w:rsidRDefault="00D90380" w:rsidP="00D90380">
      <w:pPr>
        <w:snapToGrid w:val="0"/>
        <w:ind w:leftChars="100" w:left="240"/>
        <w:jc w:val="center"/>
        <w:rPr>
          <w:rFonts w:ascii="Book Antiqua" w:hAnsi="Book Antiqua"/>
        </w:rPr>
      </w:pPr>
    </w:p>
    <w:p w14:paraId="28DA48D4" w14:textId="77777777" w:rsidR="00D90380" w:rsidRDefault="00D90380" w:rsidP="00D90380">
      <w:pPr>
        <w:snapToGrid w:val="0"/>
        <w:ind w:leftChars="100" w:left="240"/>
        <w:jc w:val="center"/>
        <w:rPr>
          <w:rFonts w:ascii="Book Antiqua" w:hAnsi="Book Antiqua"/>
        </w:rPr>
      </w:pPr>
    </w:p>
    <w:p w14:paraId="5928AF67" w14:textId="77777777" w:rsidR="00D90380" w:rsidRDefault="00D90380" w:rsidP="00D90380">
      <w:pPr>
        <w:snapToGrid w:val="0"/>
        <w:ind w:leftChars="100" w:left="240"/>
        <w:jc w:val="center"/>
        <w:rPr>
          <w:rFonts w:ascii="Book Antiqua" w:hAnsi="Book Antiqua"/>
        </w:rPr>
      </w:pPr>
      <w:r>
        <w:rPr>
          <w:rFonts w:ascii="Book Antiqua" w:hAnsi="Book Antiqua"/>
          <w:noProof/>
        </w:rPr>
        <w:drawing>
          <wp:inline distT="0" distB="0" distL="0" distR="0" wp14:anchorId="4760F0D4" wp14:editId="6D03D1D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8DDD9B7" w14:textId="77777777" w:rsidR="00D90380" w:rsidRDefault="00D90380" w:rsidP="00D90380">
      <w:pPr>
        <w:snapToGrid w:val="0"/>
        <w:ind w:leftChars="100" w:left="240"/>
        <w:jc w:val="center"/>
        <w:rPr>
          <w:rFonts w:ascii="Book Antiqua" w:hAnsi="Book Antiqua"/>
        </w:rPr>
      </w:pPr>
    </w:p>
    <w:p w14:paraId="41F5E60C" w14:textId="77777777" w:rsidR="00D90380" w:rsidRDefault="00D90380" w:rsidP="00D9038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187266A" w14:textId="77777777" w:rsidR="00D90380" w:rsidRDefault="00D90380" w:rsidP="00D903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8D97200" w14:textId="77777777" w:rsidR="00D90380" w:rsidRDefault="00D90380" w:rsidP="00D9038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8F7140A" w14:textId="77777777" w:rsidR="00D90380" w:rsidRDefault="00D90380" w:rsidP="00D903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9C87349" w14:textId="77777777" w:rsidR="00D90380" w:rsidRDefault="00D90380" w:rsidP="00D9038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9FBA570" w14:textId="77777777" w:rsidR="00D90380" w:rsidRDefault="00D90380" w:rsidP="00D9038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606A56F" w14:textId="77777777" w:rsidR="00D90380" w:rsidRDefault="00D90380" w:rsidP="00D90380">
      <w:pPr>
        <w:snapToGrid w:val="0"/>
        <w:ind w:leftChars="100" w:left="240"/>
        <w:jc w:val="center"/>
        <w:rPr>
          <w:rFonts w:ascii="Book Antiqua" w:hAnsi="Book Antiqua"/>
        </w:rPr>
      </w:pPr>
    </w:p>
    <w:p w14:paraId="080574F6" w14:textId="77777777" w:rsidR="00D90380" w:rsidRDefault="00D90380" w:rsidP="00D90380">
      <w:pPr>
        <w:snapToGrid w:val="0"/>
        <w:ind w:leftChars="100" w:left="240"/>
        <w:jc w:val="center"/>
        <w:rPr>
          <w:rFonts w:ascii="Book Antiqua" w:hAnsi="Book Antiqua"/>
        </w:rPr>
      </w:pPr>
    </w:p>
    <w:p w14:paraId="5464A87B" w14:textId="77777777" w:rsidR="00D90380" w:rsidRDefault="00D90380" w:rsidP="00D90380">
      <w:pPr>
        <w:snapToGrid w:val="0"/>
        <w:ind w:leftChars="100" w:left="240"/>
        <w:jc w:val="center"/>
        <w:rPr>
          <w:rFonts w:ascii="Book Antiqua" w:hAnsi="Book Antiqua"/>
        </w:rPr>
      </w:pPr>
    </w:p>
    <w:p w14:paraId="34A0497B" w14:textId="77777777" w:rsidR="00D90380" w:rsidRDefault="00D90380" w:rsidP="00D90380">
      <w:pPr>
        <w:snapToGrid w:val="0"/>
        <w:ind w:leftChars="100" w:left="240"/>
        <w:jc w:val="center"/>
        <w:rPr>
          <w:rFonts w:ascii="Book Antiqua" w:hAnsi="Book Antiqua"/>
        </w:rPr>
      </w:pPr>
      <w:r>
        <w:rPr>
          <w:rFonts w:ascii="Book Antiqua" w:hAnsi="Book Antiqua"/>
          <w:noProof/>
        </w:rPr>
        <w:drawing>
          <wp:inline distT="0" distB="0" distL="0" distR="0" wp14:anchorId="4696740F" wp14:editId="14EF31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2FC283" w14:textId="77777777" w:rsidR="00D90380" w:rsidRDefault="00D90380" w:rsidP="00D90380">
      <w:pPr>
        <w:snapToGrid w:val="0"/>
        <w:ind w:leftChars="100" w:left="240"/>
        <w:jc w:val="center"/>
        <w:rPr>
          <w:rFonts w:ascii="Book Antiqua" w:hAnsi="Book Antiqua"/>
        </w:rPr>
      </w:pPr>
    </w:p>
    <w:p w14:paraId="3745D25D" w14:textId="77777777" w:rsidR="00D90380" w:rsidRDefault="00D90380" w:rsidP="00D90380">
      <w:pPr>
        <w:snapToGrid w:val="0"/>
        <w:ind w:leftChars="100" w:left="240"/>
        <w:jc w:val="center"/>
        <w:rPr>
          <w:rFonts w:ascii="Book Antiqua" w:hAnsi="Book Antiqua"/>
        </w:rPr>
      </w:pPr>
    </w:p>
    <w:p w14:paraId="0CA40B29" w14:textId="77777777" w:rsidR="00D90380" w:rsidRDefault="00D90380" w:rsidP="00D90380">
      <w:pPr>
        <w:snapToGrid w:val="0"/>
        <w:ind w:leftChars="100" w:left="240"/>
        <w:jc w:val="center"/>
        <w:rPr>
          <w:rFonts w:ascii="Book Antiqua" w:hAnsi="Book Antiqua"/>
        </w:rPr>
      </w:pPr>
    </w:p>
    <w:p w14:paraId="0C4CE16A" w14:textId="77777777" w:rsidR="00D90380" w:rsidRDefault="00D90380" w:rsidP="00D90380">
      <w:pPr>
        <w:snapToGrid w:val="0"/>
        <w:ind w:leftChars="100" w:left="240"/>
        <w:jc w:val="center"/>
        <w:rPr>
          <w:rFonts w:ascii="Book Antiqua" w:hAnsi="Book Antiqua"/>
        </w:rPr>
      </w:pPr>
    </w:p>
    <w:p w14:paraId="7C7057DA" w14:textId="77777777" w:rsidR="00D90380" w:rsidRDefault="00D90380" w:rsidP="00D90380">
      <w:pPr>
        <w:snapToGrid w:val="0"/>
        <w:ind w:leftChars="100" w:left="240"/>
        <w:jc w:val="center"/>
        <w:rPr>
          <w:rFonts w:ascii="Book Antiqua" w:hAnsi="Book Antiqua"/>
        </w:rPr>
      </w:pPr>
    </w:p>
    <w:p w14:paraId="7CE736CF" w14:textId="77777777" w:rsidR="00D90380" w:rsidRDefault="00D90380" w:rsidP="00D90380">
      <w:pPr>
        <w:snapToGrid w:val="0"/>
        <w:ind w:leftChars="100" w:left="240"/>
        <w:jc w:val="center"/>
        <w:rPr>
          <w:rFonts w:ascii="Book Antiqua" w:hAnsi="Book Antiqua"/>
        </w:rPr>
      </w:pPr>
    </w:p>
    <w:p w14:paraId="4D2EA3B3" w14:textId="77777777" w:rsidR="00D90380" w:rsidRDefault="00D90380" w:rsidP="00D90380">
      <w:pPr>
        <w:snapToGrid w:val="0"/>
        <w:ind w:leftChars="100" w:left="240"/>
        <w:jc w:val="center"/>
        <w:rPr>
          <w:rFonts w:ascii="Book Antiqua" w:hAnsi="Book Antiqua"/>
        </w:rPr>
      </w:pPr>
    </w:p>
    <w:p w14:paraId="114AF7A7" w14:textId="77777777" w:rsidR="00D90380" w:rsidRDefault="00D90380" w:rsidP="00D90380">
      <w:pPr>
        <w:snapToGrid w:val="0"/>
        <w:ind w:leftChars="100" w:left="240"/>
        <w:jc w:val="center"/>
        <w:rPr>
          <w:rFonts w:ascii="Book Antiqua" w:hAnsi="Book Antiqua"/>
        </w:rPr>
      </w:pPr>
    </w:p>
    <w:p w14:paraId="040B6B2F" w14:textId="77777777" w:rsidR="00D90380" w:rsidRDefault="00D90380" w:rsidP="00D90380">
      <w:pPr>
        <w:snapToGrid w:val="0"/>
        <w:ind w:leftChars="100" w:left="240"/>
        <w:jc w:val="center"/>
        <w:rPr>
          <w:rFonts w:ascii="Book Antiqua" w:hAnsi="Book Antiqua"/>
        </w:rPr>
      </w:pPr>
    </w:p>
    <w:p w14:paraId="451B8F50" w14:textId="77777777" w:rsidR="00D90380" w:rsidRDefault="00D90380" w:rsidP="00D90380">
      <w:pPr>
        <w:snapToGrid w:val="0"/>
        <w:ind w:leftChars="100" w:left="240"/>
        <w:jc w:val="right"/>
        <w:rPr>
          <w:rFonts w:ascii="Book Antiqua" w:hAnsi="Book Antiqua"/>
          <w:color w:val="000000" w:themeColor="text1"/>
        </w:rPr>
      </w:pPr>
    </w:p>
    <w:p w14:paraId="4D55D477" w14:textId="77777777" w:rsidR="00D90380" w:rsidRDefault="00D90380" w:rsidP="00D9038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4"/>
    <w:p w14:paraId="70C4C25A" w14:textId="77777777" w:rsidR="00D90380" w:rsidRDefault="00D90380" w:rsidP="00D90380">
      <w:pPr>
        <w:rPr>
          <w:rFonts w:ascii="Book Antiqua" w:hAnsi="Book Antiqua" w:cs="Book Antiqua"/>
          <w:b/>
          <w:bCs/>
          <w:color w:val="000000"/>
        </w:rPr>
      </w:pPr>
    </w:p>
    <w:p w14:paraId="05A375E4" w14:textId="77777777" w:rsidR="009041B5" w:rsidRPr="00353EAC" w:rsidRDefault="009041B5" w:rsidP="0033042F">
      <w:pPr>
        <w:spacing w:line="360" w:lineRule="auto"/>
        <w:rPr>
          <w:rFonts w:ascii="Book Antiqua" w:hAnsi="Book Antiqua"/>
        </w:rPr>
      </w:pPr>
    </w:p>
    <w:sectPr w:rsidR="009041B5" w:rsidRPr="00353EAC" w:rsidSect="00D90380">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6239" w14:textId="77777777" w:rsidR="00B43AE5" w:rsidRDefault="00B43AE5" w:rsidP="009041B5">
      <w:r>
        <w:separator/>
      </w:r>
    </w:p>
  </w:endnote>
  <w:endnote w:type="continuationSeparator" w:id="0">
    <w:p w14:paraId="626053C4" w14:textId="77777777" w:rsidR="00B43AE5" w:rsidRDefault="00B43AE5" w:rsidP="00904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53987"/>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42BA08AE" w14:textId="77777777" w:rsidR="00D44AFF" w:rsidRDefault="00D44AFF">
            <w:pPr>
              <w:pStyle w:val="a7"/>
              <w:jc w:val="right"/>
              <w:rPr>
                <w:rFonts w:ascii="Book Antiqua" w:hAnsi="Book Antiqua"/>
                <w:sz w:val="24"/>
                <w:szCs w:val="24"/>
              </w:rPr>
            </w:pP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CA477D">
              <w:rPr>
                <w:rFonts w:ascii="Book Antiqua" w:hAnsi="Book Antiqua"/>
                <w:b/>
                <w:bCs/>
                <w:noProof/>
                <w:sz w:val="24"/>
                <w:szCs w:val="24"/>
              </w:rPr>
              <w:t>26</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CA477D">
              <w:rPr>
                <w:rFonts w:ascii="Book Antiqua" w:hAnsi="Book Antiqua"/>
                <w:b/>
                <w:bCs/>
                <w:noProof/>
                <w:sz w:val="24"/>
                <w:szCs w:val="24"/>
              </w:rPr>
              <w:t>45</w:t>
            </w:r>
            <w:r>
              <w:rPr>
                <w:rFonts w:ascii="Book Antiqua" w:hAnsi="Book Antiqua"/>
                <w:b/>
                <w:bCs/>
                <w:sz w:val="24"/>
                <w:szCs w:val="24"/>
              </w:rPr>
              <w:fldChar w:fldCharType="end"/>
            </w:r>
          </w:p>
        </w:sdtContent>
      </w:sdt>
    </w:sdtContent>
  </w:sdt>
  <w:p w14:paraId="75EBE562" w14:textId="77777777" w:rsidR="00D44AFF" w:rsidRDefault="00D44AFF">
    <w:pPr>
      <w:pStyle w:val="a7"/>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AB3B" w14:textId="77777777" w:rsidR="00B43AE5" w:rsidRDefault="00B43AE5" w:rsidP="009041B5">
      <w:r>
        <w:separator/>
      </w:r>
    </w:p>
  </w:footnote>
  <w:footnote w:type="continuationSeparator" w:id="0">
    <w:p w14:paraId="401285F5" w14:textId="77777777" w:rsidR="00B43AE5" w:rsidRDefault="00B43AE5" w:rsidP="00904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77B3E"/>
    <w:rsid w:val="00003A76"/>
    <w:rsid w:val="000050F0"/>
    <w:rsid w:val="00012536"/>
    <w:rsid w:val="00034123"/>
    <w:rsid w:val="00034A48"/>
    <w:rsid w:val="00034F95"/>
    <w:rsid w:val="0005454D"/>
    <w:rsid w:val="00057A75"/>
    <w:rsid w:val="00061F63"/>
    <w:rsid w:val="00074696"/>
    <w:rsid w:val="000750A8"/>
    <w:rsid w:val="00075758"/>
    <w:rsid w:val="00075820"/>
    <w:rsid w:val="00081B6E"/>
    <w:rsid w:val="000840B5"/>
    <w:rsid w:val="000C2501"/>
    <w:rsid w:val="000C4B25"/>
    <w:rsid w:val="000D1037"/>
    <w:rsid w:val="000D50B9"/>
    <w:rsid w:val="000D7BC9"/>
    <w:rsid w:val="000E423A"/>
    <w:rsid w:val="000F609B"/>
    <w:rsid w:val="001057D2"/>
    <w:rsid w:val="00125A4F"/>
    <w:rsid w:val="00132BBC"/>
    <w:rsid w:val="001506B4"/>
    <w:rsid w:val="001745BB"/>
    <w:rsid w:val="001778F7"/>
    <w:rsid w:val="00180D13"/>
    <w:rsid w:val="001870B6"/>
    <w:rsid w:val="001907BB"/>
    <w:rsid w:val="001959CC"/>
    <w:rsid w:val="0019695C"/>
    <w:rsid w:val="001A539F"/>
    <w:rsid w:val="001B15F8"/>
    <w:rsid w:val="001C0431"/>
    <w:rsid w:val="001C0C1F"/>
    <w:rsid w:val="001D0095"/>
    <w:rsid w:val="001D0961"/>
    <w:rsid w:val="001D6501"/>
    <w:rsid w:val="001D707D"/>
    <w:rsid w:val="001E2E2A"/>
    <w:rsid w:val="001E31DC"/>
    <w:rsid w:val="00200019"/>
    <w:rsid w:val="00202DF1"/>
    <w:rsid w:val="00205538"/>
    <w:rsid w:val="0020715B"/>
    <w:rsid w:val="00213407"/>
    <w:rsid w:val="00217C6D"/>
    <w:rsid w:val="0022033B"/>
    <w:rsid w:val="00222300"/>
    <w:rsid w:val="00232C81"/>
    <w:rsid w:val="00237A09"/>
    <w:rsid w:val="00244AC6"/>
    <w:rsid w:val="002539EE"/>
    <w:rsid w:val="0026211E"/>
    <w:rsid w:val="00264D55"/>
    <w:rsid w:val="002678FA"/>
    <w:rsid w:val="00270B5A"/>
    <w:rsid w:val="00277065"/>
    <w:rsid w:val="00287A4A"/>
    <w:rsid w:val="00291C89"/>
    <w:rsid w:val="002977B1"/>
    <w:rsid w:val="002A0676"/>
    <w:rsid w:val="002A0E59"/>
    <w:rsid w:val="002A21E4"/>
    <w:rsid w:val="002A69E4"/>
    <w:rsid w:val="002B0C28"/>
    <w:rsid w:val="002B784B"/>
    <w:rsid w:val="002C6EED"/>
    <w:rsid w:val="002E20AD"/>
    <w:rsid w:val="00316FDA"/>
    <w:rsid w:val="003213B6"/>
    <w:rsid w:val="003231AE"/>
    <w:rsid w:val="00323FD5"/>
    <w:rsid w:val="0032575F"/>
    <w:rsid w:val="00326686"/>
    <w:rsid w:val="0033042F"/>
    <w:rsid w:val="00353EAC"/>
    <w:rsid w:val="003622B7"/>
    <w:rsid w:val="00363038"/>
    <w:rsid w:val="0037063C"/>
    <w:rsid w:val="00371D4B"/>
    <w:rsid w:val="00384A41"/>
    <w:rsid w:val="00392848"/>
    <w:rsid w:val="00396902"/>
    <w:rsid w:val="003A0AAA"/>
    <w:rsid w:val="003A1288"/>
    <w:rsid w:val="003A168E"/>
    <w:rsid w:val="003A44B4"/>
    <w:rsid w:val="003B011B"/>
    <w:rsid w:val="003B0BDF"/>
    <w:rsid w:val="003C1BFD"/>
    <w:rsid w:val="003C6C28"/>
    <w:rsid w:val="003F0945"/>
    <w:rsid w:val="003F405A"/>
    <w:rsid w:val="003F5CB1"/>
    <w:rsid w:val="004007BF"/>
    <w:rsid w:val="00407A98"/>
    <w:rsid w:val="0041435A"/>
    <w:rsid w:val="00420559"/>
    <w:rsid w:val="00451941"/>
    <w:rsid w:val="004740BE"/>
    <w:rsid w:val="004807B2"/>
    <w:rsid w:val="0048406D"/>
    <w:rsid w:val="00486362"/>
    <w:rsid w:val="0049444A"/>
    <w:rsid w:val="004A1D89"/>
    <w:rsid w:val="004B15F7"/>
    <w:rsid w:val="004F20C1"/>
    <w:rsid w:val="00500DDA"/>
    <w:rsid w:val="00504EB1"/>
    <w:rsid w:val="00525BA4"/>
    <w:rsid w:val="005276F4"/>
    <w:rsid w:val="00530FFE"/>
    <w:rsid w:val="00533E8B"/>
    <w:rsid w:val="00535303"/>
    <w:rsid w:val="00540E53"/>
    <w:rsid w:val="005521A6"/>
    <w:rsid w:val="00563329"/>
    <w:rsid w:val="00567278"/>
    <w:rsid w:val="00581B1A"/>
    <w:rsid w:val="00584459"/>
    <w:rsid w:val="005A0E2D"/>
    <w:rsid w:val="005A1358"/>
    <w:rsid w:val="005A58B3"/>
    <w:rsid w:val="005B29BE"/>
    <w:rsid w:val="005C0C2B"/>
    <w:rsid w:val="005C0DE3"/>
    <w:rsid w:val="005C2A3A"/>
    <w:rsid w:val="005C3EF5"/>
    <w:rsid w:val="005D47EA"/>
    <w:rsid w:val="005D7523"/>
    <w:rsid w:val="005D7D44"/>
    <w:rsid w:val="005E243D"/>
    <w:rsid w:val="005F01EB"/>
    <w:rsid w:val="005F0AEC"/>
    <w:rsid w:val="005F13A3"/>
    <w:rsid w:val="005F2834"/>
    <w:rsid w:val="005F3EBC"/>
    <w:rsid w:val="005F4E1E"/>
    <w:rsid w:val="00620B2F"/>
    <w:rsid w:val="00646F55"/>
    <w:rsid w:val="00654218"/>
    <w:rsid w:val="00664A3F"/>
    <w:rsid w:val="00665382"/>
    <w:rsid w:val="006732F8"/>
    <w:rsid w:val="00680FAB"/>
    <w:rsid w:val="006A3815"/>
    <w:rsid w:val="006B114D"/>
    <w:rsid w:val="006B258A"/>
    <w:rsid w:val="006B72C5"/>
    <w:rsid w:val="006B7597"/>
    <w:rsid w:val="006C069B"/>
    <w:rsid w:val="006C5EA1"/>
    <w:rsid w:val="006D3247"/>
    <w:rsid w:val="006D3E0B"/>
    <w:rsid w:val="006E1E92"/>
    <w:rsid w:val="006E33E4"/>
    <w:rsid w:val="006E3920"/>
    <w:rsid w:val="006E4745"/>
    <w:rsid w:val="006F358D"/>
    <w:rsid w:val="00701044"/>
    <w:rsid w:val="00707274"/>
    <w:rsid w:val="00707779"/>
    <w:rsid w:val="00707C5D"/>
    <w:rsid w:val="00714EF4"/>
    <w:rsid w:val="00716518"/>
    <w:rsid w:val="00723509"/>
    <w:rsid w:val="00726428"/>
    <w:rsid w:val="00734F58"/>
    <w:rsid w:val="007361C5"/>
    <w:rsid w:val="00740931"/>
    <w:rsid w:val="00742E97"/>
    <w:rsid w:val="0074675F"/>
    <w:rsid w:val="00754567"/>
    <w:rsid w:val="007568AA"/>
    <w:rsid w:val="00763569"/>
    <w:rsid w:val="00771451"/>
    <w:rsid w:val="00772CAE"/>
    <w:rsid w:val="0077431D"/>
    <w:rsid w:val="0078135E"/>
    <w:rsid w:val="007905BC"/>
    <w:rsid w:val="007915CD"/>
    <w:rsid w:val="00796C10"/>
    <w:rsid w:val="007C450F"/>
    <w:rsid w:val="007C7020"/>
    <w:rsid w:val="007D2863"/>
    <w:rsid w:val="007D2EF3"/>
    <w:rsid w:val="007E4F82"/>
    <w:rsid w:val="007E5DFD"/>
    <w:rsid w:val="008065BC"/>
    <w:rsid w:val="0081235F"/>
    <w:rsid w:val="0082396E"/>
    <w:rsid w:val="00830BB7"/>
    <w:rsid w:val="00836E50"/>
    <w:rsid w:val="00844B17"/>
    <w:rsid w:val="0084743C"/>
    <w:rsid w:val="00865C66"/>
    <w:rsid w:val="008831B2"/>
    <w:rsid w:val="00890B15"/>
    <w:rsid w:val="008946D9"/>
    <w:rsid w:val="008A262B"/>
    <w:rsid w:val="008A36B5"/>
    <w:rsid w:val="008A7396"/>
    <w:rsid w:val="008B74E1"/>
    <w:rsid w:val="008C2819"/>
    <w:rsid w:val="008C425B"/>
    <w:rsid w:val="008C6125"/>
    <w:rsid w:val="008C644D"/>
    <w:rsid w:val="008C75EC"/>
    <w:rsid w:val="008D56F0"/>
    <w:rsid w:val="008F19D9"/>
    <w:rsid w:val="008F3833"/>
    <w:rsid w:val="008F4B51"/>
    <w:rsid w:val="009041B5"/>
    <w:rsid w:val="009057C8"/>
    <w:rsid w:val="00930F32"/>
    <w:rsid w:val="00934647"/>
    <w:rsid w:val="00945B4B"/>
    <w:rsid w:val="009563EA"/>
    <w:rsid w:val="00964117"/>
    <w:rsid w:val="0096477A"/>
    <w:rsid w:val="009654C9"/>
    <w:rsid w:val="00972DFC"/>
    <w:rsid w:val="00976E63"/>
    <w:rsid w:val="00977752"/>
    <w:rsid w:val="00982C86"/>
    <w:rsid w:val="00987983"/>
    <w:rsid w:val="00990B6E"/>
    <w:rsid w:val="009A1FF4"/>
    <w:rsid w:val="009B4C3F"/>
    <w:rsid w:val="009B5295"/>
    <w:rsid w:val="009B5EDF"/>
    <w:rsid w:val="009C16EF"/>
    <w:rsid w:val="009C3D47"/>
    <w:rsid w:val="009E23D0"/>
    <w:rsid w:val="009E4EF4"/>
    <w:rsid w:val="009E6105"/>
    <w:rsid w:val="009F3911"/>
    <w:rsid w:val="00A0176C"/>
    <w:rsid w:val="00A11BD4"/>
    <w:rsid w:val="00A31A36"/>
    <w:rsid w:val="00A36627"/>
    <w:rsid w:val="00A424EE"/>
    <w:rsid w:val="00A43038"/>
    <w:rsid w:val="00A60740"/>
    <w:rsid w:val="00A70818"/>
    <w:rsid w:val="00A73DC4"/>
    <w:rsid w:val="00A77B3E"/>
    <w:rsid w:val="00A8288B"/>
    <w:rsid w:val="00A93015"/>
    <w:rsid w:val="00A9329A"/>
    <w:rsid w:val="00AA5DB8"/>
    <w:rsid w:val="00AA724D"/>
    <w:rsid w:val="00AB0FB3"/>
    <w:rsid w:val="00AE0B26"/>
    <w:rsid w:val="00AE7F7A"/>
    <w:rsid w:val="00AF0682"/>
    <w:rsid w:val="00AF4829"/>
    <w:rsid w:val="00B11A99"/>
    <w:rsid w:val="00B22971"/>
    <w:rsid w:val="00B22B63"/>
    <w:rsid w:val="00B23FB1"/>
    <w:rsid w:val="00B345AE"/>
    <w:rsid w:val="00B43AE5"/>
    <w:rsid w:val="00B5316A"/>
    <w:rsid w:val="00B608F2"/>
    <w:rsid w:val="00B61DD1"/>
    <w:rsid w:val="00B85F74"/>
    <w:rsid w:val="00BD6AA8"/>
    <w:rsid w:val="00BE35B9"/>
    <w:rsid w:val="00BE3D6D"/>
    <w:rsid w:val="00BE4B07"/>
    <w:rsid w:val="00BE5EC8"/>
    <w:rsid w:val="00C01EE4"/>
    <w:rsid w:val="00C022DD"/>
    <w:rsid w:val="00C0298B"/>
    <w:rsid w:val="00C07E2D"/>
    <w:rsid w:val="00C11D1A"/>
    <w:rsid w:val="00C135F4"/>
    <w:rsid w:val="00C22ECB"/>
    <w:rsid w:val="00C40C7D"/>
    <w:rsid w:val="00C421EB"/>
    <w:rsid w:val="00C4413C"/>
    <w:rsid w:val="00C47807"/>
    <w:rsid w:val="00C64638"/>
    <w:rsid w:val="00C66408"/>
    <w:rsid w:val="00C66CF8"/>
    <w:rsid w:val="00C71BC5"/>
    <w:rsid w:val="00C74225"/>
    <w:rsid w:val="00CA2A55"/>
    <w:rsid w:val="00CA477D"/>
    <w:rsid w:val="00CC5A49"/>
    <w:rsid w:val="00CC5C37"/>
    <w:rsid w:val="00CC74BF"/>
    <w:rsid w:val="00CD047B"/>
    <w:rsid w:val="00CD7BD1"/>
    <w:rsid w:val="00CE086B"/>
    <w:rsid w:val="00CE3579"/>
    <w:rsid w:val="00CE5A60"/>
    <w:rsid w:val="00CE7E59"/>
    <w:rsid w:val="00CF10B1"/>
    <w:rsid w:val="00CF7C5C"/>
    <w:rsid w:val="00D02BB5"/>
    <w:rsid w:val="00D07FB0"/>
    <w:rsid w:val="00D116EE"/>
    <w:rsid w:val="00D119A2"/>
    <w:rsid w:val="00D414FF"/>
    <w:rsid w:val="00D44289"/>
    <w:rsid w:val="00D44AFF"/>
    <w:rsid w:val="00D44DDE"/>
    <w:rsid w:val="00D45A7D"/>
    <w:rsid w:val="00D504A5"/>
    <w:rsid w:val="00D545A4"/>
    <w:rsid w:val="00D62960"/>
    <w:rsid w:val="00D6378A"/>
    <w:rsid w:val="00D81A8A"/>
    <w:rsid w:val="00D81BB7"/>
    <w:rsid w:val="00D90380"/>
    <w:rsid w:val="00D92785"/>
    <w:rsid w:val="00DB015F"/>
    <w:rsid w:val="00DC69A8"/>
    <w:rsid w:val="00DD3D9C"/>
    <w:rsid w:val="00DE416A"/>
    <w:rsid w:val="00DE661E"/>
    <w:rsid w:val="00DF25DD"/>
    <w:rsid w:val="00E0162E"/>
    <w:rsid w:val="00E01919"/>
    <w:rsid w:val="00E024DB"/>
    <w:rsid w:val="00E0322E"/>
    <w:rsid w:val="00E14F23"/>
    <w:rsid w:val="00E32139"/>
    <w:rsid w:val="00E3329E"/>
    <w:rsid w:val="00E344DC"/>
    <w:rsid w:val="00E34631"/>
    <w:rsid w:val="00E44949"/>
    <w:rsid w:val="00E47579"/>
    <w:rsid w:val="00E54ECD"/>
    <w:rsid w:val="00E62A57"/>
    <w:rsid w:val="00E72177"/>
    <w:rsid w:val="00E81E35"/>
    <w:rsid w:val="00E83657"/>
    <w:rsid w:val="00E92031"/>
    <w:rsid w:val="00EA0729"/>
    <w:rsid w:val="00EA0E4B"/>
    <w:rsid w:val="00EB0E04"/>
    <w:rsid w:val="00EB6654"/>
    <w:rsid w:val="00EC1B71"/>
    <w:rsid w:val="00EC32ED"/>
    <w:rsid w:val="00EC6053"/>
    <w:rsid w:val="00EE5B48"/>
    <w:rsid w:val="00EF541C"/>
    <w:rsid w:val="00F11649"/>
    <w:rsid w:val="00F13EE4"/>
    <w:rsid w:val="00F1515D"/>
    <w:rsid w:val="00F30EE1"/>
    <w:rsid w:val="00F30EFF"/>
    <w:rsid w:val="00F31B45"/>
    <w:rsid w:val="00F33557"/>
    <w:rsid w:val="00F4209D"/>
    <w:rsid w:val="00F46A96"/>
    <w:rsid w:val="00F46FA6"/>
    <w:rsid w:val="00F50889"/>
    <w:rsid w:val="00F52E86"/>
    <w:rsid w:val="00F5447E"/>
    <w:rsid w:val="00F72793"/>
    <w:rsid w:val="00F74228"/>
    <w:rsid w:val="00F80B30"/>
    <w:rsid w:val="00F8484F"/>
    <w:rsid w:val="00F952A5"/>
    <w:rsid w:val="00FA0895"/>
    <w:rsid w:val="00FA247D"/>
    <w:rsid w:val="00FA28A6"/>
    <w:rsid w:val="00FB0E33"/>
    <w:rsid w:val="00FC676E"/>
    <w:rsid w:val="00FE74C8"/>
    <w:rsid w:val="00FE7ED8"/>
    <w:rsid w:val="00FF54CD"/>
    <w:rsid w:val="6D6B3A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FBF9F"/>
  <w15:docId w15:val="{CED842EB-D7A3-4813-9166-7D893E40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41B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9041B5"/>
  </w:style>
  <w:style w:type="paragraph" w:styleId="a5">
    <w:name w:val="Balloon Text"/>
    <w:basedOn w:val="a"/>
    <w:link w:val="a6"/>
    <w:semiHidden/>
    <w:unhideWhenUsed/>
    <w:rsid w:val="009041B5"/>
    <w:rPr>
      <w:sz w:val="18"/>
      <w:szCs w:val="18"/>
    </w:rPr>
  </w:style>
  <w:style w:type="paragraph" w:styleId="a7">
    <w:name w:val="footer"/>
    <w:basedOn w:val="a"/>
    <w:link w:val="a8"/>
    <w:uiPriority w:val="99"/>
    <w:unhideWhenUsed/>
    <w:rsid w:val="009041B5"/>
    <w:pPr>
      <w:tabs>
        <w:tab w:val="center" w:pos="4153"/>
        <w:tab w:val="right" w:pos="8306"/>
      </w:tabs>
      <w:snapToGrid w:val="0"/>
    </w:pPr>
    <w:rPr>
      <w:sz w:val="18"/>
      <w:szCs w:val="18"/>
    </w:rPr>
  </w:style>
  <w:style w:type="paragraph" w:styleId="a9">
    <w:name w:val="header"/>
    <w:basedOn w:val="a"/>
    <w:link w:val="aa"/>
    <w:unhideWhenUsed/>
    <w:rsid w:val="009041B5"/>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semiHidden/>
    <w:unhideWhenUsed/>
    <w:rsid w:val="009041B5"/>
    <w:rPr>
      <w:b/>
      <w:bCs/>
    </w:rPr>
  </w:style>
  <w:style w:type="table" w:styleId="ad">
    <w:name w:val="Table Grid"/>
    <w:basedOn w:val="a1"/>
    <w:qFormat/>
    <w:rsid w:val="009041B5"/>
    <w:pPr>
      <w:widowControl w:val="0"/>
      <w:jc w:val="both"/>
    </w:pPr>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semiHidden/>
    <w:unhideWhenUsed/>
    <w:rsid w:val="009041B5"/>
    <w:rPr>
      <w:sz w:val="21"/>
      <w:szCs w:val="21"/>
    </w:rPr>
  </w:style>
  <w:style w:type="character" w:customStyle="1" w:styleId="aa">
    <w:name w:val="页眉 字符"/>
    <w:basedOn w:val="a0"/>
    <w:link w:val="a9"/>
    <w:rsid w:val="009041B5"/>
    <w:rPr>
      <w:sz w:val="18"/>
      <w:szCs w:val="18"/>
    </w:rPr>
  </w:style>
  <w:style w:type="character" w:customStyle="1" w:styleId="a8">
    <w:name w:val="页脚 字符"/>
    <w:basedOn w:val="a0"/>
    <w:link w:val="a7"/>
    <w:uiPriority w:val="99"/>
    <w:rsid w:val="009041B5"/>
    <w:rPr>
      <w:sz w:val="18"/>
      <w:szCs w:val="18"/>
    </w:rPr>
  </w:style>
  <w:style w:type="character" w:customStyle="1" w:styleId="a4">
    <w:name w:val="批注文字 字符"/>
    <w:basedOn w:val="a0"/>
    <w:link w:val="a3"/>
    <w:semiHidden/>
    <w:rsid w:val="009041B5"/>
    <w:rPr>
      <w:sz w:val="24"/>
      <w:szCs w:val="24"/>
    </w:rPr>
  </w:style>
  <w:style w:type="character" w:customStyle="1" w:styleId="ac">
    <w:name w:val="批注主题 字符"/>
    <w:basedOn w:val="a4"/>
    <w:link w:val="ab"/>
    <w:semiHidden/>
    <w:rsid w:val="009041B5"/>
    <w:rPr>
      <w:b/>
      <w:bCs/>
      <w:sz w:val="24"/>
      <w:szCs w:val="24"/>
    </w:rPr>
  </w:style>
  <w:style w:type="character" w:customStyle="1" w:styleId="a6">
    <w:name w:val="批注框文本 字符"/>
    <w:basedOn w:val="a0"/>
    <w:link w:val="a5"/>
    <w:semiHidden/>
    <w:rsid w:val="009041B5"/>
    <w:rPr>
      <w:sz w:val="18"/>
      <w:szCs w:val="18"/>
    </w:rPr>
  </w:style>
  <w:style w:type="paragraph" w:styleId="af">
    <w:name w:val="Revision"/>
    <w:hidden/>
    <w:uiPriority w:val="99"/>
    <w:semiHidden/>
    <w:rsid w:val="00B345AE"/>
    <w:rPr>
      <w:sz w:val="24"/>
      <w:szCs w:val="24"/>
      <w:lang w:eastAsia="en-US"/>
    </w:rPr>
  </w:style>
  <w:style w:type="character" w:styleId="af0">
    <w:name w:val="Hyperlink"/>
    <w:basedOn w:val="a0"/>
    <w:unhideWhenUsed/>
    <w:rsid w:val="00500DDA"/>
    <w:rPr>
      <w:color w:val="0000FF" w:themeColor="hyperlink"/>
      <w:u w:val="single"/>
    </w:rPr>
  </w:style>
  <w:style w:type="character" w:customStyle="1" w:styleId="UnresolvedMention1">
    <w:name w:val="Unresolved Mention1"/>
    <w:basedOn w:val="a0"/>
    <w:uiPriority w:val="99"/>
    <w:semiHidden/>
    <w:unhideWhenUsed/>
    <w:rsid w:val="00500DDA"/>
    <w:rPr>
      <w:color w:val="605E5C"/>
      <w:shd w:val="clear" w:color="auto" w:fill="E1DFDD"/>
    </w:rPr>
  </w:style>
  <w:style w:type="character" w:styleId="af1">
    <w:name w:val="Unresolved Mention"/>
    <w:basedOn w:val="a0"/>
    <w:uiPriority w:val="99"/>
    <w:semiHidden/>
    <w:unhideWhenUsed/>
    <w:rsid w:val="00D90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3572">
      <w:bodyDiv w:val="1"/>
      <w:marLeft w:val="0"/>
      <w:marRight w:val="0"/>
      <w:marTop w:val="0"/>
      <w:marBottom w:val="0"/>
      <w:divBdr>
        <w:top w:val="none" w:sz="0" w:space="0" w:color="auto"/>
        <w:left w:val="none" w:sz="0" w:space="0" w:color="auto"/>
        <w:bottom w:val="none" w:sz="0" w:space="0" w:color="auto"/>
        <w:right w:val="none" w:sz="0" w:space="0" w:color="auto"/>
      </w:divBdr>
    </w:div>
    <w:div w:id="1085298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2220-3141/full/v12/i4/204.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38</Pages>
  <Words>8964</Words>
  <Characters>51097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22</cp:revision>
  <dcterms:created xsi:type="dcterms:W3CDTF">2023-07-20T08:39:00Z</dcterms:created>
  <dcterms:modified xsi:type="dcterms:W3CDTF">2023-09-05T06:16:00Z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A75076902DB143E0AEDDAFFA3CBF2193_13</vt:lpwstr>
  </property>
</Properties>
</file>