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94295"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Gastrointestinal Oncology</w:t>
      </w:r>
    </w:p>
    <w:p w14:paraId="27EC3455"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84784</w:t>
      </w:r>
    </w:p>
    <w:p w14:paraId="2BA0716E"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452C468D" w14:textId="77777777" w:rsidR="006E364E" w:rsidRDefault="006E364E">
      <w:pPr>
        <w:spacing w:line="360" w:lineRule="auto"/>
        <w:jc w:val="both"/>
        <w:rPr>
          <w:rFonts w:ascii="Book Antiqua" w:hAnsi="Book Antiqua"/>
          <w:color w:val="000000" w:themeColor="text1"/>
        </w:rPr>
      </w:pPr>
    </w:p>
    <w:p w14:paraId="4E9B74E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Clinical and Translational Research</w:t>
      </w:r>
    </w:p>
    <w:p w14:paraId="3CE0880D" w14:textId="77777777" w:rsidR="006E364E" w:rsidRDefault="00000000">
      <w:pPr>
        <w:spacing w:line="360" w:lineRule="auto"/>
        <w:jc w:val="both"/>
        <w:rPr>
          <w:rFonts w:ascii="Book Antiqua" w:hAnsi="Book Antiqua"/>
          <w:color w:val="000000" w:themeColor="text1"/>
        </w:rPr>
      </w:pPr>
      <w:bookmarkStart w:id="0" w:name="OLE_LINK4"/>
      <w:r>
        <w:rPr>
          <w:rFonts w:ascii="Book Antiqua" w:eastAsia="Book Antiqua" w:hAnsi="Book Antiqua" w:cs="Book Antiqua"/>
          <w:b/>
          <w:bCs/>
          <w:color w:val="000000" w:themeColor="text1"/>
        </w:rPr>
        <w:t xml:space="preserve">Expression patterns of cluster of differentiation 147 impact the prognosis of </w:t>
      </w:r>
      <w:r>
        <w:rPr>
          <w:rFonts w:ascii="Book Antiqua" w:eastAsia="Book Antiqua" w:hAnsi="Book Antiqua" w:cs="Book Antiqua"/>
          <w:b/>
          <w:bCs/>
          <w:color w:val="000000" w:themeColor="text1"/>
          <w:shd w:val="clear" w:color="auto" w:fill="FFFFFF"/>
        </w:rPr>
        <w:t>hepatocellular carcinoma</w:t>
      </w:r>
    </w:p>
    <w:bookmarkEnd w:id="0"/>
    <w:p w14:paraId="0CD0352A" w14:textId="77777777" w:rsidR="006E364E" w:rsidRDefault="006E364E">
      <w:pPr>
        <w:spacing w:line="360" w:lineRule="auto"/>
        <w:jc w:val="both"/>
        <w:rPr>
          <w:rFonts w:ascii="Book Antiqua" w:hAnsi="Book Antiqua"/>
          <w:color w:val="000000" w:themeColor="text1"/>
        </w:rPr>
      </w:pPr>
    </w:p>
    <w:p w14:paraId="2A9448F4"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Xu YJ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CD147 impact on prognosis of HCC</w:t>
      </w:r>
    </w:p>
    <w:p w14:paraId="15BF7111" w14:textId="77777777" w:rsidR="006E364E" w:rsidRDefault="006E364E">
      <w:pPr>
        <w:spacing w:line="360" w:lineRule="auto"/>
        <w:jc w:val="both"/>
        <w:rPr>
          <w:rFonts w:ascii="Book Antiqua" w:hAnsi="Book Antiqua"/>
          <w:color w:val="000000" w:themeColor="text1"/>
        </w:rPr>
      </w:pPr>
    </w:p>
    <w:p w14:paraId="6C614408"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Yun-ji Xu, Hong-</w:t>
      </w:r>
      <w:proofErr w:type="spellStart"/>
      <w:r>
        <w:rPr>
          <w:rFonts w:ascii="Book Antiqua" w:eastAsia="Book Antiqua" w:hAnsi="Book Antiqua" w:cs="Book Antiqua"/>
          <w:color w:val="000000" w:themeColor="text1"/>
        </w:rPr>
        <w:t>Jie</w:t>
      </w:r>
      <w:proofErr w:type="spellEnd"/>
      <w:r>
        <w:rPr>
          <w:rFonts w:ascii="Book Antiqua" w:eastAsia="Book Antiqua" w:hAnsi="Book Antiqua" w:cs="Book Antiqua"/>
          <w:color w:val="000000" w:themeColor="text1"/>
        </w:rPr>
        <w:t xml:space="preserve"> He, Peng Wu, Wen-Bing Li</w:t>
      </w:r>
    </w:p>
    <w:p w14:paraId="6A7BE336" w14:textId="77777777" w:rsidR="006E364E" w:rsidRDefault="006E364E">
      <w:pPr>
        <w:spacing w:line="360" w:lineRule="auto"/>
        <w:jc w:val="both"/>
        <w:rPr>
          <w:rFonts w:ascii="Book Antiqua" w:hAnsi="Book Antiqua"/>
          <w:color w:val="000000" w:themeColor="text1"/>
        </w:rPr>
      </w:pPr>
    </w:p>
    <w:p w14:paraId="2DC875A5"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Yun-ji Xu, Hong-</w:t>
      </w:r>
      <w:proofErr w:type="spellStart"/>
      <w:r>
        <w:rPr>
          <w:rFonts w:ascii="Book Antiqua" w:eastAsia="Book Antiqua" w:hAnsi="Book Antiqua" w:cs="Book Antiqua"/>
          <w:b/>
          <w:bCs/>
          <w:color w:val="000000" w:themeColor="text1"/>
        </w:rPr>
        <w:t>Jie</w:t>
      </w:r>
      <w:proofErr w:type="spellEnd"/>
      <w:r>
        <w:rPr>
          <w:rFonts w:ascii="Book Antiqua" w:eastAsia="Book Antiqua" w:hAnsi="Book Antiqua" w:cs="Book Antiqua"/>
          <w:b/>
          <w:bCs/>
          <w:color w:val="000000" w:themeColor="text1"/>
        </w:rPr>
        <w:t xml:space="preserve"> He, Peng Wu, Wen-Bing Li, </w:t>
      </w:r>
      <w:r>
        <w:rPr>
          <w:rFonts w:ascii="Book Antiqua" w:eastAsia="Book Antiqua" w:hAnsi="Book Antiqua" w:cs="Book Antiqua"/>
          <w:color w:val="000000" w:themeColor="text1"/>
        </w:rPr>
        <w:t>Department of General Surgery, The Second Affiliated Hospital, Hengyang Medical School, University of South China, Hengyang 421001, Hunan Province, China</w:t>
      </w:r>
    </w:p>
    <w:p w14:paraId="7E560B69" w14:textId="77777777" w:rsidR="006E364E" w:rsidRDefault="006E364E">
      <w:pPr>
        <w:spacing w:line="360" w:lineRule="auto"/>
        <w:jc w:val="both"/>
        <w:rPr>
          <w:rFonts w:ascii="Book Antiqua" w:hAnsi="Book Antiqua"/>
          <w:color w:val="000000" w:themeColor="text1"/>
        </w:rPr>
      </w:pPr>
    </w:p>
    <w:p w14:paraId="4600BE7E"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Xu YJ was responsible for analyzing the data and composing the manuscript; He HJ and </w:t>
      </w:r>
      <w:r>
        <w:rPr>
          <w:rStyle w:val="2"/>
          <w:rFonts w:ascii="Book Antiqua" w:eastAsia="Book Antiqua" w:hAnsi="Book Antiqua" w:cs="Book Antiqua"/>
          <w:color w:val="000000" w:themeColor="text1"/>
        </w:rPr>
        <w:t>Wu P</w:t>
      </w:r>
      <w:r>
        <w:rPr>
          <w:rFonts w:ascii="Book Antiqua" w:eastAsia="Book Antiqua" w:hAnsi="Book Antiqua" w:cs="Book Antiqua"/>
          <w:color w:val="000000" w:themeColor="text1"/>
        </w:rPr>
        <w:t xml:space="preserve"> contributed to acquiring and analyzing data and reviewing the manuscript; Li WB contributed to conceiving and designing the present study; All authors read and approved the final manuscript and confirmed the authenticity of all the raw data.</w:t>
      </w:r>
    </w:p>
    <w:p w14:paraId="2598D1A6" w14:textId="77777777" w:rsidR="006E364E" w:rsidRDefault="006E364E">
      <w:pPr>
        <w:spacing w:line="360" w:lineRule="auto"/>
        <w:jc w:val="both"/>
        <w:rPr>
          <w:rFonts w:ascii="Book Antiqua" w:hAnsi="Book Antiqua"/>
          <w:color w:val="000000" w:themeColor="text1"/>
        </w:rPr>
      </w:pPr>
    </w:p>
    <w:p w14:paraId="72AF9A07"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Wen-Bing Li, PhD, Doctor, </w:t>
      </w:r>
      <w:r>
        <w:rPr>
          <w:rFonts w:ascii="Book Antiqua" w:eastAsia="Book Antiqua" w:hAnsi="Book Antiqua" w:cs="Book Antiqua"/>
          <w:color w:val="000000" w:themeColor="text1"/>
        </w:rPr>
        <w:t>Department of General Surgery, The Second Affiliated Hospital, Hengyang Medical School, University of South China, No. 28, Changsheng West Road, Hengyang 421001, Hunan Province, China. loverpig520@163.com</w:t>
      </w:r>
    </w:p>
    <w:p w14:paraId="55B4FEBF" w14:textId="77777777" w:rsidR="006E364E" w:rsidRDefault="006E364E">
      <w:pPr>
        <w:spacing w:line="360" w:lineRule="auto"/>
        <w:jc w:val="both"/>
        <w:rPr>
          <w:rFonts w:ascii="Book Antiqua" w:hAnsi="Book Antiqua"/>
          <w:color w:val="000000" w:themeColor="text1"/>
        </w:rPr>
      </w:pPr>
    </w:p>
    <w:p w14:paraId="1B9DB723"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March 28, 2023</w:t>
      </w:r>
    </w:p>
    <w:p w14:paraId="0C8773B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May 30, 2023</w:t>
      </w:r>
    </w:p>
    <w:p w14:paraId="436ED739"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June 27, 2023</w:t>
      </w:r>
    </w:p>
    <w:p w14:paraId="0E4371D6" w14:textId="77777777" w:rsidR="006E364E" w:rsidRDefault="00000000">
      <w:pPr>
        <w:spacing w:line="360" w:lineRule="auto"/>
        <w:jc w:val="both"/>
        <w:rPr>
          <w:rFonts w:ascii="Book Antiqua" w:eastAsia="宋体" w:hAnsi="Book Antiqua"/>
          <w:color w:val="000000" w:themeColor="text1"/>
          <w:lang w:eastAsia="zh-CN"/>
        </w:rPr>
      </w:pPr>
      <w:r>
        <w:rPr>
          <w:rFonts w:ascii="Book Antiqua" w:eastAsia="Book Antiqua" w:hAnsi="Book Antiqua" w:cs="Book Antiqua"/>
          <w:b/>
          <w:bCs/>
          <w:color w:val="000000" w:themeColor="text1"/>
        </w:rPr>
        <w:lastRenderedPageBreak/>
        <w:t xml:space="preserve">Published online: </w:t>
      </w:r>
      <w:r>
        <w:rPr>
          <w:rFonts w:ascii="Book Antiqua" w:eastAsia="宋体" w:hAnsi="Book Antiqua" w:cs="Book Antiqua" w:hint="eastAsia"/>
          <w:color w:val="000000" w:themeColor="text1"/>
          <w:lang w:eastAsia="zh-CN"/>
        </w:rPr>
        <w:t>August 15, 2023</w:t>
      </w:r>
    </w:p>
    <w:p w14:paraId="4C72E733" w14:textId="77777777" w:rsidR="006E364E" w:rsidRDefault="006E364E">
      <w:pPr>
        <w:spacing w:line="360" w:lineRule="auto"/>
        <w:jc w:val="both"/>
        <w:rPr>
          <w:rFonts w:ascii="Book Antiqua" w:eastAsia="Book Antiqua" w:hAnsi="Book Antiqua" w:cs="Book Antiqua"/>
          <w:b/>
          <w:color w:val="000000" w:themeColor="text1"/>
        </w:rPr>
      </w:pPr>
    </w:p>
    <w:p w14:paraId="6F1C5BC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Abstract</w:t>
      </w:r>
    </w:p>
    <w:p w14:paraId="2DFAC43B"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0846CF8C" w14:textId="77777777" w:rsidR="006E364E" w:rsidRDefault="00000000">
      <w:pPr>
        <w:spacing w:line="360" w:lineRule="auto"/>
        <w:jc w:val="both"/>
        <w:rPr>
          <w:rFonts w:ascii="Book Antiqua" w:hAnsi="Book Antiqua"/>
          <w:color w:val="000000" w:themeColor="text1"/>
        </w:rPr>
      </w:pPr>
      <w:bookmarkStart w:id="1" w:name="_Hlk137633083"/>
      <w:r>
        <w:rPr>
          <w:rFonts w:ascii="Book Antiqua" w:eastAsia="Book Antiqua" w:hAnsi="Book Antiqua" w:cs="Book Antiqua"/>
          <w:color w:val="000000" w:themeColor="text1"/>
        </w:rPr>
        <w:t>Hepatocellular carcinoma (HCC)</w:t>
      </w:r>
      <w:bookmarkEnd w:id="1"/>
      <w:r>
        <w:rPr>
          <w:rFonts w:ascii="Book Antiqua" w:eastAsia="Book Antiqua" w:hAnsi="Book Antiqua" w:cs="Book Antiqua"/>
          <w:color w:val="000000" w:themeColor="text1"/>
        </w:rPr>
        <w:t xml:space="preserve"> has very low overall survival. According to global cancer statistics, approximately 905677 new cases were reported in 2020, with at least 830180 of them being fatal. Cluster of differentiation 147 (CD147) </w:t>
      </w:r>
      <w:r>
        <w:rPr>
          <w:rStyle w:val="tgt"/>
          <w:rFonts w:ascii="Book Antiqua" w:eastAsia="Book Antiqua" w:hAnsi="Book Antiqua" w:cs="Book Antiqua"/>
          <w:color w:val="000000" w:themeColor="text1"/>
        </w:rPr>
        <w:t xml:space="preserve">is a novel, transmembrane glycoprotein that is expressed in a wide variety of tumor cells and plays an important role in various stages of tumor development. Based on the reports described previously, we theorize that CD147 may be used as a novel biological indicator to predict the prognosis of </w:t>
      </w:r>
      <w:r>
        <w:rPr>
          <w:rFonts w:ascii="Book Antiqua" w:eastAsia="Book Antiqua" w:hAnsi="Book Antiqua" w:cs="Book Antiqua"/>
          <w:color w:val="000000" w:themeColor="text1"/>
        </w:rPr>
        <w:t>HCC</w:t>
      </w:r>
      <w:r>
        <w:rPr>
          <w:rStyle w:val="tgt"/>
          <w:rFonts w:ascii="Book Antiqua" w:eastAsia="Book Antiqua" w:hAnsi="Book Antiqua" w:cs="Book Antiqua"/>
          <w:color w:val="000000" w:themeColor="text1"/>
        </w:rPr>
        <w:t>. To study this possibility, expression profiles of CD147 and corresponding clinical data from The Cancer Genome Atlas (TCGA) and Gene Expression Omnibus (GEO) databases were analyzed, and a hazard ratio (HR) was established.</w:t>
      </w:r>
    </w:p>
    <w:p w14:paraId="1F94E59C" w14:textId="77777777" w:rsidR="006E364E" w:rsidRDefault="006E364E">
      <w:pPr>
        <w:spacing w:line="360" w:lineRule="auto"/>
        <w:jc w:val="both"/>
        <w:rPr>
          <w:rFonts w:ascii="Book Antiqua" w:hAnsi="Book Antiqua"/>
          <w:color w:val="000000" w:themeColor="text1"/>
        </w:rPr>
      </w:pPr>
    </w:p>
    <w:p w14:paraId="2E394A8B"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66ED8B2A"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explore the pattern of CD147 expression and its applicability in the prognosis of HCC. To establish HRs and probability points for predicting the prognosis of HCC by correlating CD147 expression with clinical characteristics. To determine if CD147 can be a reliable biomarker in HCC prognosis.</w:t>
      </w:r>
    </w:p>
    <w:p w14:paraId="4200ADD6" w14:textId="77777777" w:rsidR="006E364E" w:rsidRDefault="006E364E">
      <w:pPr>
        <w:spacing w:line="360" w:lineRule="auto"/>
        <w:jc w:val="both"/>
        <w:rPr>
          <w:rFonts w:ascii="Book Antiqua" w:hAnsi="Book Antiqua"/>
          <w:color w:val="000000" w:themeColor="text1"/>
        </w:rPr>
      </w:pPr>
    </w:p>
    <w:p w14:paraId="2F19D3F1"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0CE49F4B"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CD147 expression profile in HCC and corresponding clinical data were obtained from TCGA database. The expression patterns of CD147 were then validated by analyzing data from the GEO database. In addition, CD147 immunohistochemistry in HCC</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was obtained from the Human Protein Atlas. CD147 expression patterns and clinical characteristics in the prognosis of HCC were analyzed by accessing the UALCAN web resource. Accuracy, sensitivity, and specificity of the CD147 expression profile in predictive prognosis were </w:t>
      </w:r>
      <w:r>
        <w:rPr>
          <w:rFonts w:ascii="Book Antiqua" w:eastAsia="Book Antiqua" w:hAnsi="Book Antiqua" w:cs="Book Antiqua"/>
          <w:color w:val="000000" w:themeColor="text1"/>
          <w:shd w:val="clear" w:color="auto" w:fill="FFFFFF"/>
        </w:rPr>
        <w:t xml:space="preserve">determined by the time-dependent receiver operating characteristic (ROC) curves. Kaplan-Meier curves were plotted to estimate the HR of survival in HCC. Univariate and multivariate Cox regression proportional hazards </w:t>
      </w:r>
      <w:r>
        <w:rPr>
          <w:rFonts w:ascii="Book Antiqua" w:eastAsia="Book Antiqua" w:hAnsi="Book Antiqua" w:cs="Book Antiqua"/>
          <w:color w:val="000000" w:themeColor="text1"/>
          <w:shd w:val="clear" w:color="auto" w:fill="FFFFFF"/>
        </w:rPr>
        <w:lastRenderedPageBreak/>
        <w:t>analyses of CD147 expression levels and clinical characteristics as prognostic factors of HCC were performed. Nomograms were used to establish probability points and predict prognosis.</w:t>
      </w:r>
    </w:p>
    <w:p w14:paraId="39BFB273" w14:textId="77777777" w:rsidR="006E364E" w:rsidRDefault="006E364E">
      <w:pPr>
        <w:spacing w:line="360" w:lineRule="auto"/>
        <w:jc w:val="both"/>
        <w:rPr>
          <w:rFonts w:ascii="Book Antiqua" w:hAnsi="Book Antiqua"/>
          <w:color w:val="000000" w:themeColor="text1"/>
        </w:rPr>
      </w:pPr>
    </w:p>
    <w:p w14:paraId="0A2DB415"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166235F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Data from TCGA and GEO databases revealed that CD147 was significantly overexpressed in HCC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1.624 × 10</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1.2 × 10</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respectively). The expression of CD147 and prognosis of HCC were significantly correlated with the clinical </w:t>
      </w:r>
      <w:r>
        <w:rPr>
          <w:rFonts w:ascii="Book Antiqua" w:eastAsia="Book Antiqua" w:hAnsi="Book Antiqua" w:cs="Book Antiqua"/>
          <w:color w:val="000000" w:themeColor="text1"/>
          <w:shd w:val="clear" w:color="auto" w:fill="FFFFFF"/>
        </w:rPr>
        <w:t>characteristics</w:t>
      </w:r>
      <w:r>
        <w:rPr>
          <w:rFonts w:ascii="Book Antiqua" w:eastAsia="Book Antiqua" w:hAnsi="Book Antiqua" w:cs="Book Antiqua"/>
          <w:color w:val="000000" w:themeColor="text1"/>
        </w:rPr>
        <w:t xml:space="preserve"> of HCC as per the data from the UALCAN web resource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0.05). Kaplan-Meier analysis of CD147 expression in HCC revealed that the high expression groups showed poor prognosis and an HR of survival &gt; 1 [log-rank test,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0.000542, HR (in high expression group): 1.856, 95% confidence interval (CI): 1.308</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2.636]. ROC curves were plotted to analyze the 1-year, 3-year, and 5-year survival rates. The area under the ROC curve values were 0.675 (95%CI: 0.611</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0.740), 0.623 (95%CI: 0.555</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0.692), and 0.664 (95%CI: 0.582</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 xml:space="preserve">9.745), respectively. Univariate Cox analysis of CD147 expression and clinical characteristics of HCC and multivariate Cox analysis of CD147 patterns and pathological tumor-node-metastasis stage showed significant differences (univariate Cox,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0.00013, HR: 1.424, 95%CI: 1.884</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1.707 and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0.00066, HR: 1.376, 95%CI: 1.145</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1.654, respectively; multivariate Cox,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0.00578, HR: 1.507, 95%CI: 1.126</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2.018 and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0.00336, HR: 1.443, 95%CI: 1.129</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1.844, respectively). Nomograms were plotted to establish the probability </w:t>
      </w:r>
      <w:r>
        <w:rPr>
          <w:rFonts w:ascii="Book Antiqua" w:eastAsia="Book Antiqua" w:hAnsi="Book Antiqua" w:cs="Book Antiqua"/>
          <w:color w:val="000000" w:themeColor="text1"/>
          <w:shd w:val="clear" w:color="auto" w:fill="FFFFFF"/>
        </w:rPr>
        <w:t>points and predict prognosis. T</w:t>
      </w:r>
      <w:r>
        <w:rPr>
          <w:rFonts w:ascii="Book Antiqua" w:eastAsia="Book Antiqua" w:hAnsi="Book Antiqua" w:cs="Book Antiqua"/>
          <w:color w:val="000000" w:themeColor="text1"/>
        </w:rPr>
        <w:t>he total points ranged from 0 to 180, and the C-index value was 0.673 (95%CI: 0.600</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 xml:space="preserve">1.000,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w:t>
      </w:r>
    </w:p>
    <w:p w14:paraId="50BDF2C4" w14:textId="77777777" w:rsidR="006E364E" w:rsidRDefault="006E364E">
      <w:pPr>
        <w:spacing w:line="360" w:lineRule="auto"/>
        <w:jc w:val="both"/>
        <w:rPr>
          <w:rFonts w:ascii="Book Antiqua" w:hAnsi="Book Antiqua"/>
          <w:color w:val="000000" w:themeColor="text1"/>
        </w:rPr>
      </w:pPr>
    </w:p>
    <w:p w14:paraId="22172A7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6DC4C1D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Overexpression of CD147 was correlated with poor prognosis in HCC. The CD147 expression profile combined with clinical characteristics can reliably predict the prognosis of HCC. CD147 can serve as a biomarker to predict the prognosis of HCC.</w:t>
      </w:r>
    </w:p>
    <w:p w14:paraId="304E22B0" w14:textId="77777777" w:rsidR="006E364E" w:rsidRDefault="006E364E">
      <w:pPr>
        <w:spacing w:line="360" w:lineRule="auto"/>
        <w:jc w:val="both"/>
        <w:rPr>
          <w:rFonts w:ascii="Book Antiqua" w:hAnsi="Book Antiqua"/>
          <w:color w:val="000000" w:themeColor="text1"/>
        </w:rPr>
      </w:pPr>
    </w:p>
    <w:p w14:paraId="409586E4"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Hepatocellular carcinoma; Cluster of differentiation 147; Prognosis; Clinical characteristics; Hazard ratio</w:t>
      </w:r>
    </w:p>
    <w:p w14:paraId="4364A135" w14:textId="77777777" w:rsidR="006E364E" w:rsidRDefault="006E364E">
      <w:pPr>
        <w:spacing w:line="360" w:lineRule="auto"/>
        <w:jc w:val="both"/>
        <w:rPr>
          <w:rFonts w:ascii="Book Antiqua" w:hAnsi="Book Antiqua"/>
          <w:color w:val="000000" w:themeColor="text1"/>
        </w:rPr>
      </w:pPr>
    </w:p>
    <w:p w14:paraId="4CE358E8" w14:textId="77777777" w:rsidR="0046501B" w:rsidRDefault="0046501B" w:rsidP="0046501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DD48447" w14:textId="77777777" w:rsidR="0046501B" w:rsidRDefault="0046501B">
      <w:pPr>
        <w:spacing w:line="360" w:lineRule="auto"/>
        <w:jc w:val="both"/>
        <w:rPr>
          <w:rFonts w:ascii="Book Antiqua" w:hAnsi="Book Antiqua"/>
          <w:color w:val="000000" w:themeColor="text1"/>
        </w:rPr>
      </w:pPr>
    </w:p>
    <w:p w14:paraId="734F5898" w14:textId="54302836" w:rsidR="0046501B" w:rsidRDefault="0046501B">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Xu YJ, He HJ, Wu P, Li WB. </w:t>
      </w:r>
      <w:bookmarkStart w:id="2" w:name="OLE_LINK1"/>
      <w:r>
        <w:rPr>
          <w:rFonts w:ascii="Book Antiqua" w:eastAsia="Book Antiqua" w:hAnsi="Book Antiqua" w:cs="Book Antiqua"/>
          <w:color w:val="000000" w:themeColor="text1"/>
        </w:rPr>
        <w:t>Expression patterns of cluster of differentiation 147 impact the prognosis of hepatocellular carcinoma</w:t>
      </w:r>
      <w:bookmarkEnd w:id="2"/>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Oncol</w:t>
      </w:r>
      <w:r>
        <w:rPr>
          <w:rFonts w:ascii="Book Antiqua" w:eastAsia="Book Antiqua" w:hAnsi="Book Antiqua" w:cs="Book Antiqua"/>
          <w:color w:val="000000" w:themeColor="text1"/>
        </w:rPr>
        <w:t xml:space="preserve"> 2023; </w:t>
      </w:r>
      <w:r>
        <w:rPr>
          <w:rFonts w:ascii="Book Antiqua" w:eastAsia="Book Antiqua" w:hAnsi="Book Antiqua" w:cs="Book Antiqua" w:hint="eastAsia"/>
          <w:color w:val="000000" w:themeColor="text1"/>
        </w:rPr>
        <w:t>15(</w:t>
      </w:r>
      <w:r>
        <w:rPr>
          <w:rFonts w:ascii="Book Antiqua" w:eastAsia="宋体" w:hAnsi="Book Antiqua" w:cs="Book Antiqua" w:hint="eastAsia"/>
          <w:color w:val="000000" w:themeColor="text1"/>
          <w:lang w:eastAsia="zh-CN"/>
        </w:rPr>
        <w:t>8</w:t>
      </w:r>
      <w:r>
        <w:rPr>
          <w:rFonts w:ascii="Book Antiqua" w:eastAsia="Book Antiqua" w:hAnsi="Book Antiqua" w:cs="Book Antiqua" w:hint="eastAsia"/>
          <w:color w:val="000000" w:themeColor="text1"/>
        </w:rPr>
        <w:t xml:space="preserve">): </w:t>
      </w:r>
      <w:r w:rsidRPr="0046501B">
        <w:rPr>
          <w:rFonts w:ascii="Book Antiqua" w:eastAsia="Book Antiqua" w:hAnsi="Book Antiqua" w:cs="Book Antiqua"/>
          <w:color w:val="000000" w:themeColor="text1"/>
        </w:rPr>
        <w:t>1412-1423</w:t>
      </w:r>
    </w:p>
    <w:p w14:paraId="4E3AA12A" w14:textId="79D8ABC7" w:rsidR="0046501B" w:rsidRDefault="00000000">
      <w:pPr>
        <w:spacing w:line="360" w:lineRule="auto"/>
        <w:jc w:val="both"/>
        <w:rPr>
          <w:rFonts w:ascii="Book Antiqua" w:eastAsia="Book Antiqua" w:hAnsi="Book Antiqua" w:cs="Book Antiqua"/>
          <w:color w:val="000000" w:themeColor="text1"/>
        </w:rPr>
      </w:pPr>
      <w:r w:rsidRPr="0046501B">
        <w:rPr>
          <w:rFonts w:ascii="Book Antiqua" w:eastAsia="Book Antiqua" w:hAnsi="Book Antiqua" w:cs="Book Antiqua" w:hint="eastAsia"/>
          <w:b/>
          <w:bCs/>
          <w:color w:val="000000" w:themeColor="text1"/>
        </w:rPr>
        <w:t>URL</w:t>
      </w:r>
      <w:r>
        <w:rPr>
          <w:rFonts w:ascii="Book Antiqua" w:eastAsia="Book Antiqua" w:hAnsi="Book Antiqua" w:cs="Book Antiqua" w:hint="eastAsia"/>
          <w:color w:val="000000" w:themeColor="text1"/>
        </w:rPr>
        <w:t>: https://www.wjgnet.com/1948-5204/full/v15/i</w:t>
      </w:r>
      <w:r>
        <w:rPr>
          <w:rFonts w:ascii="Book Antiqua" w:eastAsia="宋体" w:hAnsi="Book Antiqua" w:cs="Book Antiqua" w:hint="eastAsia"/>
          <w:color w:val="000000" w:themeColor="text1"/>
          <w:lang w:eastAsia="zh-CN"/>
        </w:rPr>
        <w:t>8</w:t>
      </w:r>
      <w:r>
        <w:rPr>
          <w:rFonts w:ascii="Book Antiqua" w:eastAsia="Book Antiqua" w:hAnsi="Book Antiqua" w:cs="Book Antiqua" w:hint="eastAsia"/>
          <w:color w:val="000000" w:themeColor="text1"/>
        </w:rPr>
        <w:t>/</w:t>
      </w:r>
      <w:r w:rsidR="0046501B" w:rsidRPr="0046501B">
        <w:rPr>
          <w:rFonts w:ascii="Book Antiqua" w:eastAsia="Book Antiqua" w:hAnsi="Book Antiqua" w:cs="Book Antiqua"/>
          <w:color w:val="000000" w:themeColor="text1"/>
        </w:rPr>
        <w:t>1412</w:t>
      </w:r>
      <w:r>
        <w:rPr>
          <w:rFonts w:ascii="Book Antiqua" w:eastAsia="Book Antiqua" w:hAnsi="Book Antiqua" w:cs="Book Antiqua" w:hint="eastAsia"/>
          <w:color w:val="000000" w:themeColor="text1"/>
        </w:rPr>
        <w:t>.htm</w:t>
      </w:r>
    </w:p>
    <w:p w14:paraId="068959EE" w14:textId="2489B7E1" w:rsidR="006E364E" w:rsidRDefault="00000000">
      <w:pPr>
        <w:spacing w:line="360" w:lineRule="auto"/>
        <w:jc w:val="both"/>
        <w:rPr>
          <w:rFonts w:ascii="Book Antiqua" w:hAnsi="Book Antiqua"/>
          <w:color w:val="000000" w:themeColor="text1"/>
        </w:rPr>
      </w:pPr>
      <w:r w:rsidRPr="0046501B">
        <w:rPr>
          <w:rFonts w:ascii="Book Antiqua" w:eastAsia="Book Antiqua" w:hAnsi="Book Antiqua" w:cs="Book Antiqua" w:hint="eastAsia"/>
          <w:b/>
          <w:bCs/>
          <w:color w:val="000000" w:themeColor="text1"/>
        </w:rPr>
        <w:t>DOI</w:t>
      </w:r>
      <w:r>
        <w:rPr>
          <w:rFonts w:ascii="Book Antiqua" w:eastAsia="Book Antiqua" w:hAnsi="Book Antiqua" w:cs="Book Antiqua" w:hint="eastAsia"/>
          <w:color w:val="000000" w:themeColor="text1"/>
        </w:rPr>
        <w:t>: https://dx.doi.org/10.4251/wjgo.v15.i</w:t>
      </w:r>
      <w:r>
        <w:rPr>
          <w:rFonts w:ascii="Book Antiqua" w:eastAsia="宋体" w:hAnsi="Book Antiqua" w:cs="Book Antiqua" w:hint="eastAsia"/>
          <w:color w:val="000000" w:themeColor="text1"/>
          <w:lang w:eastAsia="zh-CN"/>
        </w:rPr>
        <w:t>8</w:t>
      </w:r>
      <w:r>
        <w:rPr>
          <w:rFonts w:ascii="Book Antiqua" w:eastAsia="Book Antiqua" w:hAnsi="Book Antiqua" w:cs="Book Antiqua" w:hint="eastAsia"/>
          <w:color w:val="000000" w:themeColor="text1"/>
        </w:rPr>
        <w:t>.</w:t>
      </w:r>
      <w:r w:rsidR="0046501B" w:rsidRPr="0046501B">
        <w:rPr>
          <w:rFonts w:ascii="Book Antiqua" w:eastAsia="Book Antiqua" w:hAnsi="Book Antiqua" w:cs="Book Antiqua"/>
          <w:color w:val="000000" w:themeColor="text1"/>
        </w:rPr>
        <w:t>1412</w:t>
      </w:r>
    </w:p>
    <w:p w14:paraId="5E4BB39C" w14:textId="77777777" w:rsidR="006E364E" w:rsidRDefault="006E364E">
      <w:pPr>
        <w:spacing w:line="360" w:lineRule="auto"/>
        <w:jc w:val="both"/>
        <w:rPr>
          <w:rFonts w:ascii="Book Antiqua" w:hAnsi="Book Antiqua"/>
          <w:color w:val="000000" w:themeColor="text1"/>
        </w:rPr>
      </w:pPr>
    </w:p>
    <w:p w14:paraId="193651B3"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Hepatocellular carcinoma (HCC) has very low overall survival. The discovery of a </w:t>
      </w:r>
      <w:r>
        <w:rPr>
          <w:rStyle w:val="tgt"/>
          <w:rFonts w:ascii="Book Antiqua" w:eastAsia="Book Antiqua" w:hAnsi="Book Antiqua" w:cs="Book Antiqua"/>
          <w:color w:val="000000" w:themeColor="text1"/>
        </w:rPr>
        <w:t>new biomarker</w:t>
      </w:r>
      <w:r>
        <w:rPr>
          <w:rFonts w:ascii="Book Antiqua" w:eastAsia="Book Antiqua" w:hAnsi="Book Antiqua" w:cs="Book Antiqua"/>
          <w:color w:val="000000" w:themeColor="text1"/>
        </w:rPr>
        <w:t xml:space="preserve"> related to prognosis would improve the prognosis of HCC. Cluster of differentiation 147 (CD147) </w:t>
      </w:r>
      <w:r>
        <w:rPr>
          <w:rStyle w:val="tgt"/>
          <w:rFonts w:ascii="Book Antiqua" w:eastAsia="Book Antiqua" w:hAnsi="Book Antiqua" w:cs="Book Antiqua"/>
          <w:color w:val="000000" w:themeColor="text1"/>
        </w:rPr>
        <w:t>is a novel transmembrane glycoprotein that is expressed in a wide variety of tumor cells and plays an important role in various stages of tumor development.</w:t>
      </w:r>
      <w:r>
        <w:rPr>
          <w:rFonts w:ascii="Book Antiqua" w:eastAsia="Book Antiqua" w:hAnsi="Book Antiqua" w:cs="Book Antiqua"/>
          <w:color w:val="000000" w:themeColor="text1"/>
        </w:rPr>
        <w:t xml:space="preserve"> In our study, we found that CD147 correlated with clinical characteristics and prognosis of HCC. Therefore, we suggest that CD147 can serve as a biomarker to predict the prognosis of HCC.</w:t>
      </w:r>
    </w:p>
    <w:p w14:paraId="53E8F454" w14:textId="77777777" w:rsidR="006E364E" w:rsidRDefault="006E364E">
      <w:pPr>
        <w:spacing w:line="360" w:lineRule="auto"/>
        <w:jc w:val="both"/>
        <w:rPr>
          <w:rFonts w:ascii="Book Antiqua" w:hAnsi="Book Antiqua"/>
          <w:color w:val="000000" w:themeColor="text1"/>
        </w:rPr>
      </w:pPr>
    </w:p>
    <w:p w14:paraId="2AF20C1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22C786F5" w14:textId="77777777" w:rsidR="006E364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Liver cancer is a highly malignant tumor, with a 5-year survival rate of only 10</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Therefore, its treatment is challenging </w:t>
      </w:r>
      <w:proofErr w:type="gramStart"/>
      <w:r>
        <w:rPr>
          <w:rFonts w:ascii="Book Antiqua" w:eastAsia="Book Antiqua" w:hAnsi="Book Antiqua" w:cs="Book Antiqua"/>
          <w:color w:val="000000" w:themeColor="text1"/>
        </w:rPr>
        <w:t>worldwide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Hepatocellular carcinoma (HCC) and cholangiocarcinoma account for 80%-90% and 10%-15% of all primary liver cancers, </w:t>
      </w:r>
      <w:proofErr w:type="gramStart"/>
      <w:r>
        <w:rPr>
          <w:rFonts w:ascii="Book Antiqua" w:eastAsia="Book Antiqua" w:hAnsi="Book Antiqua" w:cs="Book Antiqua"/>
          <w:color w:val="000000" w:themeColor="text1"/>
        </w:rPr>
        <w:t>respectively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According to global cancer statistics, approximately 905677 new cases were reported in 2020, with at least 830180 of them being </w:t>
      </w:r>
      <w:proofErr w:type="gramStart"/>
      <w:r>
        <w:rPr>
          <w:rFonts w:ascii="Book Antiqua" w:eastAsia="Book Antiqua" w:hAnsi="Book Antiqua" w:cs="Book Antiqua"/>
          <w:color w:val="000000" w:themeColor="text1"/>
        </w:rPr>
        <w:t>fatal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w:t>
      </w:r>
      <w:r>
        <w:rPr>
          <w:rStyle w:val="tgt"/>
          <w:rFonts w:ascii="Book Antiqua" w:eastAsia="Book Antiqua" w:hAnsi="Book Antiqua" w:cs="Book Antiqua"/>
          <w:color w:val="000000" w:themeColor="text1"/>
        </w:rPr>
        <w:t xml:space="preserve">It is estimated that by 2025, more than one million individuals will be affected by liver cancer </w:t>
      </w:r>
      <w:proofErr w:type="gramStart"/>
      <w:r>
        <w:rPr>
          <w:rStyle w:val="tgt"/>
          <w:rFonts w:ascii="Book Antiqua" w:eastAsia="Book Antiqua" w:hAnsi="Book Antiqua" w:cs="Book Antiqua"/>
          <w:color w:val="000000" w:themeColor="text1"/>
        </w:rPr>
        <w:t>annually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w:t>
      </w:r>
      <w:r>
        <w:rPr>
          <w:rStyle w:val="tgt"/>
          <w:rFonts w:ascii="Book Antiqua" w:eastAsia="Book Antiqua" w:hAnsi="Book Antiqua" w:cs="Book Antiqua"/>
          <w:color w:val="000000" w:themeColor="text1"/>
        </w:rPr>
        <w:t xml:space="preserve">Surveillance Epidemiology End Results reported </w:t>
      </w:r>
      <w:r>
        <w:rPr>
          <w:rFonts w:ascii="Book Antiqua" w:eastAsia="Book Antiqua" w:hAnsi="Book Antiqua" w:cs="Book Antiqua"/>
          <w:color w:val="000000" w:themeColor="text1"/>
        </w:rPr>
        <w:t>HCC</w:t>
      </w:r>
      <w:r>
        <w:rPr>
          <w:rStyle w:val="tgt"/>
          <w:rFonts w:ascii="Book Antiqua" w:eastAsia="Book Antiqua" w:hAnsi="Book Antiqua" w:cs="Book Antiqua"/>
          <w:color w:val="000000" w:themeColor="text1"/>
        </w:rPr>
        <w:t xml:space="preserve"> to be the fastest-growing cause of cancer-related deaths in the United States since the early 2000s. If this trend continues, it is predicted to become the third leading cause of cancer-related mortality by 2030</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w:t>
      </w:r>
    </w:p>
    <w:p w14:paraId="5B913759" w14:textId="77777777" w:rsidR="006E364E"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The major risk factors for HCC include chronic alcohol consumption, diabetes-related or obesity-related nonalcoholic steatohepatitis, and infection by hepatitis B virus </w:t>
      </w:r>
      <w:r>
        <w:rPr>
          <w:rFonts w:ascii="Book Antiqua" w:eastAsia="Book Antiqua" w:hAnsi="Book Antiqua" w:cs="Book Antiqua"/>
          <w:color w:val="000000" w:themeColor="text1"/>
        </w:rPr>
        <w:lastRenderedPageBreak/>
        <w:t>(HBV) or hepatitis C virus (HCV). T</w:t>
      </w:r>
      <w:r>
        <w:rPr>
          <w:rStyle w:val="tgt"/>
          <w:rFonts w:ascii="Book Antiqua" w:eastAsia="Book Antiqua" w:hAnsi="Book Antiqua" w:cs="Book Antiqua"/>
          <w:color w:val="000000" w:themeColor="text1"/>
        </w:rPr>
        <w:t xml:space="preserve">he high-risk factors for </w:t>
      </w:r>
      <w:r>
        <w:rPr>
          <w:rFonts w:ascii="Book Antiqua" w:eastAsia="Book Antiqua" w:hAnsi="Book Antiqua" w:cs="Book Antiqua"/>
          <w:color w:val="000000" w:themeColor="text1"/>
        </w:rPr>
        <w:t>HCC</w:t>
      </w:r>
      <w:r>
        <w:rPr>
          <w:rStyle w:val="tgt"/>
          <w:rFonts w:ascii="Book Antiqua" w:eastAsia="Book Antiqua" w:hAnsi="Book Antiqua" w:cs="Book Antiqua"/>
          <w:color w:val="000000" w:themeColor="text1"/>
        </w:rPr>
        <w:t xml:space="preserve"> include chronic alcohol consumption, diabetes, and infection by HBV or </w:t>
      </w:r>
      <w:proofErr w:type="gramStart"/>
      <w:r>
        <w:rPr>
          <w:rStyle w:val="tgt"/>
          <w:rFonts w:ascii="Book Antiqua" w:eastAsia="Book Antiqua" w:hAnsi="Book Antiqua" w:cs="Book Antiqua"/>
          <w:color w:val="000000" w:themeColor="text1"/>
        </w:rPr>
        <w:t>HCV</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7,8]</w:t>
      </w:r>
      <w:r>
        <w:rPr>
          <w:rFonts w:ascii="Book Antiqua" w:eastAsia="Book Antiqua" w:hAnsi="Book Antiqua" w:cs="Book Antiqua"/>
          <w:color w:val="000000" w:themeColor="text1"/>
        </w:rPr>
        <w:t xml:space="preserve">. According to Barcelona Clinic Liver Cancer staging system, </w:t>
      </w:r>
      <w:r>
        <w:rPr>
          <w:rStyle w:val="tgt"/>
          <w:rFonts w:ascii="Book Antiqua" w:eastAsia="Book Antiqua" w:hAnsi="Book Antiqua" w:cs="Book Antiqua"/>
          <w:color w:val="000000" w:themeColor="text1"/>
        </w:rPr>
        <w:t xml:space="preserve">several approaches are available for the treatment of </w:t>
      </w:r>
      <w:r>
        <w:rPr>
          <w:rFonts w:ascii="Book Antiqua" w:eastAsia="Book Antiqua" w:hAnsi="Book Antiqua" w:cs="Book Antiqua"/>
          <w:color w:val="000000" w:themeColor="text1"/>
        </w:rPr>
        <w:t>HCC</w:t>
      </w:r>
      <w:r>
        <w:rPr>
          <w:rStyle w:val="tgt"/>
          <w:rFonts w:ascii="Book Antiqua" w:eastAsia="Book Antiqua" w:hAnsi="Book Antiqua" w:cs="Book Antiqua"/>
          <w:color w:val="000000" w:themeColor="text1"/>
        </w:rPr>
        <w:t xml:space="preserve">, such as surgery (early stage), liver transplantation, </w:t>
      </w:r>
      <w:proofErr w:type="spellStart"/>
      <w:r>
        <w:rPr>
          <w:rStyle w:val="tgt"/>
          <w:rFonts w:ascii="Book Antiqua" w:eastAsia="Book Antiqua" w:hAnsi="Book Antiqua" w:cs="Book Antiqua"/>
          <w:color w:val="000000" w:themeColor="text1"/>
        </w:rPr>
        <w:t>transarterial</w:t>
      </w:r>
      <w:proofErr w:type="spellEnd"/>
      <w:r>
        <w:rPr>
          <w:rStyle w:val="tgt"/>
          <w:rFonts w:ascii="Book Antiqua" w:eastAsia="Book Antiqua" w:hAnsi="Book Antiqua" w:cs="Book Antiqua"/>
          <w:color w:val="000000" w:themeColor="text1"/>
        </w:rPr>
        <w:t xml:space="preserve"> chemoembolization, and targeted therapy and </w:t>
      </w:r>
      <w:r>
        <w:rPr>
          <w:rFonts w:ascii="Book Antiqua" w:eastAsia="Book Antiqua" w:hAnsi="Book Antiqua" w:cs="Book Antiqua"/>
          <w:color w:val="000000" w:themeColor="text1"/>
        </w:rPr>
        <w:t xml:space="preserve">local </w:t>
      </w:r>
      <w:proofErr w:type="gramStart"/>
      <w:r>
        <w:rPr>
          <w:rFonts w:ascii="Book Antiqua" w:eastAsia="Book Antiqua" w:hAnsi="Book Antiqua" w:cs="Book Antiqua"/>
          <w:color w:val="000000" w:themeColor="text1"/>
        </w:rPr>
        <w:t>ablation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w:t>
      </w:r>
    </w:p>
    <w:p w14:paraId="6D054312" w14:textId="77777777" w:rsidR="006E364E"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Cluster of differentiation 147 (CD147) </w:t>
      </w:r>
      <w:r>
        <w:rPr>
          <w:rStyle w:val="tgt"/>
          <w:rFonts w:ascii="Book Antiqua" w:eastAsia="Book Antiqua" w:hAnsi="Book Antiqua" w:cs="Book Antiqua"/>
          <w:color w:val="000000" w:themeColor="text1"/>
        </w:rPr>
        <w:t xml:space="preserve">is a novel, transmembrane glycoprotein that is expressed in a wide variety of tumor cells and plays an important role in various stages of tumor </w:t>
      </w:r>
      <w:proofErr w:type="gramStart"/>
      <w:r>
        <w:rPr>
          <w:rStyle w:val="tgt"/>
          <w:rFonts w:ascii="Book Antiqua" w:eastAsia="Book Antiqua" w:hAnsi="Book Antiqua" w:cs="Book Antiqua"/>
          <w:color w:val="000000" w:themeColor="text1"/>
        </w:rPr>
        <w:t>development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10–12]</w:t>
      </w:r>
      <w:r>
        <w:rPr>
          <w:rStyle w:val="tgt"/>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CD147 is encoded by the </w:t>
      </w:r>
      <w:proofErr w:type="spellStart"/>
      <w:r>
        <w:rPr>
          <w:rFonts w:ascii="Book Antiqua" w:eastAsia="Book Antiqua" w:hAnsi="Book Antiqua" w:cs="Book Antiqua"/>
          <w:color w:val="000000" w:themeColor="text1"/>
        </w:rPr>
        <w:t>Basigin</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BSG</w:t>
      </w:r>
      <w:r>
        <w:rPr>
          <w:rFonts w:ascii="Book Antiqua" w:eastAsia="Book Antiqua" w:hAnsi="Book Antiqua" w:cs="Book Antiqua"/>
          <w:color w:val="000000" w:themeColor="text1"/>
        </w:rPr>
        <w:t xml:space="preserve">) gene located on chromosome 19 at the p13.3 </w:t>
      </w:r>
      <w:proofErr w:type="gramStart"/>
      <w:r>
        <w:rPr>
          <w:rFonts w:ascii="Book Antiqua" w:eastAsia="Book Antiqua" w:hAnsi="Book Antiqua" w:cs="Book Antiqua"/>
          <w:color w:val="000000" w:themeColor="text1"/>
        </w:rPr>
        <w:t>locus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11,12]</w:t>
      </w:r>
      <w:r>
        <w:rPr>
          <w:rFonts w:ascii="Book Antiqua" w:eastAsia="Book Antiqua" w:hAnsi="Book Antiqua" w:cs="Book Antiqua"/>
          <w:color w:val="000000" w:themeColor="text1"/>
        </w:rPr>
        <w:t xml:space="preserve">. </w:t>
      </w:r>
      <w:r>
        <w:rPr>
          <w:rStyle w:val="tgt"/>
          <w:rFonts w:ascii="Book Antiqua" w:eastAsia="Book Antiqua" w:hAnsi="Book Antiqua" w:cs="Book Antiqua"/>
          <w:color w:val="000000" w:themeColor="text1"/>
        </w:rPr>
        <w:t>Epithelial and fetal tissues have low expression levels of CD147</w:t>
      </w:r>
      <w:r>
        <w:rPr>
          <w:rFonts w:ascii="Book Antiqua" w:eastAsia="Book Antiqua" w:hAnsi="Book Antiqua" w:cs="Book Antiqua"/>
          <w:color w:val="000000" w:themeColor="text1"/>
          <w:vertAlign w:val="superscript"/>
        </w:rPr>
        <w:t>[13]</w:t>
      </w:r>
      <w:r>
        <w:rPr>
          <w:rStyle w:val="tgt"/>
          <w:rFonts w:ascii="Book Antiqua" w:eastAsia="Book Antiqua" w:hAnsi="Book Antiqua" w:cs="Book Antiqua"/>
          <w:color w:val="000000" w:themeColor="text1"/>
        </w:rPr>
        <w:t xml:space="preserve">. CD147 promotes tumor proliferation, invasion, and </w:t>
      </w:r>
      <w:proofErr w:type="gramStart"/>
      <w:r>
        <w:rPr>
          <w:rStyle w:val="tgt"/>
          <w:rFonts w:ascii="Book Antiqua" w:eastAsia="Book Antiqua" w:hAnsi="Book Antiqua" w:cs="Book Antiqua"/>
          <w:color w:val="000000" w:themeColor="text1"/>
        </w:rPr>
        <w:t>metastasis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14,15]</w:t>
      </w:r>
      <w:r>
        <w:rPr>
          <w:rStyle w:val="tgt"/>
          <w:rFonts w:ascii="Book Antiqua" w:eastAsia="Book Antiqua" w:hAnsi="Book Antiqua" w:cs="Book Antiqua"/>
          <w:color w:val="000000" w:themeColor="text1"/>
        </w:rPr>
        <w:t>, probably by triggering a matrix metalloproteinase (MMP) on the tumor surface</w:t>
      </w:r>
      <w:r>
        <w:rPr>
          <w:rFonts w:ascii="Book Antiqua" w:eastAsia="Book Antiqua" w:hAnsi="Book Antiqua" w:cs="Book Antiqua"/>
          <w:color w:val="000000" w:themeColor="text1"/>
          <w:vertAlign w:val="superscript"/>
        </w:rPr>
        <w:t>[16,17]</w:t>
      </w:r>
      <w:r>
        <w:rPr>
          <w:rStyle w:val="tgt"/>
          <w:rFonts w:ascii="Book Antiqua" w:eastAsia="Book Antiqua" w:hAnsi="Book Antiqua" w:cs="Book Antiqua"/>
          <w:color w:val="000000" w:themeColor="text1"/>
        </w:rPr>
        <w:t xml:space="preserve">. The expression of CD147 is upregulated in various tumors </w:t>
      </w:r>
      <w:r>
        <w:rPr>
          <w:rFonts w:ascii="Book Antiqua" w:eastAsia="Book Antiqua" w:hAnsi="Book Antiqua" w:cs="Book Antiqua"/>
          <w:color w:val="000000" w:themeColor="text1"/>
        </w:rPr>
        <w:t xml:space="preserve">including breast cancer, bladder cancer, colorectal cancer, ovarian cancer, melanoma, and </w:t>
      </w:r>
      <w:proofErr w:type="gramStart"/>
      <w:r>
        <w:rPr>
          <w:rFonts w:ascii="Book Antiqua" w:eastAsia="Book Antiqua" w:hAnsi="Book Antiqua" w:cs="Book Antiqua"/>
          <w:color w:val="000000" w:themeColor="text1"/>
        </w:rPr>
        <w:t>osteosarcoma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18,19]</w:t>
      </w:r>
      <w:r>
        <w:rPr>
          <w:rFonts w:ascii="Book Antiqua" w:eastAsia="Book Antiqua" w:hAnsi="Book Antiqua" w:cs="Book Antiqua"/>
          <w:color w:val="000000" w:themeColor="text1"/>
        </w:rPr>
        <w:t xml:space="preserve"> as well as in HCC</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xml:space="preserve">. </w:t>
      </w:r>
      <w:r>
        <w:rPr>
          <w:rStyle w:val="tgt"/>
          <w:rFonts w:ascii="Book Antiqua" w:eastAsia="Book Antiqua" w:hAnsi="Book Antiqua" w:cs="Book Antiqua"/>
          <w:color w:val="000000" w:themeColor="text1"/>
        </w:rPr>
        <w:t xml:space="preserve">CD147 is highly expressed in ovarian cancer and in combination with human epididymis protein 4 may act as a novel indicator for the diagnosis and treatment of early ovarian </w:t>
      </w:r>
      <w:proofErr w:type="gramStart"/>
      <w:r>
        <w:rPr>
          <w:rStyle w:val="tgt"/>
          <w:rFonts w:ascii="Book Antiqua" w:eastAsia="Book Antiqua" w:hAnsi="Book Antiqua" w:cs="Book Antiqua"/>
          <w:color w:val="000000" w:themeColor="text1"/>
        </w:rPr>
        <w:t>cancer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Style w:val="tgt"/>
          <w:rFonts w:ascii="Book Antiqua" w:eastAsia="Book Antiqua" w:hAnsi="Book Antiqua" w:cs="Book Antiqua"/>
          <w:color w:val="000000" w:themeColor="text1"/>
        </w:rPr>
        <w:t>.</w:t>
      </w:r>
    </w:p>
    <w:p w14:paraId="7DEAFF66" w14:textId="77777777" w:rsidR="006E364E" w:rsidRDefault="00000000">
      <w:pPr>
        <w:spacing w:line="360" w:lineRule="auto"/>
        <w:ind w:firstLine="480"/>
        <w:jc w:val="both"/>
        <w:rPr>
          <w:rFonts w:ascii="Book Antiqua" w:hAnsi="Book Antiqua"/>
          <w:color w:val="000000" w:themeColor="text1"/>
        </w:rPr>
      </w:pPr>
      <w:r>
        <w:rPr>
          <w:rStyle w:val="tgt"/>
          <w:rFonts w:ascii="Book Antiqua" w:eastAsia="Book Antiqua" w:hAnsi="Book Antiqua" w:cs="Book Antiqua"/>
          <w:color w:val="000000" w:themeColor="text1"/>
        </w:rPr>
        <w:t xml:space="preserve">Based on the reports described previously, we theorize that CD147 may be used as a novel biological indicator to predict the prognosis of </w:t>
      </w:r>
      <w:r>
        <w:rPr>
          <w:rFonts w:ascii="Book Antiqua" w:eastAsia="Book Antiqua" w:hAnsi="Book Antiqua" w:cs="Book Antiqua"/>
          <w:color w:val="000000" w:themeColor="text1"/>
        </w:rPr>
        <w:t>HCC</w:t>
      </w:r>
      <w:r>
        <w:rPr>
          <w:rStyle w:val="tgt"/>
          <w:rFonts w:ascii="Book Antiqua" w:eastAsia="Book Antiqua" w:hAnsi="Book Antiqua" w:cs="Book Antiqua"/>
          <w:color w:val="000000" w:themeColor="text1"/>
        </w:rPr>
        <w:t>. To study this possibility, expression profiles of CD147 and corresponding clinical data from The Cancer Genome Atlas (TCGA) and Gene Expression Omnibus (GEO) databases were analyzed, and a hazard ratio (HR) was established.</w:t>
      </w:r>
    </w:p>
    <w:p w14:paraId="3B54E19E" w14:textId="77777777" w:rsidR="006E364E" w:rsidRDefault="006E364E">
      <w:pPr>
        <w:spacing w:line="360" w:lineRule="auto"/>
        <w:ind w:firstLine="480"/>
        <w:jc w:val="both"/>
        <w:rPr>
          <w:rFonts w:ascii="Book Antiqua" w:hAnsi="Book Antiqua"/>
          <w:color w:val="000000" w:themeColor="text1"/>
        </w:rPr>
      </w:pPr>
    </w:p>
    <w:p w14:paraId="4260441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0220EA18" w14:textId="77777777" w:rsidR="006E364E"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shd w:val="clear" w:color="auto" w:fill="FFFFFF"/>
        </w:rPr>
        <w:t>Data collection</w:t>
      </w:r>
    </w:p>
    <w:p w14:paraId="43C155F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transcriptome profile of HCC was obtained from TCGA using the </w:t>
      </w:r>
      <w:proofErr w:type="spellStart"/>
      <w:r>
        <w:rPr>
          <w:rFonts w:ascii="Book Antiqua" w:eastAsia="Book Antiqua" w:hAnsi="Book Antiqua" w:cs="Book Antiqua"/>
          <w:color w:val="000000" w:themeColor="text1"/>
        </w:rPr>
        <w:t>TCGAbiolinks</w:t>
      </w:r>
      <w:proofErr w:type="spellEnd"/>
      <w:r>
        <w:rPr>
          <w:rFonts w:ascii="Book Antiqua" w:eastAsia="Book Antiqua" w:hAnsi="Book Antiqua" w:cs="Book Antiqua"/>
          <w:color w:val="000000" w:themeColor="text1"/>
        </w:rPr>
        <w:t xml:space="preserve"> package. The dataset included 50 normal and 371 tumor samples [TCGA-Liver Hepatocellular Carcinoma (LIHC)]. The GSE112790 dataset (based on the GPL570 platform), which included 15 normal and 183 tumor tissues, was acquired from the GEO database (https://www.ncbi.nlm.nih.gov/geo/) for external validation of the prognostic gene signature. The workflow is illustrated in Figure 1.</w:t>
      </w:r>
    </w:p>
    <w:p w14:paraId="6B0C9863" w14:textId="77777777" w:rsidR="006E364E" w:rsidRDefault="006E364E">
      <w:pPr>
        <w:spacing w:line="360" w:lineRule="auto"/>
        <w:jc w:val="both"/>
        <w:rPr>
          <w:rFonts w:ascii="Book Antiqua" w:eastAsia="Book Antiqua" w:hAnsi="Book Antiqua" w:cs="Book Antiqua"/>
          <w:b/>
          <w:bCs/>
          <w:color w:val="000000" w:themeColor="text1"/>
        </w:rPr>
      </w:pPr>
    </w:p>
    <w:p w14:paraId="5D3EF7C3" w14:textId="77777777" w:rsidR="006E364E"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Analysis of patterns in CD147 expression</w:t>
      </w:r>
    </w:p>
    <w:p w14:paraId="53B3DFF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To determine the expression patterns of CD147, gene expression analysis was performed on the TCGA-LIHC dataset using the R package cluster profiler. The samples with no significant expression value and insufficient survival information were excluded. The </w:t>
      </w:r>
      <w:r>
        <w:rPr>
          <w:rFonts w:ascii="Book Antiqua" w:eastAsia="Book Antiqua" w:hAnsi="Book Antiqua" w:cs="Book Antiqua"/>
          <w:color w:val="000000" w:themeColor="text1"/>
        </w:rPr>
        <w:t>clinical characteristics including age, sex, pathological tumor-node-metastasis (</w:t>
      </w:r>
      <w:proofErr w:type="spellStart"/>
      <w:r>
        <w:rPr>
          <w:rFonts w:ascii="Book Antiqua" w:eastAsia="Book Antiqua" w:hAnsi="Book Antiqua" w:cs="Book Antiqua"/>
          <w:color w:val="000000" w:themeColor="text1"/>
        </w:rPr>
        <w:t>pTNM</w:t>
      </w:r>
      <w:proofErr w:type="spellEnd"/>
      <w:r>
        <w:rPr>
          <w:rFonts w:ascii="Book Antiqua" w:eastAsia="Book Antiqua" w:hAnsi="Book Antiqua" w:cs="Book Antiqua"/>
          <w:color w:val="000000" w:themeColor="text1"/>
        </w:rPr>
        <w:t>), tumor grade, metastatic status, overall survival (OS) time, and survival status were obtained from the patients’ data. The expression profile of CD147 was analyzed, and its prognostic value was validated in the GSE112790 dataset.</w:t>
      </w:r>
    </w:p>
    <w:p w14:paraId="36A3BE54" w14:textId="77777777" w:rsidR="006E364E" w:rsidRDefault="006E364E">
      <w:pPr>
        <w:spacing w:line="360" w:lineRule="auto"/>
        <w:jc w:val="both"/>
        <w:rPr>
          <w:rFonts w:ascii="Book Antiqua" w:eastAsia="Book Antiqua" w:hAnsi="Book Antiqua" w:cs="Book Antiqua"/>
          <w:b/>
          <w:bCs/>
          <w:color w:val="000000" w:themeColor="text1"/>
        </w:rPr>
      </w:pPr>
    </w:p>
    <w:p w14:paraId="42C96DD0" w14:textId="77777777" w:rsidR="006E364E"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Analysis of mRNA expression profile of CD147 using UALCAN</w:t>
      </w:r>
    </w:p>
    <w:p w14:paraId="4486A179"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UALCAN (http://ualcan.path.uab.edu) is an interactive web resource designed to analyze the relative mRNA expression patterns of potential genes (TCGA and MET500 transcriptome sequencing) and their relationship with various tumor subtypes. UALCAN was utilized to obtain the mRNA expression profile of CD147 in HCC tissues and ascertain its association with clinical characteristics.</w:t>
      </w:r>
    </w:p>
    <w:p w14:paraId="7BED81C9" w14:textId="77777777" w:rsidR="006E364E" w:rsidRDefault="006E364E">
      <w:pPr>
        <w:spacing w:line="360" w:lineRule="auto"/>
        <w:jc w:val="both"/>
        <w:rPr>
          <w:rFonts w:ascii="Book Antiqua" w:eastAsia="Book Antiqua" w:hAnsi="Book Antiqua" w:cs="Book Antiqua"/>
          <w:b/>
          <w:bCs/>
          <w:color w:val="000000" w:themeColor="text1"/>
          <w:shd w:val="clear" w:color="auto" w:fill="FFFFFF"/>
        </w:rPr>
      </w:pPr>
    </w:p>
    <w:p w14:paraId="6198EC43" w14:textId="77777777" w:rsidR="006E364E"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shd w:val="clear" w:color="auto" w:fill="FFFFFF"/>
        </w:rPr>
        <w:t>Analysis of survival parameters</w:t>
      </w:r>
    </w:p>
    <w:p w14:paraId="42ACA3E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The correlation between the expression of CD147 and OS of patients with HCC was analyzed by univariate and multivariate Cox proportional hazards regression analyses. The time</w:t>
      </w:r>
      <w:r>
        <w:rPr>
          <w:rFonts w:ascii="Book Antiqua" w:eastAsia="Book Antiqua" w:hAnsi="Book Antiqua" w:cs="Book Antiqua"/>
          <w:color w:val="000000" w:themeColor="text1"/>
          <w:shd w:val="clear" w:color="auto" w:fill="FFFFFF"/>
        </w:rPr>
        <w:noBreakHyphen/>
        <w:t xml:space="preserve">dependent receiver operating characteristic (ROC) curve and Kaplan-Meier curve were generated to assess the prognostic ability of CD147. A prognostic nomogram was also constructed based on the results obtained from the multivariate Cox regression analysis to predict the 1-year, 3-year, and 5-year survival rates and overall recurrence. The log-rank test was used for calculating </w:t>
      </w:r>
      <w:r>
        <w:rPr>
          <w:rFonts w:ascii="Book Antiqua" w:eastAsia="Book Antiqua" w:hAnsi="Book Antiqua" w:cs="Book Antiqua"/>
          <w:color w:val="000000" w:themeColor="text1"/>
        </w:rPr>
        <w:t>HR with a 95% confidence interval (CI).</w:t>
      </w:r>
    </w:p>
    <w:p w14:paraId="74198FEA" w14:textId="77777777" w:rsidR="006E364E" w:rsidRDefault="006E364E">
      <w:pPr>
        <w:spacing w:line="360" w:lineRule="auto"/>
        <w:jc w:val="both"/>
        <w:rPr>
          <w:rFonts w:ascii="Book Antiqua" w:eastAsia="Book Antiqua" w:hAnsi="Book Antiqua" w:cs="Book Antiqua"/>
          <w:b/>
          <w:bCs/>
          <w:color w:val="000000" w:themeColor="text1"/>
        </w:rPr>
      </w:pPr>
    </w:p>
    <w:p w14:paraId="13B2F587" w14:textId="77777777" w:rsidR="006E364E"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Statistical analysis</w:t>
      </w:r>
    </w:p>
    <w:p w14:paraId="5381F6B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All analyses were performed using R software (version 4.0.3, foundation for statistical computing, 2020) and its related packages unless stated otherwise. The </w:t>
      </w:r>
      <w:proofErr w:type="gramStart"/>
      <w:r>
        <w:rPr>
          <w:rFonts w:ascii="Book Antiqua" w:eastAsia="Book Antiqua" w:hAnsi="Book Antiqua" w:cs="Book Antiqua"/>
          <w:color w:val="000000" w:themeColor="text1"/>
          <w:shd w:val="clear" w:color="auto" w:fill="FFFFFF"/>
        </w:rPr>
        <w:t>Student’s</w:t>
      </w:r>
      <w:proofErr w:type="gramEnd"/>
      <w:r>
        <w:rPr>
          <w:rFonts w:ascii="Book Antiqua" w:eastAsia="Book Antiqua" w:hAnsi="Book Antiqua" w:cs="Book Antiqua"/>
          <w:color w:val="000000" w:themeColor="text1"/>
          <w:shd w:val="clear" w:color="auto" w:fill="FFFFFF"/>
        </w:rPr>
        <w:t xml:space="preserve"> </w:t>
      </w:r>
      <w:r>
        <w:rPr>
          <w:rFonts w:ascii="Book Antiqua" w:eastAsia="Book Antiqua" w:hAnsi="Book Antiqua" w:cs="Book Antiqua"/>
          <w:i/>
          <w:iCs/>
          <w:color w:val="000000" w:themeColor="text1"/>
          <w:shd w:val="clear" w:color="auto" w:fill="FFFFFF"/>
        </w:rPr>
        <w:t>t</w:t>
      </w:r>
      <w:r>
        <w:rPr>
          <w:rFonts w:ascii="Book Antiqua" w:eastAsia="Book Antiqua" w:hAnsi="Book Antiqua" w:cs="Book Antiqua"/>
          <w:color w:val="000000" w:themeColor="text1"/>
          <w:shd w:val="clear" w:color="auto" w:fill="FFFFFF"/>
        </w:rPr>
        <w:t xml:space="preserve">-test </w:t>
      </w:r>
      <w:r>
        <w:rPr>
          <w:rFonts w:ascii="Book Antiqua" w:eastAsia="Book Antiqua" w:hAnsi="Book Antiqua" w:cs="Book Antiqua"/>
          <w:color w:val="000000" w:themeColor="text1"/>
          <w:shd w:val="clear" w:color="auto" w:fill="FFFFFF"/>
        </w:rPr>
        <w:lastRenderedPageBreak/>
        <w:t xml:space="preserve">was used to determine if the differences between the two groups were statistically significant. A value of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&lt; 0.05 </w:t>
      </w:r>
      <w:proofErr w:type="gramStart"/>
      <w:r>
        <w:rPr>
          <w:rFonts w:ascii="Book Antiqua" w:eastAsia="Book Antiqua" w:hAnsi="Book Antiqua" w:cs="Book Antiqua"/>
          <w:color w:val="000000" w:themeColor="text1"/>
          <w:shd w:val="clear" w:color="auto" w:fill="FFFFFF"/>
        </w:rPr>
        <w:t>was considered to be</w:t>
      </w:r>
      <w:proofErr w:type="gramEnd"/>
      <w:r>
        <w:rPr>
          <w:rFonts w:ascii="Book Antiqua" w:eastAsia="Book Antiqua" w:hAnsi="Book Antiqua" w:cs="Book Antiqua"/>
          <w:color w:val="000000" w:themeColor="text1"/>
          <w:shd w:val="clear" w:color="auto" w:fill="FFFFFF"/>
        </w:rPr>
        <w:t xml:space="preserve"> statistically significant.</w:t>
      </w:r>
    </w:p>
    <w:p w14:paraId="3BE28693" w14:textId="77777777" w:rsidR="006E364E" w:rsidRDefault="006E364E">
      <w:pPr>
        <w:spacing w:line="360" w:lineRule="auto"/>
        <w:jc w:val="both"/>
        <w:rPr>
          <w:rFonts w:ascii="Book Antiqua" w:hAnsi="Book Antiqua"/>
          <w:color w:val="000000" w:themeColor="text1"/>
        </w:rPr>
      </w:pPr>
    </w:p>
    <w:p w14:paraId="7C5182C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5E13E4A9" w14:textId="77777777" w:rsidR="006E364E"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The expression of CD147 and immunohistochemistry in HCC</w:t>
      </w:r>
    </w:p>
    <w:p w14:paraId="3C3820B4"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CD147 expression profile was obtained from the TCGA database and GSE112790 dataset from the GEO database. The analysis revealed that CD147 was significantly overexpressed in tumors compared to normal tissues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1.624 × 10</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1.2 × 10</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respectively, Figure 2). In addition, the immunohistochemistry profile of CD147 in HCC</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was obtained from the Human Protein Atlas (</w:t>
      </w:r>
      <w:r>
        <w:rPr>
          <w:rFonts w:ascii="Book Antiqua" w:eastAsia="Book Antiqua" w:hAnsi="Book Antiqua" w:cs="Book Antiqua"/>
          <w:color w:val="000000" w:themeColor="text1"/>
          <w:u w:color="0000FF"/>
        </w:rPr>
        <w:t>https://www.proteinatlas.org</w:t>
      </w:r>
      <w:r>
        <w:rPr>
          <w:rFonts w:ascii="Book Antiqua" w:eastAsia="Book Antiqua" w:hAnsi="Book Antiqua" w:cs="Book Antiqua"/>
          <w:color w:val="000000" w:themeColor="text1"/>
        </w:rPr>
        <w:t>) (Figure 3).</w:t>
      </w:r>
    </w:p>
    <w:p w14:paraId="504B7627" w14:textId="77777777" w:rsidR="006E364E" w:rsidRDefault="006E364E">
      <w:pPr>
        <w:spacing w:line="360" w:lineRule="auto"/>
        <w:jc w:val="both"/>
        <w:rPr>
          <w:rFonts w:ascii="Book Antiqua" w:eastAsia="Book Antiqua" w:hAnsi="Book Antiqua" w:cs="Book Antiqua"/>
          <w:b/>
          <w:bCs/>
          <w:color w:val="000000" w:themeColor="text1"/>
        </w:rPr>
      </w:pPr>
    </w:p>
    <w:p w14:paraId="7A008B0F" w14:textId="77777777" w:rsidR="006E364E"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The expression of CD147 in the clinical classification of HCC</w:t>
      </w:r>
    </w:p>
    <w:p w14:paraId="01E3B6F0"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expression of CD147 in comparison to clinical characteristics of HCC obtained from the TCGA database was analyzed using UALCAN. The expression of CD147 was compared to age, sex, tumor grade, </w:t>
      </w:r>
      <w:proofErr w:type="spellStart"/>
      <w:r>
        <w:rPr>
          <w:rFonts w:ascii="Book Antiqua" w:eastAsia="Book Antiqua" w:hAnsi="Book Antiqua" w:cs="Book Antiqua"/>
          <w:color w:val="000000" w:themeColor="text1"/>
        </w:rPr>
        <w:t>pTNM</w:t>
      </w:r>
      <w:proofErr w:type="spellEnd"/>
      <w:r>
        <w:rPr>
          <w:rFonts w:ascii="Book Antiqua" w:eastAsia="Book Antiqua" w:hAnsi="Book Antiqua" w:cs="Book Antiqua"/>
          <w:color w:val="000000" w:themeColor="text1"/>
        </w:rPr>
        <w:t xml:space="preserve">, weight, histology, metastatic status, and mutation in the </w:t>
      </w:r>
      <w:r>
        <w:rPr>
          <w:rFonts w:ascii="Book Antiqua" w:eastAsia="Book Antiqua" w:hAnsi="Book Antiqua" w:cs="Book Antiqua"/>
          <w:i/>
          <w:iCs/>
          <w:color w:val="000000" w:themeColor="text1"/>
        </w:rPr>
        <w:t>TP53</w:t>
      </w:r>
      <w:r>
        <w:rPr>
          <w:rFonts w:ascii="Book Antiqua" w:eastAsia="Book Antiqua" w:hAnsi="Book Antiqua" w:cs="Book Antiqua"/>
          <w:color w:val="000000" w:themeColor="text1"/>
        </w:rPr>
        <w:t xml:space="preserve"> gene. The expression of CD147 showed significant differences in each criterion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Figure 4).</w:t>
      </w:r>
    </w:p>
    <w:p w14:paraId="17EDCBAA" w14:textId="77777777" w:rsidR="006E364E" w:rsidRDefault="006E364E">
      <w:pPr>
        <w:spacing w:line="360" w:lineRule="auto"/>
        <w:jc w:val="both"/>
        <w:rPr>
          <w:rFonts w:ascii="Book Antiqua" w:eastAsia="Book Antiqua" w:hAnsi="Book Antiqua" w:cs="Book Antiqua"/>
          <w:b/>
          <w:bCs/>
          <w:color w:val="000000" w:themeColor="text1"/>
        </w:rPr>
      </w:pPr>
    </w:p>
    <w:p w14:paraId="18AAEE43" w14:textId="77777777" w:rsidR="006E364E"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CD147 is correlated with prognosis and HR in HCC</w:t>
      </w:r>
    </w:p>
    <w:p w14:paraId="70833EFA"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correlation between CD147 expression and prognosis of HCC concerning tumor grade, weight, race</w:t>
      </w:r>
      <w:r>
        <w:rPr>
          <w:rFonts w:ascii="Book Antiqua" w:eastAsia="宋体" w:hAnsi="Book Antiqua" w:cs="宋体"/>
          <w:color w:val="000000" w:themeColor="text1"/>
          <w:lang w:eastAsia="zh-CN"/>
        </w:rPr>
        <w:t xml:space="preserve">, </w:t>
      </w:r>
      <w:r>
        <w:rPr>
          <w:rFonts w:ascii="Book Antiqua" w:eastAsia="Book Antiqua" w:hAnsi="Book Antiqua" w:cs="Book Antiqua"/>
          <w:color w:val="000000" w:themeColor="text1"/>
        </w:rPr>
        <w:t>sex, and OS time data obtained from the TCGA database showed statistically significant differences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0.065,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0.0016,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0.0045,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0.0078,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 0.00046, respectively, Figure 5). Kaplan-Meier </w:t>
      </w:r>
      <w:proofErr w:type="gramStart"/>
      <w:r>
        <w:rPr>
          <w:rFonts w:ascii="Book Antiqua" w:eastAsia="Book Antiqua" w:hAnsi="Book Antiqua" w:cs="Book Antiqua"/>
          <w:color w:val="000000" w:themeColor="text1"/>
        </w:rPr>
        <w:t>curve based</w:t>
      </w:r>
      <w:proofErr w:type="gramEnd"/>
      <w:r>
        <w:rPr>
          <w:rFonts w:ascii="Book Antiqua" w:eastAsia="Book Antiqua" w:hAnsi="Book Antiqua" w:cs="Book Antiqua"/>
          <w:color w:val="000000" w:themeColor="text1"/>
        </w:rPr>
        <w:t xml:space="preserve"> survival analysis in low-expression and high-expression groups of CD147 was conducted by the log-rank test (Figure 6). The high-expression groups demonstrated poor prognosis and HR &gt; 1 (log-rank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0.000542, HR: 1.856, 95%CI: 1.308</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2.636, Figure 6B). Based on the area under the ROC curve values obtained from ROC curves, the 1-year, 3-year, and 5-year survival rates were 0.675 (95%CI: 0.611</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0.740), 0.623 (95%CI: 0.555</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0.692), and 0.664 (95%CI: 0.582</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9.745) (Figure 6C).</w:t>
      </w:r>
    </w:p>
    <w:p w14:paraId="7613F753" w14:textId="77777777" w:rsidR="006E364E" w:rsidRDefault="006E364E">
      <w:pPr>
        <w:spacing w:line="360" w:lineRule="auto"/>
        <w:jc w:val="both"/>
        <w:rPr>
          <w:rFonts w:ascii="Book Antiqua" w:eastAsia="Book Antiqua" w:hAnsi="Book Antiqua" w:cs="Book Antiqua"/>
          <w:b/>
          <w:bCs/>
          <w:color w:val="000000" w:themeColor="text1"/>
        </w:rPr>
      </w:pPr>
    </w:p>
    <w:p w14:paraId="77042AC1" w14:textId="77777777" w:rsidR="006E364E"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lastRenderedPageBreak/>
        <w:t xml:space="preserve">Nomograms established the probability points of CD147 expression in </w:t>
      </w:r>
      <w:proofErr w:type="gramStart"/>
      <w:r>
        <w:rPr>
          <w:rFonts w:ascii="Book Antiqua" w:eastAsia="Book Antiqua" w:hAnsi="Book Antiqua" w:cs="Book Antiqua"/>
          <w:b/>
          <w:bCs/>
          <w:i/>
          <w:iCs/>
          <w:color w:val="000000" w:themeColor="text1"/>
        </w:rPr>
        <w:t>HCC</w:t>
      </w:r>
      <w:proofErr w:type="gramEnd"/>
    </w:p>
    <w:p w14:paraId="75E914D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CD147 expression and age, sex, </w:t>
      </w:r>
      <w:proofErr w:type="spellStart"/>
      <w:r>
        <w:rPr>
          <w:rFonts w:ascii="Book Antiqua" w:eastAsia="Book Antiqua" w:hAnsi="Book Antiqua" w:cs="Book Antiqua"/>
          <w:color w:val="000000" w:themeColor="text1"/>
        </w:rPr>
        <w:t>pTNM</w:t>
      </w:r>
      <w:proofErr w:type="spellEnd"/>
      <w:r>
        <w:rPr>
          <w:rFonts w:ascii="Book Antiqua" w:eastAsia="Book Antiqua" w:hAnsi="Book Antiqua" w:cs="Book Antiqua"/>
          <w:color w:val="000000" w:themeColor="text1"/>
        </w:rPr>
        <w:t xml:space="preserve">-stage, tumor grade, and HR of a new HCC tumor was analyzed by univariate and multivariate Cox regression analysis. The CD147 expression and </w:t>
      </w:r>
      <w:proofErr w:type="spellStart"/>
      <w:r>
        <w:rPr>
          <w:rFonts w:ascii="Book Antiqua" w:eastAsia="Book Antiqua" w:hAnsi="Book Antiqua" w:cs="Book Antiqua"/>
          <w:color w:val="000000" w:themeColor="text1"/>
        </w:rPr>
        <w:t>pTNM</w:t>
      </w:r>
      <w:proofErr w:type="spellEnd"/>
      <w:r>
        <w:rPr>
          <w:rFonts w:ascii="Book Antiqua" w:eastAsia="Book Antiqua" w:hAnsi="Book Antiqua" w:cs="Book Antiqua"/>
          <w:color w:val="000000" w:themeColor="text1"/>
        </w:rPr>
        <w:t xml:space="preserve">-stage showed significant differences (univariate,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0.00013, HR: 1.424, 95%CI: 1.884</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 xml:space="preserve">1.707 and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0.00066, HR: 1.376, 95%CI: 1.145</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 xml:space="preserve">1.654, respectively, Figure 7A; multivariate,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0.00578, HR: 1.507, 95%CI: 1.126</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2.018 and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0.00336, HR: 1.443, 95%CI: 1.129</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1.844, respectively, Figure 7B). Accordingly, the factors of CD147 expression and </w:t>
      </w:r>
      <w:proofErr w:type="spellStart"/>
      <w:r>
        <w:rPr>
          <w:rFonts w:ascii="Book Antiqua" w:eastAsia="Book Antiqua" w:hAnsi="Book Antiqua" w:cs="Book Antiqua"/>
          <w:color w:val="000000" w:themeColor="text1"/>
        </w:rPr>
        <w:t>pTNM</w:t>
      </w:r>
      <w:proofErr w:type="spellEnd"/>
      <w:r>
        <w:rPr>
          <w:rFonts w:ascii="Book Antiqua" w:eastAsia="Book Antiqua" w:hAnsi="Book Antiqua" w:cs="Book Antiqua"/>
          <w:color w:val="000000" w:themeColor="text1"/>
        </w:rPr>
        <w:t>-stage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were selected to establish a prognostic nomogram for HCC. The total points ranged from 0 to 180, and the C-index value was 0.673 (95%CI: 0.600</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 xml:space="preserve">1.000,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Figure 7C).</w:t>
      </w:r>
    </w:p>
    <w:p w14:paraId="09D15726" w14:textId="77777777" w:rsidR="006E364E" w:rsidRDefault="006E364E">
      <w:pPr>
        <w:spacing w:line="360" w:lineRule="auto"/>
        <w:ind w:firstLine="480"/>
        <w:jc w:val="both"/>
        <w:rPr>
          <w:rFonts w:ascii="Book Antiqua" w:hAnsi="Book Antiqua"/>
          <w:color w:val="000000" w:themeColor="text1"/>
        </w:rPr>
      </w:pPr>
    </w:p>
    <w:p w14:paraId="3F08F498"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559C3000"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expression profile of CD147 in HCC was obtained from the TCGA database and was verified in the GSE112790 dataset obtained from the GEO database. The expression of CD147 was significantly higher in HCC than in normal tissue. In addition, analysis using UALCAN revealed that the expression of CD147 was closely associated with clinical characteristics of HCC, including age, sex, </w:t>
      </w:r>
      <w:proofErr w:type="spellStart"/>
      <w:r>
        <w:rPr>
          <w:rFonts w:ascii="Book Antiqua" w:eastAsia="Book Antiqua" w:hAnsi="Book Antiqua" w:cs="Book Antiqua"/>
          <w:color w:val="000000" w:themeColor="text1"/>
        </w:rPr>
        <w:t>pTNM</w:t>
      </w:r>
      <w:proofErr w:type="spellEnd"/>
      <w:r>
        <w:rPr>
          <w:rFonts w:ascii="Book Antiqua" w:eastAsia="Book Antiqua" w:hAnsi="Book Antiqua" w:cs="Book Antiqua"/>
          <w:color w:val="000000" w:themeColor="text1"/>
        </w:rPr>
        <w:t xml:space="preserve">, tumor grade, metastatic status, weight, histology, and mutation in the </w:t>
      </w:r>
      <w:r>
        <w:rPr>
          <w:rFonts w:ascii="Book Antiqua" w:eastAsia="Book Antiqua" w:hAnsi="Book Antiqua" w:cs="Book Antiqua"/>
          <w:i/>
          <w:iCs/>
          <w:color w:val="000000" w:themeColor="text1"/>
        </w:rPr>
        <w:t>TP53</w:t>
      </w:r>
      <w:r>
        <w:rPr>
          <w:rFonts w:ascii="Book Antiqua" w:eastAsia="Book Antiqua" w:hAnsi="Book Antiqua" w:cs="Book Antiqua"/>
          <w:color w:val="000000" w:themeColor="text1"/>
        </w:rPr>
        <w:t xml:space="preserve"> gene.</w:t>
      </w:r>
    </w:p>
    <w:p w14:paraId="63EA6676" w14:textId="77777777" w:rsidR="006E364E"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Even though CD147 is closely associated with tumor proliferation, invasion, and </w:t>
      </w:r>
      <w:proofErr w:type="gramStart"/>
      <w:r>
        <w:rPr>
          <w:rFonts w:ascii="Book Antiqua" w:eastAsia="Book Antiqua" w:hAnsi="Book Antiqua" w:cs="Book Antiqua"/>
          <w:color w:val="000000" w:themeColor="text1"/>
        </w:rPr>
        <w:t>metastasis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14,15]</w:t>
      </w:r>
      <w:r>
        <w:rPr>
          <w:rFonts w:ascii="Book Antiqua" w:eastAsia="Book Antiqua" w:hAnsi="Book Antiqua" w:cs="Book Antiqua"/>
          <w:color w:val="000000" w:themeColor="text1"/>
          <w:shd w:val="clear" w:color="auto" w:fill="FFFFFF"/>
        </w:rPr>
        <w:t xml:space="preserve">, the underlying mechanisms are still unclear. CD147 overexpression may be associated with tumor cell migration and activation of the extracellular signal-regulated kinase signaling </w:t>
      </w:r>
      <w:proofErr w:type="gramStart"/>
      <w:r>
        <w:rPr>
          <w:rFonts w:ascii="Book Antiqua" w:eastAsia="Book Antiqua" w:hAnsi="Book Antiqua" w:cs="Book Antiqua"/>
          <w:color w:val="000000" w:themeColor="text1"/>
          <w:shd w:val="clear" w:color="auto" w:fill="FFFFFF"/>
        </w:rPr>
        <w:t>pathway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w:t>
      </w:r>
      <w:r>
        <w:rPr>
          <w:rFonts w:ascii="Book Antiqua" w:eastAsia="Book Antiqua" w:hAnsi="Book Antiqua" w:cs="Book Antiqua"/>
          <w:color w:val="000000" w:themeColor="text1"/>
          <w:shd w:val="clear" w:color="auto" w:fill="FFFFFF"/>
        </w:rPr>
        <w:t xml:space="preserve"> In addition, CD147 regulates MMPs and vascular endothelial growth factor implicated in tumor and </w:t>
      </w:r>
      <w:r>
        <w:rPr>
          <w:rFonts w:ascii="Book Antiqua" w:eastAsia="Book Antiqua" w:hAnsi="Book Antiqua" w:cs="Book Antiqua"/>
          <w:color w:val="000000" w:themeColor="text1"/>
        </w:rPr>
        <w:t xml:space="preserve">stromal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22,23]</w:t>
      </w:r>
      <w:r>
        <w:rPr>
          <w:rFonts w:ascii="Book Antiqua" w:eastAsia="Book Antiqua" w:hAnsi="Book Antiqua" w:cs="Book Antiqua"/>
          <w:color w:val="000000" w:themeColor="text1"/>
          <w:shd w:val="clear" w:color="auto" w:fill="FFFFFF"/>
        </w:rPr>
        <w:t xml:space="preserve">. CD147 induced MEK-mediated intracellular signaling pathway and MMP-9 activity, which promoted tumor proliferation, invasion, and metastasis in hypopharyngeal </w:t>
      </w:r>
      <w:proofErr w:type="gramStart"/>
      <w:r>
        <w:rPr>
          <w:rFonts w:ascii="Book Antiqua" w:eastAsia="Book Antiqua" w:hAnsi="Book Antiqua" w:cs="Book Antiqua"/>
          <w:color w:val="000000" w:themeColor="text1"/>
          <w:shd w:val="clear" w:color="auto" w:fill="FFFFFF"/>
        </w:rPr>
        <w:t>carcinoma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xml:space="preserve">. CD147 was overexpressed in HCC cells, and the knockdown of CD147 significantly inhibited the proliferation, migration, and invasion of HCC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Hypophosphorylation</w:t>
      </w:r>
      <w:proofErr w:type="spellEnd"/>
      <w:r>
        <w:rPr>
          <w:rFonts w:ascii="Book Antiqua" w:eastAsia="Book Antiqua" w:hAnsi="Book Antiqua" w:cs="Book Antiqua"/>
          <w:color w:val="000000" w:themeColor="text1"/>
        </w:rPr>
        <w:t xml:space="preserve"> of CD147 promotes the invasion and metastasis of HCC, and CD147 may be utilized as a novel biomarker in the prognosis of </w:t>
      </w:r>
      <w:proofErr w:type="gramStart"/>
      <w:r>
        <w:rPr>
          <w:rFonts w:ascii="Book Antiqua" w:eastAsia="Book Antiqua" w:hAnsi="Book Antiqua" w:cs="Book Antiqua"/>
          <w:color w:val="000000" w:themeColor="text1"/>
        </w:rPr>
        <w:t>HCC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xml:space="preserve">. CD147 expression has been associated with lymph node metastasis in cervical cancer and laryngeal squamous cell </w:t>
      </w:r>
      <w:proofErr w:type="gramStart"/>
      <w:r>
        <w:rPr>
          <w:rFonts w:ascii="Book Antiqua" w:eastAsia="Book Antiqua" w:hAnsi="Book Antiqua" w:cs="Book Antiqua"/>
          <w:color w:val="000000" w:themeColor="text1"/>
        </w:rPr>
        <w:t>carcinoma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 xml:space="preserve">CD147 was </w:t>
      </w:r>
      <w:r>
        <w:rPr>
          <w:rFonts w:ascii="Book Antiqua" w:eastAsia="Book Antiqua" w:hAnsi="Book Antiqua" w:cs="Book Antiqua"/>
          <w:color w:val="000000" w:themeColor="text1"/>
          <w:shd w:val="clear" w:color="auto" w:fill="FFFFFF"/>
        </w:rPr>
        <w:lastRenderedPageBreak/>
        <w:t xml:space="preserve">overexpressed in oral cancer, and knockout of CD147 significantly reduced the proliferation and invasion of cal27 cells, indicating that CD147 may be a potential therapeutic target in oral </w:t>
      </w:r>
      <w:proofErr w:type="gramStart"/>
      <w:r>
        <w:rPr>
          <w:rFonts w:ascii="Book Antiqua" w:eastAsia="Book Antiqua" w:hAnsi="Book Antiqua" w:cs="Book Antiqua"/>
          <w:color w:val="000000" w:themeColor="text1"/>
          <w:shd w:val="clear" w:color="auto" w:fill="FFFFFF"/>
        </w:rPr>
        <w:t>cancer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shd w:val="clear" w:color="auto" w:fill="FFFFFF"/>
        </w:rPr>
        <w:t>.</w:t>
      </w:r>
    </w:p>
    <w:p w14:paraId="32699D60" w14:textId="77777777" w:rsidR="006E364E"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CD147 has been proposed as a novel, prognostic biomarker in HCC. We analyzed the role of the expression of CD147 in the prognosis of HCC. High expression of CD147 significantly shortened the prognosis of HCC and related clinical characteristics. </w:t>
      </w:r>
      <w:r>
        <w:rPr>
          <w:rFonts w:ascii="Book Antiqua" w:eastAsia="Book Antiqua" w:hAnsi="Book Antiqua" w:cs="Book Antiqua"/>
          <w:color w:val="000000" w:themeColor="text1"/>
          <w:shd w:val="clear" w:color="auto" w:fill="FFFFFF"/>
        </w:rPr>
        <w:t xml:space="preserve">In our study, we found CD147 had an HR &gt; 1 implying that is a poorly reliable factor in prognosis. The CI of the univariate and multivariate Cox analyses of the expression of CD147 and clinical characteristics was 0.673, significantly greater than 0.5, indicating that it has a high predictive value. Since </w:t>
      </w:r>
      <w:r>
        <w:rPr>
          <w:rFonts w:ascii="Book Antiqua" w:eastAsia="Book Antiqua" w:hAnsi="Book Antiqua" w:cs="Book Antiqua"/>
          <w:color w:val="000000" w:themeColor="text1"/>
        </w:rPr>
        <w:t xml:space="preserve">CD147 plays an important role in the prognosis of HCC, </w:t>
      </w:r>
      <w:r>
        <w:rPr>
          <w:rFonts w:ascii="Book Antiqua" w:eastAsia="Book Antiqua" w:hAnsi="Book Antiqua" w:cs="Book Antiqua"/>
          <w:color w:val="000000" w:themeColor="text1"/>
          <w:shd w:val="clear" w:color="auto" w:fill="FFFFFF"/>
        </w:rPr>
        <w:t>it may be considered a potential biomarker in the prediction of tumor prognosis.</w:t>
      </w:r>
    </w:p>
    <w:p w14:paraId="18C743EB" w14:textId="77777777" w:rsidR="006E364E"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Several studies have shown that CD147 has a good prognostic value in many tumors. </w:t>
      </w:r>
      <w:r>
        <w:rPr>
          <w:rFonts w:ascii="Book Antiqua" w:eastAsia="Book Antiqua" w:hAnsi="Book Antiqua" w:cs="Book Antiqua"/>
          <w:color w:val="000000" w:themeColor="text1"/>
        </w:rPr>
        <w:t xml:space="preserve">The methylation levels of CD147 were ascertained using </w:t>
      </w:r>
      <w:proofErr w:type="spellStart"/>
      <w:r>
        <w:rPr>
          <w:rFonts w:ascii="Book Antiqua" w:eastAsia="Book Antiqua" w:hAnsi="Book Antiqua" w:cs="Book Antiqua"/>
          <w:color w:val="000000" w:themeColor="text1"/>
        </w:rPr>
        <w:t>cfDNA</w:t>
      </w:r>
      <w:proofErr w:type="spellEnd"/>
      <w:r>
        <w:rPr>
          <w:rFonts w:ascii="Book Antiqua" w:eastAsia="Book Antiqua" w:hAnsi="Book Antiqua" w:cs="Book Antiqua"/>
          <w:color w:val="000000" w:themeColor="text1"/>
        </w:rPr>
        <w:t xml:space="preserve"> in non-small cell lung cancer (NSCLC) tissues and were inversely related to tumor size, lymph node metastasis, and TNM </w:t>
      </w:r>
      <w:proofErr w:type="gramStart"/>
      <w:r>
        <w:rPr>
          <w:rFonts w:ascii="Book Antiqua" w:eastAsia="Book Antiqua" w:hAnsi="Book Antiqua" w:cs="Book Antiqua"/>
          <w:color w:val="000000" w:themeColor="text1"/>
        </w:rPr>
        <w:t>stage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Targeted methylation of CD147 could inhibit NSCLC invasion and metastasis. </w:t>
      </w:r>
      <w:r>
        <w:rPr>
          <w:rFonts w:ascii="Book Antiqua" w:eastAsia="Book Antiqua" w:hAnsi="Book Antiqua" w:cs="Book Antiqua"/>
          <w:color w:val="000000" w:themeColor="text1"/>
          <w:shd w:val="clear" w:color="auto" w:fill="FFFFFF"/>
        </w:rPr>
        <w:t>CD147 and MMP-9 were closely correlated with the pathological stage, metastasis, and differentiation of tumors</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in breast cancer cases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&lt; 0.05) but were poor independent risk factors for prognosis in triple-negative breast cancer (PCD147 = 0.023, PMMP-9 = </w:t>
      </w:r>
      <w:proofErr w:type="gramStart"/>
      <w:r>
        <w:rPr>
          <w:rFonts w:ascii="Book Antiqua" w:eastAsia="Book Antiqua" w:hAnsi="Book Antiqua" w:cs="Book Antiqua"/>
          <w:color w:val="000000" w:themeColor="text1"/>
          <w:shd w:val="clear" w:color="auto" w:fill="FFFFFF"/>
        </w:rPr>
        <w:t>0.015)</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shd w:val="clear" w:color="auto" w:fill="FFFFFF"/>
        </w:rPr>
        <w:t xml:space="preserve">. In cancer patients older than 50 years, </w:t>
      </w:r>
      <w:r>
        <w:rPr>
          <w:rFonts w:ascii="Book Antiqua" w:eastAsia="Book Antiqua" w:hAnsi="Book Antiqua" w:cs="Book Antiqua"/>
          <w:color w:val="000000" w:themeColor="text1"/>
        </w:rPr>
        <w:t xml:space="preserve">CD147 was an independent prognostic </w:t>
      </w:r>
      <w:proofErr w:type="gramStart"/>
      <w:r>
        <w:rPr>
          <w:rFonts w:ascii="Book Antiqua" w:eastAsia="Book Antiqua" w:hAnsi="Book Antiqua" w:cs="Book Antiqua"/>
          <w:color w:val="000000" w:themeColor="text1"/>
        </w:rPr>
        <w:t>indicator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xml:space="preserve">. Expression patterns of CD147 in different stages of esophageal squamous cell carcinoma were able to reliably predict prognosis in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w:t>
      </w:r>
    </w:p>
    <w:p w14:paraId="2F855242" w14:textId="77777777" w:rsidR="006E364E"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CD147 also plays an important role in other diseases such as </w:t>
      </w:r>
      <w:r>
        <w:rPr>
          <w:rFonts w:ascii="Book Antiqua" w:eastAsia="Book Antiqua" w:hAnsi="Book Antiqua" w:cs="Book Antiqua"/>
          <w:color w:val="000000" w:themeColor="text1"/>
        </w:rPr>
        <w:t xml:space="preserve">HIV type 1, HCV, HBV, Kaposi’s sarcoma-associated herpes virus, and </w:t>
      </w:r>
      <w:r>
        <w:rPr>
          <w:rFonts w:ascii="Book Antiqua" w:hAnsi="Book Antiqua"/>
          <w:color w:val="000000" w:themeColor="text1"/>
        </w:rPr>
        <w:t>severe acute respiratory syndrome coronavirus</w:t>
      </w:r>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infections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xml:space="preserve">. Interestingly, CD147 is involved in </w:t>
      </w:r>
      <w:r>
        <w:rPr>
          <w:rFonts w:ascii="Book Antiqua" w:hAnsi="Book Antiqua"/>
          <w:color w:val="000000" w:themeColor="text1"/>
        </w:rPr>
        <w:t xml:space="preserve">severe acute respiratory syndrome coronavirus </w:t>
      </w:r>
      <w:r>
        <w:rPr>
          <w:rFonts w:ascii="Book Antiqua" w:eastAsia="Book Antiqua" w:hAnsi="Book Antiqua" w:cs="Book Antiqua"/>
          <w:color w:val="000000" w:themeColor="text1"/>
        </w:rPr>
        <w:t>2 tropism and may be a</w:t>
      </w:r>
      <w:r>
        <w:rPr>
          <w:rFonts w:ascii="Book Antiqua" w:eastAsia="Book Antiqua" w:hAnsi="Book Antiqua" w:cs="Book Antiqua"/>
          <w:color w:val="000000" w:themeColor="text1"/>
          <w:shd w:val="clear" w:color="auto" w:fill="FFFFFF"/>
        </w:rPr>
        <w:t xml:space="preserve"> potential therapeutic target for </w:t>
      </w:r>
      <w:r>
        <w:rPr>
          <w:rFonts w:ascii="Book Antiqua" w:hAnsi="Book Antiqua"/>
          <w:color w:val="000000" w:themeColor="text1"/>
        </w:rPr>
        <w:t>coronavirus disease 2019</w:t>
      </w:r>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shd w:val="clear" w:color="auto" w:fill="FFFFFF"/>
        </w:rPr>
        <w:t>.</w:t>
      </w:r>
    </w:p>
    <w:p w14:paraId="28B1772F" w14:textId="77777777" w:rsidR="006E364E" w:rsidRDefault="00000000">
      <w:pPr>
        <w:spacing w:line="360" w:lineRule="auto"/>
        <w:ind w:firstLine="480"/>
        <w:jc w:val="both"/>
        <w:rPr>
          <w:rFonts w:ascii="Book Antiqua" w:hAnsi="Book Antiqua"/>
          <w:color w:val="000000" w:themeColor="text1"/>
        </w:rPr>
      </w:pPr>
      <w:proofErr w:type="spellStart"/>
      <w:r>
        <w:rPr>
          <w:rFonts w:ascii="Book Antiqua" w:eastAsia="Book Antiqua" w:hAnsi="Book Antiqua" w:cs="Book Antiqua"/>
          <w:color w:val="000000" w:themeColor="text1"/>
        </w:rPr>
        <w:t>Matuzumab</w:t>
      </w:r>
      <w:proofErr w:type="spellEnd"/>
      <w:r>
        <w:rPr>
          <w:rFonts w:ascii="Book Antiqua" w:eastAsia="Book Antiqua" w:hAnsi="Book Antiqua" w:cs="Book Antiqua"/>
          <w:color w:val="000000" w:themeColor="text1"/>
        </w:rPr>
        <w:t xml:space="preserve"> (anti-CD147) was confirmed to be a safe treatment method for </w:t>
      </w:r>
      <w:proofErr w:type="gramStart"/>
      <w:r>
        <w:rPr>
          <w:rFonts w:ascii="Book Antiqua" w:eastAsia="Book Antiqua" w:hAnsi="Book Antiqua" w:cs="Book Antiqua"/>
          <w:color w:val="000000" w:themeColor="text1"/>
        </w:rPr>
        <w:t>NSCLC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 xml:space="preserve">Recently, chimeric antigen receptor T-cell immunotherapy targeting CD147 demonstrated antitumor efficacy in patients with </w:t>
      </w:r>
      <w:proofErr w:type="gramStart"/>
      <w:r>
        <w:rPr>
          <w:rFonts w:ascii="Book Antiqua" w:eastAsia="Book Antiqua" w:hAnsi="Book Antiqua" w:cs="Book Antiqua"/>
          <w:color w:val="000000" w:themeColor="text1"/>
          <w:shd w:val="clear" w:color="auto" w:fill="FFFFFF"/>
        </w:rPr>
        <w:t>HCC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shd w:val="clear" w:color="auto" w:fill="FFFFFF"/>
        </w:rPr>
        <w:t xml:space="preserve">. Thus, CD147 expression in </w:t>
      </w:r>
      <w:r>
        <w:rPr>
          <w:rFonts w:ascii="Book Antiqua" w:eastAsia="Book Antiqua" w:hAnsi="Book Antiqua" w:cs="Book Antiqua"/>
          <w:color w:val="000000" w:themeColor="text1"/>
          <w:shd w:val="clear" w:color="auto" w:fill="FFFFFF"/>
        </w:rPr>
        <w:lastRenderedPageBreak/>
        <w:t>correlation with clinical characteristics may serve as a predictive biomarker for pathological type prognosis of tumor and as a target for tumor treatment.</w:t>
      </w:r>
    </w:p>
    <w:p w14:paraId="3B360B4F" w14:textId="77777777" w:rsidR="006E364E" w:rsidRDefault="006E364E">
      <w:pPr>
        <w:spacing w:line="360" w:lineRule="auto"/>
        <w:jc w:val="both"/>
        <w:rPr>
          <w:rFonts w:ascii="Book Antiqua" w:hAnsi="Book Antiqua"/>
          <w:color w:val="000000" w:themeColor="text1"/>
        </w:rPr>
      </w:pPr>
    </w:p>
    <w:p w14:paraId="235CA93F"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34D59DAB"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Overexpression of CD147 was correlated with poor prognosis in HCC. CD147 expression profile combined with clinical characteristics can reliably predict the prognosis of HCC. CD147 can serve as a biomarker to predict the prognosis of HCC.</w:t>
      </w:r>
    </w:p>
    <w:p w14:paraId="020E836A" w14:textId="77777777" w:rsidR="006E364E" w:rsidRDefault="006E364E">
      <w:pPr>
        <w:spacing w:line="360" w:lineRule="auto"/>
        <w:jc w:val="both"/>
        <w:rPr>
          <w:rFonts w:ascii="Book Antiqua" w:hAnsi="Book Antiqua"/>
          <w:color w:val="000000" w:themeColor="text1"/>
        </w:rPr>
      </w:pPr>
    </w:p>
    <w:p w14:paraId="01D42844"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4319795E"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4351F29F"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Hepatocellular carcinoma (HCC) has very low overall survival. Searching for a </w:t>
      </w:r>
      <w:r>
        <w:rPr>
          <w:rStyle w:val="tgt"/>
          <w:rFonts w:ascii="Book Antiqua" w:eastAsia="Book Antiqua" w:hAnsi="Book Antiqua" w:cs="Book Antiqua"/>
          <w:color w:val="000000" w:themeColor="text1"/>
        </w:rPr>
        <w:t>new biomarker</w:t>
      </w:r>
      <w:r>
        <w:rPr>
          <w:rFonts w:ascii="Book Antiqua" w:eastAsia="Book Antiqua" w:hAnsi="Book Antiqua" w:cs="Book Antiqua"/>
          <w:color w:val="000000" w:themeColor="text1"/>
        </w:rPr>
        <w:t xml:space="preserve"> related to prognosis will be helpful in improving the prognosis of HCC. Cluster of differentiation 147 (CD147) </w:t>
      </w:r>
      <w:r>
        <w:rPr>
          <w:rStyle w:val="tgt"/>
          <w:rFonts w:ascii="Book Antiqua" w:eastAsia="Book Antiqua" w:hAnsi="Book Antiqua" w:cs="Book Antiqua"/>
          <w:color w:val="000000" w:themeColor="text1"/>
        </w:rPr>
        <w:t>is a novel transmembrane glycoprotein that is expressed in a wide variety of tumor cells and plays an important role in various stages of tumor development.</w:t>
      </w:r>
    </w:p>
    <w:p w14:paraId="39D58A0A" w14:textId="77777777" w:rsidR="006E364E" w:rsidRDefault="006E364E">
      <w:pPr>
        <w:spacing w:line="360" w:lineRule="auto"/>
        <w:jc w:val="both"/>
        <w:rPr>
          <w:rFonts w:ascii="Book Antiqua" w:hAnsi="Book Antiqua"/>
          <w:color w:val="000000" w:themeColor="text1"/>
        </w:rPr>
      </w:pPr>
    </w:p>
    <w:p w14:paraId="501D780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15926895"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CD147 is highly expressed in various tumors and is associated with prognosis.</w:t>
      </w:r>
    </w:p>
    <w:p w14:paraId="2CC2CCE9" w14:textId="77777777" w:rsidR="006E364E" w:rsidRDefault="006E364E">
      <w:pPr>
        <w:spacing w:line="360" w:lineRule="auto"/>
        <w:ind w:firstLine="420"/>
        <w:jc w:val="both"/>
        <w:rPr>
          <w:rFonts w:ascii="Book Antiqua" w:hAnsi="Book Antiqua"/>
          <w:color w:val="000000" w:themeColor="text1"/>
        </w:rPr>
      </w:pPr>
    </w:p>
    <w:p w14:paraId="483BC3A3"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37CD1883"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explore the pattern of CD147 expression and its applicability in the prognosis of HCC. To establish hazard ratios and probability points for predicting the prognosis of HCC by correlating CD147 expression with clinical characteristics. To determine if CD147 can be a reliable biomarker in HCC prognosis.</w:t>
      </w:r>
    </w:p>
    <w:p w14:paraId="52321A54" w14:textId="77777777" w:rsidR="006E364E" w:rsidRDefault="006E364E">
      <w:pPr>
        <w:spacing w:line="360" w:lineRule="auto"/>
        <w:jc w:val="both"/>
        <w:rPr>
          <w:rFonts w:ascii="Book Antiqua" w:hAnsi="Book Antiqua"/>
          <w:color w:val="000000" w:themeColor="text1"/>
        </w:rPr>
      </w:pPr>
    </w:p>
    <w:p w14:paraId="6728DFF4"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262492DF"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Using </w:t>
      </w:r>
      <w:r>
        <w:rPr>
          <w:rStyle w:val="tgt"/>
          <w:rFonts w:ascii="Book Antiqua" w:eastAsia="Book Antiqua" w:hAnsi="Book Antiqua" w:cs="Book Antiqua"/>
          <w:color w:val="000000" w:themeColor="text1"/>
        </w:rPr>
        <w:t>The Cancer Genome Atlas</w:t>
      </w:r>
      <w:r>
        <w:rPr>
          <w:rFonts w:ascii="Book Antiqua" w:eastAsia="Book Antiqua" w:hAnsi="Book Antiqua" w:cs="Book Antiqua"/>
          <w:color w:val="000000" w:themeColor="text1"/>
        </w:rPr>
        <w:t xml:space="preserve"> and </w:t>
      </w:r>
      <w:r>
        <w:rPr>
          <w:rStyle w:val="tgt"/>
          <w:rFonts w:ascii="Book Antiqua" w:eastAsia="Book Antiqua" w:hAnsi="Book Antiqua" w:cs="Book Antiqua"/>
          <w:color w:val="000000" w:themeColor="text1"/>
        </w:rPr>
        <w:t>Gene Expression Omnibus</w:t>
      </w:r>
      <w:r>
        <w:rPr>
          <w:rFonts w:ascii="Book Antiqua" w:eastAsia="Book Antiqua" w:hAnsi="Book Antiqua" w:cs="Book Antiqua"/>
          <w:color w:val="000000" w:themeColor="text1"/>
        </w:rPr>
        <w:t xml:space="preserve"> databases, R language was used to analyze the expression of CD147 in HCC. The online website UALCAN was used to analyze the correlation between clinical characteristics and survival time of </w:t>
      </w:r>
      <w:r>
        <w:rPr>
          <w:rStyle w:val="tgt"/>
          <w:rFonts w:ascii="Book Antiqua" w:eastAsia="Book Antiqua" w:hAnsi="Book Antiqua" w:cs="Book Antiqua"/>
          <w:color w:val="000000" w:themeColor="text1"/>
        </w:rPr>
        <w:t>The Cancer Genome Atlas</w:t>
      </w:r>
      <w:r>
        <w:rPr>
          <w:rFonts w:ascii="Book Antiqua" w:eastAsia="Book Antiqua" w:hAnsi="Book Antiqua" w:cs="Book Antiqua"/>
          <w:color w:val="000000" w:themeColor="text1"/>
        </w:rPr>
        <w:t xml:space="preserve">-Liver Hepatocellular Carcinoma and CD147 expression. </w:t>
      </w:r>
      <w:r>
        <w:rPr>
          <w:rFonts w:ascii="Book Antiqua" w:eastAsia="Book Antiqua" w:hAnsi="Book Antiqua" w:cs="Book Antiqua"/>
          <w:color w:val="000000" w:themeColor="text1"/>
        </w:rPr>
        <w:lastRenderedPageBreak/>
        <w:t xml:space="preserve">Subsequently, time-dependent receiver operating characteristic curves were used to analyze the accuracy, sensitivity, and specificity of CD147 in HCC. Finally, </w:t>
      </w:r>
      <w:proofErr w:type="gramStart"/>
      <w:r>
        <w:rPr>
          <w:rFonts w:ascii="Book Antiqua" w:eastAsia="Book Antiqua" w:hAnsi="Book Antiqua" w:cs="Book Antiqua"/>
          <w:color w:val="000000" w:themeColor="text1"/>
          <w:shd w:val="clear" w:color="auto" w:fill="FFFFFF"/>
        </w:rPr>
        <w:t>univariate</w:t>
      </w:r>
      <w:proofErr w:type="gramEnd"/>
      <w:r>
        <w:rPr>
          <w:rFonts w:ascii="Book Antiqua" w:eastAsia="Book Antiqua" w:hAnsi="Book Antiqua" w:cs="Book Antiqua"/>
          <w:color w:val="000000" w:themeColor="text1"/>
          <w:shd w:val="clear" w:color="auto" w:fill="FFFFFF"/>
        </w:rPr>
        <w:t xml:space="preserve"> and multivariate Cox regression proportional hazards analyses of CD147 expression levels and clinical characteristics as prognostic factors of HCC were performed. Nomograms were used to establish probability points and predict prognosis.</w:t>
      </w:r>
    </w:p>
    <w:p w14:paraId="642338D2" w14:textId="77777777" w:rsidR="006E364E" w:rsidRDefault="006E364E">
      <w:pPr>
        <w:spacing w:line="360" w:lineRule="auto"/>
        <w:jc w:val="both"/>
        <w:rPr>
          <w:rFonts w:ascii="Book Antiqua" w:hAnsi="Book Antiqua"/>
          <w:color w:val="000000" w:themeColor="text1"/>
        </w:rPr>
      </w:pPr>
    </w:p>
    <w:p w14:paraId="3647B8E4"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788CCC2E"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CD147 was overexpressed in HCC, and the prognosis of HCC was significantly correlated with the clinical characteristics of HCC. The overexpression of CD147 showed poor prognosis and a </w:t>
      </w:r>
      <w:r>
        <w:rPr>
          <w:rStyle w:val="tgt"/>
          <w:rFonts w:ascii="Book Antiqua" w:eastAsia="Book Antiqua" w:hAnsi="Book Antiqua" w:cs="Book Antiqua"/>
          <w:color w:val="000000" w:themeColor="text1"/>
        </w:rPr>
        <w:t>hazard ratio</w:t>
      </w:r>
      <w:r>
        <w:rPr>
          <w:rFonts w:ascii="Book Antiqua" w:eastAsia="Book Antiqua" w:hAnsi="Book Antiqua" w:cs="Book Antiqua"/>
          <w:color w:val="000000" w:themeColor="text1"/>
        </w:rPr>
        <w:t xml:space="preserve"> of survival &gt; 1 in HCC. Multivariate Cox analysis of CD147 patterns and pathological tumor-node-metastasis-stage showed significant differences. Nomograms showed CD147 can predict prognosis.</w:t>
      </w:r>
    </w:p>
    <w:p w14:paraId="4C81FA3F" w14:textId="77777777" w:rsidR="006E364E" w:rsidRDefault="006E364E">
      <w:pPr>
        <w:spacing w:line="360" w:lineRule="auto"/>
        <w:jc w:val="both"/>
        <w:rPr>
          <w:rFonts w:ascii="Book Antiqua" w:hAnsi="Book Antiqua"/>
          <w:color w:val="000000" w:themeColor="text1"/>
        </w:rPr>
      </w:pPr>
    </w:p>
    <w:p w14:paraId="316A0E31"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4CAF3655"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CD147 is overexpressed and is associated with clinical characteristics in HCC. CD147 overexpressed in HCC has a poor prognosis. In addition, CD147 can predict the prognosis of HCC.</w:t>
      </w:r>
    </w:p>
    <w:p w14:paraId="78C42E1F" w14:textId="77777777" w:rsidR="006E364E" w:rsidRDefault="006E364E">
      <w:pPr>
        <w:spacing w:line="360" w:lineRule="auto"/>
        <w:jc w:val="both"/>
        <w:rPr>
          <w:rFonts w:ascii="Book Antiqua" w:hAnsi="Book Antiqua"/>
          <w:color w:val="000000" w:themeColor="text1"/>
        </w:rPr>
      </w:pPr>
    </w:p>
    <w:p w14:paraId="192A53E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07E162F8" w14:textId="77777777" w:rsidR="006E364E" w:rsidRDefault="00000000">
      <w:pPr>
        <w:spacing w:line="360" w:lineRule="auto"/>
        <w:jc w:val="both"/>
        <w:rPr>
          <w:rFonts w:ascii="Book Antiqua" w:hAnsi="Book Antiqua"/>
          <w:color w:val="000000" w:themeColor="text1"/>
        </w:rPr>
      </w:pPr>
      <w:r>
        <w:rPr>
          <w:rStyle w:val="tgt"/>
          <w:rFonts w:ascii="Book Antiqua" w:eastAsia="Book Antiqua" w:hAnsi="Book Antiqua" w:cs="Book Antiqua"/>
          <w:color w:val="000000" w:themeColor="text1"/>
        </w:rPr>
        <w:t xml:space="preserve">Based on our study and the reports described previously, we theorize that CD147 may be used as a novel biological indicator to predict the prognosis of </w:t>
      </w:r>
      <w:r>
        <w:rPr>
          <w:rFonts w:ascii="Book Antiqua" w:eastAsia="Book Antiqua" w:hAnsi="Book Antiqua" w:cs="Book Antiqua"/>
          <w:color w:val="000000" w:themeColor="text1"/>
        </w:rPr>
        <w:t>HCC</w:t>
      </w:r>
      <w:r>
        <w:rPr>
          <w:rStyle w:val="tgt"/>
          <w:rFonts w:ascii="Book Antiqua" w:eastAsia="Book Antiqua" w:hAnsi="Book Antiqua" w:cs="Book Antiqua"/>
          <w:color w:val="000000" w:themeColor="text1"/>
        </w:rPr>
        <w:t>.</w:t>
      </w:r>
    </w:p>
    <w:p w14:paraId="6C9E7159" w14:textId="77777777" w:rsidR="006E364E" w:rsidRDefault="006E364E">
      <w:pPr>
        <w:spacing w:line="360" w:lineRule="auto"/>
        <w:jc w:val="both"/>
        <w:rPr>
          <w:rFonts w:ascii="Book Antiqua" w:hAnsi="Book Antiqua"/>
          <w:color w:val="000000" w:themeColor="text1"/>
        </w:rPr>
      </w:pPr>
    </w:p>
    <w:p w14:paraId="156F5873"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6BA0E3A7" w14:textId="77777777" w:rsidR="006E364E" w:rsidRDefault="00000000">
      <w:pPr>
        <w:adjustRightInd w:val="0"/>
        <w:snapToGrid w:val="0"/>
        <w:spacing w:line="360" w:lineRule="auto"/>
        <w:jc w:val="both"/>
        <w:rPr>
          <w:rFonts w:ascii="Book Antiqua" w:hAnsi="Book Antiqua"/>
          <w:color w:val="000000" w:themeColor="text1"/>
        </w:rPr>
      </w:pPr>
      <w:bookmarkStart w:id="3" w:name="OLE_LINK2"/>
      <w:r>
        <w:rPr>
          <w:rFonts w:ascii="Book Antiqua" w:hAnsi="Book Antiqua"/>
          <w:color w:val="000000" w:themeColor="text1"/>
        </w:rPr>
        <w:t xml:space="preserve">1 </w:t>
      </w:r>
      <w:proofErr w:type="spellStart"/>
      <w:r>
        <w:rPr>
          <w:rFonts w:ascii="Book Antiqua" w:hAnsi="Book Antiqua"/>
          <w:b/>
          <w:bCs/>
          <w:color w:val="000000" w:themeColor="text1"/>
        </w:rPr>
        <w:t>Llovet</w:t>
      </w:r>
      <w:proofErr w:type="spellEnd"/>
      <w:r>
        <w:rPr>
          <w:rFonts w:ascii="Book Antiqua" w:hAnsi="Book Antiqua"/>
          <w:b/>
          <w:bCs/>
          <w:color w:val="000000" w:themeColor="text1"/>
        </w:rPr>
        <w:t xml:space="preserve"> JM</w:t>
      </w:r>
      <w:r>
        <w:rPr>
          <w:rFonts w:ascii="Book Antiqua" w:hAnsi="Book Antiqua"/>
          <w:color w:val="000000" w:themeColor="text1"/>
        </w:rPr>
        <w:t xml:space="preserve">, Kelley RK, Villanueva A, </w:t>
      </w:r>
      <w:proofErr w:type="spellStart"/>
      <w:r>
        <w:rPr>
          <w:rFonts w:ascii="Book Antiqua" w:hAnsi="Book Antiqua"/>
          <w:color w:val="000000" w:themeColor="text1"/>
        </w:rPr>
        <w:t>Singal</w:t>
      </w:r>
      <w:proofErr w:type="spellEnd"/>
      <w:r>
        <w:rPr>
          <w:rFonts w:ascii="Book Antiqua" w:hAnsi="Book Antiqua"/>
          <w:color w:val="000000" w:themeColor="text1"/>
        </w:rPr>
        <w:t xml:space="preserve"> AG, </w:t>
      </w:r>
      <w:proofErr w:type="spellStart"/>
      <w:r>
        <w:rPr>
          <w:rFonts w:ascii="Book Antiqua" w:hAnsi="Book Antiqua"/>
          <w:color w:val="000000" w:themeColor="text1"/>
        </w:rPr>
        <w:t>Pikarsky</w:t>
      </w:r>
      <w:proofErr w:type="spellEnd"/>
      <w:r>
        <w:rPr>
          <w:rFonts w:ascii="Book Antiqua" w:hAnsi="Book Antiqua"/>
          <w:color w:val="000000" w:themeColor="text1"/>
        </w:rPr>
        <w:t xml:space="preserve"> E, </w:t>
      </w:r>
      <w:proofErr w:type="spellStart"/>
      <w:r>
        <w:rPr>
          <w:rFonts w:ascii="Book Antiqua" w:hAnsi="Book Antiqua"/>
          <w:color w:val="000000" w:themeColor="text1"/>
        </w:rPr>
        <w:t>Roayaie</w:t>
      </w:r>
      <w:proofErr w:type="spellEnd"/>
      <w:r>
        <w:rPr>
          <w:rFonts w:ascii="Book Antiqua" w:hAnsi="Book Antiqua"/>
          <w:color w:val="000000" w:themeColor="text1"/>
        </w:rPr>
        <w:t xml:space="preserve"> S, Lencioni R, Koike K, Zucman-Rossi J, Finn RS. Hepatocellular carcinoma. </w:t>
      </w:r>
      <w:r>
        <w:rPr>
          <w:rFonts w:ascii="Book Antiqua" w:hAnsi="Book Antiqua"/>
          <w:i/>
          <w:iCs/>
          <w:color w:val="000000" w:themeColor="text1"/>
        </w:rPr>
        <w:t>Nat Rev Dis Primers</w:t>
      </w:r>
      <w:r>
        <w:rPr>
          <w:rFonts w:ascii="Book Antiqua" w:hAnsi="Book Antiqua"/>
          <w:color w:val="000000" w:themeColor="text1"/>
        </w:rPr>
        <w:t xml:space="preserve"> 2021; </w:t>
      </w:r>
      <w:r>
        <w:rPr>
          <w:rFonts w:ascii="Book Antiqua" w:hAnsi="Book Antiqua"/>
          <w:b/>
          <w:bCs/>
          <w:color w:val="000000" w:themeColor="text1"/>
        </w:rPr>
        <w:t>7</w:t>
      </w:r>
      <w:r>
        <w:rPr>
          <w:rFonts w:ascii="Book Antiqua" w:hAnsi="Book Antiqua"/>
          <w:color w:val="000000" w:themeColor="text1"/>
        </w:rPr>
        <w:t>: 6 [PMID: 33479224 DOI: 10.1038/s41572-020-00240-3]</w:t>
      </w:r>
    </w:p>
    <w:p w14:paraId="164A807F"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 </w:t>
      </w:r>
      <w:r>
        <w:rPr>
          <w:rFonts w:ascii="Book Antiqua" w:hAnsi="Book Antiqua"/>
          <w:b/>
          <w:bCs/>
          <w:color w:val="000000" w:themeColor="text1"/>
        </w:rPr>
        <w:t>Yamashita T</w:t>
      </w:r>
      <w:r>
        <w:rPr>
          <w:rFonts w:ascii="Book Antiqua" w:hAnsi="Book Antiqua"/>
          <w:color w:val="000000" w:themeColor="text1"/>
        </w:rPr>
        <w:t xml:space="preserve">, Kaneko S. [Liver Cancer]. </w:t>
      </w:r>
      <w:proofErr w:type="spellStart"/>
      <w:r>
        <w:rPr>
          <w:rFonts w:ascii="Book Antiqua" w:hAnsi="Book Antiqua"/>
          <w:i/>
          <w:iCs/>
          <w:color w:val="000000" w:themeColor="text1"/>
        </w:rPr>
        <w:t>Rinsho</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Byori</w:t>
      </w:r>
      <w:proofErr w:type="spellEnd"/>
      <w:r>
        <w:rPr>
          <w:rFonts w:ascii="Book Antiqua" w:hAnsi="Book Antiqua"/>
          <w:color w:val="000000" w:themeColor="text1"/>
        </w:rPr>
        <w:t xml:space="preserve"> 2016; </w:t>
      </w:r>
      <w:r>
        <w:rPr>
          <w:rFonts w:ascii="Book Antiqua" w:hAnsi="Book Antiqua"/>
          <w:b/>
          <w:bCs/>
          <w:color w:val="000000" w:themeColor="text1"/>
        </w:rPr>
        <w:t>64</w:t>
      </w:r>
      <w:r>
        <w:rPr>
          <w:rFonts w:ascii="Book Antiqua" w:hAnsi="Book Antiqua"/>
          <w:color w:val="000000" w:themeColor="text1"/>
        </w:rPr>
        <w:t>: 787-796 [PMID: 30695467]</w:t>
      </w:r>
    </w:p>
    <w:p w14:paraId="43304128"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 </w:t>
      </w:r>
      <w:proofErr w:type="spellStart"/>
      <w:r>
        <w:rPr>
          <w:rFonts w:ascii="Book Antiqua" w:hAnsi="Book Antiqua"/>
          <w:b/>
          <w:bCs/>
          <w:color w:val="000000" w:themeColor="text1"/>
        </w:rPr>
        <w:t>Ringelhan</w:t>
      </w:r>
      <w:proofErr w:type="spellEnd"/>
      <w:r>
        <w:rPr>
          <w:rFonts w:ascii="Book Antiqua" w:hAnsi="Book Antiqua"/>
          <w:b/>
          <w:bCs/>
          <w:color w:val="000000" w:themeColor="text1"/>
        </w:rPr>
        <w:t xml:space="preserve"> M</w:t>
      </w:r>
      <w:r>
        <w:rPr>
          <w:rFonts w:ascii="Book Antiqua" w:hAnsi="Book Antiqua"/>
          <w:color w:val="000000" w:themeColor="text1"/>
        </w:rPr>
        <w:t xml:space="preserve">, Pfister D, O'Connor T, </w:t>
      </w:r>
      <w:proofErr w:type="spellStart"/>
      <w:r>
        <w:rPr>
          <w:rFonts w:ascii="Book Antiqua" w:hAnsi="Book Antiqua"/>
          <w:color w:val="000000" w:themeColor="text1"/>
        </w:rPr>
        <w:t>Pikarsky</w:t>
      </w:r>
      <w:proofErr w:type="spellEnd"/>
      <w:r>
        <w:rPr>
          <w:rFonts w:ascii="Book Antiqua" w:hAnsi="Book Antiqua"/>
          <w:color w:val="000000" w:themeColor="text1"/>
        </w:rPr>
        <w:t xml:space="preserve"> E, </w:t>
      </w:r>
      <w:proofErr w:type="spellStart"/>
      <w:r>
        <w:rPr>
          <w:rFonts w:ascii="Book Antiqua" w:hAnsi="Book Antiqua"/>
          <w:color w:val="000000" w:themeColor="text1"/>
        </w:rPr>
        <w:t>Heikenwalder</w:t>
      </w:r>
      <w:proofErr w:type="spellEnd"/>
      <w:r>
        <w:rPr>
          <w:rFonts w:ascii="Book Antiqua" w:hAnsi="Book Antiqua"/>
          <w:color w:val="000000" w:themeColor="text1"/>
        </w:rPr>
        <w:t xml:space="preserve"> M. The immunology of hepatocellular carcinoma. </w:t>
      </w:r>
      <w:r>
        <w:rPr>
          <w:rFonts w:ascii="Book Antiqua" w:hAnsi="Book Antiqua"/>
          <w:i/>
          <w:iCs/>
          <w:color w:val="000000" w:themeColor="text1"/>
        </w:rPr>
        <w:t>Nat Immunol</w:t>
      </w:r>
      <w:r>
        <w:rPr>
          <w:rFonts w:ascii="Book Antiqua" w:hAnsi="Book Antiqua"/>
          <w:color w:val="000000" w:themeColor="text1"/>
        </w:rPr>
        <w:t xml:space="preserve"> 2018; </w:t>
      </w:r>
      <w:r>
        <w:rPr>
          <w:rFonts w:ascii="Book Antiqua" w:hAnsi="Book Antiqua"/>
          <w:b/>
          <w:bCs/>
          <w:color w:val="000000" w:themeColor="text1"/>
        </w:rPr>
        <w:t>19</w:t>
      </w:r>
      <w:r>
        <w:rPr>
          <w:rFonts w:ascii="Book Antiqua" w:hAnsi="Book Antiqua"/>
          <w:color w:val="000000" w:themeColor="text1"/>
        </w:rPr>
        <w:t>: 222-232 [PMID: 29379119 DOI: 10.1038/s41590-018-0044-z]</w:t>
      </w:r>
    </w:p>
    <w:p w14:paraId="2D407E23"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 xml:space="preserve">4 </w:t>
      </w:r>
      <w:r>
        <w:rPr>
          <w:rFonts w:ascii="Book Antiqua" w:hAnsi="Book Antiqua"/>
          <w:b/>
          <w:bCs/>
          <w:color w:val="000000" w:themeColor="text1"/>
        </w:rPr>
        <w:t>Sung H</w:t>
      </w:r>
      <w:r>
        <w:rPr>
          <w:rFonts w:ascii="Book Antiqua" w:hAnsi="Book Antiqua"/>
          <w:color w:val="000000" w:themeColor="text1"/>
        </w:rPr>
        <w:t xml:space="preserve">, </w:t>
      </w:r>
      <w:proofErr w:type="spellStart"/>
      <w:r>
        <w:rPr>
          <w:rFonts w:ascii="Book Antiqua" w:hAnsi="Book Antiqua"/>
          <w:color w:val="000000" w:themeColor="text1"/>
        </w:rPr>
        <w:t>Ferlay</w:t>
      </w:r>
      <w:proofErr w:type="spellEnd"/>
      <w:r>
        <w:rPr>
          <w:rFonts w:ascii="Book Antiqua" w:hAnsi="Book Antiqua"/>
          <w:color w:val="000000" w:themeColor="text1"/>
        </w:rPr>
        <w:t xml:space="preserve"> J, Siegel RL, </w:t>
      </w:r>
      <w:proofErr w:type="spellStart"/>
      <w:r>
        <w:rPr>
          <w:rFonts w:ascii="Book Antiqua" w:hAnsi="Book Antiqua"/>
          <w:color w:val="000000" w:themeColor="text1"/>
        </w:rPr>
        <w:t>Laversanne</w:t>
      </w:r>
      <w:proofErr w:type="spellEnd"/>
      <w:r>
        <w:rPr>
          <w:rFonts w:ascii="Book Antiqua" w:hAnsi="Book Antiqua"/>
          <w:color w:val="000000" w:themeColor="text1"/>
        </w:rPr>
        <w:t xml:space="preserve"> M, </w:t>
      </w:r>
      <w:proofErr w:type="spellStart"/>
      <w:r>
        <w:rPr>
          <w:rFonts w:ascii="Book Antiqua" w:hAnsi="Book Antiqua"/>
          <w:color w:val="000000" w:themeColor="text1"/>
        </w:rPr>
        <w:t>Soerjomataram</w:t>
      </w:r>
      <w:proofErr w:type="spellEnd"/>
      <w:r>
        <w:rPr>
          <w:rFonts w:ascii="Book Antiqua" w:hAnsi="Book Antiqua"/>
          <w:color w:val="000000" w:themeColor="text1"/>
        </w:rPr>
        <w:t xml:space="preserve"> I, Jemal A, Bray F. Global Cancer Statistics 2020: GLOBOCAN Estimates of Incidence and Mortality Worldwide for 36 Cancers in 185 Countries. </w:t>
      </w:r>
      <w:r>
        <w:rPr>
          <w:rFonts w:ascii="Book Antiqua" w:hAnsi="Book Antiqua"/>
          <w:i/>
          <w:iCs/>
          <w:color w:val="000000" w:themeColor="text1"/>
        </w:rPr>
        <w:t>CA Cancer J Clin</w:t>
      </w:r>
      <w:r>
        <w:rPr>
          <w:rFonts w:ascii="Book Antiqua" w:hAnsi="Book Antiqua"/>
          <w:color w:val="000000" w:themeColor="text1"/>
        </w:rPr>
        <w:t xml:space="preserve"> 2021; </w:t>
      </w:r>
      <w:r>
        <w:rPr>
          <w:rFonts w:ascii="Book Antiqua" w:hAnsi="Book Antiqua"/>
          <w:b/>
          <w:bCs/>
          <w:color w:val="000000" w:themeColor="text1"/>
        </w:rPr>
        <w:t>71</w:t>
      </w:r>
      <w:r>
        <w:rPr>
          <w:rFonts w:ascii="Book Antiqua" w:hAnsi="Book Antiqua"/>
          <w:color w:val="000000" w:themeColor="text1"/>
        </w:rPr>
        <w:t>: 209-249 [PMID: 33538338 DOI: 10.3322/caac.21660]</w:t>
      </w:r>
    </w:p>
    <w:p w14:paraId="1E33E00E"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 xml:space="preserve">World Health Organization. </w:t>
      </w:r>
      <w:r>
        <w:rPr>
          <w:rFonts w:ascii="Book Antiqua" w:hAnsi="Book Antiqua"/>
          <w:color w:val="000000" w:themeColor="text1"/>
        </w:rPr>
        <w:t xml:space="preserve">International Agency for Research on Cancer. GLOBOCAN 2018. IARC. 2020. [cited 13 </w:t>
      </w:r>
      <w:r>
        <w:rPr>
          <w:rFonts w:ascii="Book Antiqua" w:hAnsi="Book Antiqua"/>
          <w:color w:val="000000" w:themeColor="text1"/>
          <w:lang w:eastAsia="zh-CN"/>
        </w:rPr>
        <w:t>J</w:t>
      </w:r>
      <w:r>
        <w:rPr>
          <w:rFonts w:ascii="Book Antiqua" w:hAnsi="Book Antiqua"/>
          <w:color w:val="000000" w:themeColor="text1"/>
        </w:rPr>
        <w:t>une 2023]. Available from: https://gco.iarc.fr/today/online-analysis-map?v=2020&amp;mode=population&amp;mode_population=continents&amp;population=900&amp;populations=900&amp;key=asr&amp;sex=0&amp;cancer=11&amp;type=0&amp;statistic=5&amp;prevalence=0&amp;population_groupearth&amp;color_palette=default&amp;map_scale=quantile&amp;map_nb_colors=5&amp;continent=0&amp;rotate=%255B10%252C0%255D</w:t>
      </w:r>
    </w:p>
    <w:p w14:paraId="47273CAC"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6 </w:t>
      </w:r>
      <w:proofErr w:type="spellStart"/>
      <w:r>
        <w:rPr>
          <w:rFonts w:ascii="Book Antiqua" w:hAnsi="Book Antiqua"/>
          <w:b/>
          <w:bCs/>
          <w:color w:val="000000" w:themeColor="text1"/>
        </w:rPr>
        <w:t>Rahib</w:t>
      </w:r>
      <w:proofErr w:type="spellEnd"/>
      <w:r>
        <w:rPr>
          <w:rFonts w:ascii="Book Antiqua" w:hAnsi="Book Antiqua"/>
          <w:b/>
          <w:bCs/>
          <w:color w:val="000000" w:themeColor="text1"/>
        </w:rPr>
        <w:t xml:space="preserve"> L</w:t>
      </w:r>
      <w:r>
        <w:rPr>
          <w:rFonts w:ascii="Book Antiqua" w:hAnsi="Book Antiqua"/>
          <w:color w:val="000000" w:themeColor="text1"/>
        </w:rPr>
        <w:t xml:space="preserve">, Smith BD, Aizenberg R, Rosenzweig AB, </w:t>
      </w:r>
      <w:proofErr w:type="spellStart"/>
      <w:r>
        <w:rPr>
          <w:rFonts w:ascii="Book Antiqua" w:hAnsi="Book Antiqua"/>
          <w:color w:val="000000" w:themeColor="text1"/>
        </w:rPr>
        <w:t>Fleshman</w:t>
      </w:r>
      <w:proofErr w:type="spellEnd"/>
      <w:r>
        <w:rPr>
          <w:rFonts w:ascii="Book Antiqua" w:hAnsi="Book Antiqua"/>
          <w:color w:val="000000" w:themeColor="text1"/>
        </w:rPr>
        <w:t xml:space="preserve"> JM, </w:t>
      </w:r>
      <w:proofErr w:type="spellStart"/>
      <w:r>
        <w:rPr>
          <w:rFonts w:ascii="Book Antiqua" w:hAnsi="Book Antiqua"/>
          <w:color w:val="000000" w:themeColor="text1"/>
        </w:rPr>
        <w:t>Matrisian</w:t>
      </w:r>
      <w:proofErr w:type="spellEnd"/>
      <w:r>
        <w:rPr>
          <w:rFonts w:ascii="Book Antiqua" w:hAnsi="Book Antiqua"/>
          <w:color w:val="000000" w:themeColor="text1"/>
        </w:rPr>
        <w:t xml:space="preserve"> LM. Projecting cancer incidence and deaths to 2030: the unexpected burden of thyroid, liver, and pancreas cancers in the United States. </w:t>
      </w:r>
      <w:r>
        <w:rPr>
          <w:rFonts w:ascii="Book Antiqua" w:hAnsi="Book Antiqua"/>
          <w:i/>
          <w:iCs/>
          <w:color w:val="000000" w:themeColor="text1"/>
        </w:rPr>
        <w:t>Cancer Res</w:t>
      </w:r>
      <w:r>
        <w:rPr>
          <w:rFonts w:ascii="Book Antiqua" w:hAnsi="Book Antiqua"/>
          <w:color w:val="000000" w:themeColor="text1"/>
        </w:rPr>
        <w:t xml:space="preserve"> 2014; </w:t>
      </w:r>
      <w:r>
        <w:rPr>
          <w:rFonts w:ascii="Book Antiqua" w:hAnsi="Book Antiqua"/>
          <w:b/>
          <w:bCs/>
          <w:color w:val="000000" w:themeColor="text1"/>
        </w:rPr>
        <w:t>74</w:t>
      </w:r>
      <w:r>
        <w:rPr>
          <w:rFonts w:ascii="Book Antiqua" w:hAnsi="Book Antiqua"/>
          <w:color w:val="000000" w:themeColor="text1"/>
        </w:rPr>
        <w:t>: 2913-2921 [PMID: 24840647 DOI: 10.1158/0008-5472.CAN-14-0155]</w:t>
      </w:r>
    </w:p>
    <w:p w14:paraId="474F662E"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bCs/>
          <w:color w:val="000000" w:themeColor="text1"/>
        </w:rPr>
        <w:t xml:space="preserve">European Association for the Study of the Liver. </w:t>
      </w:r>
      <w:r>
        <w:rPr>
          <w:rFonts w:ascii="Book Antiqua" w:hAnsi="Book Antiqua"/>
          <w:color w:val="000000" w:themeColor="text1"/>
        </w:rPr>
        <w:t xml:space="preserve">Corrigendum to "EASL Clinical Practice Guidelines: Management of hepatocellular carcinoma" [J Hepatol 69 (2018) 182-236]. </w:t>
      </w:r>
      <w:r>
        <w:rPr>
          <w:rFonts w:ascii="Book Antiqua" w:hAnsi="Book Antiqua"/>
          <w:i/>
          <w:iCs/>
          <w:color w:val="000000" w:themeColor="text1"/>
        </w:rPr>
        <w:t>J Hepatol</w:t>
      </w:r>
      <w:r>
        <w:rPr>
          <w:rFonts w:ascii="Book Antiqua" w:hAnsi="Book Antiqua"/>
          <w:color w:val="000000" w:themeColor="text1"/>
        </w:rPr>
        <w:t xml:space="preserve"> 2019; </w:t>
      </w:r>
      <w:r>
        <w:rPr>
          <w:rFonts w:ascii="Book Antiqua" w:hAnsi="Book Antiqua"/>
          <w:b/>
          <w:bCs/>
          <w:color w:val="000000" w:themeColor="text1"/>
        </w:rPr>
        <w:t>70</w:t>
      </w:r>
      <w:r>
        <w:rPr>
          <w:rFonts w:ascii="Book Antiqua" w:hAnsi="Book Antiqua"/>
          <w:color w:val="000000" w:themeColor="text1"/>
        </w:rPr>
        <w:t>: 817 [PMID: 30739718 DOI: 10.1016/j.jhep.2019.01.020]</w:t>
      </w:r>
    </w:p>
    <w:p w14:paraId="4C0FC86E"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8 </w:t>
      </w:r>
      <w:r>
        <w:rPr>
          <w:rFonts w:ascii="Book Antiqua" w:hAnsi="Book Antiqua"/>
          <w:b/>
          <w:bCs/>
          <w:color w:val="000000" w:themeColor="text1"/>
        </w:rPr>
        <w:t>Marrero JA</w:t>
      </w:r>
      <w:r>
        <w:rPr>
          <w:rFonts w:ascii="Book Antiqua" w:hAnsi="Book Antiqua"/>
          <w:color w:val="000000" w:themeColor="text1"/>
        </w:rPr>
        <w:t xml:space="preserve">, Kulik LM, </w:t>
      </w:r>
      <w:proofErr w:type="spellStart"/>
      <w:r>
        <w:rPr>
          <w:rFonts w:ascii="Book Antiqua" w:hAnsi="Book Antiqua"/>
          <w:color w:val="000000" w:themeColor="text1"/>
        </w:rPr>
        <w:t>Sirlin</w:t>
      </w:r>
      <w:proofErr w:type="spellEnd"/>
      <w:r>
        <w:rPr>
          <w:rFonts w:ascii="Book Antiqua" w:hAnsi="Book Antiqua"/>
          <w:color w:val="000000" w:themeColor="text1"/>
        </w:rPr>
        <w:t xml:space="preserve"> CB, Zhu AX, Finn RS, </w:t>
      </w:r>
      <w:proofErr w:type="spellStart"/>
      <w:r>
        <w:rPr>
          <w:rFonts w:ascii="Book Antiqua" w:hAnsi="Book Antiqua"/>
          <w:color w:val="000000" w:themeColor="text1"/>
        </w:rPr>
        <w:t>Abecassis</w:t>
      </w:r>
      <w:proofErr w:type="spellEnd"/>
      <w:r>
        <w:rPr>
          <w:rFonts w:ascii="Book Antiqua" w:hAnsi="Book Antiqua"/>
          <w:color w:val="000000" w:themeColor="text1"/>
        </w:rPr>
        <w:t xml:space="preserve"> MM, Roberts LR, </w:t>
      </w:r>
      <w:proofErr w:type="spellStart"/>
      <w:r>
        <w:rPr>
          <w:rFonts w:ascii="Book Antiqua" w:hAnsi="Book Antiqua"/>
          <w:color w:val="000000" w:themeColor="text1"/>
        </w:rPr>
        <w:t>Heimbach</w:t>
      </w:r>
      <w:proofErr w:type="spellEnd"/>
      <w:r>
        <w:rPr>
          <w:rFonts w:ascii="Book Antiqua" w:hAnsi="Book Antiqua"/>
          <w:color w:val="000000" w:themeColor="text1"/>
        </w:rPr>
        <w:t xml:space="preserve"> JK. Diagnosis, Staging, and Management of Hepatocellular Carcinoma: 2018 Practice Guidance by the American Association for the Study of Liver Diseases. </w:t>
      </w:r>
      <w:r>
        <w:rPr>
          <w:rFonts w:ascii="Book Antiqua" w:hAnsi="Book Antiqua"/>
          <w:i/>
          <w:iCs/>
          <w:color w:val="000000" w:themeColor="text1"/>
        </w:rPr>
        <w:t>Hepatology</w:t>
      </w:r>
      <w:r>
        <w:rPr>
          <w:rFonts w:ascii="Book Antiqua" w:hAnsi="Book Antiqua"/>
          <w:color w:val="000000" w:themeColor="text1"/>
        </w:rPr>
        <w:t xml:space="preserve"> 2018; </w:t>
      </w:r>
      <w:r>
        <w:rPr>
          <w:rFonts w:ascii="Book Antiqua" w:hAnsi="Book Antiqua"/>
          <w:b/>
          <w:bCs/>
          <w:color w:val="000000" w:themeColor="text1"/>
        </w:rPr>
        <w:t>68</w:t>
      </w:r>
      <w:r>
        <w:rPr>
          <w:rFonts w:ascii="Book Antiqua" w:hAnsi="Book Antiqua"/>
          <w:color w:val="000000" w:themeColor="text1"/>
        </w:rPr>
        <w:t>: 723-750 [PMID: 29624699 DOI: 10.1002/hep.29913]</w:t>
      </w:r>
    </w:p>
    <w:p w14:paraId="1488F603"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9 </w:t>
      </w:r>
      <w:r>
        <w:rPr>
          <w:rFonts w:ascii="Book Antiqua" w:hAnsi="Book Antiqua"/>
          <w:b/>
          <w:bCs/>
          <w:color w:val="000000" w:themeColor="text1"/>
        </w:rPr>
        <w:t>Orcutt ST</w:t>
      </w:r>
      <w:r>
        <w:rPr>
          <w:rFonts w:ascii="Book Antiqua" w:hAnsi="Book Antiqua"/>
          <w:color w:val="000000" w:themeColor="text1"/>
        </w:rPr>
        <w:t xml:space="preserve">, Anaya DA. Liver Resection and Surgical Strategies for Management of Primary Liver Cancer. </w:t>
      </w:r>
      <w:r>
        <w:rPr>
          <w:rFonts w:ascii="Book Antiqua" w:hAnsi="Book Antiqua"/>
          <w:i/>
          <w:iCs/>
          <w:color w:val="000000" w:themeColor="text1"/>
        </w:rPr>
        <w:t>Cancer Control</w:t>
      </w:r>
      <w:r>
        <w:rPr>
          <w:rFonts w:ascii="Book Antiqua" w:hAnsi="Book Antiqua"/>
          <w:color w:val="000000" w:themeColor="text1"/>
        </w:rPr>
        <w:t xml:space="preserve"> 2018; </w:t>
      </w:r>
      <w:r>
        <w:rPr>
          <w:rFonts w:ascii="Book Antiqua" w:hAnsi="Book Antiqua"/>
          <w:b/>
          <w:bCs/>
          <w:color w:val="000000" w:themeColor="text1"/>
        </w:rPr>
        <w:t>25</w:t>
      </w:r>
      <w:r>
        <w:rPr>
          <w:rFonts w:ascii="Book Antiqua" w:hAnsi="Book Antiqua"/>
          <w:color w:val="000000" w:themeColor="text1"/>
        </w:rPr>
        <w:t>: 1073274817744621 [PMID: 29327594 DOI: 10.1177/1073274817744621]</w:t>
      </w:r>
    </w:p>
    <w:p w14:paraId="65528098"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10 </w:t>
      </w:r>
      <w:r>
        <w:rPr>
          <w:rFonts w:ascii="Book Antiqua" w:hAnsi="Book Antiqua"/>
          <w:b/>
          <w:bCs/>
          <w:color w:val="000000" w:themeColor="text1"/>
        </w:rPr>
        <w:t>Hahn JN</w:t>
      </w:r>
      <w:r>
        <w:rPr>
          <w:rFonts w:ascii="Book Antiqua" w:hAnsi="Book Antiqua"/>
          <w:color w:val="000000" w:themeColor="text1"/>
        </w:rPr>
        <w:t xml:space="preserve">, Kaushik DK, Yong VW. The role of EMMPRIN in T cell biology and immunological diseases. </w:t>
      </w:r>
      <w:r>
        <w:rPr>
          <w:rFonts w:ascii="Book Antiqua" w:hAnsi="Book Antiqua"/>
          <w:i/>
          <w:iCs/>
          <w:color w:val="000000" w:themeColor="text1"/>
        </w:rPr>
        <w:t xml:space="preserve">J </w:t>
      </w:r>
      <w:proofErr w:type="spellStart"/>
      <w:r>
        <w:rPr>
          <w:rFonts w:ascii="Book Antiqua" w:hAnsi="Book Antiqua"/>
          <w:i/>
          <w:iCs/>
          <w:color w:val="000000" w:themeColor="text1"/>
        </w:rPr>
        <w:t>Leukoc</w:t>
      </w:r>
      <w:proofErr w:type="spellEnd"/>
      <w:r>
        <w:rPr>
          <w:rFonts w:ascii="Book Antiqua" w:hAnsi="Book Antiqua"/>
          <w:i/>
          <w:iCs/>
          <w:color w:val="000000" w:themeColor="text1"/>
        </w:rPr>
        <w:t xml:space="preserve"> Biol</w:t>
      </w:r>
      <w:r>
        <w:rPr>
          <w:rFonts w:ascii="Book Antiqua" w:hAnsi="Book Antiqua"/>
          <w:color w:val="000000" w:themeColor="text1"/>
        </w:rPr>
        <w:t xml:space="preserve"> 2015; </w:t>
      </w:r>
      <w:r>
        <w:rPr>
          <w:rFonts w:ascii="Book Antiqua" w:hAnsi="Book Antiqua"/>
          <w:b/>
          <w:bCs/>
          <w:color w:val="000000" w:themeColor="text1"/>
        </w:rPr>
        <w:t>98</w:t>
      </w:r>
      <w:r>
        <w:rPr>
          <w:rFonts w:ascii="Book Antiqua" w:hAnsi="Book Antiqua"/>
          <w:color w:val="000000" w:themeColor="text1"/>
        </w:rPr>
        <w:t>: 33-48 [PMID: 25977287 DOI: 10.1189/jlb.3RU0215-045R]</w:t>
      </w:r>
    </w:p>
    <w:p w14:paraId="291C2734"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 xml:space="preserve">11 </w:t>
      </w:r>
      <w:proofErr w:type="spellStart"/>
      <w:r>
        <w:rPr>
          <w:rFonts w:ascii="Book Antiqua" w:hAnsi="Book Antiqua"/>
          <w:b/>
          <w:bCs/>
          <w:color w:val="000000" w:themeColor="text1"/>
        </w:rPr>
        <w:t>Kaname</w:t>
      </w:r>
      <w:proofErr w:type="spellEnd"/>
      <w:r>
        <w:rPr>
          <w:rFonts w:ascii="Book Antiqua" w:hAnsi="Book Antiqua"/>
          <w:b/>
          <w:bCs/>
          <w:color w:val="000000" w:themeColor="text1"/>
        </w:rPr>
        <w:t xml:space="preserve"> T</w:t>
      </w:r>
      <w:r>
        <w:rPr>
          <w:rFonts w:ascii="Book Antiqua" w:hAnsi="Book Antiqua"/>
          <w:color w:val="000000" w:themeColor="text1"/>
        </w:rPr>
        <w:t xml:space="preserve">, </w:t>
      </w:r>
      <w:proofErr w:type="spellStart"/>
      <w:r>
        <w:rPr>
          <w:rFonts w:ascii="Book Antiqua" w:hAnsi="Book Antiqua"/>
          <w:color w:val="000000" w:themeColor="text1"/>
        </w:rPr>
        <w:t>Miyauchi</w:t>
      </w:r>
      <w:proofErr w:type="spellEnd"/>
      <w:r>
        <w:rPr>
          <w:rFonts w:ascii="Book Antiqua" w:hAnsi="Book Antiqua"/>
          <w:color w:val="000000" w:themeColor="text1"/>
        </w:rPr>
        <w:t xml:space="preserve"> T, </w:t>
      </w:r>
      <w:proofErr w:type="spellStart"/>
      <w:r>
        <w:rPr>
          <w:rFonts w:ascii="Book Antiqua" w:hAnsi="Book Antiqua"/>
          <w:color w:val="000000" w:themeColor="text1"/>
        </w:rPr>
        <w:t>Kuwano</w:t>
      </w:r>
      <w:proofErr w:type="spellEnd"/>
      <w:r>
        <w:rPr>
          <w:rFonts w:ascii="Book Antiqua" w:hAnsi="Book Antiqua"/>
          <w:color w:val="000000" w:themeColor="text1"/>
        </w:rPr>
        <w:t xml:space="preserve"> A, Matsuda Y, </w:t>
      </w:r>
      <w:proofErr w:type="spellStart"/>
      <w:r>
        <w:rPr>
          <w:rFonts w:ascii="Book Antiqua" w:hAnsi="Book Antiqua"/>
          <w:color w:val="000000" w:themeColor="text1"/>
        </w:rPr>
        <w:t>Muramatsu</w:t>
      </w:r>
      <w:proofErr w:type="spellEnd"/>
      <w:r>
        <w:rPr>
          <w:rFonts w:ascii="Book Antiqua" w:hAnsi="Book Antiqua"/>
          <w:color w:val="000000" w:themeColor="text1"/>
        </w:rPr>
        <w:t xml:space="preserve"> T, </w:t>
      </w:r>
      <w:proofErr w:type="spellStart"/>
      <w:r>
        <w:rPr>
          <w:rFonts w:ascii="Book Antiqua" w:hAnsi="Book Antiqua"/>
          <w:color w:val="000000" w:themeColor="text1"/>
        </w:rPr>
        <w:t>Kajii</w:t>
      </w:r>
      <w:proofErr w:type="spellEnd"/>
      <w:r>
        <w:rPr>
          <w:rFonts w:ascii="Book Antiqua" w:hAnsi="Book Antiqua"/>
          <w:color w:val="000000" w:themeColor="text1"/>
        </w:rPr>
        <w:t xml:space="preserve"> T. Mapping </w:t>
      </w:r>
      <w:proofErr w:type="spellStart"/>
      <w:r>
        <w:rPr>
          <w:rFonts w:ascii="Book Antiqua" w:hAnsi="Book Antiqua"/>
          <w:color w:val="000000" w:themeColor="text1"/>
        </w:rPr>
        <w:t>basigin</w:t>
      </w:r>
      <w:proofErr w:type="spellEnd"/>
      <w:r>
        <w:rPr>
          <w:rFonts w:ascii="Book Antiqua" w:hAnsi="Book Antiqua"/>
          <w:color w:val="000000" w:themeColor="text1"/>
        </w:rPr>
        <w:t xml:space="preserve"> (BSG), a member of the immunoglobulin superfamily, to 19p13.3. </w:t>
      </w:r>
      <w:proofErr w:type="spellStart"/>
      <w:r>
        <w:rPr>
          <w:rFonts w:ascii="Book Antiqua" w:hAnsi="Book Antiqua"/>
          <w:i/>
          <w:iCs/>
          <w:color w:val="000000" w:themeColor="text1"/>
        </w:rPr>
        <w:t>Cytogenet</w:t>
      </w:r>
      <w:proofErr w:type="spellEnd"/>
      <w:r>
        <w:rPr>
          <w:rFonts w:ascii="Book Antiqua" w:hAnsi="Book Antiqua"/>
          <w:i/>
          <w:iCs/>
          <w:color w:val="000000" w:themeColor="text1"/>
        </w:rPr>
        <w:t xml:space="preserve"> Cell Genet</w:t>
      </w:r>
      <w:r>
        <w:rPr>
          <w:rFonts w:ascii="Book Antiqua" w:hAnsi="Book Antiqua"/>
          <w:color w:val="000000" w:themeColor="text1"/>
        </w:rPr>
        <w:t xml:space="preserve"> 1993; </w:t>
      </w:r>
      <w:r>
        <w:rPr>
          <w:rFonts w:ascii="Book Antiqua" w:hAnsi="Book Antiqua"/>
          <w:b/>
          <w:bCs/>
          <w:color w:val="000000" w:themeColor="text1"/>
        </w:rPr>
        <w:t>64</w:t>
      </w:r>
      <w:r>
        <w:rPr>
          <w:rFonts w:ascii="Book Antiqua" w:hAnsi="Book Antiqua"/>
          <w:color w:val="000000" w:themeColor="text1"/>
        </w:rPr>
        <w:t>: 195-197 [PMID: 8404035 DOI: 10.1159/000133573]</w:t>
      </w:r>
    </w:p>
    <w:p w14:paraId="3818C384"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12 </w:t>
      </w:r>
      <w:proofErr w:type="spellStart"/>
      <w:r>
        <w:rPr>
          <w:rFonts w:ascii="Book Antiqua" w:hAnsi="Book Antiqua"/>
          <w:b/>
          <w:bCs/>
          <w:color w:val="000000" w:themeColor="text1"/>
        </w:rPr>
        <w:t>Landras</w:t>
      </w:r>
      <w:proofErr w:type="spellEnd"/>
      <w:r>
        <w:rPr>
          <w:rFonts w:ascii="Book Antiqua" w:hAnsi="Book Antiqua"/>
          <w:b/>
          <w:bCs/>
          <w:color w:val="000000" w:themeColor="text1"/>
        </w:rPr>
        <w:t xml:space="preserve"> A</w:t>
      </w:r>
      <w:r>
        <w:rPr>
          <w:rFonts w:ascii="Book Antiqua" w:hAnsi="Book Antiqua"/>
          <w:color w:val="000000" w:themeColor="text1"/>
        </w:rPr>
        <w:t xml:space="preserve">, </w:t>
      </w:r>
      <w:proofErr w:type="spellStart"/>
      <w:r>
        <w:rPr>
          <w:rFonts w:ascii="Book Antiqua" w:hAnsi="Book Antiqua"/>
          <w:color w:val="000000" w:themeColor="text1"/>
        </w:rPr>
        <w:t>Reger</w:t>
      </w:r>
      <w:proofErr w:type="spellEnd"/>
      <w:r>
        <w:rPr>
          <w:rFonts w:ascii="Book Antiqua" w:hAnsi="Book Antiqua"/>
          <w:color w:val="000000" w:themeColor="text1"/>
        </w:rPr>
        <w:t xml:space="preserve"> de Moura C, </w:t>
      </w:r>
      <w:proofErr w:type="spellStart"/>
      <w:r>
        <w:rPr>
          <w:rFonts w:ascii="Book Antiqua" w:hAnsi="Book Antiqua"/>
          <w:color w:val="000000" w:themeColor="text1"/>
        </w:rPr>
        <w:t>Jouenne</w:t>
      </w:r>
      <w:proofErr w:type="spellEnd"/>
      <w:r>
        <w:rPr>
          <w:rFonts w:ascii="Book Antiqua" w:hAnsi="Book Antiqua"/>
          <w:color w:val="000000" w:themeColor="text1"/>
        </w:rPr>
        <w:t xml:space="preserve"> F, </w:t>
      </w:r>
      <w:proofErr w:type="spellStart"/>
      <w:r>
        <w:rPr>
          <w:rFonts w:ascii="Book Antiqua" w:hAnsi="Book Antiqua"/>
          <w:color w:val="000000" w:themeColor="text1"/>
        </w:rPr>
        <w:t>Lebbe</w:t>
      </w:r>
      <w:proofErr w:type="spellEnd"/>
      <w:r>
        <w:rPr>
          <w:rFonts w:ascii="Book Antiqua" w:hAnsi="Book Antiqua"/>
          <w:color w:val="000000" w:themeColor="text1"/>
        </w:rPr>
        <w:t xml:space="preserve"> C, </w:t>
      </w:r>
      <w:proofErr w:type="spellStart"/>
      <w:r>
        <w:rPr>
          <w:rFonts w:ascii="Book Antiqua" w:hAnsi="Book Antiqua"/>
          <w:color w:val="000000" w:themeColor="text1"/>
        </w:rPr>
        <w:t>Menashi</w:t>
      </w:r>
      <w:proofErr w:type="spellEnd"/>
      <w:r>
        <w:rPr>
          <w:rFonts w:ascii="Book Antiqua" w:hAnsi="Book Antiqua"/>
          <w:color w:val="000000" w:themeColor="text1"/>
        </w:rPr>
        <w:t xml:space="preserve"> S, </w:t>
      </w:r>
      <w:proofErr w:type="spellStart"/>
      <w:r>
        <w:rPr>
          <w:rFonts w:ascii="Book Antiqua" w:hAnsi="Book Antiqua"/>
          <w:color w:val="000000" w:themeColor="text1"/>
        </w:rPr>
        <w:t>Mourah</w:t>
      </w:r>
      <w:proofErr w:type="spellEnd"/>
      <w:r>
        <w:rPr>
          <w:rFonts w:ascii="Book Antiqua" w:hAnsi="Book Antiqua"/>
          <w:color w:val="000000" w:themeColor="text1"/>
        </w:rPr>
        <w:t xml:space="preserve"> S. CD147 Is a Promising Target of Tumor Progression and a Prognostic Biomarker. </w:t>
      </w:r>
      <w:r>
        <w:rPr>
          <w:rFonts w:ascii="Book Antiqua" w:hAnsi="Book Antiqua"/>
          <w:i/>
          <w:iCs/>
          <w:color w:val="000000" w:themeColor="text1"/>
        </w:rPr>
        <w:t>Cancers (Basel)</w:t>
      </w:r>
      <w:r>
        <w:rPr>
          <w:rFonts w:ascii="Book Antiqua" w:hAnsi="Book Antiqua"/>
          <w:color w:val="000000" w:themeColor="text1"/>
        </w:rPr>
        <w:t xml:space="preserve"> 2019; </w:t>
      </w:r>
      <w:r>
        <w:rPr>
          <w:rFonts w:ascii="Book Antiqua" w:hAnsi="Book Antiqua"/>
          <w:b/>
          <w:bCs/>
          <w:color w:val="000000" w:themeColor="text1"/>
        </w:rPr>
        <w:t>11</w:t>
      </w:r>
      <w:r>
        <w:rPr>
          <w:rFonts w:ascii="Book Antiqua" w:hAnsi="Book Antiqua"/>
          <w:color w:val="000000" w:themeColor="text1"/>
        </w:rPr>
        <w:t xml:space="preserve"> [PMID: 31744072 DOI: 10.3390/cancers11111803]</w:t>
      </w:r>
    </w:p>
    <w:p w14:paraId="29117FB0"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13 </w:t>
      </w:r>
      <w:r>
        <w:rPr>
          <w:rFonts w:ascii="Book Antiqua" w:hAnsi="Book Antiqua"/>
          <w:b/>
          <w:bCs/>
          <w:color w:val="000000" w:themeColor="text1"/>
        </w:rPr>
        <w:t>Liao CG</w:t>
      </w:r>
      <w:r>
        <w:rPr>
          <w:rFonts w:ascii="Book Antiqua" w:hAnsi="Book Antiqua"/>
          <w:color w:val="000000" w:themeColor="text1"/>
        </w:rPr>
        <w:t xml:space="preserve">, Kong LM, Song F, Xing JL, Wang LX, Sun ZJ, Tang H, Yao H, Zhang Y, Wang L, Wang Y, Yang XM, Li Y, Chen ZN. Characterization of </w:t>
      </w:r>
      <w:proofErr w:type="spellStart"/>
      <w:r>
        <w:rPr>
          <w:rFonts w:ascii="Book Antiqua" w:hAnsi="Book Antiqua"/>
          <w:color w:val="000000" w:themeColor="text1"/>
        </w:rPr>
        <w:t>basigin</w:t>
      </w:r>
      <w:proofErr w:type="spellEnd"/>
      <w:r>
        <w:rPr>
          <w:rFonts w:ascii="Book Antiqua" w:hAnsi="Book Antiqua"/>
          <w:color w:val="000000" w:themeColor="text1"/>
        </w:rPr>
        <w:t xml:space="preserve"> isoforms and the inhibitory function of basigin-3 in human hepatocellular carcinoma proliferation and invasion. </w:t>
      </w:r>
      <w:r>
        <w:rPr>
          <w:rFonts w:ascii="Book Antiqua" w:hAnsi="Book Antiqua"/>
          <w:i/>
          <w:iCs/>
          <w:color w:val="000000" w:themeColor="text1"/>
        </w:rPr>
        <w:t>Mol Cell Biol</w:t>
      </w:r>
      <w:r>
        <w:rPr>
          <w:rFonts w:ascii="Book Antiqua" w:hAnsi="Book Antiqua"/>
          <w:color w:val="000000" w:themeColor="text1"/>
        </w:rPr>
        <w:t xml:space="preserve"> 2011; </w:t>
      </w:r>
      <w:r>
        <w:rPr>
          <w:rFonts w:ascii="Book Antiqua" w:hAnsi="Book Antiqua"/>
          <w:b/>
          <w:bCs/>
          <w:color w:val="000000" w:themeColor="text1"/>
        </w:rPr>
        <w:t>31</w:t>
      </w:r>
      <w:r>
        <w:rPr>
          <w:rFonts w:ascii="Book Antiqua" w:hAnsi="Book Antiqua"/>
          <w:color w:val="000000" w:themeColor="text1"/>
        </w:rPr>
        <w:t>: 2591-2604 [PMID: 21536654 DOI: 10.1128/MCB.05160-11]</w:t>
      </w:r>
    </w:p>
    <w:p w14:paraId="1F5C4986"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14 </w:t>
      </w:r>
      <w:r>
        <w:rPr>
          <w:rFonts w:ascii="Book Antiqua" w:hAnsi="Book Antiqua"/>
          <w:b/>
          <w:bCs/>
          <w:color w:val="000000" w:themeColor="text1"/>
        </w:rPr>
        <w:t>Chen X</w:t>
      </w:r>
      <w:r>
        <w:rPr>
          <w:rFonts w:ascii="Book Antiqua" w:hAnsi="Book Antiqua"/>
          <w:color w:val="000000" w:themeColor="text1"/>
        </w:rPr>
        <w:t xml:space="preserve">, Lin J, </w:t>
      </w:r>
      <w:proofErr w:type="spellStart"/>
      <w:r>
        <w:rPr>
          <w:rFonts w:ascii="Book Antiqua" w:hAnsi="Book Antiqua"/>
          <w:color w:val="000000" w:themeColor="text1"/>
        </w:rPr>
        <w:t>Kanekura</w:t>
      </w:r>
      <w:proofErr w:type="spellEnd"/>
      <w:r>
        <w:rPr>
          <w:rFonts w:ascii="Book Antiqua" w:hAnsi="Book Antiqua"/>
          <w:color w:val="000000" w:themeColor="text1"/>
        </w:rPr>
        <w:t xml:space="preserve"> T, </w:t>
      </w:r>
      <w:proofErr w:type="spellStart"/>
      <w:r>
        <w:rPr>
          <w:rFonts w:ascii="Book Antiqua" w:hAnsi="Book Antiqua"/>
          <w:color w:val="000000" w:themeColor="text1"/>
        </w:rPr>
        <w:t>Su</w:t>
      </w:r>
      <w:proofErr w:type="spellEnd"/>
      <w:r>
        <w:rPr>
          <w:rFonts w:ascii="Book Antiqua" w:hAnsi="Book Antiqua"/>
          <w:color w:val="000000" w:themeColor="text1"/>
        </w:rPr>
        <w:t xml:space="preserve"> J, Lin W, </w:t>
      </w:r>
      <w:proofErr w:type="spellStart"/>
      <w:r>
        <w:rPr>
          <w:rFonts w:ascii="Book Antiqua" w:hAnsi="Book Antiqua"/>
          <w:color w:val="000000" w:themeColor="text1"/>
        </w:rPr>
        <w:t>Xie</w:t>
      </w:r>
      <w:proofErr w:type="spellEnd"/>
      <w:r>
        <w:rPr>
          <w:rFonts w:ascii="Book Antiqua" w:hAnsi="Book Antiqua"/>
          <w:color w:val="000000" w:themeColor="text1"/>
        </w:rPr>
        <w:t xml:space="preserve"> H, Wu Y, Li J, Chen M, Chang J. A small interfering CD147-targeting RNA inhibited the proliferation, invasiveness, and metastatic activity of malignant melanoma. </w:t>
      </w:r>
      <w:r>
        <w:rPr>
          <w:rFonts w:ascii="Book Antiqua" w:hAnsi="Book Antiqua"/>
          <w:i/>
          <w:iCs/>
          <w:color w:val="000000" w:themeColor="text1"/>
        </w:rPr>
        <w:t>Cancer Res</w:t>
      </w:r>
      <w:r>
        <w:rPr>
          <w:rFonts w:ascii="Book Antiqua" w:hAnsi="Book Antiqua"/>
          <w:color w:val="000000" w:themeColor="text1"/>
        </w:rPr>
        <w:t xml:space="preserve"> 2006; </w:t>
      </w:r>
      <w:r>
        <w:rPr>
          <w:rFonts w:ascii="Book Antiqua" w:hAnsi="Book Antiqua"/>
          <w:b/>
          <w:bCs/>
          <w:color w:val="000000" w:themeColor="text1"/>
        </w:rPr>
        <w:t>66</w:t>
      </w:r>
      <w:r>
        <w:rPr>
          <w:rFonts w:ascii="Book Antiqua" w:hAnsi="Book Antiqua"/>
          <w:color w:val="000000" w:themeColor="text1"/>
        </w:rPr>
        <w:t>: 11323-11330 [PMID: 17145878 DOI: 10.1158/0008-5472.CAN-06-1536]</w:t>
      </w:r>
    </w:p>
    <w:p w14:paraId="327D5134"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15 </w:t>
      </w:r>
      <w:proofErr w:type="spellStart"/>
      <w:r>
        <w:rPr>
          <w:rFonts w:ascii="Book Antiqua" w:hAnsi="Book Antiqua"/>
          <w:b/>
          <w:bCs/>
          <w:color w:val="000000" w:themeColor="text1"/>
        </w:rPr>
        <w:t>Kanekura</w:t>
      </w:r>
      <w:proofErr w:type="spellEnd"/>
      <w:r>
        <w:rPr>
          <w:rFonts w:ascii="Book Antiqua" w:hAnsi="Book Antiqua"/>
          <w:b/>
          <w:bCs/>
          <w:color w:val="000000" w:themeColor="text1"/>
        </w:rPr>
        <w:t xml:space="preserve"> T</w:t>
      </w:r>
      <w:r>
        <w:rPr>
          <w:rFonts w:ascii="Book Antiqua" w:hAnsi="Book Antiqua"/>
          <w:color w:val="000000" w:themeColor="text1"/>
        </w:rPr>
        <w:t xml:space="preserve">, Chen X, </w:t>
      </w:r>
      <w:proofErr w:type="spellStart"/>
      <w:r>
        <w:rPr>
          <w:rFonts w:ascii="Book Antiqua" w:hAnsi="Book Antiqua"/>
          <w:color w:val="000000" w:themeColor="text1"/>
        </w:rPr>
        <w:t>Kanzaki</w:t>
      </w:r>
      <w:proofErr w:type="spellEnd"/>
      <w:r>
        <w:rPr>
          <w:rFonts w:ascii="Book Antiqua" w:hAnsi="Book Antiqua"/>
          <w:color w:val="000000" w:themeColor="text1"/>
        </w:rPr>
        <w:t xml:space="preserve"> T. </w:t>
      </w:r>
      <w:proofErr w:type="spellStart"/>
      <w:r>
        <w:rPr>
          <w:rFonts w:ascii="Book Antiqua" w:hAnsi="Book Antiqua"/>
          <w:color w:val="000000" w:themeColor="text1"/>
        </w:rPr>
        <w:t>Basigin</w:t>
      </w:r>
      <w:proofErr w:type="spellEnd"/>
      <w:r>
        <w:rPr>
          <w:rFonts w:ascii="Book Antiqua" w:hAnsi="Book Antiqua"/>
          <w:color w:val="000000" w:themeColor="text1"/>
        </w:rPr>
        <w:t xml:space="preserve"> (CD147) is expressed on melanoma cells and induces tumor cell invasion by stimulating production of matrix metalloproteinases by fibroblasts. </w:t>
      </w:r>
      <w:r>
        <w:rPr>
          <w:rFonts w:ascii="Book Antiqua" w:hAnsi="Book Antiqua"/>
          <w:i/>
          <w:iCs/>
          <w:color w:val="000000" w:themeColor="text1"/>
        </w:rPr>
        <w:t>Int J Cancer</w:t>
      </w:r>
      <w:r>
        <w:rPr>
          <w:rFonts w:ascii="Book Antiqua" w:hAnsi="Book Antiqua"/>
          <w:color w:val="000000" w:themeColor="text1"/>
        </w:rPr>
        <w:t xml:space="preserve"> 2002; </w:t>
      </w:r>
      <w:r>
        <w:rPr>
          <w:rFonts w:ascii="Book Antiqua" w:hAnsi="Book Antiqua"/>
          <w:b/>
          <w:bCs/>
          <w:color w:val="000000" w:themeColor="text1"/>
        </w:rPr>
        <w:t>99</w:t>
      </w:r>
      <w:r>
        <w:rPr>
          <w:rFonts w:ascii="Book Antiqua" w:hAnsi="Book Antiqua"/>
          <w:color w:val="000000" w:themeColor="text1"/>
        </w:rPr>
        <w:t>: 520-528 [PMID: 11992541 DOI: 10.1002/ijc.10390]</w:t>
      </w:r>
    </w:p>
    <w:p w14:paraId="0CA10239"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16 </w:t>
      </w:r>
      <w:r>
        <w:rPr>
          <w:rFonts w:ascii="Book Antiqua" w:hAnsi="Book Antiqua"/>
          <w:b/>
          <w:bCs/>
          <w:color w:val="000000" w:themeColor="text1"/>
        </w:rPr>
        <w:t>Imai K</w:t>
      </w:r>
      <w:r>
        <w:rPr>
          <w:rFonts w:ascii="Book Antiqua" w:hAnsi="Book Antiqua"/>
          <w:color w:val="000000" w:themeColor="text1"/>
        </w:rPr>
        <w:t xml:space="preserve">. [Matrix metalloproteinases and cancer cell invasion and metastasis]. </w:t>
      </w:r>
      <w:proofErr w:type="spellStart"/>
      <w:r>
        <w:rPr>
          <w:rFonts w:ascii="Book Antiqua" w:hAnsi="Book Antiqua"/>
          <w:i/>
          <w:iCs/>
          <w:color w:val="000000" w:themeColor="text1"/>
        </w:rPr>
        <w:t>Tanpakushitsu</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Kakusan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Koso</w:t>
      </w:r>
      <w:proofErr w:type="spellEnd"/>
      <w:r>
        <w:rPr>
          <w:rFonts w:ascii="Book Antiqua" w:hAnsi="Book Antiqua"/>
          <w:color w:val="000000" w:themeColor="text1"/>
        </w:rPr>
        <w:t xml:space="preserve"> 1997; </w:t>
      </w:r>
      <w:r>
        <w:rPr>
          <w:rFonts w:ascii="Book Antiqua" w:hAnsi="Book Antiqua"/>
          <w:b/>
          <w:bCs/>
          <w:color w:val="000000" w:themeColor="text1"/>
        </w:rPr>
        <w:t>42</w:t>
      </w:r>
      <w:r>
        <w:rPr>
          <w:rFonts w:ascii="Book Antiqua" w:hAnsi="Book Antiqua"/>
          <w:color w:val="000000" w:themeColor="text1"/>
        </w:rPr>
        <w:t>: 1694-1700 [PMID: 9279101]</w:t>
      </w:r>
    </w:p>
    <w:p w14:paraId="17DEFF61"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17 </w:t>
      </w:r>
      <w:r>
        <w:rPr>
          <w:rFonts w:ascii="Book Antiqua" w:hAnsi="Book Antiqua"/>
          <w:b/>
          <w:bCs/>
          <w:color w:val="000000" w:themeColor="text1"/>
        </w:rPr>
        <w:t>Kelly T</w:t>
      </w:r>
      <w:r>
        <w:rPr>
          <w:rFonts w:ascii="Book Antiqua" w:hAnsi="Book Antiqua"/>
          <w:color w:val="000000" w:themeColor="text1"/>
        </w:rPr>
        <w:t xml:space="preserve">, Yan Y, Osborne RL, </w:t>
      </w:r>
      <w:proofErr w:type="spellStart"/>
      <w:r>
        <w:rPr>
          <w:rFonts w:ascii="Book Antiqua" w:hAnsi="Book Antiqua"/>
          <w:color w:val="000000" w:themeColor="text1"/>
        </w:rPr>
        <w:t>Athota</w:t>
      </w:r>
      <w:proofErr w:type="spellEnd"/>
      <w:r>
        <w:rPr>
          <w:rFonts w:ascii="Book Antiqua" w:hAnsi="Book Antiqua"/>
          <w:color w:val="000000" w:themeColor="text1"/>
        </w:rPr>
        <w:t xml:space="preserve"> AB, </w:t>
      </w:r>
      <w:proofErr w:type="spellStart"/>
      <w:r>
        <w:rPr>
          <w:rFonts w:ascii="Book Antiqua" w:hAnsi="Book Antiqua"/>
          <w:color w:val="000000" w:themeColor="text1"/>
        </w:rPr>
        <w:t>Rozypal</w:t>
      </w:r>
      <w:proofErr w:type="spellEnd"/>
      <w:r>
        <w:rPr>
          <w:rFonts w:ascii="Book Antiqua" w:hAnsi="Book Antiqua"/>
          <w:color w:val="000000" w:themeColor="text1"/>
        </w:rPr>
        <w:t xml:space="preserve"> TL, </w:t>
      </w:r>
      <w:proofErr w:type="spellStart"/>
      <w:r>
        <w:rPr>
          <w:rFonts w:ascii="Book Antiqua" w:hAnsi="Book Antiqua"/>
          <w:color w:val="000000" w:themeColor="text1"/>
        </w:rPr>
        <w:t>Colclasure</w:t>
      </w:r>
      <w:proofErr w:type="spellEnd"/>
      <w:r>
        <w:rPr>
          <w:rFonts w:ascii="Book Antiqua" w:hAnsi="Book Antiqua"/>
          <w:color w:val="000000" w:themeColor="text1"/>
        </w:rPr>
        <w:t xml:space="preserve"> JC, Chu WS. Proteolysis of extracellular matrix by </w:t>
      </w:r>
      <w:proofErr w:type="spellStart"/>
      <w:r>
        <w:rPr>
          <w:rFonts w:ascii="Book Antiqua" w:hAnsi="Book Antiqua"/>
          <w:color w:val="000000" w:themeColor="text1"/>
        </w:rPr>
        <w:t>invadopodia</w:t>
      </w:r>
      <w:proofErr w:type="spellEnd"/>
      <w:r>
        <w:rPr>
          <w:rFonts w:ascii="Book Antiqua" w:hAnsi="Book Antiqua"/>
          <w:color w:val="000000" w:themeColor="text1"/>
        </w:rPr>
        <w:t xml:space="preserve"> facilitates human breast cancer cell invasion and is mediated by matrix metalloproteinases. </w:t>
      </w:r>
      <w:r>
        <w:rPr>
          <w:rFonts w:ascii="Book Antiqua" w:hAnsi="Book Antiqua"/>
          <w:i/>
          <w:iCs/>
          <w:color w:val="000000" w:themeColor="text1"/>
        </w:rPr>
        <w:t>Clin Exp Metastasis</w:t>
      </w:r>
      <w:r>
        <w:rPr>
          <w:rFonts w:ascii="Book Antiqua" w:hAnsi="Book Antiqua"/>
          <w:color w:val="000000" w:themeColor="text1"/>
        </w:rPr>
        <w:t xml:space="preserve"> 1998; </w:t>
      </w:r>
      <w:r>
        <w:rPr>
          <w:rFonts w:ascii="Book Antiqua" w:hAnsi="Book Antiqua"/>
          <w:b/>
          <w:bCs/>
          <w:color w:val="000000" w:themeColor="text1"/>
        </w:rPr>
        <w:t>16</w:t>
      </w:r>
      <w:r>
        <w:rPr>
          <w:rFonts w:ascii="Book Antiqua" w:hAnsi="Book Antiqua"/>
          <w:color w:val="000000" w:themeColor="text1"/>
        </w:rPr>
        <w:t>: 501-512 [PMID: 9872598 DOI: 10.1023/A:1006538200886]</w:t>
      </w:r>
    </w:p>
    <w:p w14:paraId="60F7E854"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18 </w:t>
      </w:r>
      <w:r>
        <w:rPr>
          <w:rFonts w:ascii="Book Antiqua" w:hAnsi="Book Antiqua"/>
          <w:b/>
          <w:bCs/>
          <w:color w:val="000000" w:themeColor="text1"/>
        </w:rPr>
        <w:t>Xin X</w:t>
      </w:r>
      <w:r>
        <w:rPr>
          <w:rFonts w:ascii="Book Antiqua" w:hAnsi="Book Antiqua"/>
          <w:color w:val="000000" w:themeColor="text1"/>
        </w:rPr>
        <w:t xml:space="preserve">, Zeng X, Gu H, Li M, Tan H, </w:t>
      </w:r>
      <w:proofErr w:type="spellStart"/>
      <w:r>
        <w:rPr>
          <w:rFonts w:ascii="Book Antiqua" w:hAnsi="Book Antiqua"/>
          <w:color w:val="000000" w:themeColor="text1"/>
        </w:rPr>
        <w:t>Jin</w:t>
      </w:r>
      <w:proofErr w:type="spellEnd"/>
      <w:r>
        <w:rPr>
          <w:rFonts w:ascii="Book Antiqua" w:hAnsi="Book Antiqua"/>
          <w:color w:val="000000" w:themeColor="text1"/>
        </w:rPr>
        <w:t xml:space="preserve"> Z, Hua T, Shi R, Wang H. CD147/EMMPRIN overexpression and prognosis in cancer: A systematic review and meta-analysis. </w:t>
      </w:r>
      <w:r>
        <w:rPr>
          <w:rFonts w:ascii="Book Antiqua" w:hAnsi="Book Antiqua"/>
          <w:i/>
          <w:iCs/>
          <w:color w:val="000000" w:themeColor="text1"/>
        </w:rPr>
        <w:t>Sci Rep</w:t>
      </w:r>
      <w:r>
        <w:rPr>
          <w:rFonts w:ascii="Book Antiqua" w:hAnsi="Book Antiqua"/>
          <w:color w:val="000000" w:themeColor="text1"/>
        </w:rPr>
        <w:t xml:space="preserve"> 2016; </w:t>
      </w:r>
      <w:r>
        <w:rPr>
          <w:rFonts w:ascii="Book Antiqua" w:hAnsi="Book Antiqua"/>
          <w:b/>
          <w:bCs/>
          <w:color w:val="000000" w:themeColor="text1"/>
        </w:rPr>
        <w:t>6</w:t>
      </w:r>
      <w:r>
        <w:rPr>
          <w:rFonts w:ascii="Book Antiqua" w:hAnsi="Book Antiqua"/>
          <w:color w:val="000000" w:themeColor="text1"/>
        </w:rPr>
        <w:t>: 32804 [PMID: 27608940 DOI: 10.1038/srep32804]</w:t>
      </w:r>
    </w:p>
    <w:p w14:paraId="2198D248"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19 </w:t>
      </w:r>
      <w:r>
        <w:rPr>
          <w:rFonts w:ascii="Book Antiqua" w:hAnsi="Book Antiqua"/>
          <w:b/>
          <w:bCs/>
          <w:color w:val="000000" w:themeColor="text1"/>
        </w:rPr>
        <w:t>Hu X</w:t>
      </w:r>
      <w:r>
        <w:rPr>
          <w:rFonts w:ascii="Book Antiqua" w:hAnsi="Book Antiqua"/>
          <w:color w:val="000000" w:themeColor="text1"/>
        </w:rPr>
        <w:t xml:space="preserve">, </w:t>
      </w:r>
      <w:proofErr w:type="spellStart"/>
      <w:r>
        <w:rPr>
          <w:rFonts w:ascii="Book Antiqua" w:hAnsi="Book Antiqua"/>
          <w:color w:val="000000" w:themeColor="text1"/>
        </w:rPr>
        <w:t>Su</w:t>
      </w:r>
      <w:proofErr w:type="spellEnd"/>
      <w:r>
        <w:rPr>
          <w:rFonts w:ascii="Book Antiqua" w:hAnsi="Book Antiqua"/>
          <w:color w:val="000000" w:themeColor="text1"/>
        </w:rPr>
        <w:t xml:space="preserve"> J, Zhou Y, </w:t>
      </w:r>
      <w:proofErr w:type="spellStart"/>
      <w:r>
        <w:rPr>
          <w:rFonts w:ascii="Book Antiqua" w:hAnsi="Book Antiqua"/>
          <w:color w:val="000000" w:themeColor="text1"/>
        </w:rPr>
        <w:t>Xie</w:t>
      </w:r>
      <w:proofErr w:type="spellEnd"/>
      <w:r>
        <w:rPr>
          <w:rFonts w:ascii="Book Antiqua" w:hAnsi="Book Antiqua"/>
          <w:color w:val="000000" w:themeColor="text1"/>
        </w:rPr>
        <w:t xml:space="preserve"> X, Peng C, Yuan Z, Chen X. Repressing CD147 is a novel therapeutic strategy for malignant melanoma. </w:t>
      </w:r>
      <w:proofErr w:type="spellStart"/>
      <w:r>
        <w:rPr>
          <w:rFonts w:ascii="Book Antiqua" w:hAnsi="Book Antiqua"/>
          <w:i/>
          <w:iCs/>
          <w:color w:val="000000" w:themeColor="text1"/>
        </w:rPr>
        <w:t>Oncotarget</w:t>
      </w:r>
      <w:proofErr w:type="spellEnd"/>
      <w:r>
        <w:rPr>
          <w:rFonts w:ascii="Book Antiqua" w:hAnsi="Book Antiqua"/>
          <w:color w:val="000000" w:themeColor="text1"/>
        </w:rPr>
        <w:t xml:space="preserve"> 2017; </w:t>
      </w:r>
      <w:r>
        <w:rPr>
          <w:rFonts w:ascii="Book Antiqua" w:hAnsi="Book Antiqua"/>
          <w:b/>
          <w:bCs/>
          <w:color w:val="000000" w:themeColor="text1"/>
        </w:rPr>
        <w:t>8</w:t>
      </w:r>
      <w:r>
        <w:rPr>
          <w:rFonts w:ascii="Book Antiqua" w:hAnsi="Book Antiqua"/>
          <w:color w:val="000000" w:themeColor="text1"/>
        </w:rPr>
        <w:t>: 25806-25813 [PMID: 28445958 DOI: 10.18632/oncotarget.15709]</w:t>
      </w:r>
    </w:p>
    <w:p w14:paraId="7EC7DFFB"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 xml:space="preserve">20 </w:t>
      </w:r>
      <w:r>
        <w:rPr>
          <w:rFonts w:ascii="Book Antiqua" w:hAnsi="Book Antiqua"/>
          <w:b/>
          <w:bCs/>
          <w:color w:val="000000" w:themeColor="text1"/>
        </w:rPr>
        <w:t>Tseng HC</w:t>
      </w:r>
      <w:r>
        <w:rPr>
          <w:rFonts w:ascii="Book Antiqua" w:hAnsi="Book Antiqua"/>
          <w:color w:val="000000" w:themeColor="text1"/>
        </w:rPr>
        <w:t xml:space="preserve">, </w:t>
      </w:r>
      <w:proofErr w:type="spellStart"/>
      <w:r>
        <w:rPr>
          <w:rFonts w:ascii="Book Antiqua" w:hAnsi="Book Antiqua"/>
          <w:color w:val="000000" w:themeColor="text1"/>
        </w:rPr>
        <w:t>Xiong</w:t>
      </w:r>
      <w:proofErr w:type="spellEnd"/>
      <w:r>
        <w:rPr>
          <w:rFonts w:ascii="Book Antiqua" w:hAnsi="Book Antiqua"/>
          <w:color w:val="000000" w:themeColor="text1"/>
        </w:rPr>
        <w:t xml:space="preserve"> W, </w:t>
      </w:r>
      <w:proofErr w:type="spellStart"/>
      <w:r>
        <w:rPr>
          <w:rFonts w:ascii="Book Antiqua" w:hAnsi="Book Antiqua"/>
          <w:color w:val="000000" w:themeColor="text1"/>
        </w:rPr>
        <w:t>Badeti</w:t>
      </w:r>
      <w:proofErr w:type="spellEnd"/>
      <w:r>
        <w:rPr>
          <w:rFonts w:ascii="Book Antiqua" w:hAnsi="Book Antiqua"/>
          <w:color w:val="000000" w:themeColor="text1"/>
        </w:rPr>
        <w:t xml:space="preserve"> S, Yang Y, Ma M, Liu T, Ramos CA, Dotti G, </w:t>
      </w:r>
      <w:proofErr w:type="spellStart"/>
      <w:r>
        <w:rPr>
          <w:rFonts w:ascii="Book Antiqua" w:hAnsi="Book Antiqua"/>
          <w:color w:val="000000" w:themeColor="text1"/>
        </w:rPr>
        <w:t>Fritzky</w:t>
      </w:r>
      <w:proofErr w:type="spellEnd"/>
      <w:r>
        <w:rPr>
          <w:rFonts w:ascii="Book Antiqua" w:hAnsi="Book Antiqua"/>
          <w:color w:val="000000" w:themeColor="text1"/>
        </w:rPr>
        <w:t xml:space="preserve"> L, Jiang JG, Yi Q, </w:t>
      </w:r>
      <w:proofErr w:type="spellStart"/>
      <w:r>
        <w:rPr>
          <w:rFonts w:ascii="Book Antiqua" w:hAnsi="Book Antiqua"/>
          <w:color w:val="000000" w:themeColor="text1"/>
        </w:rPr>
        <w:t>Guarrera</w:t>
      </w:r>
      <w:proofErr w:type="spellEnd"/>
      <w:r>
        <w:rPr>
          <w:rFonts w:ascii="Book Antiqua" w:hAnsi="Book Antiqua"/>
          <w:color w:val="000000" w:themeColor="text1"/>
        </w:rPr>
        <w:t xml:space="preserve"> J, </w:t>
      </w:r>
      <w:proofErr w:type="spellStart"/>
      <w:r>
        <w:rPr>
          <w:rFonts w:ascii="Book Antiqua" w:hAnsi="Book Antiqua"/>
          <w:color w:val="000000" w:themeColor="text1"/>
        </w:rPr>
        <w:t>Zong</w:t>
      </w:r>
      <w:proofErr w:type="spellEnd"/>
      <w:r>
        <w:rPr>
          <w:rFonts w:ascii="Book Antiqua" w:hAnsi="Book Antiqua"/>
          <w:color w:val="000000" w:themeColor="text1"/>
        </w:rPr>
        <w:t xml:space="preserve"> WX, Liu C, Liu D. Efficacy of anti-CD147 chimeric antigen receptors targeting hepatocellular carcinoma. </w:t>
      </w:r>
      <w:r>
        <w:rPr>
          <w:rFonts w:ascii="Book Antiqua" w:hAnsi="Book Antiqua"/>
          <w:i/>
          <w:iCs/>
          <w:color w:val="000000" w:themeColor="text1"/>
        </w:rPr>
        <w:t xml:space="preserve">Nat </w:t>
      </w:r>
      <w:proofErr w:type="spellStart"/>
      <w:r>
        <w:rPr>
          <w:rFonts w:ascii="Book Antiqua" w:hAnsi="Book Antiqua"/>
          <w:i/>
          <w:iCs/>
          <w:color w:val="000000" w:themeColor="text1"/>
        </w:rPr>
        <w:t>Commun</w:t>
      </w:r>
      <w:proofErr w:type="spellEnd"/>
      <w:r>
        <w:rPr>
          <w:rFonts w:ascii="Book Antiqua" w:hAnsi="Book Antiqua"/>
          <w:color w:val="000000" w:themeColor="text1"/>
        </w:rPr>
        <w:t xml:space="preserve"> 2020; </w:t>
      </w:r>
      <w:r>
        <w:rPr>
          <w:rFonts w:ascii="Book Antiqua" w:hAnsi="Book Antiqua"/>
          <w:b/>
          <w:bCs/>
          <w:color w:val="000000" w:themeColor="text1"/>
        </w:rPr>
        <w:t>11</w:t>
      </w:r>
      <w:r>
        <w:rPr>
          <w:rFonts w:ascii="Book Antiqua" w:hAnsi="Book Antiqua"/>
          <w:color w:val="000000" w:themeColor="text1"/>
        </w:rPr>
        <w:t>: 4810 [PMID: 32968061 DOI: 10.1038/s41467-020-18444-2]</w:t>
      </w:r>
    </w:p>
    <w:p w14:paraId="54E8997E"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21 </w:t>
      </w:r>
      <w:r>
        <w:rPr>
          <w:rFonts w:ascii="Book Antiqua" w:hAnsi="Book Antiqua"/>
          <w:b/>
          <w:bCs/>
          <w:color w:val="000000" w:themeColor="text1"/>
        </w:rPr>
        <w:t>Gao L</w:t>
      </w:r>
      <w:r>
        <w:rPr>
          <w:rFonts w:ascii="Book Antiqua" w:hAnsi="Book Antiqua"/>
          <w:color w:val="000000" w:themeColor="text1"/>
        </w:rPr>
        <w:t xml:space="preserve">, </w:t>
      </w:r>
      <w:proofErr w:type="spellStart"/>
      <w:r>
        <w:rPr>
          <w:rFonts w:ascii="Book Antiqua" w:hAnsi="Book Antiqua"/>
          <w:color w:val="000000" w:themeColor="text1"/>
        </w:rPr>
        <w:t>Nie</w:t>
      </w:r>
      <w:proofErr w:type="spellEnd"/>
      <w:r>
        <w:rPr>
          <w:rFonts w:ascii="Book Antiqua" w:hAnsi="Book Antiqua"/>
          <w:color w:val="000000" w:themeColor="text1"/>
        </w:rPr>
        <w:t xml:space="preserve"> X, Gou R, Qi Y, Liu J, Lin B. Interaction of CD147 and human epididymis protein 4 promotes invasion and metastasis of ovarian cancer. </w:t>
      </w:r>
      <w:r>
        <w:rPr>
          <w:rFonts w:ascii="Book Antiqua" w:hAnsi="Book Antiqua"/>
          <w:i/>
          <w:iCs/>
          <w:color w:val="000000" w:themeColor="text1"/>
        </w:rPr>
        <w:t>J Cancer</w:t>
      </w:r>
      <w:r>
        <w:rPr>
          <w:rFonts w:ascii="Book Antiqua" w:hAnsi="Book Antiqua"/>
          <w:color w:val="000000" w:themeColor="text1"/>
        </w:rPr>
        <w:t xml:space="preserve"> 2021; </w:t>
      </w:r>
      <w:r>
        <w:rPr>
          <w:rFonts w:ascii="Book Antiqua" w:hAnsi="Book Antiqua"/>
          <w:b/>
          <w:bCs/>
          <w:color w:val="000000" w:themeColor="text1"/>
        </w:rPr>
        <w:t>12</w:t>
      </w:r>
      <w:r>
        <w:rPr>
          <w:rFonts w:ascii="Book Antiqua" w:hAnsi="Book Antiqua"/>
          <w:color w:val="000000" w:themeColor="text1"/>
        </w:rPr>
        <w:t>: 7422-7435 [PMID: 35003362 DOI: 10.7150/jca.62440]</w:t>
      </w:r>
    </w:p>
    <w:p w14:paraId="7A55539B"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22 </w:t>
      </w:r>
      <w:proofErr w:type="spellStart"/>
      <w:r>
        <w:rPr>
          <w:rFonts w:ascii="Book Antiqua" w:hAnsi="Book Antiqua"/>
          <w:b/>
          <w:bCs/>
          <w:color w:val="000000" w:themeColor="text1"/>
        </w:rPr>
        <w:t>Bougatef</w:t>
      </w:r>
      <w:proofErr w:type="spellEnd"/>
      <w:r>
        <w:rPr>
          <w:rFonts w:ascii="Book Antiqua" w:hAnsi="Book Antiqua"/>
          <w:b/>
          <w:bCs/>
          <w:color w:val="000000" w:themeColor="text1"/>
        </w:rPr>
        <w:t xml:space="preserve"> F</w:t>
      </w:r>
      <w:r>
        <w:rPr>
          <w:rFonts w:ascii="Book Antiqua" w:hAnsi="Book Antiqua"/>
          <w:color w:val="000000" w:themeColor="text1"/>
        </w:rPr>
        <w:t xml:space="preserve">, </w:t>
      </w:r>
      <w:proofErr w:type="spellStart"/>
      <w:r>
        <w:rPr>
          <w:rFonts w:ascii="Book Antiqua" w:hAnsi="Book Antiqua"/>
          <w:color w:val="000000" w:themeColor="text1"/>
        </w:rPr>
        <w:t>Quemener</w:t>
      </w:r>
      <w:proofErr w:type="spellEnd"/>
      <w:r>
        <w:rPr>
          <w:rFonts w:ascii="Book Antiqua" w:hAnsi="Book Antiqua"/>
          <w:color w:val="000000" w:themeColor="text1"/>
        </w:rPr>
        <w:t xml:space="preserve"> C, </w:t>
      </w:r>
      <w:proofErr w:type="spellStart"/>
      <w:r>
        <w:rPr>
          <w:rFonts w:ascii="Book Antiqua" w:hAnsi="Book Antiqua"/>
          <w:color w:val="000000" w:themeColor="text1"/>
        </w:rPr>
        <w:t>Kellouche</w:t>
      </w:r>
      <w:proofErr w:type="spellEnd"/>
      <w:r>
        <w:rPr>
          <w:rFonts w:ascii="Book Antiqua" w:hAnsi="Book Antiqua"/>
          <w:color w:val="000000" w:themeColor="text1"/>
        </w:rPr>
        <w:t xml:space="preserve"> S, </w:t>
      </w:r>
      <w:proofErr w:type="spellStart"/>
      <w:r>
        <w:rPr>
          <w:rFonts w:ascii="Book Antiqua" w:hAnsi="Book Antiqua"/>
          <w:color w:val="000000" w:themeColor="text1"/>
        </w:rPr>
        <w:t>Naïmi</w:t>
      </w:r>
      <w:proofErr w:type="spellEnd"/>
      <w:r>
        <w:rPr>
          <w:rFonts w:ascii="Book Antiqua" w:hAnsi="Book Antiqua"/>
          <w:color w:val="000000" w:themeColor="text1"/>
        </w:rPr>
        <w:t xml:space="preserve"> B, </w:t>
      </w:r>
      <w:proofErr w:type="spellStart"/>
      <w:r>
        <w:rPr>
          <w:rFonts w:ascii="Book Antiqua" w:hAnsi="Book Antiqua"/>
          <w:color w:val="000000" w:themeColor="text1"/>
        </w:rPr>
        <w:t>Podgorniak</w:t>
      </w:r>
      <w:proofErr w:type="spellEnd"/>
      <w:r>
        <w:rPr>
          <w:rFonts w:ascii="Book Antiqua" w:hAnsi="Book Antiqua"/>
          <w:color w:val="000000" w:themeColor="text1"/>
        </w:rPr>
        <w:t xml:space="preserve"> MP, </w:t>
      </w:r>
      <w:proofErr w:type="spellStart"/>
      <w:r>
        <w:rPr>
          <w:rFonts w:ascii="Book Antiqua" w:hAnsi="Book Antiqua"/>
          <w:color w:val="000000" w:themeColor="text1"/>
        </w:rPr>
        <w:t>Millot</w:t>
      </w:r>
      <w:proofErr w:type="spellEnd"/>
      <w:r>
        <w:rPr>
          <w:rFonts w:ascii="Book Antiqua" w:hAnsi="Book Antiqua"/>
          <w:color w:val="000000" w:themeColor="text1"/>
        </w:rPr>
        <w:t xml:space="preserve"> G, </w:t>
      </w:r>
      <w:proofErr w:type="spellStart"/>
      <w:r>
        <w:rPr>
          <w:rFonts w:ascii="Book Antiqua" w:hAnsi="Book Antiqua"/>
          <w:color w:val="000000" w:themeColor="text1"/>
        </w:rPr>
        <w:t>Gabison</w:t>
      </w:r>
      <w:proofErr w:type="spellEnd"/>
      <w:r>
        <w:rPr>
          <w:rFonts w:ascii="Book Antiqua" w:hAnsi="Book Antiqua"/>
          <w:color w:val="000000" w:themeColor="text1"/>
        </w:rPr>
        <w:t xml:space="preserve"> EE, Calvo F, </w:t>
      </w:r>
      <w:proofErr w:type="spellStart"/>
      <w:r>
        <w:rPr>
          <w:rFonts w:ascii="Book Antiqua" w:hAnsi="Book Antiqua"/>
          <w:color w:val="000000" w:themeColor="text1"/>
        </w:rPr>
        <w:t>Dosquet</w:t>
      </w:r>
      <w:proofErr w:type="spellEnd"/>
      <w:r>
        <w:rPr>
          <w:rFonts w:ascii="Book Antiqua" w:hAnsi="Book Antiqua"/>
          <w:color w:val="000000" w:themeColor="text1"/>
        </w:rPr>
        <w:t xml:space="preserve"> C, </w:t>
      </w:r>
      <w:proofErr w:type="spellStart"/>
      <w:r>
        <w:rPr>
          <w:rFonts w:ascii="Book Antiqua" w:hAnsi="Book Antiqua"/>
          <w:color w:val="000000" w:themeColor="text1"/>
        </w:rPr>
        <w:t>Lebbé</w:t>
      </w:r>
      <w:proofErr w:type="spellEnd"/>
      <w:r>
        <w:rPr>
          <w:rFonts w:ascii="Book Antiqua" w:hAnsi="Book Antiqua"/>
          <w:color w:val="000000" w:themeColor="text1"/>
        </w:rPr>
        <w:t xml:space="preserve"> C, </w:t>
      </w:r>
      <w:proofErr w:type="spellStart"/>
      <w:r>
        <w:rPr>
          <w:rFonts w:ascii="Book Antiqua" w:hAnsi="Book Antiqua"/>
          <w:color w:val="000000" w:themeColor="text1"/>
        </w:rPr>
        <w:t>Menashi</w:t>
      </w:r>
      <w:proofErr w:type="spellEnd"/>
      <w:r>
        <w:rPr>
          <w:rFonts w:ascii="Book Antiqua" w:hAnsi="Book Antiqua"/>
          <w:color w:val="000000" w:themeColor="text1"/>
        </w:rPr>
        <w:t xml:space="preserve"> S, </w:t>
      </w:r>
      <w:proofErr w:type="spellStart"/>
      <w:r>
        <w:rPr>
          <w:rFonts w:ascii="Book Antiqua" w:hAnsi="Book Antiqua"/>
          <w:color w:val="000000" w:themeColor="text1"/>
        </w:rPr>
        <w:t>Mourah</w:t>
      </w:r>
      <w:proofErr w:type="spellEnd"/>
      <w:r>
        <w:rPr>
          <w:rFonts w:ascii="Book Antiqua" w:hAnsi="Book Antiqua"/>
          <w:color w:val="000000" w:themeColor="text1"/>
        </w:rPr>
        <w:t xml:space="preserve"> S. EMMPRIN promotes angiogenesis through hypoxia-inducible factor-2alpha-mediated regulation of soluble VEGF isoforms and their receptor VEGFR-2. </w:t>
      </w:r>
      <w:r>
        <w:rPr>
          <w:rFonts w:ascii="Book Antiqua" w:hAnsi="Book Antiqua"/>
          <w:i/>
          <w:iCs/>
          <w:color w:val="000000" w:themeColor="text1"/>
        </w:rPr>
        <w:t>Blood</w:t>
      </w:r>
      <w:r>
        <w:rPr>
          <w:rFonts w:ascii="Book Antiqua" w:hAnsi="Book Antiqua"/>
          <w:color w:val="000000" w:themeColor="text1"/>
        </w:rPr>
        <w:t xml:space="preserve"> 2009; </w:t>
      </w:r>
      <w:r>
        <w:rPr>
          <w:rFonts w:ascii="Book Antiqua" w:hAnsi="Book Antiqua"/>
          <w:b/>
          <w:bCs/>
          <w:color w:val="000000" w:themeColor="text1"/>
        </w:rPr>
        <w:t>114</w:t>
      </w:r>
      <w:r>
        <w:rPr>
          <w:rFonts w:ascii="Book Antiqua" w:hAnsi="Book Antiqua"/>
          <w:color w:val="000000" w:themeColor="text1"/>
        </w:rPr>
        <w:t>: 5547-5556 [PMID: 19837976 DOI: 10.1182/blood-2009-04-217380]</w:t>
      </w:r>
    </w:p>
    <w:p w14:paraId="36756389"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23 </w:t>
      </w:r>
      <w:proofErr w:type="spellStart"/>
      <w:r>
        <w:rPr>
          <w:rFonts w:ascii="Book Antiqua" w:hAnsi="Book Antiqua"/>
          <w:b/>
          <w:bCs/>
          <w:color w:val="000000" w:themeColor="text1"/>
        </w:rPr>
        <w:t>Muramatsu</w:t>
      </w:r>
      <w:proofErr w:type="spellEnd"/>
      <w:r>
        <w:rPr>
          <w:rFonts w:ascii="Book Antiqua" w:hAnsi="Book Antiqua"/>
          <w:b/>
          <w:bCs/>
          <w:color w:val="000000" w:themeColor="text1"/>
        </w:rPr>
        <w:t xml:space="preserve"> T</w:t>
      </w:r>
      <w:r>
        <w:rPr>
          <w:rFonts w:ascii="Book Antiqua" w:hAnsi="Book Antiqua"/>
          <w:color w:val="000000" w:themeColor="text1"/>
        </w:rPr>
        <w:t xml:space="preserve">. </w:t>
      </w:r>
      <w:proofErr w:type="spellStart"/>
      <w:r>
        <w:rPr>
          <w:rFonts w:ascii="Book Antiqua" w:hAnsi="Book Antiqua"/>
          <w:color w:val="000000" w:themeColor="text1"/>
        </w:rPr>
        <w:t>Basigin</w:t>
      </w:r>
      <w:proofErr w:type="spellEnd"/>
      <w:r>
        <w:rPr>
          <w:rFonts w:ascii="Book Antiqua" w:hAnsi="Book Antiqua"/>
          <w:color w:val="000000" w:themeColor="text1"/>
        </w:rPr>
        <w:t xml:space="preserve"> (CD147), a multifunctional transmembrane glycoprotein with various binding partners. </w:t>
      </w:r>
      <w:r>
        <w:rPr>
          <w:rFonts w:ascii="Book Antiqua" w:hAnsi="Book Antiqua"/>
          <w:i/>
          <w:iCs/>
          <w:color w:val="000000" w:themeColor="text1"/>
        </w:rPr>
        <w:t xml:space="preserve">J </w:t>
      </w:r>
      <w:proofErr w:type="spellStart"/>
      <w:r>
        <w:rPr>
          <w:rFonts w:ascii="Book Antiqua" w:hAnsi="Book Antiqua"/>
          <w:i/>
          <w:iCs/>
          <w:color w:val="000000" w:themeColor="text1"/>
        </w:rPr>
        <w:t>Biochem</w:t>
      </w:r>
      <w:proofErr w:type="spellEnd"/>
      <w:r>
        <w:rPr>
          <w:rFonts w:ascii="Book Antiqua" w:hAnsi="Book Antiqua"/>
          <w:color w:val="000000" w:themeColor="text1"/>
        </w:rPr>
        <w:t xml:space="preserve"> 2016; </w:t>
      </w:r>
      <w:r>
        <w:rPr>
          <w:rFonts w:ascii="Book Antiqua" w:hAnsi="Book Antiqua"/>
          <w:b/>
          <w:bCs/>
          <w:color w:val="000000" w:themeColor="text1"/>
        </w:rPr>
        <w:t>159</w:t>
      </w:r>
      <w:r>
        <w:rPr>
          <w:rFonts w:ascii="Book Antiqua" w:hAnsi="Book Antiqua"/>
          <w:color w:val="000000" w:themeColor="text1"/>
        </w:rPr>
        <w:t>: 481-490 [PMID: 26684586 DOI: 10.1093/</w:t>
      </w:r>
      <w:proofErr w:type="spellStart"/>
      <w:r>
        <w:rPr>
          <w:rFonts w:ascii="Book Antiqua" w:hAnsi="Book Antiqua"/>
          <w:color w:val="000000" w:themeColor="text1"/>
        </w:rPr>
        <w:t>jb</w:t>
      </w:r>
      <w:proofErr w:type="spellEnd"/>
      <w:r>
        <w:rPr>
          <w:rFonts w:ascii="Book Antiqua" w:hAnsi="Book Antiqua"/>
          <w:color w:val="000000" w:themeColor="text1"/>
        </w:rPr>
        <w:t>/mvv127]</w:t>
      </w:r>
    </w:p>
    <w:p w14:paraId="50784CC5"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24 </w:t>
      </w:r>
      <w:r>
        <w:rPr>
          <w:rFonts w:ascii="Book Antiqua" w:hAnsi="Book Antiqua"/>
          <w:b/>
          <w:bCs/>
          <w:color w:val="000000" w:themeColor="text1"/>
        </w:rPr>
        <w:t>Suzuki S</w:t>
      </w:r>
      <w:r>
        <w:rPr>
          <w:rFonts w:ascii="Book Antiqua" w:hAnsi="Book Antiqua"/>
          <w:color w:val="000000" w:themeColor="text1"/>
        </w:rPr>
        <w:t xml:space="preserve">, </w:t>
      </w:r>
      <w:proofErr w:type="spellStart"/>
      <w:r>
        <w:rPr>
          <w:rFonts w:ascii="Book Antiqua" w:hAnsi="Book Antiqua"/>
          <w:color w:val="000000" w:themeColor="text1"/>
        </w:rPr>
        <w:t>Toyoma</w:t>
      </w:r>
      <w:proofErr w:type="spellEnd"/>
      <w:r>
        <w:rPr>
          <w:rFonts w:ascii="Book Antiqua" w:hAnsi="Book Antiqua"/>
          <w:color w:val="000000" w:themeColor="text1"/>
        </w:rPr>
        <w:t xml:space="preserve"> S, Kawasaki Y, Nanjo H, Yamada T. CD147 promotes invasion and MMP-9 expression through MEK signaling and predicts poor prognosis in hypopharyngeal squamous cell carcinoma. </w:t>
      </w:r>
      <w:r>
        <w:rPr>
          <w:rFonts w:ascii="Book Antiqua" w:hAnsi="Book Antiqua"/>
          <w:i/>
          <w:iCs/>
          <w:color w:val="000000" w:themeColor="text1"/>
        </w:rPr>
        <w:t>Adv Clin Exp Med</w:t>
      </w:r>
      <w:r>
        <w:rPr>
          <w:rFonts w:ascii="Book Antiqua" w:hAnsi="Book Antiqua"/>
          <w:color w:val="000000" w:themeColor="text1"/>
        </w:rPr>
        <w:t xml:space="preserve"> 2021; </w:t>
      </w:r>
      <w:r>
        <w:rPr>
          <w:rFonts w:ascii="Book Antiqua" w:hAnsi="Book Antiqua"/>
          <w:b/>
          <w:bCs/>
          <w:color w:val="000000" w:themeColor="text1"/>
        </w:rPr>
        <w:t>30</w:t>
      </w:r>
      <w:r>
        <w:rPr>
          <w:rFonts w:ascii="Book Antiqua" w:hAnsi="Book Antiqua"/>
          <w:color w:val="000000" w:themeColor="text1"/>
        </w:rPr>
        <w:t>: 41-48 [PMID: 33529506 DOI: 10.17219/</w:t>
      </w:r>
      <w:proofErr w:type="spellStart"/>
      <w:r>
        <w:rPr>
          <w:rFonts w:ascii="Book Antiqua" w:hAnsi="Book Antiqua"/>
          <w:color w:val="000000" w:themeColor="text1"/>
        </w:rPr>
        <w:t>acem</w:t>
      </w:r>
      <w:proofErr w:type="spellEnd"/>
      <w:r>
        <w:rPr>
          <w:rFonts w:ascii="Book Antiqua" w:hAnsi="Book Antiqua"/>
          <w:color w:val="000000" w:themeColor="text1"/>
        </w:rPr>
        <w:t>/128228]</w:t>
      </w:r>
    </w:p>
    <w:p w14:paraId="3225FEC7"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25 </w:t>
      </w:r>
      <w:r>
        <w:rPr>
          <w:rFonts w:ascii="Book Antiqua" w:hAnsi="Book Antiqua"/>
          <w:b/>
          <w:bCs/>
          <w:color w:val="000000" w:themeColor="text1"/>
        </w:rPr>
        <w:t>Pope ED 3rd</w:t>
      </w:r>
      <w:r>
        <w:rPr>
          <w:rFonts w:ascii="Book Antiqua" w:hAnsi="Book Antiqua"/>
          <w:color w:val="000000" w:themeColor="text1"/>
        </w:rPr>
        <w:t xml:space="preserve">, Kimbrough EO, </w:t>
      </w:r>
      <w:proofErr w:type="spellStart"/>
      <w:r>
        <w:rPr>
          <w:rFonts w:ascii="Book Antiqua" w:hAnsi="Book Antiqua"/>
          <w:color w:val="000000" w:themeColor="text1"/>
        </w:rPr>
        <w:t>Vemireddy</w:t>
      </w:r>
      <w:proofErr w:type="spellEnd"/>
      <w:r>
        <w:rPr>
          <w:rFonts w:ascii="Book Antiqua" w:hAnsi="Book Antiqua"/>
          <w:color w:val="000000" w:themeColor="text1"/>
        </w:rPr>
        <w:t xml:space="preserve"> LP, </w:t>
      </w:r>
      <w:proofErr w:type="spellStart"/>
      <w:r>
        <w:rPr>
          <w:rFonts w:ascii="Book Antiqua" w:hAnsi="Book Antiqua"/>
          <w:color w:val="000000" w:themeColor="text1"/>
        </w:rPr>
        <w:t>Surapaneni</w:t>
      </w:r>
      <w:proofErr w:type="spellEnd"/>
      <w:r>
        <w:rPr>
          <w:rFonts w:ascii="Book Antiqua" w:hAnsi="Book Antiqua"/>
          <w:color w:val="000000" w:themeColor="text1"/>
        </w:rPr>
        <w:t xml:space="preserve"> PK, Copland JA 3rd, </w:t>
      </w:r>
      <w:proofErr w:type="spellStart"/>
      <w:r>
        <w:rPr>
          <w:rFonts w:ascii="Book Antiqua" w:hAnsi="Book Antiqua"/>
          <w:color w:val="000000" w:themeColor="text1"/>
        </w:rPr>
        <w:t>Mody</w:t>
      </w:r>
      <w:proofErr w:type="spellEnd"/>
      <w:r>
        <w:rPr>
          <w:rFonts w:ascii="Book Antiqua" w:hAnsi="Book Antiqua"/>
          <w:color w:val="000000" w:themeColor="text1"/>
        </w:rPr>
        <w:t xml:space="preserve"> K. Aberrant lipid metabolism as a therapeutic target in liver cancer. </w:t>
      </w:r>
      <w:r>
        <w:rPr>
          <w:rFonts w:ascii="Book Antiqua" w:hAnsi="Book Antiqua"/>
          <w:i/>
          <w:iCs/>
          <w:color w:val="000000" w:themeColor="text1"/>
        </w:rPr>
        <w:t xml:space="preserve">Expert </w:t>
      </w:r>
      <w:proofErr w:type="spellStart"/>
      <w:r>
        <w:rPr>
          <w:rFonts w:ascii="Book Antiqua" w:hAnsi="Book Antiqua"/>
          <w:i/>
          <w:iCs/>
          <w:color w:val="000000" w:themeColor="text1"/>
        </w:rPr>
        <w:t>Opin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Ther</w:t>
      </w:r>
      <w:proofErr w:type="spellEnd"/>
      <w:r>
        <w:rPr>
          <w:rFonts w:ascii="Book Antiqua" w:hAnsi="Book Antiqua"/>
          <w:i/>
          <w:iCs/>
          <w:color w:val="000000" w:themeColor="text1"/>
        </w:rPr>
        <w:t xml:space="preserve"> Targets</w:t>
      </w:r>
      <w:r>
        <w:rPr>
          <w:rFonts w:ascii="Book Antiqua" w:hAnsi="Book Antiqua"/>
          <w:color w:val="000000" w:themeColor="text1"/>
        </w:rPr>
        <w:t xml:space="preserve"> 2019; </w:t>
      </w:r>
      <w:r>
        <w:rPr>
          <w:rFonts w:ascii="Book Antiqua" w:hAnsi="Book Antiqua"/>
          <w:b/>
          <w:bCs/>
          <w:color w:val="000000" w:themeColor="text1"/>
        </w:rPr>
        <w:t>23</w:t>
      </w:r>
      <w:r>
        <w:rPr>
          <w:rFonts w:ascii="Book Antiqua" w:hAnsi="Book Antiqua"/>
          <w:color w:val="000000" w:themeColor="text1"/>
        </w:rPr>
        <w:t>: 473-483 [PMID: 31076001 DOI: 10.1080/14728222.2019.1615883]</w:t>
      </w:r>
    </w:p>
    <w:p w14:paraId="76ABF0A1"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26 </w:t>
      </w:r>
      <w:proofErr w:type="spellStart"/>
      <w:r>
        <w:rPr>
          <w:rFonts w:ascii="Book Antiqua" w:hAnsi="Book Antiqua"/>
          <w:b/>
          <w:bCs/>
          <w:color w:val="000000" w:themeColor="text1"/>
        </w:rPr>
        <w:t>Jin</w:t>
      </w:r>
      <w:proofErr w:type="spellEnd"/>
      <w:r>
        <w:rPr>
          <w:rFonts w:ascii="Book Antiqua" w:hAnsi="Book Antiqua"/>
          <w:b/>
          <w:bCs/>
          <w:color w:val="000000" w:themeColor="text1"/>
        </w:rPr>
        <w:t xml:space="preserve"> J</w:t>
      </w:r>
      <w:r>
        <w:rPr>
          <w:rFonts w:ascii="Book Antiqua" w:hAnsi="Book Antiqua"/>
          <w:color w:val="000000" w:themeColor="text1"/>
        </w:rPr>
        <w:t xml:space="preserve">, Wang SJ, Cui J, Li L, Li JY, Liu FL, Sun XX, Jiang JL, Cui HY, Chen ZN. Hypo-phosphorylated CD147 promotes migration and invasion of hepatocellular carcinoma cells and predicts a poor prognosis. </w:t>
      </w:r>
      <w:r>
        <w:rPr>
          <w:rFonts w:ascii="Book Antiqua" w:hAnsi="Book Antiqua"/>
          <w:i/>
          <w:iCs/>
          <w:color w:val="000000" w:themeColor="text1"/>
        </w:rPr>
        <w:t>Cell Oncol (</w:t>
      </w:r>
      <w:proofErr w:type="spellStart"/>
      <w:r>
        <w:rPr>
          <w:rFonts w:ascii="Book Antiqua" w:hAnsi="Book Antiqua"/>
          <w:i/>
          <w:iCs/>
          <w:color w:val="000000" w:themeColor="text1"/>
        </w:rPr>
        <w:t>Dordr</w:t>
      </w:r>
      <w:proofErr w:type="spellEnd"/>
      <w:r>
        <w:rPr>
          <w:rFonts w:ascii="Book Antiqua" w:hAnsi="Book Antiqua"/>
          <w:i/>
          <w:iCs/>
          <w:color w:val="000000" w:themeColor="text1"/>
        </w:rPr>
        <w:t>)</w:t>
      </w:r>
      <w:r>
        <w:rPr>
          <w:rFonts w:ascii="Book Antiqua" w:hAnsi="Book Antiqua"/>
          <w:color w:val="000000" w:themeColor="text1"/>
        </w:rPr>
        <w:t xml:space="preserve"> 2019; </w:t>
      </w:r>
      <w:r>
        <w:rPr>
          <w:rFonts w:ascii="Book Antiqua" w:hAnsi="Book Antiqua"/>
          <w:b/>
          <w:bCs/>
          <w:color w:val="000000" w:themeColor="text1"/>
        </w:rPr>
        <w:t>42</w:t>
      </w:r>
      <w:r>
        <w:rPr>
          <w:rFonts w:ascii="Book Antiqua" w:hAnsi="Book Antiqua"/>
          <w:color w:val="000000" w:themeColor="text1"/>
        </w:rPr>
        <w:t>: 537-554 [PMID: 31016558 DOI: 10.1007/s13402-019-00444-0]</w:t>
      </w:r>
    </w:p>
    <w:p w14:paraId="3D3B569C"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27 </w:t>
      </w:r>
      <w:r>
        <w:rPr>
          <w:rFonts w:ascii="Book Antiqua" w:hAnsi="Book Antiqua"/>
          <w:b/>
          <w:bCs/>
          <w:color w:val="000000" w:themeColor="text1"/>
        </w:rPr>
        <w:t>Guo W</w:t>
      </w:r>
      <w:r>
        <w:rPr>
          <w:rFonts w:ascii="Book Antiqua" w:hAnsi="Book Antiqua"/>
          <w:color w:val="000000" w:themeColor="text1"/>
        </w:rPr>
        <w:t xml:space="preserve">, </w:t>
      </w:r>
      <w:proofErr w:type="spellStart"/>
      <w:r>
        <w:rPr>
          <w:rFonts w:ascii="Book Antiqua" w:hAnsi="Book Antiqua"/>
          <w:color w:val="000000" w:themeColor="text1"/>
        </w:rPr>
        <w:t>Abudumijiti</w:t>
      </w:r>
      <w:proofErr w:type="spellEnd"/>
      <w:r>
        <w:rPr>
          <w:rFonts w:ascii="Book Antiqua" w:hAnsi="Book Antiqua"/>
          <w:color w:val="000000" w:themeColor="text1"/>
        </w:rPr>
        <w:t xml:space="preserve"> H, Xu L, Hasim A. CD147 promotes cervical cancer migration and invasion by up-regulating fatty acid synthase expression. </w:t>
      </w:r>
      <w:r>
        <w:rPr>
          <w:rFonts w:ascii="Book Antiqua" w:hAnsi="Book Antiqua"/>
          <w:i/>
          <w:iCs/>
          <w:color w:val="000000" w:themeColor="text1"/>
        </w:rPr>
        <w:t xml:space="preserve">Int J Clin Exp </w:t>
      </w:r>
      <w:proofErr w:type="spellStart"/>
      <w:r>
        <w:rPr>
          <w:rFonts w:ascii="Book Antiqua" w:hAnsi="Book Antiqua"/>
          <w:i/>
          <w:iCs/>
          <w:color w:val="000000" w:themeColor="text1"/>
        </w:rPr>
        <w:t>Pathol</w:t>
      </w:r>
      <w:proofErr w:type="spellEnd"/>
      <w:r>
        <w:rPr>
          <w:rFonts w:ascii="Book Antiqua" w:hAnsi="Book Antiqua"/>
          <w:color w:val="000000" w:themeColor="text1"/>
        </w:rPr>
        <w:t xml:space="preserve"> 2019; </w:t>
      </w:r>
      <w:r>
        <w:rPr>
          <w:rFonts w:ascii="Book Antiqua" w:hAnsi="Book Antiqua"/>
          <w:b/>
          <w:bCs/>
          <w:color w:val="000000" w:themeColor="text1"/>
        </w:rPr>
        <w:t>12</w:t>
      </w:r>
      <w:r>
        <w:rPr>
          <w:rFonts w:ascii="Book Antiqua" w:hAnsi="Book Antiqua"/>
          <w:color w:val="000000" w:themeColor="text1"/>
        </w:rPr>
        <w:t>: 4280-4288 [PMID: 31933828]</w:t>
      </w:r>
    </w:p>
    <w:p w14:paraId="28767DC2"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 xml:space="preserve">28 </w:t>
      </w:r>
      <w:r>
        <w:rPr>
          <w:rFonts w:ascii="Book Antiqua" w:hAnsi="Book Antiqua"/>
          <w:b/>
          <w:bCs/>
          <w:color w:val="000000" w:themeColor="text1"/>
        </w:rPr>
        <w:t>Pan S</w:t>
      </w:r>
      <w:r>
        <w:rPr>
          <w:rFonts w:ascii="Book Antiqua" w:hAnsi="Book Antiqua"/>
          <w:color w:val="000000" w:themeColor="text1"/>
        </w:rPr>
        <w:t xml:space="preserve">, </w:t>
      </w:r>
      <w:proofErr w:type="spellStart"/>
      <w:r>
        <w:rPr>
          <w:rFonts w:ascii="Book Antiqua" w:hAnsi="Book Antiqua"/>
          <w:color w:val="000000" w:themeColor="text1"/>
        </w:rPr>
        <w:t>Su</w:t>
      </w:r>
      <w:proofErr w:type="spellEnd"/>
      <w:r>
        <w:rPr>
          <w:rFonts w:ascii="Book Antiqua" w:hAnsi="Book Antiqua"/>
          <w:color w:val="000000" w:themeColor="text1"/>
        </w:rPr>
        <w:t xml:space="preserve"> Y, Sun B, Hao R, Gao X, Han B. Knockout of CD147 inhibits the proliferation, invasion, and drug resistance of human oral cancer CAL27 cells in Vitro and in Vivo. </w:t>
      </w:r>
      <w:r>
        <w:rPr>
          <w:rFonts w:ascii="Book Antiqua" w:hAnsi="Book Antiqua"/>
          <w:i/>
          <w:iCs/>
          <w:color w:val="000000" w:themeColor="text1"/>
        </w:rPr>
        <w:t xml:space="preserve">Int J Biol </w:t>
      </w:r>
      <w:proofErr w:type="spellStart"/>
      <w:r>
        <w:rPr>
          <w:rFonts w:ascii="Book Antiqua" w:hAnsi="Book Antiqua"/>
          <w:i/>
          <w:iCs/>
          <w:color w:val="000000" w:themeColor="text1"/>
        </w:rPr>
        <w:t>Macromol</w:t>
      </w:r>
      <w:proofErr w:type="spellEnd"/>
      <w:r>
        <w:rPr>
          <w:rFonts w:ascii="Book Antiqua" w:hAnsi="Book Antiqua"/>
          <w:color w:val="000000" w:themeColor="text1"/>
        </w:rPr>
        <w:t xml:space="preserve"> 2021; </w:t>
      </w:r>
      <w:r>
        <w:rPr>
          <w:rFonts w:ascii="Book Antiqua" w:hAnsi="Book Antiqua"/>
          <w:b/>
          <w:bCs/>
          <w:color w:val="000000" w:themeColor="text1"/>
        </w:rPr>
        <w:t>181</w:t>
      </w:r>
      <w:r>
        <w:rPr>
          <w:rFonts w:ascii="Book Antiqua" w:hAnsi="Book Antiqua"/>
          <w:color w:val="000000" w:themeColor="text1"/>
        </w:rPr>
        <w:t>: 378-389 [PMID: 33766595 DOI: 10.1016/j.ijbiomac.2021.03.102]</w:t>
      </w:r>
    </w:p>
    <w:p w14:paraId="64C34235"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29 </w:t>
      </w:r>
      <w:r>
        <w:rPr>
          <w:rFonts w:ascii="Book Antiqua" w:hAnsi="Book Antiqua"/>
          <w:b/>
          <w:bCs/>
          <w:color w:val="000000" w:themeColor="text1"/>
        </w:rPr>
        <w:t>Liao CG</w:t>
      </w:r>
      <w:r>
        <w:rPr>
          <w:rFonts w:ascii="Book Antiqua" w:hAnsi="Book Antiqua"/>
          <w:color w:val="000000" w:themeColor="text1"/>
        </w:rPr>
        <w:t xml:space="preserve">, Liang XH, </w:t>
      </w:r>
      <w:proofErr w:type="spellStart"/>
      <w:r>
        <w:rPr>
          <w:rFonts w:ascii="Book Antiqua" w:hAnsi="Book Antiqua"/>
          <w:color w:val="000000" w:themeColor="text1"/>
        </w:rPr>
        <w:t>Ke</w:t>
      </w:r>
      <w:proofErr w:type="spellEnd"/>
      <w:r>
        <w:rPr>
          <w:rFonts w:ascii="Book Antiqua" w:hAnsi="Book Antiqua"/>
          <w:color w:val="000000" w:themeColor="text1"/>
        </w:rPr>
        <w:t xml:space="preserve"> Y, Yao L, Liu M, Liu ZK, He L, Guo YX, </w:t>
      </w:r>
      <w:proofErr w:type="spellStart"/>
      <w:r>
        <w:rPr>
          <w:rFonts w:ascii="Book Antiqua" w:hAnsi="Book Antiqua"/>
          <w:color w:val="000000" w:themeColor="text1"/>
        </w:rPr>
        <w:t>Bian</w:t>
      </w:r>
      <w:proofErr w:type="spellEnd"/>
      <w:r>
        <w:rPr>
          <w:rFonts w:ascii="Book Antiqua" w:hAnsi="Book Antiqua"/>
          <w:color w:val="000000" w:themeColor="text1"/>
        </w:rPr>
        <w:t xml:space="preserve"> H, Chen ZN, Kong LM. Active demethylation upregulates CD147 expression promoting non-small cell lung cancer invasion and metastasis. </w:t>
      </w:r>
      <w:r>
        <w:rPr>
          <w:rFonts w:ascii="Book Antiqua" w:hAnsi="Book Antiqua"/>
          <w:i/>
          <w:iCs/>
          <w:color w:val="000000" w:themeColor="text1"/>
        </w:rPr>
        <w:t>Oncogene</w:t>
      </w:r>
      <w:r>
        <w:rPr>
          <w:rFonts w:ascii="Book Antiqua" w:hAnsi="Book Antiqua"/>
          <w:color w:val="000000" w:themeColor="text1"/>
        </w:rPr>
        <w:t xml:space="preserve"> 2022; </w:t>
      </w:r>
      <w:r>
        <w:rPr>
          <w:rFonts w:ascii="Book Antiqua" w:hAnsi="Book Antiqua"/>
          <w:b/>
          <w:bCs/>
          <w:color w:val="000000" w:themeColor="text1"/>
        </w:rPr>
        <w:t>41</w:t>
      </w:r>
      <w:r>
        <w:rPr>
          <w:rFonts w:ascii="Book Antiqua" w:hAnsi="Book Antiqua"/>
          <w:color w:val="000000" w:themeColor="text1"/>
        </w:rPr>
        <w:t>: 1780-1794 [PMID: 35132181 DOI: 10.1038/s41388-022-02213-0]</w:t>
      </w:r>
    </w:p>
    <w:p w14:paraId="31CFD714"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Zhang W</w:t>
      </w:r>
      <w:r>
        <w:rPr>
          <w:rFonts w:ascii="Book Antiqua" w:hAnsi="Book Antiqua"/>
          <w:color w:val="000000" w:themeColor="text1"/>
        </w:rPr>
        <w:t xml:space="preserve">, Liu H, Jiang J, Yang Y, Wang W, Jia Z. Expression of CD147 after neoadjuvant chemotherapy and its relationship with prognosis in patients with triple negative breast cancer. </w:t>
      </w:r>
      <w:r>
        <w:rPr>
          <w:rFonts w:ascii="Book Antiqua" w:hAnsi="Book Antiqua"/>
          <w:i/>
          <w:iCs/>
          <w:color w:val="000000" w:themeColor="text1"/>
        </w:rPr>
        <w:t xml:space="preserve">Am J </w:t>
      </w:r>
      <w:proofErr w:type="spellStart"/>
      <w:r>
        <w:rPr>
          <w:rFonts w:ascii="Book Antiqua" w:hAnsi="Book Antiqua"/>
          <w:i/>
          <w:iCs/>
          <w:color w:val="000000" w:themeColor="text1"/>
        </w:rPr>
        <w:t>Transl</w:t>
      </w:r>
      <w:proofErr w:type="spellEnd"/>
      <w:r>
        <w:rPr>
          <w:rFonts w:ascii="Book Antiqua" w:hAnsi="Book Antiqua"/>
          <w:i/>
          <w:iCs/>
          <w:color w:val="000000" w:themeColor="text1"/>
        </w:rPr>
        <w:t xml:space="preserve"> Res</w:t>
      </w:r>
      <w:r>
        <w:rPr>
          <w:rFonts w:ascii="Book Antiqua" w:hAnsi="Book Antiqua"/>
          <w:color w:val="000000" w:themeColor="text1"/>
        </w:rPr>
        <w:t xml:space="preserve"> 2022; </w:t>
      </w:r>
      <w:r>
        <w:rPr>
          <w:rFonts w:ascii="Book Antiqua" w:hAnsi="Book Antiqua"/>
          <w:b/>
          <w:bCs/>
          <w:color w:val="000000" w:themeColor="text1"/>
        </w:rPr>
        <w:t>14</w:t>
      </w:r>
      <w:r>
        <w:rPr>
          <w:rFonts w:ascii="Book Antiqua" w:hAnsi="Book Antiqua"/>
          <w:color w:val="000000" w:themeColor="text1"/>
        </w:rPr>
        <w:t>: 2952-2961 [PMID: 35702119]</w:t>
      </w:r>
    </w:p>
    <w:p w14:paraId="0D7ADC5B"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31 </w:t>
      </w:r>
      <w:proofErr w:type="spellStart"/>
      <w:r>
        <w:rPr>
          <w:rFonts w:ascii="Book Antiqua" w:hAnsi="Book Antiqua"/>
          <w:b/>
          <w:bCs/>
          <w:color w:val="000000" w:themeColor="text1"/>
        </w:rPr>
        <w:t>Fenizia</w:t>
      </w:r>
      <w:proofErr w:type="spellEnd"/>
      <w:r>
        <w:rPr>
          <w:rFonts w:ascii="Book Antiqua" w:hAnsi="Book Antiqua"/>
          <w:b/>
          <w:bCs/>
          <w:color w:val="000000" w:themeColor="text1"/>
        </w:rPr>
        <w:t xml:space="preserve"> C</w:t>
      </w:r>
      <w:r>
        <w:rPr>
          <w:rFonts w:ascii="Book Antiqua" w:hAnsi="Book Antiqua"/>
          <w:color w:val="000000" w:themeColor="text1"/>
        </w:rPr>
        <w:t xml:space="preserve">, </w:t>
      </w:r>
      <w:proofErr w:type="spellStart"/>
      <w:r>
        <w:rPr>
          <w:rFonts w:ascii="Book Antiqua" w:hAnsi="Book Antiqua"/>
          <w:color w:val="000000" w:themeColor="text1"/>
        </w:rPr>
        <w:t>Galbiati</w:t>
      </w:r>
      <w:proofErr w:type="spellEnd"/>
      <w:r>
        <w:rPr>
          <w:rFonts w:ascii="Book Antiqua" w:hAnsi="Book Antiqua"/>
          <w:color w:val="000000" w:themeColor="text1"/>
        </w:rPr>
        <w:t xml:space="preserve"> S, </w:t>
      </w:r>
      <w:proofErr w:type="spellStart"/>
      <w:r>
        <w:rPr>
          <w:rFonts w:ascii="Book Antiqua" w:hAnsi="Book Antiqua"/>
          <w:color w:val="000000" w:themeColor="text1"/>
        </w:rPr>
        <w:t>Vanetti</w:t>
      </w:r>
      <w:proofErr w:type="spellEnd"/>
      <w:r>
        <w:rPr>
          <w:rFonts w:ascii="Book Antiqua" w:hAnsi="Book Antiqua"/>
          <w:color w:val="000000" w:themeColor="text1"/>
        </w:rPr>
        <w:t xml:space="preserve"> C, </w:t>
      </w:r>
      <w:proofErr w:type="spellStart"/>
      <w:r>
        <w:rPr>
          <w:rFonts w:ascii="Book Antiqua" w:hAnsi="Book Antiqua"/>
          <w:color w:val="000000" w:themeColor="text1"/>
        </w:rPr>
        <w:t>Vago</w:t>
      </w:r>
      <w:proofErr w:type="spellEnd"/>
      <w:r>
        <w:rPr>
          <w:rFonts w:ascii="Book Antiqua" w:hAnsi="Book Antiqua"/>
          <w:color w:val="000000" w:themeColor="text1"/>
        </w:rPr>
        <w:t xml:space="preserve"> R, </w:t>
      </w:r>
      <w:proofErr w:type="spellStart"/>
      <w:r>
        <w:rPr>
          <w:rFonts w:ascii="Book Antiqua" w:hAnsi="Book Antiqua"/>
          <w:color w:val="000000" w:themeColor="text1"/>
        </w:rPr>
        <w:t>Clerici</w:t>
      </w:r>
      <w:proofErr w:type="spellEnd"/>
      <w:r>
        <w:rPr>
          <w:rFonts w:ascii="Book Antiqua" w:hAnsi="Book Antiqua"/>
          <w:color w:val="000000" w:themeColor="text1"/>
        </w:rPr>
        <w:t xml:space="preserve"> M, </w:t>
      </w:r>
      <w:proofErr w:type="spellStart"/>
      <w:r>
        <w:rPr>
          <w:rFonts w:ascii="Book Antiqua" w:hAnsi="Book Antiqua"/>
          <w:color w:val="000000" w:themeColor="text1"/>
        </w:rPr>
        <w:t>Tacchetti</w:t>
      </w:r>
      <w:proofErr w:type="spellEnd"/>
      <w:r>
        <w:rPr>
          <w:rFonts w:ascii="Book Antiqua" w:hAnsi="Book Antiqua"/>
          <w:color w:val="000000" w:themeColor="text1"/>
        </w:rPr>
        <w:t xml:space="preserve"> C, Daniele T. SARS-CoV-2 Entry: At the Crossroads of CD147 and ACE2. </w:t>
      </w:r>
      <w:r>
        <w:rPr>
          <w:rFonts w:ascii="Book Antiqua" w:hAnsi="Book Antiqua"/>
          <w:i/>
          <w:iCs/>
          <w:color w:val="000000" w:themeColor="text1"/>
        </w:rPr>
        <w:t>Cells</w:t>
      </w:r>
      <w:r>
        <w:rPr>
          <w:rFonts w:ascii="Book Antiqua" w:hAnsi="Book Antiqua"/>
          <w:color w:val="000000" w:themeColor="text1"/>
        </w:rPr>
        <w:t xml:space="preserve"> 2021; </w:t>
      </w:r>
      <w:r>
        <w:rPr>
          <w:rFonts w:ascii="Book Antiqua" w:hAnsi="Book Antiqua"/>
          <w:b/>
          <w:bCs/>
          <w:color w:val="000000" w:themeColor="text1"/>
        </w:rPr>
        <w:t>10</w:t>
      </w:r>
      <w:r>
        <w:rPr>
          <w:rFonts w:ascii="Book Antiqua" w:hAnsi="Book Antiqua"/>
          <w:color w:val="000000" w:themeColor="text1"/>
        </w:rPr>
        <w:t xml:space="preserve"> [PMID: 34201214 DOI: 10.3390/cells10061434]</w:t>
      </w:r>
    </w:p>
    <w:p w14:paraId="3D644A7A"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32 </w:t>
      </w:r>
      <w:r>
        <w:rPr>
          <w:rFonts w:ascii="Book Antiqua" w:hAnsi="Book Antiqua"/>
          <w:b/>
          <w:bCs/>
          <w:color w:val="000000" w:themeColor="text1"/>
        </w:rPr>
        <w:t>Zhang Z</w:t>
      </w:r>
      <w:r>
        <w:rPr>
          <w:rFonts w:ascii="Book Antiqua" w:hAnsi="Book Antiqua"/>
          <w:color w:val="000000" w:themeColor="text1"/>
        </w:rPr>
        <w:t xml:space="preserve">, Zhang Y, Sun Q, Feng F, </w:t>
      </w:r>
      <w:proofErr w:type="spellStart"/>
      <w:r>
        <w:rPr>
          <w:rFonts w:ascii="Book Antiqua" w:hAnsi="Book Antiqua"/>
          <w:color w:val="000000" w:themeColor="text1"/>
        </w:rPr>
        <w:t>Huhe</w:t>
      </w:r>
      <w:proofErr w:type="spellEnd"/>
      <w:r>
        <w:rPr>
          <w:rFonts w:ascii="Book Antiqua" w:hAnsi="Book Antiqua"/>
          <w:color w:val="000000" w:themeColor="text1"/>
        </w:rPr>
        <w:t xml:space="preserve"> M, Mi L, Chen Z. Preclinical pharmacokinetics, tolerability, and pharmacodynamics of </w:t>
      </w:r>
      <w:proofErr w:type="spellStart"/>
      <w:r>
        <w:rPr>
          <w:rFonts w:ascii="Book Antiqua" w:hAnsi="Book Antiqua"/>
          <w:color w:val="000000" w:themeColor="text1"/>
        </w:rPr>
        <w:t>metuzumab</w:t>
      </w:r>
      <w:proofErr w:type="spellEnd"/>
      <w:r>
        <w:rPr>
          <w:rFonts w:ascii="Book Antiqua" w:hAnsi="Book Antiqua"/>
          <w:color w:val="000000" w:themeColor="text1"/>
        </w:rPr>
        <w:t xml:space="preserve">, a novel CD147 human-mouse chimeric and glycoengineered antibody. </w:t>
      </w:r>
      <w:r>
        <w:rPr>
          <w:rFonts w:ascii="Book Antiqua" w:hAnsi="Book Antiqua"/>
          <w:i/>
          <w:iCs/>
          <w:color w:val="000000" w:themeColor="text1"/>
        </w:rPr>
        <w:t xml:space="preserve">Mol Cancer </w:t>
      </w:r>
      <w:proofErr w:type="spellStart"/>
      <w:r>
        <w:rPr>
          <w:rFonts w:ascii="Book Antiqua" w:hAnsi="Book Antiqua"/>
          <w:i/>
          <w:iCs/>
          <w:color w:val="000000" w:themeColor="text1"/>
        </w:rPr>
        <w:t>Ther</w:t>
      </w:r>
      <w:proofErr w:type="spellEnd"/>
      <w:r>
        <w:rPr>
          <w:rFonts w:ascii="Book Antiqua" w:hAnsi="Book Antiqua"/>
          <w:color w:val="000000" w:themeColor="text1"/>
        </w:rPr>
        <w:t xml:space="preserve"> 2015; </w:t>
      </w:r>
      <w:r>
        <w:rPr>
          <w:rFonts w:ascii="Book Antiqua" w:hAnsi="Book Antiqua"/>
          <w:b/>
          <w:bCs/>
          <w:color w:val="000000" w:themeColor="text1"/>
        </w:rPr>
        <w:t>14</w:t>
      </w:r>
      <w:r>
        <w:rPr>
          <w:rFonts w:ascii="Book Antiqua" w:hAnsi="Book Antiqua"/>
          <w:color w:val="000000" w:themeColor="text1"/>
        </w:rPr>
        <w:t>: 162-173 [PMID: 25376611 DOI: 10.1158/1535-7163.MCT-14-0104]</w:t>
      </w:r>
    </w:p>
    <w:p w14:paraId="4B8A05BC" w14:textId="77777777" w:rsidR="006E364E"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33 </w:t>
      </w:r>
      <w:r>
        <w:rPr>
          <w:rFonts w:ascii="Book Antiqua" w:hAnsi="Book Antiqua"/>
          <w:b/>
          <w:bCs/>
          <w:color w:val="000000" w:themeColor="text1"/>
        </w:rPr>
        <w:t>Zhang RY</w:t>
      </w:r>
      <w:r>
        <w:rPr>
          <w:rFonts w:ascii="Book Antiqua" w:hAnsi="Book Antiqua"/>
          <w:color w:val="000000" w:themeColor="text1"/>
        </w:rPr>
        <w:t xml:space="preserve">, Wei D, Liu ZK, Yong YL, Wei W, Zhang ZY, </w:t>
      </w:r>
      <w:proofErr w:type="spellStart"/>
      <w:r>
        <w:rPr>
          <w:rFonts w:ascii="Book Antiqua" w:hAnsi="Book Antiqua"/>
          <w:color w:val="000000" w:themeColor="text1"/>
        </w:rPr>
        <w:t>Lv</w:t>
      </w:r>
      <w:proofErr w:type="spellEnd"/>
      <w:r>
        <w:rPr>
          <w:rFonts w:ascii="Book Antiqua" w:hAnsi="Book Antiqua"/>
          <w:color w:val="000000" w:themeColor="text1"/>
        </w:rPr>
        <w:t xml:space="preserve"> JJ, Zhang Z, Chen ZN, </w:t>
      </w:r>
      <w:proofErr w:type="spellStart"/>
      <w:r>
        <w:rPr>
          <w:rFonts w:ascii="Book Antiqua" w:hAnsi="Book Antiqua"/>
          <w:color w:val="000000" w:themeColor="text1"/>
        </w:rPr>
        <w:t>Bian</w:t>
      </w:r>
      <w:proofErr w:type="spellEnd"/>
      <w:r>
        <w:rPr>
          <w:rFonts w:ascii="Book Antiqua" w:hAnsi="Book Antiqua"/>
          <w:color w:val="000000" w:themeColor="text1"/>
        </w:rPr>
        <w:t xml:space="preserve"> H. Doxycycline Inducible Chimeric Antigen Receptor T Cells Targeting CD147 for Hepatocellular Carcinoma Therapy. </w:t>
      </w:r>
      <w:r>
        <w:rPr>
          <w:rFonts w:ascii="Book Antiqua" w:hAnsi="Book Antiqua"/>
          <w:i/>
          <w:iCs/>
          <w:color w:val="000000" w:themeColor="text1"/>
        </w:rPr>
        <w:t>Front Cell Dev Biol</w:t>
      </w:r>
      <w:r>
        <w:rPr>
          <w:rFonts w:ascii="Book Antiqua" w:hAnsi="Book Antiqua"/>
          <w:color w:val="000000" w:themeColor="text1"/>
        </w:rPr>
        <w:t xml:space="preserve"> 2019; </w:t>
      </w:r>
      <w:r>
        <w:rPr>
          <w:rFonts w:ascii="Book Antiqua" w:hAnsi="Book Antiqua"/>
          <w:b/>
          <w:bCs/>
          <w:color w:val="000000" w:themeColor="text1"/>
        </w:rPr>
        <w:t>7</w:t>
      </w:r>
      <w:r>
        <w:rPr>
          <w:rFonts w:ascii="Book Antiqua" w:hAnsi="Book Antiqua"/>
          <w:color w:val="000000" w:themeColor="text1"/>
        </w:rPr>
        <w:t>: 233 [PMID: 31681766 DOI: 10.3389/fcell.2019.00233]</w:t>
      </w:r>
    </w:p>
    <w:bookmarkEnd w:id="3"/>
    <w:p w14:paraId="090AC7DB" w14:textId="77777777" w:rsidR="006E364E" w:rsidRDefault="006E364E">
      <w:pPr>
        <w:spacing w:line="360" w:lineRule="auto"/>
        <w:jc w:val="both"/>
        <w:rPr>
          <w:rFonts w:ascii="Book Antiqua" w:hAnsi="Book Antiqua"/>
          <w:color w:val="000000" w:themeColor="text1"/>
        </w:rPr>
      </w:pPr>
    </w:p>
    <w:p w14:paraId="7DA1C5C4"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Footnotes</w:t>
      </w:r>
    </w:p>
    <w:p w14:paraId="422CECA9"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This study was approved by the Second Clinical College Committee of South China University.</w:t>
      </w:r>
    </w:p>
    <w:p w14:paraId="507FDDFE" w14:textId="77777777" w:rsidR="006E364E" w:rsidRDefault="006E364E">
      <w:pPr>
        <w:spacing w:line="360" w:lineRule="auto"/>
        <w:jc w:val="both"/>
        <w:rPr>
          <w:rFonts w:ascii="Book Antiqua" w:hAnsi="Book Antiqua"/>
          <w:color w:val="000000" w:themeColor="text1"/>
        </w:rPr>
      </w:pPr>
    </w:p>
    <w:p w14:paraId="547447DE" w14:textId="77777777" w:rsidR="006E364E" w:rsidRDefault="00000000">
      <w:pPr>
        <w:snapToGrid w:val="0"/>
        <w:spacing w:line="360" w:lineRule="auto"/>
        <w:jc w:val="both"/>
        <w:rPr>
          <w:rFonts w:ascii="Book Antiqua" w:eastAsia="宋体" w:hAnsi="Book Antiqua" w:cs="宋体"/>
          <w:color w:val="000000" w:themeColor="text1"/>
        </w:rPr>
      </w:pPr>
      <w:r>
        <w:rPr>
          <w:rFonts w:ascii="Book Antiqua" w:eastAsia="Book Antiqua" w:hAnsi="Book Antiqua" w:cs="Book Antiqua"/>
          <w:b/>
          <w:bCs/>
          <w:color w:val="000000" w:themeColor="text1"/>
        </w:rPr>
        <w:t xml:space="preserve">Conflict-of-interest statement: </w:t>
      </w:r>
      <w:bookmarkStart w:id="4" w:name="_Hlk130828251"/>
      <w:r>
        <w:rPr>
          <w:rFonts w:ascii="Book Antiqua" w:eastAsia="宋体" w:hAnsi="Book Antiqua" w:cs="宋体"/>
          <w:color w:val="000000" w:themeColor="text1"/>
        </w:rPr>
        <w:t>All the authors report having no relevant conflicts of interest for this article.</w:t>
      </w:r>
    </w:p>
    <w:bookmarkEnd w:id="4"/>
    <w:p w14:paraId="0BF5ED63" w14:textId="77777777" w:rsidR="006E364E" w:rsidRDefault="006E364E">
      <w:pPr>
        <w:spacing w:line="360" w:lineRule="auto"/>
        <w:jc w:val="both"/>
        <w:rPr>
          <w:rFonts w:ascii="Book Antiqua" w:hAnsi="Book Antiqua"/>
          <w:color w:val="000000" w:themeColor="text1"/>
        </w:rPr>
      </w:pPr>
    </w:p>
    <w:p w14:paraId="74A0AB5B"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Data sharing statement: </w:t>
      </w:r>
      <w:r>
        <w:rPr>
          <w:rFonts w:ascii="Book Antiqua" w:eastAsia="Book Antiqua" w:hAnsi="Book Antiqua" w:cs="Book Antiqua"/>
          <w:color w:val="000000" w:themeColor="text1"/>
        </w:rPr>
        <w:t>The data of this study are available upon reasonable request through the corresponding author at loverpig520@163.com.</w:t>
      </w:r>
    </w:p>
    <w:p w14:paraId="52DAAB55" w14:textId="77777777" w:rsidR="006E364E" w:rsidRDefault="006E364E">
      <w:pPr>
        <w:spacing w:line="360" w:lineRule="auto"/>
        <w:jc w:val="both"/>
        <w:rPr>
          <w:rFonts w:ascii="Book Antiqua" w:hAnsi="Book Antiqua"/>
          <w:color w:val="000000" w:themeColor="text1"/>
        </w:rPr>
      </w:pPr>
    </w:p>
    <w:p w14:paraId="29EBBDA9"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D7D7CE" w14:textId="77777777" w:rsidR="006E364E" w:rsidRDefault="006E364E">
      <w:pPr>
        <w:spacing w:line="360" w:lineRule="auto"/>
        <w:jc w:val="both"/>
        <w:rPr>
          <w:rFonts w:ascii="Book Antiqua" w:hAnsi="Book Antiqua"/>
          <w:color w:val="000000" w:themeColor="text1"/>
        </w:rPr>
      </w:pPr>
    </w:p>
    <w:p w14:paraId="1A7EEAC1" w14:textId="77777777" w:rsidR="006E364E"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1200BDB1"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4179DF08" w14:textId="77777777" w:rsidR="006E364E" w:rsidRDefault="006E364E">
      <w:pPr>
        <w:spacing w:line="360" w:lineRule="auto"/>
        <w:jc w:val="both"/>
        <w:rPr>
          <w:rFonts w:ascii="Book Antiqua" w:hAnsi="Book Antiqua"/>
          <w:color w:val="000000" w:themeColor="text1"/>
        </w:rPr>
      </w:pPr>
    </w:p>
    <w:p w14:paraId="7B6E046E"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March 28, 2023</w:t>
      </w:r>
    </w:p>
    <w:p w14:paraId="46ACD796"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May 17, 2023</w:t>
      </w:r>
    </w:p>
    <w:p w14:paraId="6FD7776C"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June 27, 2023</w:t>
      </w:r>
    </w:p>
    <w:p w14:paraId="380D5396" w14:textId="77777777" w:rsidR="006E364E" w:rsidRDefault="006E364E">
      <w:pPr>
        <w:spacing w:line="360" w:lineRule="auto"/>
        <w:jc w:val="both"/>
        <w:rPr>
          <w:rFonts w:ascii="Book Antiqua" w:hAnsi="Book Antiqua"/>
          <w:color w:val="000000" w:themeColor="text1"/>
        </w:rPr>
      </w:pPr>
    </w:p>
    <w:p w14:paraId="724C63C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Oncology</w:t>
      </w:r>
    </w:p>
    <w:p w14:paraId="779DA628"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75FC41F1"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697AACAA"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223EE82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14:paraId="625DC7D5"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42C82D24"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14789419"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70D64AA3" w14:textId="77777777" w:rsidR="006E364E" w:rsidRDefault="006E364E">
      <w:pPr>
        <w:spacing w:line="360" w:lineRule="auto"/>
        <w:jc w:val="both"/>
        <w:rPr>
          <w:rFonts w:ascii="Book Antiqua" w:hAnsi="Book Antiqua"/>
          <w:color w:val="000000" w:themeColor="text1"/>
        </w:rPr>
      </w:pPr>
    </w:p>
    <w:p w14:paraId="67FA3AF6" w14:textId="77777777" w:rsidR="006E364E" w:rsidRDefault="00000000">
      <w:pPr>
        <w:spacing w:line="360" w:lineRule="auto"/>
        <w:jc w:val="both"/>
        <w:rPr>
          <w:rFonts w:ascii="Book Antiqua" w:eastAsia="宋体" w:hAnsi="Book Antiqua" w:cs="Book Antiqua"/>
          <w:b/>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Ker CG, Taiwan; </w:t>
      </w:r>
      <w:proofErr w:type="spellStart"/>
      <w:r>
        <w:rPr>
          <w:rFonts w:ascii="Book Antiqua" w:eastAsia="Book Antiqua" w:hAnsi="Book Antiqua" w:cs="Book Antiqua"/>
          <w:color w:val="000000" w:themeColor="text1"/>
        </w:rPr>
        <w:t>Perelli</w:t>
      </w:r>
      <w:proofErr w:type="spellEnd"/>
      <w:r>
        <w:rPr>
          <w:rFonts w:ascii="Book Antiqua" w:eastAsia="Book Antiqua" w:hAnsi="Book Antiqua" w:cs="Book Antiqua"/>
          <w:color w:val="000000" w:themeColor="text1"/>
        </w:rPr>
        <w:t xml:space="preserve"> L, Italy</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Li L</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 xml:space="preserve">Filipodia </w:t>
      </w:r>
      <w:r>
        <w:rPr>
          <w:rFonts w:ascii="Book Antiqua" w:eastAsia="Book Antiqua" w:hAnsi="Book Antiqua" w:cs="Book Antiqua"/>
          <w:b/>
          <w:color w:val="000000" w:themeColor="text1"/>
        </w:rPr>
        <w:t>P-Editor:</w:t>
      </w:r>
      <w:r>
        <w:rPr>
          <w:rFonts w:ascii="Book Antiqua" w:eastAsia="宋体" w:hAnsi="Book Antiqua" w:cs="Book Antiqua" w:hint="eastAsia"/>
          <w:b/>
          <w:color w:val="000000" w:themeColor="text1"/>
          <w:lang w:eastAsia="zh-CN"/>
        </w:rPr>
        <w:t xml:space="preserve"> </w:t>
      </w:r>
      <w:r>
        <w:rPr>
          <w:rFonts w:ascii="Book Antiqua" w:eastAsia="宋体" w:hAnsi="Book Antiqua" w:cs="Book Antiqua" w:hint="eastAsia"/>
          <w:bCs/>
          <w:color w:val="000000" w:themeColor="text1"/>
          <w:lang w:eastAsia="zh-CN"/>
        </w:rPr>
        <w:t>Xu ZH</w:t>
      </w:r>
    </w:p>
    <w:p w14:paraId="05B4D0DA" w14:textId="77777777" w:rsidR="006E364E" w:rsidRDefault="006E364E">
      <w:pPr>
        <w:spacing w:line="360" w:lineRule="auto"/>
        <w:jc w:val="both"/>
        <w:rPr>
          <w:rFonts w:ascii="Book Antiqua" w:eastAsia="Book Antiqua" w:hAnsi="Book Antiqua" w:cs="Book Antiqua"/>
          <w:b/>
          <w:color w:val="000000" w:themeColor="text1"/>
        </w:rPr>
      </w:pPr>
    </w:p>
    <w:p w14:paraId="04BCFAB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Figure Legends</w:t>
      </w:r>
    </w:p>
    <w:p w14:paraId="60EBD955" w14:textId="3C5052A8" w:rsidR="006E364E" w:rsidRDefault="00451471">
      <w:pPr>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rPr>
        <w:lastRenderedPageBreak/>
        <w:drawing>
          <wp:inline distT="0" distB="0" distL="0" distR="0" wp14:anchorId="707FD91C" wp14:editId="6A71FE55">
            <wp:extent cx="4013200" cy="2349500"/>
            <wp:effectExtent l="0" t="0" r="0" b="0"/>
            <wp:docPr id="181289607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6072" name="图片 1" descr="图示&#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3200" cy="2349500"/>
                    </a:xfrm>
                    <a:prstGeom prst="rect">
                      <a:avLst/>
                    </a:prstGeom>
                  </pic:spPr>
                </pic:pic>
              </a:graphicData>
            </a:graphic>
          </wp:inline>
        </w:drawing>
      </w:r>
      <w:r w:rsidR="00000000">
        <w:rPr>
          <w:rFonts w:ascii="Book Antiqua" w:hAnsi="Book Antiqua"/>
          <w:color w:val="000000" w:themeColor="text1"/>
        </w:rPr>
        <w:t xml:space="preserve"> </w:t>
      </w:r>
      <w:r w:rsidR="00000000">
        <w:rPr>
          <w:rFonts w:ascii="Book Antiqua" w:hAnsi="Book Antiqua"/>
          <w:noProof/>
          <w:color w:val="000000" w:themeColor="text1"/>
        </w:rPr>
        <w:drawing>
          <wp:inline distT="0" distB="0" distL="0" distR="0" wp14:anchorId="44431BDD" wp14:editId="5D90BEF5">
            <wp:extent cx="4594860" cy="365760"/>
            <wp:effectExtent l="0" t="0" r="0" b="0"/>
            <wp:docPr id="1176787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87915" name="Picture 2"/>
                    <pic:cNvPicPr>
                      <a:picLocks noChangeAspect="1"/>
                    </pic:cNvPicPr>
                  </pic:nvPicPr>
                  <pic:blipFill>
                    <a:blip r:embed="rId7"/>
                    <a:stretch>
                      <a:fillRect/>
                    </a:stretch>
                  </pic:blipFill>
                  <pic:spPr>
                    <a:xfrm>
                      <a:off x="0" y="0"/>
                      <a:ext cx="4595258" cy="365792"/>
                    </a:xfrm>
                    <a:prstGeom prst="rect">
                      <a:avLst/>
                    </a:prstGeom>
                  </pic:spPr>
                </pic:pic>
              </a:graphicData>
            </a:graphic>
          </wp:inline>
        </w:drawing>
      </w:r>
    </w:p>
    <w:p w14:paraId="52FD8651"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1 </w:t>
      </w:r>
      <w:r>
        <w:rPr>
          <w:rFonts w:ascii="Book Antiqua" w:eastAsia="Book Antiqua" w:hAnsi="Book Antiqua" w:cs="Book Antiqua"/>
          <w:b/>
          <w:bCs/>
          <w:color w:val="000000" w:themeColor="text1"/>
          <w:shd w:val="clear" w:color="auto" w:fill="FFFFFF"/>
        </w:rPr>
        <w:t xml:space="preserve">Data collection and workflow. </w:t>
      </w:r>
      <w:r>
        <w:rPr>
          <w:rFonts w:ascii="Book Antiqua" w:eastAsia="Book Antiqua" w:hAnsi="Book Antiqua" w:cs="Book Antiqua"/>
          <w:color w:val="000000" w:themeColor="text1"/>
          <w:shd w:val="clear" w:color="auto" w:fill="FFFFFF"/>
        </w:rPr>
        <w:t>CD147:</w:t>
      </w:r>
      <w:r>
        <w:rPr>
          <w:rFonts w:ascii="Book Antiqua" w:eastAsia="Book Antiqua" w:hAnsi="Book Antiqua" w:cs="Book Antiqua"/>
          <w:color w:val="000000" w:themeColor="text1"/>
        </w:rPr>
        <w:t xml:space="preserve"> Cluster of differentiation 147</w:t>
      </w:r>
      <w:r>
        <w:rPr>
          <w:rFonts w:ascii="Book Antiqua" w:eastAsia="Book Antiqua" w:hAnsi="Book Antiqua" w:cs="Book Antiqua"/>
          <w:color w:val="000000" w:themeColor="text1"/>
          <w:shd w:val="clear" w:color="auto" w:fill="FFFFFF"/>
        </w:rPr>
        <w:t>; GEO:</w:t>
      </w:r>
      <w:r>
        <w:rPr>
          <w:rStyle w:val="tgt"/>
          <w:rFonts w:ascii="Book Antiqua" w:eastAsia="Book Antiqua" w:hAnsi="Book Antiqua" w:cs="Book Antiqua"/>
          <w:color w:val="000000" w:themeColor="text1"/>
        </w:rPr>
        <w:t xml:space="preserve"> Gene Expression Omnibus</w:t>
      </w:r>
      <w:r>
        <w:rPr>
          <w:rFonts w:ascii="Book Antiqua" w:eastAsia="Book Antiqua" w:hAnsi="Book Antiqua" w:cs="Book Antiqua"/>
          <w:color w:val="000000" w:themeColor="text1"/>
          <w:shd w:val="clear" w:color="auto" w:fill="FFFFFF"/>
        </w:rPr>
        <w:t>; ROC: Receiver operating characteristic; TCGA:</w:t>
      </w:r>
      <w:r>
        <w:rPr>
          <w:rStyle w:val="tgt"/>
          <w:rFonts w:ascii="Book Antiqua" w:eastAsia="Book Antiqua" w:hAnsi="Book Antiqua" w:cs="Book Antiqua"/>
          <w:color w:val="000000" w:themeColor="text1"/>
        </w:rPr>
        <w:t xml:space="preserve"> The Cancer Genome Atlas</w:t>
      </w:r>
      <w:r>
        <w:rPr>
          <w:rFonts w:ascii="Book Antiqua" w:eastAsia="Book Antiqua" w:hAnsi="Book Antiqua" w:cs="Book Antiqua"/>
          <w:color w:val="000000" w:themeColor="text1"/>
          <w:shd w:val="clear" w:color="auto" w:fill="FFFFFF"/>
        </w:rPr>
        <w:t>.</w:t>
      </w:r>
    </w:p>
    <w:p w14:paraId="6316B59A" w14:textId="77777777" w:rsidR="006E364E" w:rsidRDefault="006E364E">
      <w:pPr>
        <w:spacing w:line="360" w:lineRule="auto"/>
        <w:jc w:val="both"/>
        <w:rPr>
          <w:rFonts w:ascii="Book Antiqua" w:hAnsi="Book Antiqua"/>
          <w:color w:val="000000" w:themeColor="text1"/>
        </w:rPr>
      </w:pPr>
    </w:p>
    <w:p w14:paraId="7941CF86" w14:textId="20157F38" w:rsidR="006E364E" w:rsidRDefault="00451471">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73BE459C" wp14:editId="234F6B35">
            <wp:extent cx="4762500" cy="2184400"/>
            <wp:effectExtent l="0" t="0" r="0" b="0"/>
            <wp:docPr id="841157218"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7218" name="图片 2" descr="图表, 箱线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500" cy="2184400"/>
                    </a:xfrm>
                    <a:prstGeom prst="rect">
                      <a:avLst/>
                    </a:prstGeom>
                  </pic:spPr>
                </pic:pic>
              </a:graphicData>
            </a:graphic>
          </wp:inline>
        </w:drawing>
      </w:r>
    </w:p>
    <w:p w14:paraId="6CC34E2C" w14:textId="77777777" w:rsidR="006E364E" w:rsidRDefault="00000000">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7D73F91F" wp14:editId="65290CAD">
            <wp:extent cx="4594860" cy="365760"/>
            <wp:effectExtent l="0" t="0" r="0" b="0"/>
            <wp:docPr id="1253283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83117" name="Picture 4"/>
                    <pic:cNvPicPr>
                      <a:picLocks noChangeAspect="1"/>
                    </pic:cNvPicPr>
                  </pic:nvPicPr>
                  <pic:blipFill>
                    <a:blip r:embed="rId7"/>
                    <a:stretch>
                      <a:fillRect/>
                    </a:stretch>
                  </pic:blipFill>
                  <pic:spPr>
                    <a:xfrm>
                      <a:off x="0" y="0"/>
                      <a:ext cx="4595258" cy="365792"/>
                    </a:xfrm>
                    <a:prstGeom prst="rect">
                      <a:avLst/>
                    </a:prstGeom>
                  </pic:spPr>
                </pic:pic>
              </a:graphicData>
            </a:graphic>
          </wp:inline>
        </w:drawing>
      </w:r>
    </w:p>
    <w:p w14:paraId="1B9AEFFD"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2 Expression of cluster of differentiation 147 in hepatocellular carcinoma. </w:t>
      </w:r>
      <w:r>
        <w:rPr>
          <w:rFonts w:ascii="Book Antiqua" w:eastAsia="Book Antiqua" w:hAnsi="Book Antiqua" w:cs="Book Antiqua"/>
          <w:color w:val="000000" w:themeColor="text1"/>
        </w:rPr>
        <w:t xml:space="preserve">A: Expression of cluster of differentiation 147 in hepatocellular carcinoma samples (50 normal samples and 371 tumor samples) from </w:t>
      </w:r>
      <w:r>
        <w:rPr>
          <w:rStyle w:val="tgt"/>
          <w:rFonts w:ascii="Book Antiqua" w:eastAsia="Book Antiqua" w:hAnsi="Book Antiqua" w:cs="Book Antiqua"/>
          <w:color w:val="000000" w:themeColor="text1"/>
        </w:rPr>
        <w:t>The Cancer Genome Atlas</w:t>
      </w:r>
      <w:r>
        <w:rPr>
          <w:rFonts w:ascii="Book Antiqua" w:eastAsia="Book Antiqua" w:hAnsi="Book Antiqua" w:cs="Book Antiqua"/>
          <w:color w:val="000000" w:themeColor="text1"/>
        </w:rPr>
        <w:t xml:space="preserve"> (TCGA) database (normal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tumor,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1.624 × 10</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B: Expression of cluster of differentiation </w:t>
      </w:r>
      <w:r>
        <w:rPr>
          <w:rFonts w:ascii="Book Antiqua" w:eastAsia="Book Antiqua" w:hAnsi="Book Antiqua" w:cs="Book Antiqua"/>
          <w:color w:val="000000" w:themeColor="text1"/>
        </w:rPr>
        <w:lastRenderedPageBreak/>
        <w:t xml:space="preserve">147 in hepatocellular carcinoma samples (15 normal and 183 tumor) from the </w:t>
      </w:r>
      <w:r>
        <w:rPr>
          <w:rStyle w:val="tgt"/>
          <w:rFonts w:ascii="Book Antiqua" w:eastAsia="Book Antiqua" w:hAnsi="Book Antiqua" w:cs="Book Antiqua"/>
          <w:color w:val="000000" w:themeColor="text1"/>
        </w:rPr>
        <w:t>Gene Expression Omnibus</w:t>
      </w:r>
      <w:r>
        <w:rPr>
          <w:rFonts w:ascii="Book Antiqua" w:eastAsia="Book Antiqua" w:hAnsi="Book Antiqua" w:cs="Book Antiqua"/>
          <w:color w:val="000000" w:themeColor="text1"/>
        </w:rPr>
        <w:t xml:space="preserve"> database (normal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tumor,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1.2 × 10</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r>
        <w:rPr>
          <w:rFonts w:ascii="Book Antiqua" w:eastAsia="Book Antiqua" w:hAnsi="Book Antiqua" w:cs="Book Antiqua"/>
          <w:color w:val="000000" w:themeColor="text1"/>
          <w:shd w:val="clear" w:color="auto" w:fill="FFFFFF"/>
        </w:rPr>
        <w: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shd w:val="clear" w:color="auto" w:fill="FFFFFF"/>
        </w:rPr>
        <w:t>P</w:t>
      </w:r>
      <w:proofErr w:type="spellEnd"/>
      <w:r>
        <w:rPr>
          <w:rFonts w:ascii="Book Antiqua" w:eastAsia="Book Antiqua" w:hAnsi="Book Antiqua" w:cs="Book Antiqua"/>
          <w:color w:val="000000" w:themeColor="text1"/>
          <w:shd w:val="clear" w:color="auto" w:fill="FFFFFF"/>
        </w:rPr>
        <w:t xml:space="preserve"> &lt; 0.001. </w:t>
      </w:r>
      <w:r>
        <w:rPr>
          <w:rFonts w:ascii="Book Antiqua" w:hAnsi="Book Antiqua"/>
          <w:i/>
          <w:iCs/>
          <w:color w:val="000000" w:themeColor="text1"/>
        </w:rPr>
        <w:t>BSG</w:t>
      </w:r>
      <w:r>
        <w:rPr>
          <w:rFonts w:ascii="Book Antiqua" w:hAnsi="Book Antiqua"/>
          <w:color w:val="000000" w:themeColor="text1"/>
        </w:rPr>
        <w:t>:</w:t>
      </w:r>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color w:val="000000" w:themeColor="text1"/>
        </w:rPr>
        <w:t>Basigin</w:t>
      </w:r>
      <w:proofErr w:type="spellEnd"/>
      <w:r>
        <w:rPr>
          <w:rStyle w:val="tgt"/>
          <w:rFonts w:ascii="Book Antiqua" w:eastAsia="Book Antiqua" w:hAnsi="Book Antiqua" w:cs="Book Antiqua"/>
          <w:color w:val="000000" w:themeColor="text1"/>
        </w:rPr>
        <w:t>.</w:t>
      </w:r>
    </w:p>
    <w:p w14:paraId="21F57615" w14:textId="77777777" w:rsidR="006E364E" w:rsidRDefault="006E364E">
      <w:pPr>
        <w:spacing w:line="360" w:lineRule="auto"/>
        <w:jc w:val="both"/>
        <w:rPr>
          <w:rFonts w:ascii="Book Antiqua" w:hAnsi="Book Antiqua"/>
          <w:color w:val="000000" w:themeColor="text1"/>
        </w:rPr>
      </w:pPr>
    </w:p>
    <w:p w14:paraId="60BFCDCE" w14:textId="053A90A5" w:rsidR="006E364E" w:rsidRDefault="00451471">
      <w:pPr>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rPr>
        <w:drawing>
          <wp:inline distT="0" distB="0" distL="0" distR="0" wp14:anchorId="32CBC5E3" wp14:editId="1803ED9B">
            <wp:extent cx="4902200" cy="4394200"/>
            <wp:effectExtent l="0" t="0" r="0" b="0"/>
            <wp:docPr id="490384651" name="图片 3" descr="图片包含 游戏机, 海胆, 动物, 石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84651" name="图片 3" descr="图片包含 游戏机, 海胆, 动物, 石头&#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2200" cy="4394200"/>
                    </a:xfrm>
                    <a:prstGeom prst="rect">
                      <a:avLst/>
                    </a:prstGeom>
                  </pic:spPr>
                </pic:pic>
              </a:graphicData>
            </a:graphic>
          </wp:inline>
        </w:drawing>
      </w:r>
    </w:p>
    <w:p w14:paraId="3947514C" w14:textId="77777777" w:rsidR="006E364E" w:rsidRDefault="00000000">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60297C81" wp14:editId="329A4F3C">
            <wp:extent cx="4594860" cy="365760"/>
            <wp:effectExtent l="0" t="0" r="0" b="0"/>
            <wp:docPr id="365442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42143" name="Picture 6"/>
                    <pic:cNvPicPr>
                      <a:picLocks noChangeAspect="1"/>
                    </pic:cNvPicPr>
                  </pic:nvPicPr>
                  <pic:blipFill>
                    <a:blip r:embed="rId7"/>
                    <a:stretch>
                      <a:fillRect/>
                    </a:stretch>
                  </pic:blipFill>
                  <pic:spPr>
                    <a:xfrm>
                      <a:off x="0" y="0"/>
                      <a:ext cx="4595258" cy="365792"/>
                    </a:xfrm>
                    <a:prstGeom prst="rect">
                      <a:avLst/>
                    </a:prstGeom>
                  </pic:spPr>
                </pic:pic>
              </a:graphicData>
            </a:graphic>
          </wp:inline>
        </w:drawing>
      </w:r>
    </w:p>
    <w:p w14:paraId="000694F3"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3 Immunohistochemistry of cluster of differentiation 147 in hepatocellular carcinoma from the Human Protein Atlas. </w:t>
      </w:r>
      <w:r>
        <w:rPr>
          <w:rFonts w:ascii="Book Antiqua" w:eastAsia="Book Antiqua" w:hAnsi="Book Antiqua" w:cs="Book Antiqua"/>
          <w:color w:val="000000" w:themeColor="text1"/>
        </w:rPr>
        <w:t>A: Cluster of differentiation 147 (CD147) is highly expressed in hepatocellular carcinoma (HCC); B: CD147 has medium expression in HCC; C: CD147 has low expression in HCC; D: CD147 was not detected in HCC.</w:t>
      </w:r>
    </w:p>
    <w:p w14:paraId="178CD492" w14:textId="77777777" w:rsidR="006E364E" w:rsidRDefault="006E364E">
      <w:pPr>
        <w:spacing w:line="360" w:lineRule="auto"/>
        <w:jc w:val="both"/>
        <w:rPr>
          <w:rFonts w:ascii="Book Antiqua" w:eastAsia="Book Antiqua" w:hAnsi="Book Antiqua" w:cs="Book Antiqua"/>
          <w:color w:val="000000" w:themeColor="text1"/>
        </w:rPr>
      </w:pPr>
    </w:p>
    <w:p w14:paraId="10C3918D" w14:textId="780C03F1" w:rsidR="006E364E" w:rsidRDefault="00451471">
      <w:pPr>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rPr>
        <w:lastRenderedPageBreak/>
        <w:drawing>
          <wp:inline distT="0" distB="0" distL="0" distR="0" wp14:anchorId="5E86107E" wp14:editId="0E5899AC">
            <wp:extent cx="5871210" cy="8229600"/>
            <wp:effectExtent l="0" t="0" r="0" b="0"/>
            <wp:docPr id="240738100" name="图片 4"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38100" name="图片 4" descr="图片包含 日历&#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1210" cy="8229600"/>
                    </a:xfrm>
                    <a:prstGeom prst="rect">
                      <a:avLst/>
                    </a:prstGeom>
                  </pic:spPr>
                </pic:pic>
              </a:graphicData>
            </a:graphic>
          </wp:inline>
        </w:drawing>
      </w:r>
    </w:p>
    <w:p w14:paraId="39B38B4F" w14:textId="77777777" w:rsidR="006E364E" w:rsidRDefault="00000000">
      <w:pPr>
        <w:spacing w:line="360" w:lineRule="auto"/>
        <w:jc w:val="both"/>
        <w:rPr>
          <w:rFonts w:ascii="Book Antiqua" w:eastAsia="Book Antiqua" w:hAnsi="Book Antiqua" w:cs="Book Antiqua"/>
          <w:color w:val="000000" w:themeColor="text1"/>
        </w:rPr>
      </w:pPr>
      <w:r>
        <w:rPr>
          <w:rFonts w:ascii="Book Antiqua" w:hAnsi="Book Antiqua"/>
          <w:noProof/>
          <w:color w:val="000000" w:themeColor="text1"/>
        </w:rPr>
        <w:lastRenderedPageBreak/>
        <w:drawing>
          <wp:inline distT="0" distB="0" distL="0" distR="0" wp14:anchorId="110C1A03" wp14:editId="184EAE26">
            <wp:extent cx="4594860" cy="365760"/>
            <wp:effectExtent l="0" t="0" r="0" b="0"/>
            <wp:docPr id="2956089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08923" name="Picture 9"/>
                    <pic:cNvPicPr>
                      <a:picLocks noChangeAspect="1"/>
                    </pic:cNvPicPr>
                  </pic:nvPicPr>
                  <pic:blipFill>
                    <a:blip r:embed="rId7"/>
                    <a:stretch>
                      <a:fillRect/>
                    </a:stretch>
                  </pic:blipFill>
                  <pic:spPr>
                    <a:xfrm>
                      <a:off x="0" y="0"/>
                      <a:ext cx="4595258" cy="365792"/>
                    </a:xfrm>
                    <a:prstGeom prst="rect">
                      <a:avLst/>
                    </a:prstGeom>
                  </pic:spPr>
                </pic:pic>
              </a:graphicData>
            </a:graphic>
          </wp:inline>
        </w:drawing>
      </w:r>
    </w:p>
    <w:p w14:paraId="37F4291D" w14:textId="77777777" w:rsidR="006E364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4 Expression of cluster of differentiation 147 in hepatocellular carcinoma clinical </w:t>
      </w:r>
      <w:r>
        <w:rPr>
          <w:rFonts w:ascii="Book Antiqua" w:eastAsia="Book Antiqua" w:hAnsi="Book Antiqua" w:cs="Book Antiqua"/>
          <w:b/>
          <w:bCs/>
          <w:color w:val="000000" w:themeColor="text1"/>
          <w:shd w:val="clear" w:color="auto" w:fill="FFFFFF"/>
        </w:rPr>
        <w:t xml:space="preserve">characteristics from </w:t>
      </w:r>
      <w:r>
        <w:rPr>
          <w:rFonts w:ascii="Book Antiqua" w:eastAsia="Book Antiqua" w:hAnsi="Book Antiqua" w:cs="Book Antiqua"/>
          <w:b/>
          <w:bCs/>
          <w:color w:val="000000" w:themeColor="text1"/>
        </w:rPr>
        <w:t>The Cancer Genome Atlas database</w:t>
      </w:r>
      <w:r>
        <w:rPr>
          <w:rFonts w:ascii="Book Antiqua" w:eastAsia="Book Antiqua" w:hAnsi="Book Antiqua" w:cs="Book Antiqua"/>
          <w:b/>
          <w:bCs/>
          <w:color w:val="000000" w:themeColor="text1"/>
          <w:shd w:val="clear" w:color="auto" w:fill="FFFFFF"/>
        </w:rPr>
        <w:t xml:space="preserve">. </w:t>
      </w:r>
      <w:r>
        <w:rPr>
          <w:rFonts w:ascii="Book Antiqua" w:eastAsia="Book Antiqua" w:hAnsi="Book Antiqua" w:cs="Book Antiqua"/>
          <w:color w:val="000000" w:themeColor="text1"/>
          <w:shd w:val="clear" w:color="auto" w:fill="FFFFFF"/>
        </w:rPr>
        <w:t xml:space="preserve">A: Normal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age,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&lt; 0.05; B: Normal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sex,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&lt; 0.05; male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female,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 4.26 </w:t>
      </w:r>
      <w:r>
        <w:rPr>
          <w:rFonts w:ascii="Book Antiqua" w:eastAsia="Book Antiqua" w:hAnsi="Book Antiqua" w:cs="Book Antiqua"/>
          <w:color w:val="000000" w:themeColor="text1"/>
        </w:rPr>
        <w:t>× 10</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shd w:val="clear" w:color="auto" w:fill="FFFFFF"/>
        </w:rPr>
        <w:t xml:space="preserve">; C: Normal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tumor grade,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&lt; 0.05; grade 1 </w:t>
      </w:r>
      <w:r>
        <w:rPr>
          <w:rFonts w:ascii="Book Antiqua" w:eastAsia="Book Antiqua" w:hAnsi="Book Antiqua" w:cs="Book Antiqua"/>
          <w:i/>
          <w:iCs/>
          <w:color w:val="000000" w:themeColor="text1"/>
          <w:shd w:val="clear" w:color="auto" w:fill="FFFFFF"/>
        </w:rPr>
        <w:t>v</w:t>
      </w:r>
      <w:r>
        <w:rPr>
          <w:rFonts w:ascii="Book Antiqua" w:eastAsia="Book Antiqua" w:hAnsi="Book Antiqua" w:cs="Book Antiqua"/>
          <w:color w:val="000000" w:themeColor="text1"/>
          <w:shd w:val="clear" w:color="auto" w:fill="FFFFFF"/>
        </w:rPr>
        <w:t xml:space="preserve">s grade 2,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 2.88 </w:t>
      </w:r>
      <w:r>
        <w:rPr>
          <w:rFonts w:ascii="Book Antiqua" w:eastAsia="Book Antiqua" w:hAnsi="Book Antiqua" w:cs="Book Antiqua"/>
          <w:color w:val="000000" w:themeColor="text1"/>
        </w:rPr>
        <w:t>× 10</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shd w:val="clear" w:color="auto" w:fill="FFFFFF"/>
        </w:rPr>
        <w:t xml:space="preserve">; grade 1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grade 3,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 1.94 </w:t>
      </w:r>
      <w:r>
        <w:rPr>
          <w:rFonts w:ascii="Book Antiqua" w:eastAsia="Book Antiqua" w:hAnsi="Book Antiqua" w:cs="Book Antiqua"/>
          <w:color w:val="000000" w:themeColor="text1"/>
        </w:rPr>
        <w:t>× 10</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shd w:val="clear" w:color="auto" w:fill="FFFFFF"/>
        </w:rPr>
        <w:t xml:space="preserve">; D: Normal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stage,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&lt; 0.05; stage 1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stage 3,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 2.72 </w:t>
      </w:r>
      <w:r>
        <w:rPr>
          <w:rFonts w:ascii="Book Antiqua" w:eastAsia="Book Antiqua" w:hAnsi="Book Antiqua" w:cs="Book Antiqua"/>
          <w:color w:val="000000" w:themeColor="text1"/>
        </w:rPr>
        <w:t>× 10</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shd w:val="clear" w:color="auto" w:fill="FFFFFF"/>
        </w:rPr>
        <w:t xml:space="preserve">; E: Normal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weight,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&lt; 0.05; F: Normal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N</w:t>
      </w:r>
      <w:r>
        <w:rPr>
          <w:rFonts w:ascii="Book Antiqua" w:eastAsia="Book Antiqua" w:hAnsi="Book Antiqua" w:cs="Book Antiqua"/>
          <w:color w:val="000000" w:themeColor="text1"/>
          <w:shd w:val="clear" w:color="auto" w:fill="FFFFFF"/>
          <w:vertAlign w:val="subscript"/>
        </w:rPr>
        <w:t xml:space="preserve"> (0 and 1)</w:t>
      </w:r>
      <w:r>
        <w:rPr>
          <w:rFonts w:ascii="Book Antiqua" w:eastAsia="Book Antiqua" w:hAnsi="Book Antiqua" w:cs="Book Antiqua"/>
          <w:color w:val="000000" w:themeColor="text1"/>
          <w:shd w:val="clear" w:color="auto" w:fill="FFFFFF"/>
        </w:rPr>
        <w:t xml:space="preserve">,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&lt; 0.05; G: Normal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histological; H: Normal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w:t>
      </w:r>
      <w:r>
        <w:rPr>
          <w:rFonts w:ascii="Book Antiqua" w:eastAsia="Book Antiqua" w:hAnsi="Book Antiqua" w:cs="Book Antiqua"/>
          <w:i/>
          <w:iCs/>
          <w:color w:val="000000" w:themeColor="text1"/>
          <w:shd w:val="clear" w:color="auto" w:fill="FFFFFF"/>
        </w:rPr>
        <w:t>TP53</w:t>
      </w:r>
      <w:r>
        <w:rPr>
          <w:rFonts w:ascii="Book Antiqua" w:eastAsia="Book Antiqua" w:hAnsi="Book Antiqua" w:cs="Book Antiqua"/>
          <w:color w:val="000000" w:themeColor="text1"/>
          <w:shd w:val="clear" w:color="auto" w:fill="FFFFFF"/>
        </w:rPr>
        <w:t xml:space="preserve"> mutant,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&lt; 1 </w:t>
      </w:r>
      <w:r>
        <w:rPr>
          <w:rFonts w:ascii="Book Antiqua" w:eastAsia="Book Antiqua" w:hAnsi="Book Antiqua" w:cs="Book Antiqua"/>
          <w:color w:val="000000" w:themeColor="text1"/>
        </w:rPr>
        <w:t>× 10</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shd w:val="clear" w:color="auto" w:fill="FFFFFF"/>
        </w:rPr>
        <w:t xml:space="preserve">; normal </w:t>
      </w:r>
      <w:r>
        <w:rPr>
          <w:rFonts w:ascii="Book Antiqua" w:eastAsia="Book Antiqua" w:hAnsi="Book Antiqua" w:cs="Book Antiqua"/>
          <w:i/>
          <w:iCs/>
          <w:color w:val="000000" w:themeColor="text1"/>
          <w:shd w:val="clear" w:color="auto" w:fill="FFFFFF"/>
        </w:rPr>
        <w:t>vs</w:t>
      </w:r>
      <w:r>
        <w:rPr>
          <w:rFonts w:ascii="Book Antiqua" w:eastAsia="Book Antiqua" w:hAnsi="Book Antiqua" w:cs="Book Antiqua"/>
          <w:color w:val="000000" w:themeColor="text1"/>
          <w:shd w:val="clear" w:color="auto" w:fill="FFFFFF"/>
        </w:rPr>
        <w:t xml:space="preserve"> </w:t>
      </w:r>
      <w:r>
        <w:rPr>
          <w:rFonts w:ascii="Book Antiqua" w:eastAsia="Book Antiqua" w:hAnsi="Book Antiqua" w:cs="Book Antiqua"/>
          <w:i/>
          <w:iCs/>
          <w:color w:val="000000" w:themeColor="text1"/>
          <w:shd w:val="clear" w:color="auto" w:fill="FFFFFF"/>
        </w:rPr>
        <w:t>TP53</w:t>
      </w:r>
      <w:r>
        <w:rPr>
          <w:rFonts w:ascii="Book Antiqua" w:eastAsia="Book Antiqua" w:hAnsi="Book Antiqua" w:cs="Book Antiqua"/>
          <w:color w:val="000000" w:themeColor="text1"/>
          <w:shd w:val="clear" w:color="auto" w:fill="FFFFFF"/>
        </w:rPr>
        <w:t xml:space="preserve"> nonmutant, </w:t>
      </w:r>
      <w:r>
        <w:rPr>
          <w:rFonts w:ascii="Book Antiqua" w:eastAsia="Book Antiqua" w:hAnsi="Book Antiqua" w:cs="Book Antiqua"/>
          <w:i/>
          <w:iCs/>
          <w:color w:val="000000" w:themeColor="text1"/>
          <w:shd w:val="clear" w:color="auto" w:fill="FFFFFF"/>
        </w:rPr>
        <w:t>P</w:t>
      </w:r>
      <w:r>
        <w:rPr>
          <w:rFonts w:ascii="Book Antiqua" w:eastAsia="Book Antiqua" w:hAnsi="Book Antiqua" w:cs="Book Antiqua"/>
          <w:color w:val="000000" w:themeColor="text1"/>
          <w:shd w:val="clear" w:color="auto" w:fill="FFFFFF"/>
        </w:rPr>
        <w:t xml:space="preserve"> = 1.62 </w:t>
      </w:r>
      <w:r>
        <w:rPr>
          <w:rFonts w:ascii="Book Antiqua" w:eastAsia="Book Antiqua" w:hAnsi="Book Antiqua" w:cs="Book Antiqua"/>
          <w:color w:val="000000" w:themeColor="text1"/>
        </w:rPr>
        <w:t>× 10</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shd w:val="clear" w:color="auto" w:fill="FFFFFF"/>
        </w:rPr>
        <w:t xml:space="preserve">. </w:t>
      </w:r>
      <w:r>
        <w:rPr>
          <w:rFonts w:ascii="Book Antiqua" w:eastAsia="Book Antiqua" w:hAnsi="Book Antiqua" w:cs="Book Antiqua"/>
          <w:color w:val="000000" w:themeColor="text1"/>
        </w:rPr>
        <w:t xml:space="preserve">Normal weight: </w:t>
      </w:r>
      <w:bookmarkStart w:id="5" w:name="_Hlk137561019"/>
      <w:r>
        <w:rPr>
          <w:rFonts w:ascii="Book Antiqua" w:hAnsi="Book Antiqua" w:cs="Arial"/>
          <w:color w:val="000000" w:themeColor="text1"/>
          <w:shd w:val="clear" w:color="auto" w:fill="FFFFFF"/>
        </w:rPr>
        <w:t>Body mass index</w:t>
      </w:r>
      <w:bookmarkEnd w:id="5"/>
      <w:r>
        <w:rPr>
          <w:rFonts w:ascii="Book Antiqua" w:eastAsia="Book Antiqua" w:hAnsi="Book Antiqua" w:cs="Book Antiqua"/>
          <w:color w:val="000000" w:themeColor="text1"/>
        </w:rPr>
        <w:t xml:space="preserve"> between 18.5 and 25; Extreme weight: Body mass index between 25 and 30; Obese: Body mass index between 30 and 40; Extreme obese: Body mass index greater than 40.</w:t>
      </w:r>
      <w:r>
        <w:rPr>
          <w:rFonts w:ascii="Book Antiqua" w:hAnsi="Book Antiqua"/>
          <w:color w:val="000000" w:themeColor="text1"/>
        </w:rPr>
        <w:t xml:space="preserve"> </w:t>
      </w:r>
      <w:r>
        <w:rPr>
          <w:rFonts w:ascii="Book Antiqua" w:eastAsia="Book Antiqua" w:hAnsi="Book Antiqua" w:cs="Book Antiqua"/>
          <w:i/>
          <w:iCs/>
          <w:color w:val="000000" w:themeColor="text1"/>
        </w:rPr>
        <w:t xml:space="preserve">BSG: </w:t>
      </w:r>
      <w:proofErr w:type="spellStart"/>
      <w:r>
        <w:rPr>
          <w:rFonts w:ascii="Book Antiqua" w:eastAsia="Book Antiqua" w:hAnsi="Book Antiqua" w:cs="Book Antiqua"/>
          <w:color w:val="000000" w:themeColor="text1"/>
        </w:rPr>
        <w:t>Basigin</w:t>
      </w:r>
      <w:proofErr w:type="spellEnd"/>
      <w:r>
        <w:rPr>
          <w:rFonts w:ascii="Book Antiqua" w:eastAsia="Book Antiqua" w:hAnsi="Book Antiqua" w:cs="Book Antiqua"/>
          <w:color w:val="000000" w:themeColor="text1"/>
        </w:rPr>
        <w:t>; TCGA: The Cancer Genome Atlas.</w:t>
      </w:r>
    </w:p>
    <w:p w14:paraId="2CDA15E1" w14:textId="77777777" w:rsidR="006E364E" w:rsidRDefault="006E364E">
      <w:pPr>
        <w:spacing w:line="360" w:lineRule="auto"/>
        <w:jc w:val="both"/>
        <w:rPr>
          <w:rFonts w:ascii="Book Antiqua" w:hAnsi="Book Antiqua"/>
          <w:color w:val="000000" w:themeColor="text1"/>
        </w:rPr>
      </w:pPr>
    </w:p>
    <w:p w14:paraId="45861222" w14:textId="59CAEE2E" w:rsidR="006E364E" w:rsidRDefault="00451471">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592034C6" wp14:editId="64CCF042">
            <wp:extent cx="5943600" cy="6902450"/>
            <wp:effectExtent l="0" t="0" r="0" b="6350"/>
            <wp:docPr id="611692530" name="图片 5"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92530" name="图片 5" descr="图示, 地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902450"/>
                    </a:xfrm>
                    <a:prstGeom prst="rect">
                      <a:avLst/>
                    </a:prstGeom>
                  </pic:spPr>
                </pic:pic>
              </a:graphicData>
            </a:graphic>
          </wp:inline>
        </w:drawing>
      </w:r>
    </w:p>
    <w:p w14:paraId="43728170" w14:textId="77777777" w:rsidR="006E364E" w:rsidRDefault="00000000">
      <w:pPr>
        <w:spacing w:line="360" w:lineRule="auto"/>
        <w:jc w:val="both"/>
        <w:rPr>
          <w:rFonts w:ascii="Book Antiqua" w:eastAsia="Book Antiqua" w:hAnsi="Book Antiqua" w:cs="Book Antiqua"/>
          <w:color w:val="000000" w:themeColor="text1"/>
        </w:rPr>
      </w:pPr>
      <w:r>
        <w:rPr>
          <w:rFonts w:ascii="Book Antiqua" w:hAnsi="Book Antiqua"/>
          <w:noProof/>
          <w:color w:val="000000" w:themeColor="text1"/>
        </w:rPr>
        <w:drawing>
          <wp:inline distT="0" distB="0" distL="0" distR="0" wp14:anchorId="7844B8D3" wp14:editId="7F737E58">
            <wp:extent cx="4594860" cy="365760"/>
            <wp:effectExtent l="0" t="0" r="0" b="0"/>
            <wp:docPr id="6722800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80008" name="Picture 11"/>
                    <pic:cNvPicPr>
                      <a:picLocks noChangeAspect="1"/>
                    </pic:cNvPicPr>
                  </pic:nvPicPr>
                  <pic:blipFill>
                    <a:blip r:embed="rId7"/>
                    <a:stretch>
                      <a:fillRect/>
                    </a:stretch>
                  </pic:blipFill>
                  <pic:spPr>
                    <a:xfrm>
                      <a:off x="0" y="0"/>
                      <a:ext cx="4595258" cy="365792"/>
                    </a:xfrm>
                    <a:prstGeom prst="rect">
                      <a:avLst/>
                    </a:prstGeom>
                  </pic:spPr>
                </pic:pic>
              </a:graphicData>
            </a:graphic>
          </wp:inline>
        </w:drawing>
      </w:r>
    </w:p>
    <w:p w14:paraId="1ADC6C6C" w14:textId="77777777" w:rsidR="006E364E"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5 Correlation between cluster of differentiation 147 expression and prognosis of hepatocellular carcinoma concerning age, tumor grade, weight, sex, and overall survival obtained from The Cancer Genome Atlas database showed statistically </w:t>
      </w:r>
      <w:r>
        <w:rPr>
          <w:rFonts w:ascii="Book Antiqua" w:eastAsia="Book Antiqua" w:hAnsi="Book Antiqua" w:cs="Book Antiqua"/>
          <w:b/>
          <w:bCs/>
          <w:color w:val="000000" w:themeColor="text1"/>
        </w:rPr>
        <w:lastRenderedPageBreak/>
        <w:t xml:space="preserve">significant differences. </w:t>
      </w:r>
      <w:r>
        <w:rPr>
          <w:rFonts w:ascii="Book Antiqua" w:eastAsia="Book Antiqua" w:hAnsi="Book Antiqua" w:cs="Book Antiqua"/>
          <w:color w:val="000000" w:themeColor="text1"/>
        </w:rPr>
        <w:t xml:space="preserve">A: Tumor grade on Liver Hepatocellular Carcinoma (LIHC), high expression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low expression,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0.065; B: Body weight on LIHC, high expression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low expression,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0.065; C: Race on LIHC, high expression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low expression,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0.0016; D: Sex on LIHC, high expression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low expression,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0.0078; E: Overall survival on LIHC, high expression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low expression,</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0.00046.</w:t>
      </w:r>
      <w:r>
        <w:rPr>
          <w:rFonts w:ascii="Book Antiqua" w:hAnsi="Book Antiqua"/>
          <w:i/>
          <w:iCs/>
          <w:color w:val="000000" w:themeColor="text1"/>
        </w:rPr>
        <w:t xml:space="preserve"> BSG</w:t>
      </w:r>
      <w:r>
        <w:rPr>
          <w:rFonts w:ascii="Book Antiqua" w:hAnsi="Book Antiqua"/>
          <w:color w:val="000000" w:themeColor="text1"/>
        </w:rPr>
        <w:t>:</w:t>
      </w:r>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color w:val="000000" w:themeColor="text1"/>
        </w:rPr>
        <w:t>Basigin</w:t>
      </w:r>
      <w:proofErr w:type="spellEnd"/>
      <w:r>
        <w:rPr>
          <w:rFonts w:ascii="Book Antiqua" w:eastAsia="Book Antiqua" w:hAnsi="Book Antiqua" w:cs="Book Antiqua"/>
          <w:i/>
          <w:iCs/>
          <w:color w:val="000000" w:themeColor="text1"/>
        </w:rPr>
        <w:t xml:space="preserve">; </w:t>
      </w:r>
      <w:r>
        <w:rPr>
          <w:rFonts w:ascii="Book Antiqua" w:hAnsi="Book Antiqua"/>
          <w:color w:val="000000" w:themeColor="text1"/>
        </w:rPr>
        <w:t xml:space="preserve">TCGA: </w:t>
      </w:r>
      <w:r>
        <w:rPr>
          <w:rStyle w:val="tgt"/>
          <w:rFonts w:ascii="Book Antiqua" w:eastAsia="Book Antiqua" w:hAnsi="Book Antiqua" w:cs="Book Antiqua"/>
          <w:color w:val="000000" w:themeColor="text1"/>
        </w:rPr>
        <w:t>The Cancer Genome Atlas.</w:t>
      </w:r>
    </w:p>
    <w:p w14:paraId="153830B2" w14:textId="77777777" w:rsidR="006E364E" w:rsidRDefault="006E364E">
      <w:pPr>
        <w:spacing w:line="360" w:lineRule="auto"/>
        <w:jc w:val="both"/>
        <w:rPr>
          <w:rFonts w:ascii="Book Antiqua" w:hAnsi="Book Antiqua"/>
          <w:color w:val="000000" w:themeColor="text1"/>
        </w:rPr>
      </w:pPr>
    </w:p>
    <w:p w14:paraId="27B0DEC1" w14:textId="3704E463" w:rsidR="006E364E" w:rsidRDefault="00451471">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51BA6B27" wp14:editId="586B467F">
            <wp:extent cx="5943600" cy="6158865"/>
            <wp:effectExtent l="0" t="0" r="0" b="635"/>
            <wp:docPr id="77366533" name="图片 6"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6533" name="图片 6" descr="图形用户界面, 图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158865"/>
                    </a:xfrm>
                    <a:prstGeom prst="rect">
                      <a:avLst/>
                    </a:prstGeom>
                  </pic:spPr>
                </pic:pic>
              </a:graphicData>
            </a:graphic>
          </wp:inline>
        </w:drawing>
      </w:r>
    </w:p>
    <w:p w14:paraId="475E4D88" w14:textId="77777777" w:rsidR="006E364E" w:rsidRDefault="00000000">
      <w:pPr>
        <w:spacing w:line="360" w:lineRule="auto"/>
        <w:jc w:val="both"/>
        <w:rPr>
          <w:rFonts w:ascii="Book Antiqua" w:eastAsia="Book Antiqua" w:hAnsi="Book Antiqua" w:cs="Book Antiqua"/>
          <w:b/>
          <w:bCs/>
          <w:color w:val="000000" w:themeColor="text1"/>
        </w:rPr>
      </w:pPr>
      <w:r>
        <w:rPr>
          <w:rFonts w:ascii="Book Antiqua" w:hAnsi="Book Antiqua"/>
          <w:b/>
          <w:bCs/>
          <w:noProof/>
          <w:color w:val="000000" w:themeColor="text1"/>
        </w:rPr>
        <w:lastRenderedPageBreak/>
        <w:drawing>
          <wp:inline distT="0" distB="0" distL="0" distR="0" wp14:anchorId="7AE343EA" wp14:editId="7BB14F7B">
            <wp:extent cx="4594860" cy="365760"/>
            <wp:effectExtent l="0" t="0" r="0" b="0"/>
            <wp:docPr id="1195547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47519" name="Picture 13"/>
                    <pic:cNvPicPr>
                      <a:picLocks noChangeAspect="1"/>
                    </pic:cNvPicPr>
                  </pic:nvPicPr>
                  <pic:blipFill>
                    <a:blip r:embed="rId7"/>
                    <a:stretch>
                      <a:fillRect/>
                    </a:stretch>
                  </pic:blipFill>
                  <pic:spPr>
                    <a:xfrm>
                      <a:off x="0" y="0"/>
                      <a:ext cx="4595258" cy="365792"/>
                    </a:xfrm>
                    <a:prstGeom prst="rect">
                      <a:avLst/>
                    </a:prstGeom>
                  </pic:spPr>
                </pic:pic>
              </a:graphicData>
            </a:graphic>
          </wp:inline>
        </w:drawing>
      </w:r>
    </w:p>
    <w:p w14:paraId="07D135D3" w14:textId="77777777" w:rsidR="006E364E"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6 Kaplan-Meier </w:t>
      </w:r>
      <w:proofErr w:type="gramStart"/>
      <w:r>
        <w:rPr>
          <w:rFonts w:ascii="Book Antiqua" w:eastAsia="Book Antiqua" w:hAnsi="Book Antiqua" w:cs="Book Antiqua"/>
          <w:b/>
          <w:bCs/>
          <w:color w:val="000000" w:themeColor="text1"/>
        </w:rPr>
        <w:t>curve based</w:t>
      </w:r>
      <w:proofErr w:type="gramEnd"/>
      <w:r>
        <w:rPr>
          <w:rFonts w:ascii="Book Antiqua" w:eastAsia="Book Antiqua" w:hAnsi="Book Antiqua" w:cs="Book Antiqua"/>
          <w:b/>
          <w:bCs/>
          <w:color w:val="000000" w:themeColor="text1"/>
        </w:rPr>
        <w:t xml:space="preserve"> survival analysis in low-expression and high-expression groups of cluster of differentiation 147 conducted by the log-rank test. </w:t>
      </w:r>
      <w:r>
        <w:rPr>
          <w:rFonts w:ascii="Book Antiqua" w:eastAsia="Book Antiqua" w:hAnsi="Book Antiqua" w:cs="Book Antiqua"/>
          <w:color w:val="000000" w:themeColor="text1"/>
        </w:rPr>
        <w:t xml:space="preserve">A: The cluster of differentiation 147 expression, survival time and survival status, and the cluster of differentiation 147 expression heatmap of The Cancer Genome Atlas dataset; B: The high-expression groups demonstrated poor prognosis and </w:t>
      </w:r>
      <w:r>
        <w:rPr>
          <w:rStyle w:val="tgt"/>
          <w:rFonts w:ascii="Book Antiqua" w:eastAsia="Book Antiqua" w:hAnsi="Book Antiqua" w:cs="Book Antiqua"/>
          <w:color w:val="000000" w:themeColor="text1"/>
        </w:rPr>
        <w:t>hazard ratio</w:t>
      </w:r>
      <w:r>
        <w:rPr>
          <w:rFonts w:ascii="Book Antiqua" w:eastAsia="Book Antiqua" w:hAnsi="Book Antiqua" w:cs="Book Antiqua"/>
          <w:color w:val="000000" w:themeColor="text1"/>
        </w:rPr>
        <w:t xml:space="preserve"> &gt; 1 (log-rank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0.000542, HR: 1.856, 95%CI: 1.308</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2.636); C: Based on the </w:t>
      </w:r>
      <w:bookmarkStart w:id="6" w:name="_Hlk11932893"/>
      <w:r>
        <w:rPr>
          <w:rFonts w:ascii="Book Antiqua" w:eastAsia="宋体" w:hAnsi="Book Antiqua"/>
          <w:color w:val="000000" w:themeColor="text1"/>
        </w:rPr>
        <w:t>area under the curve</w:t>
      </w:r>
      <w:bookmarkEnd w:id="6"/>
      <w:r>
        <w:rPr>
          <w:rFonts w:ascii="Book Antiqua" w:eastAsia="Book Antiqua" w:hAnsi="Book Antiqua" w:cs="Book Antiqua"/>
          <w:color w:val="000000" w:themeColor="text1"/>
        </w:rPr>
        <w:t xml:space="preserve"> values obtained from </w:t>
      </w:r>
      <w:r>
        <w:rPr>
          <w:rFonts w:ascii="Book Antiqua" w:eastAsia="Book Antiqua" w:hAnsi="Book Antiqua" w:cs="Book Antiqua"/>
          <w:color w:val="000000" w:themeColor="text1"/>
          <w:shd w:val="clear" w:color="auto" w:fill="FFFFFF"/>
        </w:rPr>
        <w:t>receiver operating characteristic</w:t>
      </w:r>
      <w:r>
        <w:rPr>
          <w:rFonts w:ascii="Book Antiqua" w:eastAsia="Book Antiqua" w:hAnsi="Book Antiqua" w:cs="Book Antiqua"/>
          <w:color w:val="000000" w:themeColor="text1"/>
        </w:rPr>
        <w:t xml:space="preserve"> curves, the 1-year, 3-year, and 5-year survival rates were 0.675 (95%CI: 0.611</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0.740), 0.623 (95%CI: 0.555</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0.692), and 0.664 (95%CI: 0.582</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9.745).</w:t>
      </w:r>
    </w:p>
    <w:p w14:paraId="000A83D9" w14:textId="77777777" w:rsidR="006E364E" w:rsidRDefault="006E364E">
      <w:pPr>
        <w:spacing w:line="360" w:lineRule="auto"/>
        <w:jc w:val="both"/>
        <w:rPr>
          <w:rFonts w:ascii="Book Antiqua" w:hAnsi="Book Antiqua"/>
          <w:color w:val="000000" w:themeColor="text1"/>
        </w:rPr>
      </w:pPr>
    </w:p>
    <w:p w14:paraId="2E70C50B" w14:textId="28C8257F" w:rsidR="006E364E" w:rsidRDefault="00451471">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215337DB" wp14:editId="07C5C116">
            <wp:extent cx="4546600" cy="7505700"/>
            <wp:effectExtent l="0" t="0" r="0" b="0"/>
            <wp:docPr id="10821703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0304" name="图片 10821703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6600" cy="7505700"/>
                    </a:xfrm>
                    <a:prstGeom prst="rect">
                      <a:avLst/>
                    </a:prstGeom>
                  </pic:spPr>
                </pic:pic>
              </a:graphicData>
            </a:graphic>
          </wp:inline>
        </w:drawing>
      </w:r>
    </w:p>
    <w:p w14:paraId="37440D17" w14:textId="77777777" w:rsidR="006E364E" w:rsidRDefault="00000000">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747A5B80" wp14:editId="1515371D">
            <wp:extent cx="4594860" cy="365760"/>
            <wp:effectExtent l="0" t="0" r="0" b="0"/>
            <wp:docPr id="18830259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25923" name="Picture 15"/>
                    <pic:cNvPicPr>
                      <a:picLocks noChangeAspect="1"/>
                    </pic:cNvPicPr>
                  </pic:nvPicPr>
                  <pic:blipFill>
                    <a:blip r:embed="rId7"/>
                    <a:stretch>
                      <a:fillRect/>
                    </a:stretch>
                  </pic:blipFill>
                  <pic:spPr>
                    <a:xfrm>
                      <a:off x="0" y="0"/>
                      <a:ext cx="4595258" cy="365792"/>
                    </a:xfrm>
                    <a:prstGeom prst="rect">
                      <a:avLst/>
                    </a:prstGeom>
                  </pic:spPr>
                </pic:pic>
              </a:graphicData>
            </a:graphic>
          </wp:inline>
        </w:drawing>
      </w:r>
    </w:p>
    <w:p w14:paraId="48B70784" w14:textId="16A41E53" w:rsidR="0046501B"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lastRenderedPageBreak/>
        <w:t xml:space="preserve">Figure 7 Univariate and multivariate Cox analysis of cluster of differentiation 147 expression and age, sex, pathological tumor-node-metastasis-stage, grade, and new hepatocellular carcinoma tumor. </w:t>
      </w:r>
      <w:r>
        <w:rPr>
          <w:rFonts w:ascii="Book Antiqua" w:eastAsia="Book Antiqua" w:hAnsi="Book Antiqua" w:cs="Book Antiqua"/>
          <w:color w:val="000000" w:themeColor="text1"/>
        </w:rPr>
        <w:t>A: Univariate Cox analysis (</w:t>
      </w:r>
      <w:proofErr w:type="spellStart"/>
      <w:r>
        <w:rPr>
          <w:rFonts w:ascii="Book Antiqua" w:eastAsia="Book Antiqua" w:hAnsi="Book Antiqua" w:cs="Book Antiqua"/>
          <w:color w:val="000000" w:themeColor="text1"/>
        </w:rPr>
        <w:t>Uni_cox</w:t>
      </w:r>
      <w:proofErr w:type="spellEnd"/>
      <w:r>
        <w:rPr>
          <w:rFonts w:ascii="Book Antiqua" w:eastAsia="Book Antiqua" w:hAnsi="Book Antiqua" w:cs="Book Antiqua"/>
          <w:color w:val="000000" w:themeColor="text1"/>
        </w:rPr>
        <w:t>). The expression of cluster of differentiation 147 (CD147) and pathological tumor-node-metastasis (</w:t>
      </w:r>
      <w:proofErr w:type="spellStart"/>
      <w:r>
        <w:rPr>
          <w:rFonts w:ascii="Book Antiqua" w:eastAsia="Book Antiqua" w:hAnsi="Book Antiqua" w:cs="Book Antiqua"/>
          <w:color w:val="000000" w:themeColor="text1"/>
        </w:rPr>
        <w:t>pTNM</w:t>
      </w:r>
      <w:proofErr w:type="spellEnd"/>
      <w:r>
        <w:rPr>
          <w:rFonts w:ascii="Book Antiqua" w:eastAsia="Book Antiqua" w:hAnsi="Book Antiqua" w:cs="Book Antiqua"/>
          <w:color w:val="000000" w:themeColor="text1"/>
        </w:rPr>
        <w:t>)-stage had significant differences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0.00013, hazard ratio (HR): 1.424, 95% confidence interval (CI): 1.884</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1.707 and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0.00066, HR = 1.376, 95%CI: 1.145</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1.654, respectively]; B: Multivariate Cox analysis (</w:t>
      </w:r>
      <w:proofErr w:type="spellStart"/>
      <w:r>
        <w:rPr>
          <w:rFonts w:ascii="Book Antiqua" w:eastAsia="Book Antiqua" w:hAnsi="Book Antiqua" w:cs="Book Antiqua"/>
          <w:color w:val="000000" w:themeColor="text1"/>
        </w:rPr>
        <w:t>Mult_cox</w:t>
      </w:r>
      <w:proofErr w:type="spellEnd"/>
      <w:r>
        <w:rPr>
          <w:rFonts w:ascii="Book Antiqua" w:eastAsia="Book Antiqua" w:hAnsi="Book Antiqua" w:cs="Book Antiqua"/>
          <w:color w:val="000000" w:themeColor="text1"/>
        </w:rPr>
        <w:t xml:space="preserve">). The expression of CD147 and </w:t>
      </w:r>
      <w:proofErr w:type="spellStart"/>
      <w:r>
        <w:rPr>
          <w:rFonts w:ascii="Book Antiqua" w:eastAsia="Book Antiqua" w:hAnsi="Book Antiqua" w:cs="Book Antiqua"/>
          <w:color w:val="000000" w:themeColor="text1"/>
        </w:rPr>
        <w:t>pTNM</w:t>
      </w:r>
      <w:proofErr w:type="spellEnd"/>
      <w:r>
        <w:rPr>
          <w:rFonts w:ascii="Book Antiqua" w:eastAsia="Book Antiqua" w:hAnsi="Book Antiqua" w:cs="Book Antiqua"/>
          <w:color w:val="000000" w:themeColor="text1"/>
        </w:rPr>
        <w:t>-stage had significant differences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0.00578, HR: 1.507, 95%CI: 1.126</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2.018 and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0.00336, HR: 1.443, 95%CI: 1.129</w:t>
      </w:r>
      <w:r>
        <w:rPr>
          <w:rFonts w:ascii="Book Antiqua" w:eastAsia="宋体" w:hAnsi="Book Antiqua" w:cs="Book Antiqua" w:hint="eastAsia"/>
          <w:color w:val="000000" w:themeColor="text1"/>
          <w:lang w:eastAsia="zh-CN"/>
        </w:rPr>
        <w:t xml:space="preserve"> to</w:t>
      </w:r>
      <w:r>
        <w:rPr>
          <w:rFonts w:ascii="Book Antiqua" w:eastAsia="Book Antiqua" w:hAnsi="Book Antiqua" w:cs="Book Antiqua"/>
          <w:color w:val="000000" w:themeColor="text1"/>
        </w:rPr>
        <w:t xml:space="preserve"> 1.844, respectively); C: Accordingly, the factors of CD147 expression and </w:t>
      </w:r>
      <w:proofErr w:type="spellStart"/>
      <w:r>
        <w:rPr>
          <w:rFonts w:ascii="Book Antiqua" w:eastAsia="Book Antiqua" w:hAnsi="Book Antiqua" w:cs="Book Antiqua"/>
          <w:color w:val="000000" w:themeColor="text1"/>
        </w:rPr>
        <w:t>pTNM</w:t>
      </w:r>
      <w:proofErr w:type="spellEnd"/>
      <w:r>
        <w:rPr>
          <w:rFonts w:ascii="Book Antiqua" w:eastAsia="Book Antiqua" w:hAnsi="Book Antiqua" w:cs="Book Antiqua"/>
          <w:color w:val="000000" w:themeColor="text1"/>
        </w:rPr>
        <w:t>-stage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were selected to establish a prognostic nomogram for hepatocellular carcinoma. The total points ranged from 0 to 180, and the C-index value was 0.673 (95%CI: 0.600</w:t>
      </w:r>
      <w:r>
        <w:rPr>
          <w:rFonts w:ascii="Book Antiqua" w:eastAsia="宋体" w:hAnsi="Book Antiqua" w:cs="Book Antiqua" w:hint="eastAsia"/>
          <w:color w:val="000000" w:themeColor="text1"/>
          <w:lang w:eastAsia="zh-CN"/>
        </w:rPr>
        <w:t xml:space="preserve"> to </w:t>
      </w:r>
      <w:r>
        <w:rPr>
          <w:rFonts w:ascii="Book Antiqua" w:eastAsia="Book Antiqua" w:hAnsi="Book Antiqua" w:cs="Book Antiqua"/>
          <w:color w:val="000000" w:themeColor="text1"/>
        </w:rPr>
        <w:t xml:space="preserve">1.000,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w:t>
      </w:r>
      <w:r>
        <w:rPr>
          <w:rFonts w:ascii="Book Antiqua" w:hAnsi="Book Antiqua"/>
          <w:color w:val="000000" w:themeColor="text1"/>
        </w:rPr>
        <w:t xml:space="preserve"> </w:t>
      </w:r>
      <w:r>
        <w:rPr>
          <w:rFonts w:ascii="Book Antiqua" w:eastAsia="Book Antiqua" w:hAnsi="Book Antiqua" w:cs="Book Antiqua"/>
          <w:i/>
          <w:iCs/>
          <w:color w:val="000000" w:themeColor="text1"/>
        </w:rPr>
        <w:t xml:space="preserve">BSG: </w:t>
      </w:r>
      <w:proofErr w:type="spellStart"/>
      <w:r>
        <w:rPr>
          <w:rFonts w:ascii="Book Antiqua" w:eastAsia="Book Antiqua" w:hAnsi="Book Antiqua" w:cs="Book Antiqua"/>
          <w:color w:val="000000" w:themeColor="text1"/>
        </w:rPr>
        <w:t>Basigin</w:t>
      </w:r>
      <w:proofErr w:type="spellEnd"/>
      <w:r>
        <w:rPr>
          <w:rFonts w:ascii="Book Antiqua" w:eastAsia="Book Antiqua" w:hAnsi="Book Antiqua" w:cs="Book Antiqua"/>
          <w:color w:val="000000" w:themeColor="text1"/>
        </w:rPr>
        <w:t>.</w:t>
      </w:r>
    </w:p>
    <w:p w14:paraId="312C0F2D" w14:textId="77777777" w:rsidR="0046501B" w:rsidRDefault="0046501B">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3A11D12C" w14:textId="77777777" w:rsidR="0046501B" w:rsidRDefault="0046501B" w:rsidP="0046501B">
      <w:pPr>
        <w:snapToGrid w:val="0"/>
        <w:ind w:leftChars="100" w:left="240"/>
        <w:jc w:val="center"/>
        <w:rPr>
          <w:rFonts w:ascii="Book Antiqua" w:hAnsi="Book Antiqua"/>
        </w:rPr>
      </w:pPr>
    </w:p>
    <w:p w14:paraId="58925DFF" w14:textId="77777777" w:rsidR="0046501B" w:rsidRDefault="0046501B" w:rsidP="0046501B">
      <w:pPr>
        <w:snapToGrid w:val="0"/>
        <w:ind w:leftChars="100" w:left="240"/>
        <w:jc w:val="center"/>
        <w:rPr>
          <w:rFonts w:ascii="Book Antiqua" w:hAnsi="Book Antiqua"/>
        </w:rPr>
      </w:pPr>
    </w:p>
    <w:p w14:paraId="022CF7C0" w14:textId="77777777" w:rsidR="0046501B" w:rsidRDefault="0046501B" w:rsidP="0046501B">
      <w:pPr>
        <w:snapToGrid w:val="0"/>
        <w:ind w:leftChars="100" w:left="240"/>
        <w:jc w:val="center"/>
        <w:rPr>
          <w:rFonts w:ascii="Book Antiqua" w:hAnsi="Book Antiqua"/>
        </w:rPr>
      </w:pPr>
    </w:p>
    <w:p w14:paraId="12293ABF" w14:textId="77777777" w:rsidR="0046501B" w:rsidRDefault="0046501B" w:rsidP="0046501B">
      <w:pPr>
        <w:snapToGrid w:val="0"/>
        <w:ind w:leftChars="100" w:left="240"/>
        <w:jc w:val="center"/>
        <w:rPr>
          <w:rFonts w:ascii="Book Antiqua" w:hAnsi="Book Antiqua"/>
        </w:rPr>
      </w:pPr>
    </w:p>
    <w:p w14:paraId="52BF7B7E" w14:textId="77777777" w:rsidR="0046501B" w:rsidRDefault="0046501B" w:rsidP="0046501B">
      <w:pPr>
        <w:snapToGrid w:val="0"/>
        <w:ind w:leftChars="100" w:left="240"/>
        <w:jc w:val="center"/>
        <w:rPr>
          <w:rFonts w:ascii="Book Antiqua" w:hAnsi="Book Antiqua"/>
        </w:rPr>
      </w:pPr>
      <w:r>
        <w:rPr>
          <w:rFonts w:ascii="Book Antiqua" w:hAnsi="Book Antiqua"/>
          <w:noProof/>
        </w:rPr>
        <w:drawing>
          <wp:inline distT="0" distB="0" distL="0" distR="0" wp14:anchorId="53CD629D" wp14:editId="094D152D">
            <wp:extent cx="2499360" cy="1440180"/>
            <wp:effectExtent l="0" t="0" r="0" b="7620"/>
            <wp:docPr id="1323200034" name="图片 132320003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6F173E8" w14:textId="77777777" w:rsidR="0046501B" w:rsidRDefault="0046501B" w:rsidP="0046501B">
      <w:pPr>
        <w:snapToGrid w:val="0"/>
        <w:ind w:leftChars="100" w:left="240"/>
        <w:jc w:val="center"/>
        <w:rPr>
          <w:rFonts w:ascii="Book Antiqua" w:hAnsi="Book Antiqua"/>
        </w:rPr>
      </w:pPr>
    </w:p>
    <w:p w14:paraId="47F84AAC" w14:textId="77777777" w:rsidR="0046501B" w:rsidRDefault="0046501B" w:rsidP="0046501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B557597" w14:textId="77777777" w:rsidR="0046501B" w:rsidRDefault="0046501B" w:rsidP="004650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8CD1CF" w14:textId="77777777" w:rsidR="0046501B" w:rsidRDefault="0046501B" w:rsidP="004650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59D5A2" w14:textId="77777777" w:rsidR="0046501B" w:rsidRDefault="0046501B" w:rsidP="004650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A655CC0" w14:textId="77777777" w:rsidR="0046501B" w:rsidRDefault="0046501B" w:rsidP="004650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2DA414BB" w14:textId="77777777" w:rsidR="0046501B" w:rsidRDefault="0046501B" w:rsidP="0046501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ABC21C1" w14:textId="77777777" w:rsidR="0046501B" w:rsidRDefault="0046501B" w:rsidP="0046501B">
      <w:pPr>
        <w:snapToGrid w:val="0"/>
        <w:ind w:leftChars="100" w:left="240"/>
        <w:jc w:val="center"/>
        <w:rPr>
          <w:rFonts w:ascii="Book Antiqua" w:hAnsi="Book Antiqua"/>
        </w:rPr>
      </w:pPr>
    </w:p>
    <w:p w14:paraId="6E679817" w14:textId="77777777" w:rsidR="0046501B" w:rsidRDefault="0046501B" w:rsidP="0046501B">
      <w:pPr>
        <w:snapToGrid w:val="0"/>
        <w:ind w:leftChars="100" w:left="240"/>
        <w:jc w:val="center"/>
        <w:rPr>
          <w:rFonts w:ascii="Book Antiqua" w:hAnsi="Book Antiqua"/>
        </w:rPr>
      </w:pPr>
    </w:p>
    <w:p w14:paraId="1742A64A" w14:textId="77777777" w:rsidR="0046501B" w:rsidRDefault="0046501B" w:rsidP="0046501B">
      <w:pPr>
        <w:snapToGrid w:val="0"/>
        <w:ind w:leftChars="100" w:left="240"/>
        <w:jc w:val="center"/>
        <w:rPr>
          <w:rFonts w:ascii="Book Antiqua" w:hAnsi="Book Antiqua"/>
        </w:rPr>
      </w:pPr>
    </w:p>
    <w:p w14:paraId="72F228FD" w14:textId="77777777" w:rsidR="0046501B" w:rsidRDefault="0046501B" w:rsidP="0046501B">
      <w:pPr>
        <w:snapToGrid w:val="0"/>
        <w:ind w:leftChars="100" w:left="240"/>
        <w:jc w:val="center"/>
        <w:rPr>
          <w:rFonts w:ascii="Book Antiqua" w:hAnsi="Book Antiqua"/>
        </w:rPr>
      </w:pPr>
      <w:r>
        <w:rPr>
          <w:rFonts w:ascii="Book Antiqua" w:hAnsi="Book Antiqua"/>
          <w:noProof/>
        </w:rPr>
        <w:drawing>
          <wp:inline distT="0" distB="0" distL="0" distR="0" wp14:anchorId="6D3227A7" wp14:editId="3828165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F1B7662" w14:textId="77777777" w:rsidR="0046501B" w:rsidRDefault="0046501B" w:rsidP="0046501B">
      <w:pPr>
        <w:snapToGrid w:val="0"/>
        <w:ind w:leftChars="100" w:left="240"/>
        <w:jc w:val="center"/>
        <w:rPr>
          <w:rFonts w:ascii="Book Antiqua" w:hAnsi="Book Antiqua"/>
        </w:rPr>
      </w:pPr>
    </w:p>
    <w:p w14:paraId="6B996CD5" w14:textId="77777777" w:rsidR="0046501B" w:rsidRDefault="0046501B" w:rsidP="0046501B">
      <w:pPr>
        <w:snapToGrid w:val="0"/>
        <w:ind w:leftChars="100" w:left="240"/>
        <w:jc w:val="center"/>
        <w:rPr>
          <w:rFonts w:ascii="Book Antiqua" w:hAnsi="Book Antiqua"/>
        </w:rPr>
      </w:pPr>
    </w:p>
    <w:p w14:paraId="77F12268" w14:textId="77777777" w:rsidR="0046501B" w:rsidRDefault="0046501B" w:rsidP="0046501B">
      <w:pPr>
        <w:snapToGrid w:val="0"/>
        <w:ind w:leftChars="100" w:left="240"/>
        <w:jc w:val="center"/>
        <w:rPr>
          <w:rFonts w:ascii="Book Antiqua" w:hAnsi="Book Antiqua"/>
        </w:rPr>
      </w:pPr>
    </w:p>
    <w:p w14:paraId="78C1F9B9" w14:textId="77777777" w:rsidR="0046501B" w:rsidRDefault="0046501B" w:rsidP="0046501B">
      <w:pPr>
        <w:snapToGrid w:val="0"/>
        <w:ind w:leftChars="100" w:left="240"/>
        <w:jc w:val="center"/>
        <w:rPr>
          <w:rFonts w:ascii="Book Antiqua" w:hAnsi="Book Antiqua"/>
        </w:rPr>
      </w:pPr>
    </w:p>
    <w:p w14:paraId="4496177B" w14:textId="77777777" w:rsidR="0046501B" w:rsidRDefault="0046501B" w:rsidP="0046501B">
      <w:pPr>
        <w:snapToGrid w:val="0"/>
        <w:ind w:leftChars="100" w:left="240"/>
        <w:jc w:val="center"/>
        <w:rPr>
          <w:rFonts w:ascii="Book Antiqua" w:hAnsi="Book Antiqua"/>
        </w:rPr>
      </w:pPr>
    </w:p>
    <w:p w14:paraId="4D0FAB77" w14:textId="77777777" w:rsidR="0046501B" w:rsidRDefault="0046501B" w:rsidP="0046501B">
      <w:pPr>
        <w:snapToGrid w:val="0"/>
        <w:ind w:leftChars="100" w:left="240"/>
        <w:jc w:val="center"/>
        <w:rPr>
          <w:rFonts w:ascii="Book Antiqua" w:hAnsi="Book Antiqua"/>
        </w:rPr>
      </w:pPr>
    </w:p>
    <w:p w14:paraId="6D31CFA4" w14:textId="77777777" w:rsidR="0046501B" w:rsidRDefault="0046501B" w:rsidP="0046501B">
      <w:pPr>
        <w:snapToGrid w:val="0"/>
        <w:ind w:leftChars="100" w:left="240"/>
        <w:jc w:val="center"/>
        <w:rPr>
          <w:rFonts w:ascii="Book Antiqua" w:hAnsi="Book Antiqua"/>
        </w:rPr>
      </w:pPr>
    </w:p>
    <w:p w14:paraId="2AF7B77F" w14:textId="77777777" w:rsidR="0046501B" w:rsidRDefault="0046501B" w:rsidP="0046501B">
      <w:pPr>
        <w:snapToGrid w:val="0"/>
        <w:ind w:leftChars="100" w:left="240"/>
        <w:jc w:val="center"/>
        <w:rPr>
          <w:rFonts w:ascii="Book Antiqua" w:hAnsi="Book Antiqua"/>
        </w:rPr>
      </w:pPr>
    </w:p>
    <w:p w14:paraId="7C4752C8" w14:textId="77777777" w:rsidR="0046501B" w:rsidRDefault="0046501B" w:rsidP="0046501B">
      <w:pPr>
        <w:snapToGrid w:val="0"/>
        <w:ind w:leftChars="100" w:left="240"/>
        <w:jc w:val="center"/>
        <w:rPr>
          <w:rFonts w:ascii="Book Antiqua" w:hAnsi="Book Antiqua"/>
        </w:rPr>
      </w:pPr>
    </w:p>
    <w:p w14:paraId="573FC614" w14:textId="77777777" w:rsidR="0046501B" w:rsidRDefault="0046501B" w:rsidP="0046501B">
      <w:pPr>
        <w:snapToGrid w:val="0"/>
        <w:ind w:leftChars="100" w:left="240"/>
        <w:jc w:val="right"/>
        <w:rPr>
          <w:rFonts w:ascii="Book Antiqua" w:hAnsi="Book Antiqua"/>
          <w:color w:val="000000" w:themeColor="text1"/>
        </w:rPr>
      </w:pPr>
    </w:p>
    <w:p w14:paraId="449EDE08" w14:textId="77777777" w:rsidR="0046501B" w:rsidRDefault="0046501B" w:rsidP="0046501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DB8C0E9" w14:textId="77777777" w:rsidR="0046501B" w:rsidRDefault="0046501B" w:rsidP="0046501B">
      <w:pPr>
        <w:rPr>
          <w:rFonts w:ascii="Book Antiqua" w:hAnsi="Book Antiqua" w:cs="Book Antiqua"/>
          <w:b/>
          <w:bCs/>
          <w:color w:val="000000"/>
        </w:rPr>
      </w:pPr>
    </w:p>
    <w:p w14:paraId="6ECF029C" w14:textId="77777777" w:rsidR="006E364E" w:rsidRPr="0046501B" w:rsidRDefault="006E364E">
      <w:pPr>
        <w:spacing w:line="360" w:lineRule="auto"/>
        <w:jc w:val="both"/>
        <w:rPr>
          <w:rFonts w:ascii="Book Antiqua" w:hAnsi="Book Antiqua"/>
          <w:color w:val="000000" w:themeColor="text1"/>
          <w:lang w:eastAsia="zh-CN"/>
        </w:rPr>
      </w:pPr>
    </w:p>
    <w:sectPr w:rsidR="006E364E" w:rsidRPr="0046501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F89A1" w14:textId="77777777" w:rsidR="00012E80" w:rsidRDefault="00012E80">
      <w:r>
        <w:separator/>
      </w:r>
    </w:p>
  </w:endnote>
  <w:endnote w:type="continuationSeparator" w:id="0">
    <w:p w14:paraId="23F32753" w14:textId="77777777" w:rsidR="00012E80" w:rsidRDefault="00012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703314345"/>
    </w:sdtPr>
    <w:sdtContent>
      <w:sdt>
        <w:sdtPr>
          <w:rPr>
            <w:rFonts w:ascii="Book Antiqua" w:hAnsi="Book Antiqua"/>
            <w:sz w:val="24"/>
            <w:szCs w:val="24"/>
          </w:rPr>
          <w:id w:val="2110853613"/>
        </w:sdtPr>
        <w:sdtContent>
          <w:p w14:paraId="1349F35D" w14:textId="77777777" w:rsidR="006E364E" w:rsidRDefault="00000000">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7C527" w14:textId="77777777" w:rsidR="00012E80" w:rsidRDefault="00012E80">
      <w:r>
        <w:separator/>
      </w:r>
    </w:p>
  </w:footnote>
  <w:footnote w:type="continuationSeparator" w:id="0">
    <w:p w14:paraId="6320160B" w14:textId="77777777" w:rsidR="00012E80" w:rsidRDefault="00012E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IwMTE0NTMyNmRiYjMzNjAwNmQ3OTY2YTQxY2IwMzYifQ=="/>
  </w:docVars>
  <w:rsids>
    <w:rsidRoot w:val="00A77B3E"/>
    <w:rsid w:val="00000864"/>
    <w:rsid w:val="00005D7D"/>
    <w:rsid w:val="00012E80"/>
    <w:rsid w:val="00036DC8"/>
    <w:rsid w:val="000445B8"/>
    <w:rsid w:val="000556CC"/>
    <w:rsid w:val="00055FE9"/>
    <w:rsid w:val="00060340"/>
    <w:rsid w:val="00073CD3"/>
    <w:rsid w:val="00075BF7"/>
    <w:rsid w:val="000B2A2B"/>
    <w:rsid w:val="000D0521"/>
    <w:rsid w:val="000E61B4"/>
    <w:rsid w:val="000E7338"/>
    <w:rsid w:val="001264B0"/>
    <w:rsid w:val="00157D74"/>
    <w:rsid w:val="00160D7C"/>
    <w:rsid w:val="00173620"/>
    <w:rsid w:val="001D0EB9"/>
    <w:rsid w:val="001D3170"/>
    <w:rsid w:val="001E5AD8"/>
    <w:rsid w:val="001E71F7"/>
    <w:rsid w:val="0021728B"/>
    <w:rsid w:val="002204AE"/>
    <w:rsid w:val="00270DBB"/>
    <w:rsid w:val="00296137"/>
    <w:rsid w:val="00342DD3"/>
    <w:rsid w:val="0035641D"/>
    <w:rsid w:val="00391460"/>
    <w:rsid w:val="003B4BCA"/>
    <w:rsid w:val="003C0B78"/>
    <w:rsid w:val="003F7482"/>
    <w:rsid w:val="0044324C"/>
    <w:rsid w:val="00451471"/>
    <w:rsid w:val="004517E7"/>
    <w:rsid w:val="0046501B"/>
    <w:rsid w:val="00481584"/>
    <w:rsid w:val="004A577F"/>
    <w:rsid w:val="004C579B"/>
    <w:rsid w:val="004E2C1B"/>
    <w:rsid w:val="00523249"/>
    <w:rsid w:val="0052370C"/>
    <w:rsid w:val="005301A9"/>
    <w:rsid w:val="0054164D"/>
    <w:rsid w:val="0057144A"/>
    <w:rsid w:val="00575999"/>
    <w:rsid w:val="00585066"/>
    <w:rsid w:val="00591EA6"/>
    <w:rsid w:val="005C0C54"/>
    <w:rsid w:val="005C7684"/>
    <w:rsid w:val="005F0402"/>
    <w:rsid w:val="005F5BC4"/>
    <w:rsid w:val="005F6628"/>
    <w:rsid w:val="006053D0"/>
    <w:rsid w:val="006468B3"/>
    <w:rsid w:val="00650248"/>
    <w:rsid w:val="00660D25"/>
    <w:rsid w:val="0069135D"/>
    <w:rsid w:val="00692065"/>
    <w:rsid w:val="006A14A4"/>
    <w:rsid w:val="006C5E98"/>
    <w:rsid w:val="006E12C7"/>
    <w:rsid w:val="006E27E1"/>
    <w:rsid w:val="006E364E"/>
    <w:rsid w:val="006F0BFC"/>
    <w:rsid w:val="006F47AE"/>
    <w:rsid w:val="00722088"/>
    <w:rsid w:val="00736B81"/>
    <w:rsid w:val="00741F80"/>
    <w:rsid w:val="00767196"/>
    <w:rsid w:val="00773400"/>
    <w:rsid w:val="0078384E"/>
    <w:rsid w:val="00787E0E"/>
    <w:rsid w:val="007B1376"/>
    <w:rsid w:val="007D0C0F"/>
    <w:rsid w:val="007D3F86"/>
    <w:rsid w:val="007E51EC"/>
    <w:rsid w:val="00814552"/>
    <w:rsid w:val="00831AD2"/>
    <w:rsid w:val="00875288"/>
    <w:rsid w:val="00884AFC"/>
    <w:rsid w:val="008B09C2"/>
    <w:rsid w:val="008D3584"/>
    <w:rsid w:val="008E0857"/>
    <w:rsid w:val="008E2044"/>
    <w:rsid w:val="008F15F3"/>
    <w:rsid w:val="008F384A"/>
    <w:rsid w:val="00937E93"/>
    <w:rsid w:val="00945B23"/>
    <w:rsid w:val="009B6825"/>
    <w:rsid w:val="009F1399"/>
    <w:rsid w:val="009F783B"/>
    <w:rsid w:val="00A13080"/>
    <w:rsid w:val="00A42326"/>
    <w:rsid w:val="00A50309"/>
    <w:rsid w:val="00A55BF9"/>
    <w:rsid w:val="00A74012"/>
    <w:rsid w:val="00A77B3E"/>
    <w:rsid w:val="00A95B1D"/>
    <w:rsid w:val="00AA326A"/>
    <w:rsid w:val="00AA66F7"/>
    <w:rsid w:val="00AA7CF2"/>
    <w:rsid w:val="00AC0AA5"/>
    <w:rsid w:val="00AD190D"/>
    <w:rsid w:val="00AD687B"/>
    <w:rsid w:val="00AE12D1"/>
    <w:rsid w:val="00B00BF2"/>
    <w:rsid w:val="00B2385F"/>
    <w:rsid w:val="00B33794"/>
    <w:rsid w:val="00B44C4E"/>
    <w:rsid w:val="00B55D82"/>
    <w:rsid w:val="00B635AF"/>
    <w:rsid w:val="00BB338A"/>
    <w:rsid w:val="00BE0F73"/>
    <w:rsid w:val="00C07684"/>
    <w:rsid w:val="00C11EF8"/>
    <w:rsid w:val="00C272B9"/>
    <w:rsid w:val="00C47F58"/>
    <w:rsid w:val="00C56CC6"/>
    <w:rsid w:val="00C81FB5"/>
    <w:rsid w:val="00C9023E"/>
    <w:rsid w:val="00C93ED7"/>
    <w:rsid w:val="00CA2A55"/>
    <w:rsid w:val="00CA7481"/>
    <w:rsid w:val="00CE5A2D"/>
    <w:rsid w:val="00CF5D38"/>
    <w:rsid w:val="00D300B8"/>
    <w:rsid w:val="00D331D2"/>
    <w:rsid w:val="00D4510C"/>
    <w:rsid w:val="00D63C3C"/>
    <w:rsid w:val="00D72A10"/>
    <w:rsid w:val="00D77202"/>
    <w:rsid w:val="00D8070F"/>
    <w:rsid w:val="00D915E0"/>
    <w:rsid w:val="00DB4B2F"/>
    <w:rsid w:val="00DE4EFB"/>
    <w:rsid w:val="00DE7A1E"/>
    <w:rsid w:val="00DF05F9"/>
    <w:rsid w:val="00DF29FD"/>
    <w:rsid w:val="00E012AD"/>
    <w:rsid w:val="00E15257"/>
    <w:rsid w:val="00E35205"/>
    <w:rsid w:val="00E708C8"/>
    <w:rsid w:val="00E83B9E"/>
    <w:rsid w:val="00E87268"/>
    <w:rsid w:val="00E8797B"/>
    <w:rsid w:val="00EB4D68"/>
    <w:rsid w:val="00EB73FB"/>
    <w:rsid w:val="00EB7AFF"/>
    <w:rsid w:val="00EC6302"/>
    <w:rsid w:val="00EC6788"/>
    <w:rsid w:val="00ED5E8B"/>
    <w:rsid w:val="00EE2DCD"/>
    <w:rsid w:val="00EF04C5"/>
    <w:rsid w:val="00EF17F8"/>
    <w:rsid w:val="00EF5BC7"/>
    <w:rsid w:val="00F13E05"/>
    <w:rsid w:val="00F13E91"/>
    <w:rsid w:val="00F13FEF"/>
    <w:rsid w:val="00F20E9B"/>
    <w:rsid w:val="00F256AF"/>
    <w:rsid w:val="00F6377A"/>
    <w:rsid w:val="00F94B8A"/>
    <w:rsid w:val="00FA1784"/>
    <w:rsid w:val="00FA1FEB"/>
    <w:rsid w:val="00FB03DF"/>
    <w:rsid w:val="00FB37D6"/>
    <w:rsid w:val="00FC1081"/>
    <w:rsid w:val="00FD2784"/>
    <w:rsid w:val="00FE2F41"/>
    <w:rsid w:val="1D326C7A"/>
    <w:rsid w:val="1E3817E4"/>
    <w:rsid w:val="1F1D243C"/>
    <w:rsid w:val="45FC5E74"/>
    <w:rsid w:val="51F21D38"/>
    <w:rsid w:val="530366E2"/>
    <w:rsid w:val="60C76256"/>
    <w:rsid w:val="6AF86404"/>
    <w:rsid w:val="79A65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6C1059"/>
  <w15:docId w15:val="{D40AEC9B-8CA9-7244-8411-63F62BC2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2">
    <w:name w:val="2"/>
    <w:basedOn w:val="a0"/>
    <w:qFormat/>
  </w:style>
  <w:style w:type="character" w:customStyle="1" w:styleId="tgt">
    <w:name w:val="tgt"/>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sz w:val="24"/>
      <w:szCs w:val="24"/>
      <w:lang w:eastAsia="en-US"/>
    </w:rPr>
  </w:style>
  <w:style w:type="paragraph" w:styleId="ac">
    <w:name w:val="Revision"/>
    <w:hidden/>
    <w:uiPriority w:val="99"/>
    <w:unhideWhenUsed/>
    <w:rsid w:val="0046501B"/>
    <w:rPr>
      <w:sz w:val="24"/>
      <w:szCs w:val="24"/>
      <w:lang w:eastAsia="en-US"/>
    </w:rPr>
  </w:style>
  <w:style w:type="character" w:styleId="ad">
    <w:name w:val="Hyperlink"/>
    <w:basedOn w:val="a0"/>
    <w:rsid w:val="0046501B"/>
    <w:rPr>
      <w:color w:val="0000FF" w:themeColor="hyperlink"/>
      <w:u w:val="single"/>
    </w:rPr>
  </w:style>
  <w:style w:type="character" w:styleId="ae">
    <w:name w:val="Unresolved Mention"/>
    <w:basedOn w:val="a0"/>
    <w:uiPriority w:val="99"/>
    <w:semiHidden/>
    <w:unhideWhenUsed/>
    <w:rsid w:val="004650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26</Pages>
  <Words>5186</Words>
  <Characters>29562</Characters>
  <Application>Microsoft Office Word</Application>
  <DocSecurity>0</DocSecurity>
  <Lines>246</Lines>
  <Paragraphs>69</Paragraphs>
  <ScaleCrop>false</ScaleCrop>
  <Company/>
  <LinksUpToDate>false</LinksUpToDate>
  <CharactersWithSpaces>34679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徐紫航</dc:creator>
  <cp:lastModifiedBy>M18955</cp:lastModifiedBy>
  <cp:revision>10</cp:revision>
  <dcterms:created xsi:type="dcterms:W3CDTF">2023-07-05T23:28:00Z</dcterms:created>
  <dcterms:modified xsi:type="dcterms:W3CDTF">2023-08-04T09:35:00Z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3397051fa16f54cdf56e77868f0b6ae1effb7016207dfb9bb118fa69b5e6b27e</vt:lpwstr>
  </property>
  <property fmtid="{D5CDD505-2E9C-101B-9397-08002B2CF9AE}" pid="3" name="KSOProductBuildVer">
    <vt:lpwstr>2052-11.1.0.14309</vt:lpwstr>
  </property>
  <property fmtid="{D5CDD505-2E9C-101B-9397-08002B2CF9AE}" pid="4" name="ICV">
    <vt:lpwstr>102CF567BEFE4F1CAD1281C7378EA1C0_13</vt:lpwstr>
  </property>
</Properties>
</file>