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7FB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46CDF6D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85344</w:t>
      </w:r>
    </w:p>
    <w:p w14:paraId="66842C2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79F23B7" w14:textId="77777777" w:rsidR="003D6C41" w:rsidRDefault="003D6C41">
      <w:pPr>
        <w:adjustRightInd w:val="0"/>
        <w:snapToGrid w:val="0"/>
        <w:spacing w:line="360" w:lineRule="auto"/>
        <w:jc w:val="both"/>
        <w:rPr>
          <w:rFonts w:ascii="Book Antiqua" w:hAnsi="Book Antiqua" w:cs="Book Antiqua"/>
        </w:rPr>
      </w:pPr>
    </w:p>
    <w:p w14:paraId="2F2A293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7F7C78B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Pomolic acid and its glucopyranose ester promote apoptosis through autophagy in HT</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29 colon cancer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cells</w:t>
      </w:r>
    </w:p>
    <w:p w14:paraId="6531400E" w14:textId="77777777" w:rsidR="003D6C41" w:rsidRDefault="003D6C41">
      <w:pPr>
        <w:adjustRightInd w:val="0"/>
        <w:snapToGrid w:val="0"/>
        <w:spacing w:line="360" w:lineRule="auto"/>
        <w:jc w:val="both"/>
        <w:rPr>
          <w:rFonts w:ascii="Book Antiqua" w:hAnsi="Book Antiqua" w:cs="Book Antiqua"/>
        </w:rPr>
      </w:pPr>
    </w:p>
    <w:p w14:paraId="2D733EE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Liu</w:t>
      </w:r>
      <w:r>
        <w:rPr>
          <w:rFonts w:ascii="Book Antiqua" w:eastAsia="宋体" w:hAnsi="Book Antiqua" w:cs="Book Antiqua" w:hint="eastAsia"/>
          <w:color w:val="000000"/>
          <w:lang w:eastAsia="zh-CN"/>
        </w:rPr>
        <w:t xml:space="preserve"> LY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Colon cancer</w:t>
      </w:r>
    </w:p>
    <w:p w14:paraId="39416B14" w14:textId="77777777" w:rsidR="003D6C41" w:rsidRDefault="003D6C41">
      <w:pPr>
        <w:adjustRightInd w:val="0"/>
        <w:snapToGrid w:val="0"/>
        <w:spacing w:line="360" w:lineRule="auto"/>
        <w:jc w:val="both"/>
        <w:rPr>
          <w:rFonts w:ascii="Book Antiqua" w:hAnsi="Book Antiqua" w:cs="Book Antiqua"/>
        </w:rPr>
      </w:pPr>
    </w:p>
    <w:p w14:paraId="1DB5B07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Li-Yan Liu, Teng</w:t>
      </w:r>
      <w:r>
        <w:rPr>
          <w:rFonts w:ascii="Book Antiqua" w:eastAsia="宋体" w:hAnsi="Book Antiqua" w:cs="Book Antiqua" w:hint="eastAsia"/>
          <w:color w:val="000000"/>
          <w:lang w:eastAsia="zh-CN"/>
        </w:rPr>
        <w:t>-</w:t>
      </w:r>
      <w:r>
        <w:rPr>
          <w:rFonts w:ascii="Book Antiqua" w:eastAsia="Book Antiqua" w:hAnsi="Book Antiqua" w:cs="Book Antiqua"/>
          <w:color w:val="000000"/>
        </w:rPr>
        <w:t>Hua Yu, Tie</w:t>
      </w:r>
      <w:r>
        <w:rPr>
          <w:rFonts w:ascii="Book Antiqua" w:eastAsia="宋体" w:hAnsi="Book Antiqua" w:cs="Book Antiqua" w:hint="eastAsia"/>
          <w:color w:val="000000"/>
          <w:lang w:eastAsia="zh-CN"/>
        </w:rPr>
        <w:t>-</w:t>
      </w:r>
      <w:r>
        <w:rPr>
          <w:rFonts w:ascii="Book Antiqua" w:eastAsia="Book Antiqua" w:hAnsi="Book Antiqua" w:cs="Book Antiqua"/>
          <w:color w:val="000000"/>
        </w:rPr>
        <w:t>Song Liao, Peng Xu, Ying Wang, Min Shi, Bin Li</w:t>
      </w:r>
    </w:p>
    <w:p w14:paraId="5E3F82AC" w14:textId="77777777" w:rsidR="003D6C41" w:rsidRDefault="003D6C41">
      <w:pPr>
        <w:adjustRightInd w:val="0"/>
        <w:snapToGrid w:val="0"/>
        <w:spacing w:line="360" w:lineRule="auto"/>
        <w:jc w:val="both"/>
        <w:rPr>
          <w:rFonts w:ascii="Book Antiqua" w:hAnsi="Book Antiqua" w:cs="Book Antiqua"/>
        </w:rPr>
      </w:pPr>
    </w:p>
    <w:p w14:paraId="4584D83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Li</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Yan Liu, Tie</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Song Liao, Bin Li, </w:t>
      </w:r>
      <w:r>
        <w:rPr>
          <w:rFonts w:ascii="Book Antiqua" w:eastAsia="Book Antiqua" w:hAnsi="Book Antiqua" w:cs="Book Antiqua"/>
          <w:color w:val="000000"/>
        </w:rPr>
        <w:t>Workstation of Academician, Jiangxi University of Chinese Medicine,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1467F773" w14:textId="77777777" w:rsidR="003D6C41" w:rsidRDefault="003D6C41">
      <w:pPr>
        <w:adjustRightInd w:val="0"/>
        <w:snapToGrid w:val="0"/>
        <w:spacing w:line="360" w:lineRule="auto"/>
        <w:jc w:val="both"/>
        <w:rPr>
          <w:rFonts w:ascii="Book Antiqua" w:hAnsi="Book Antiqua" w:cs="Book Antiqua"/>
        </w:rPr>
      </w:pPr>
    </w:p>
    <w:p w14:paraId="738CAA1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Li-Yan Liu, </w:t>
      </w:r>
      <w:r>
        <w:rPr>
          <w:rFonts w:ascii="Book Antiqua" w:eastAsia="Book Antiqua" w:hAnsi="Book Antiqua" w:cs="Book Antiqua"/>
          <w:color w:val="000000"/>
        </w:rPr>
        <w:t xml:space="preserve">Department of Pharmacy, Jiangxi Cancer Hospital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Jiangxi Cancer Center, Nanchang 330029,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China</w:t>
      </w:r>
    </w:p>
    <w:p w14:paraId="7666918A" w14:textId="77777777" w:rsidR="003D6C41" w:rsidRDefault="003D6C41">
      <w:pPr>
        <w:adjustRightInd w:val="0"/>
        <w:snapToGrid w:val="0"/>
        <w:spacing w:line="360" w:lineRule="auto"/>
        <w:jc w:val="both"/>
        <w:rPr>
          <w:rFonts w:ascii="Book Antiqua" w:hAnsi="Book Antiqua" w:cs="Book Antiqua"/>
        </w:rPr>
      </w:pPr>
    </w:p>
    <w:p w14:paraId="57EA632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Teng-Hua Yu, </w:t>
      </w:r>
      <w:r>
        <w:rPr>
          <w:rFonts w:ascii="Book Antiqua" w:eastAsia="Book Antiqua" w:hAnsi="Book Antiqua" w:cs="Book Antiqua"/>
          <w:color w:val="000000"/>
        </w:rPr>
        <w:t>Department of Breast Surgery, Jiangxi Cancer Hospital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Jiangxi Cancer Center, Nanchang 330029,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14:paraId="55E9B68A" w14:textId="77777777" w:rsidR="003D6C41" w:rsidRDefault="003D6C41">
      <w:pPr>
        <w:adjustRightInd w:val="0"/>
        <w:snapToGrid w:val="0"/>
        <w:spacing w:line="360" w:lineRule="auto"/>
        <w:jc w:val="both"/>
        <w:rPr>
          <w:rFonts w:ascii="Book Antiqua" w:hAnsi="Book Antiqua" w:cs="Book Antiqua"/>
        </w:rPr>
      </w:pPr>
    </w:p>
    <w:p w14:paraId="020CA5E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Peng Xu, Min Shi, </w:t>
      </w:r>
      <w:r>
        <w:rPr>
          <w:rFonts w:ascii="Book Antiqua" w:eastAsia="Book Antiqua" w:hAnsi="Book Antiqua" w:cs="Book Antiqua"/>
          <w:color w:val="000000"/>
        </w:rPr>
        <w:t>Laboratory Animal Science and Technology Center, Jiangxi University of Chinese Medicine,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3A453342" w14:textId="77777777" w:rsidR="003D6C41" w:rsidRDefault="003D6C41">
      <w:pPr>
        <w:adjustRightInd w:val="0"/>
        <w:snapToGrid w:val="0"/>
        <w:spacing w:line="360" w:lineRule="auto"/>
        <w:jc w:val="both"/>
        <w:rPr>
          <w:rFonts w:ascii="Book Antiqua" w:hAnsi="Book Antiqua" w:cs="Book Antiqua"/>
        </w:rPr>
      </w:pPr>
    </w:p>
    <w:p w14:paraId="0BCC487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Ying Wang, </w:t>
      </w:r>
      <w:r>
        <w:rPr>
          <w:rFonts w:ascii="Book Antiqua" w:eastAsia="Book Antiqua" w:hAnsi="Book Antiqua" w:cs="Book Antiqua"/>
          <w:color w:val="000000"/>
        </w:rPr>
        <w:t>Department of Pharmacy, Shangrao Health School, Shang</w:t>
      </w:r>
      <w:r>
        <w:rPr>
          <w:rFonts w:ascii="Book Antiqua" w:eastAsia="宋体" w:hAnsi="Book Antiqua" w:cs="Book Antiqua" w:hint="eastAsia"/>
          <w:color w:val="000000"/>
          <w:lang w:eastAsia="zh-CN"/>
        </w:rPr>
        <w:t>r</w:t>
      </w:r>
      <w:r>
        <w:rPr>
          <w:rFonts w:ascii="Book Antiqua" w:eastAsia="Book Antiqua" w:hAnsi="Book Antiqua" w:cs="Book Antiqua"/>
          <w:color w:val="000000"/>
        </w:rPr>
        <w:t>ao 334000,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14:paraId="3705C844" w14:textId="77777777" w:rsidR="003D6C41" w:rsidRDefault="003D6C41">
      <w:pPr>
        <w:adjustRightInd w:val="0"/>
        <w:snapToGrid w:val="0"/>
        <w:spacing w:line="360" w:lineRule="auto"/>
        <w:jc w:val="both"/>
        <w:rPr>
          <w:rFonts w:ascii="Book Antiqua" w:hAnsi="Book Antiqua" w:cs="Book Antiqua"/>
        </w:rPr>
      </w:pPr>
    </w:p>
    <w:p w14:paraId="73E09EE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Liu LY, Liao TS, Wang Y, and Yu TH were responsible for the design, data collection, data management, and statistical analysis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Liu LY, Yu TH, and Shi M contributed to the writing of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Xu P and Li B contributed to </w:t>
      </w:r>
      <w:r>
        <w:rPr>
          <w:rFonts w:ascii="Book Antiqua" w:eastAsia="Book Antiqua" w:hAnsi="Book Antiqua" w:cs="Book Antiqua"/>
          <w:color w:val="000000"/>
        </w:rPr>
        <w:lastRenderedPageBreak/>
        <w:t>supervising data collection, improved the manuscript, and were responsible for supervision or mentorship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Liu LY and Li B were responsible for the research idea and interpretation of the results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reviewed and approved the final version of the manuscript.</w:t>
      </w:r>
    </w:p>
    <w:p w14:paraId="0B3D320E" w14:textId="77777777" w:rsidR="003D6C41" w:rsidRDefault="003D6C41">
      <w:pPr>
        <w:adjustRightInd w:val="0"/>
        <w:snapToGrid w:val="0"/>
        <w:spacing w:line="360" w:lineRule="auto"/>
        <w:jc w:val="both"/>
        <w:rPr>
          <w:rFonts w:ascii="Book Antiqua" w:hAnsi="Book Antiqua" w:cs="Book Antiqua"/>
        </w:rPr>
      </w:pPr>
    </w:p>
    <w:p w14:paraId="45B5FBA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Central Level Major Increase and Decrease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Expenditures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Project</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 xml:space="preserve">2060302-2101-11,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2060302-1701-01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Workstation Project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YSGZZ201801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Open Fund for Scientific Research of Jiangxi Cancer Hospital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2021J16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Distinguished Young Scholars Fund of Jiangxi Cancer Hospital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2021DYS04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Jiangxi Provincial Natural Science Foundation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20212BAB216063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National Natural Science Foundation of China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82160565.</w:t>
      </w:r>
    </w:p>
    <w:p w14:paraId="71843B30" w14:textId="77777777" w:rsidR="003D6C41" w:rsidRDefault="003D6C41">
      <w:pPr>
        <w:adjustRightInd w:val="0"/>
        <w:snapToGrid w:val="0"/>
        <w:spacing w:line="360" w:lineRule="auto"/>
        <w:jc w:val="both"/>
        <w:rPr>
          <w:rFonts w:ascii="Book Antiqua" w:hAnsi="Book Antiqua" w:cs="Book Antiqua"/>
        </w:rPr>
      </w:pPr>
    </w:p>
    <w:p w14:paraId="78DF948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Bin Li, PhD, Professor, </w:t>
      </w:r>
      <w:r>
        <w:rPr>
          <w:rFonts w:ascii="Book Antiqua" w:eastAsia="Book Antiqua" w:hAnsi="Book Antiqua" w:cs="Book Antiqua"/>
          <w:color w:val="000000"/>
        </w:rPr>
        <w:t>Workstation of Academician, Jiangxi University of Chinese Medicine, No. 1688 Meiling Road,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 emilylly2013@sina.com</w:t>
      </w:r>
    </w:p>
    <w:p w14:paraId="3450DA47" w14:textId="77777777" w:rsidR="003D6C41" w:rsidRDefault="003D6C41">
      <w:pPr>
        <w:adjustRightInd w:val="0"/>
        <w:snapToGrid w:val="0"/>
        <w:spacing w:line="360" w:lineRule="auto"/>
        <w:jc w:val="both"/>
        <w:rPr>
          <w:rFonts w:ascii="Book Antiqua" w:hAnsi="Book Antiqua" w:cs="Book Antiqua"/>
        </w:rPr>
      </w:pPr>
    </w:p>
    <w:p w14:paraId="1CD29F4D"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21, 2023</w:t>
      </w:r>
    </w:p>
    <w:p w14:paraId="573607B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5, 2023</w:t>
      </w:r>
    </w:p>
    <w:p w14:paraId="4ED2E0E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A02082" w:rsidRPr="00A02082">
        <w:rPr>
          <w:rFonts w:ascii="Book Antiqua" w:eastAsia="Book Antiqua" w:hAnsi="Book Antiqua" w:cs="Book Antiqua"/>
        </w:rPr>
        <w:t>August 31, 2023</w:t>
      </w:r>
    </w:p>
    <w:p w14:paraId="0B0AED91" w14:textId="59A8BF00"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330522">
        <w:rPr>
          <w:rFonts w:ascii="Book Antiqua" w:hAnsi="Book Antiqua"/>
          <w:color w:val="000000"/>
          <w:shd w:val="clear" w:color="auto" w:fill="FFFFFF"/>
        </w:rPr>
        <w:t>October 15, 2023</w:t>
      </w:r>
    </w:p>
    <w:p w14:paraId="3D487984" w14:textId="77777777" w:rsidR="003D6C41" w:rsidRDefault="003D6C41">
      <w:pPr>
        <w:adjustRightInd w:val="0"/>
        <w:snapToGrid w:val="0"/>
        <w:spacing w:line="360" w:lineRule="auto"/>
        <w:jc w:val="both"/>
        <w:rPr>
          <w:rFonts w:ascii="Book Antiqua" w:hAnsi="Book Antiqua" w:cs="Book Antiqua"/>
        </w:rPr>
        <w:sectPr w:rsidR="003D6C41">
          <w:footerReference w:type="default" r:id="rId6"/>
          <w:pgSz w:w="12240" w:h="15840"/>
          <w:pgMar w:top="1440" w:right="1440" w:bottom="1440" w:left="1440" w:header="720" w:footer="720" w:gutter="0"/>
          <w:cols w:space="720"/>
          <w:docGrid w:linePitch="360"/>
        </w:sectPr>
      </w:pPr>
    </w:p>
    <w:p w14:paraId="206A8C6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2982D6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1312527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Colon cancer remains a leading cause of death globally. Pomolic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 can be separated from the ethyl acetate fraction of </w:t>
      </w:r>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 satureioides.</w:t>
      </w:r>
    </w:p>
    <w:p w14:paraId="40F23961" w14:textId="77777777" w:rsidR="003D6C41" w:rsidRDefault="003D6C41">
      <w:pPr>
        <w:adjustRightInd w:val="0"/>
        <w:snapToGrid w:val="0"/>
        <w:spacing w:line="360" w:lineRule="auto"/>
        <w:jc w:val="both"/>
        <w:rPr>
          <w:rFonts w:ascii="Book Antiqua" w:hAnsi="Book Antiqua" w:cs="Book Antiqua"/>
        </w:rPr>
      </w:pPr>
    </w:p>
    <w:p w14:paraId="27902724"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603A4EF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determine the effects of PA and its glucopyranose ester, pomolic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colon cancer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p>
    <w:p w14:paraId="37F35C9A" w14:textId="77777777" w:rsidR="003D6C41" w:rsidRDefault="003D6C41">
      <w:pPr>
        <w:adjustRightInd w:val="0"/>
        <w:snapToGrid w:val="0"/>
        <w:spacing w:line="360" w:lineRule="auto"/>
        <w:jc w:val="both"/>
        <w:rPr>
          <w:rFonts w:ascii="Book Antiqua" w:hAnsi="Book Antiqua" w:cs="Book Antiqua"/>
        </w:rPr>
      </w:pPr>
    </w:p>
    <w:p w14:paraId="0E344CC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07711C33"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diphenyl tetrazolium bromide assay was used to measure cell viability. Apoptosis was detected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oechst 33342 staining. PI single staining was identified by flow cytometry to determine the cycle and scratch assay was used to observe the migration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The levels of mRNA and proteins were evaluated by q</w:t>
      </w:r>
      <w:r>
        <w:rPr>
          <w:rFonts w:ascii="Book Antiqua" w:eastAsia="宋体" w:hAnsi="Book Antiqua" w:cs="Book Antiqua" w:hint="eastAsia"/>
          <w:color w:val="000000"/>
          <w:lang w:eastAsia="zh-CN"/>
        </w:rPr>
        <w:t xml:space="preserve"> polymerase chain reaction</w:t>
      </w:r>
      <w:r>
        <w:rPr>
          <w:rFonts w:ascii="Book Antiqua" w:eastAsia="Book Antiqua" w:hAnsi="Book Antiqua" w:cs="Book Antiqua"/>
          <w:color w:val="000000"/>
        </w:rPr>
        <w:t xml:space="preserve"> and western blotting, respectively.</w:t>
      </w:r>
    </w:p>
    <w:p w14:paraId="195377B8" w14:textId="77777777" w:rsidR="003D6C41" w:rsidRDefault="003D6C41">
      <w:pPr>
        <w:adjustRightInd w:val="0"/>
        <w:snapToGrid w:val="0"/>
        <w:spacing w:line="360" w:lineRule="auto"/>
        <w:jc w:val="both"/>
        <w:rPr>
          <w:rFonts w:ascii="Book Antiqua" w:hAnsi="Book Antiqua" w:cs="Book Antiqua"/>
        </w:rPr>
      </w:pPr>
    </w:p>
    <w:p w14:paraId="3224813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D7F189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 and PAO considerably inhibited the growth of the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line in a time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dose-dependent manner. After the administration of PA and PAO for 24 and 48 h, cell apoptosis was significantly promoted and HT-29 cells were arrested in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szCs w:val="36"/>
          <w:vertAlign w:val="subscript"/>
          <w:lang w:eastAsia="zh-CN"/>
        </w:rPr>
        <w:t xml:space="preserve"> </w:t>
      </w:r>
      <w:r>
        <w:rPr>
          <w:rFonts w:ascii="Book Antiqua" w:eastAsia="Book Antiqua" w:hAnsi="Book Antiqua" w:cs="Book Antiqua"/>
          <w:color w:val="000000"/>
        </w:rPr>
        <w:t>stage. The Bax/Bcl2 ratio was also increased, which activated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leading to apoptosis; it also increased the expression of </w:t>
      </w:r>
      <w:r>
        <w:rPr>
          <w:rFonts w:ascii="Book Antiqua" w:eastAsia="宋体" w:hAnsi="Book Antiqua" w:cs="Book Antiqua" w:hint="eastAsia"/>
          <w:color w:val="000000"/>
          <w:lang w:eastAsia="zh-CN"/>
        </w:rPr>
        <w:t xml:space="preserve">light chain 3 </w:t>
      </w:r>
      <w:r>
        <w:rPr>
          <w:rFonts w:ascii="Book Antiqua" w:eastAsia="Book Antiqua" w:hAnsi="Book Antiqua" w:cs="Book Antiqua"/>
          <w:color w:val="000000"/>
        </w:rPr>
        <w:t>II/I and</w:t>
      </w:r>
      <w:r>
        <w:rPr>
          <w:rFonts w:ascii="Book Antiqua" w:eastAsia="宋体" w:hAnsi="Book Antiqua" w:cs="Book Antiqua" w:hint="eastAsia"/>
          <w:color w:val="000000"/>
          <w:lang w:eastAsia="zh-CN"/>
        </w:rPr>
        <w:t xml:space="preserve"> Beclin1</w:t>
      </w:r>
      <w:r>
        <w:rPr>
          <w:rFonts w:ascii="Book Antiqua" w:eastAsia="Book Antiqua" w:hAnsi="Book Antiqua" w:cs="Book Antiqua"/>
          <w:color w:val="000000"/>
        </w:rPr>
        <w:t>, which activated autophagy and caused cell death. This in turn increased the expression of p62 to promote cell apoptosis, inhibiting the levels of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p-STAT3, suppressing the level of Bcl2, and promoting cell.</w:t>
      </w:r>
    </w:p>
    <w:p w14:paraId="4FDF365E" w14:textId="77777777" w:rsidR="003D6C41" w:rsidRDefault="003D6C41">
      <w:pPr>
        <w:adjustRightInd w:val="0"/>
        <w:snapToGrid w:val="0"/>
        <w:spacing w:line="360" w:lineRule="auto"/>
        <w:jc w:val="both"/>
        <w:rPr>
          <w:rFonts w:ascii="Book Antiqua" w:hAnsi="Book Antiqua" w:cs="Book Antiqua"/>
        </w:rPr>
      </w:pPr>
    </w:p>
    <w:p w14:paraId="4135820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3CC9094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Both PA and PAO provide novel therapeutic strategies for treating colorectal cancer.</w:t>
      </w:r>
    </w:p>
    <w:p w14:paraId="0775A304" w14:textId="77777777" w:rsidR="003D6C41" w:rsidRDefault="003D6C41">
      <w:pPr>
        <w:adjustRightInd w:val="0"/>
        <w:snapToGrid w:val="0"/>
        <w:spacing w:line="360" w:lineRule="auto"/>
        <w:jc w:val="both"/>
        <w:rPr>
          <w:rFonts w:ascii="Book Antiqua" w:hAnsi="Book Antiqua" w:cs="Book Antiqua"/>
        </w:rPr>
      </w:pPr>
    </w:p>
    <w:p w14:paraId="46FB8919"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 xml:space="preserve">Key Words: </w:t>
      </w:r>
      <w:r>
        <w:rPr>
          <w:rFonts w:ascii="Book Antiqua" w:eastAsia="Book Antiqua" w:hAnsi="Book Antiqua" w:cs="Book Antiqua"/>
          <w:color w:val="000000"/>
        </w:rPr>
        <w:t>Colon cancer; Achyrocline satureioides; Pomolic acid; Pomolic acid-28-O-β-D-glucopyranose</w:t>
      </w:r>
    </w:p>
    <w:p w14:paraId="3AC76A36" w14:textId="77777777" w:rsidR="003D6C41" w:rsidRDefault="003D6C41">
      <w:pPr>
        <w:adjustRightInd w:val="0"/>
        <w:snapToGrid w:val="0"/>
        <w:spacing w:line="360" w:lineRule="auto"/>
        <w:jc w:val="both"/>
        <w:rPr>
          <w:rFonts w:ascii="Book Antiqua" w:hAnsi="Book Antiqua" w:cs="Book Antiqua"/>
        </w:rPr>
      </w:pPr>
    </w:p>
    <w:p w14:paraId="35407758" w14:textId="77777777" w:rsidR="000A1B27" w:rsidRDefault="000A1B27" w:rsidP="000A1B27">
      <w:pPr>
        <w:spacing w:line="360" w:lineRule="auto"/>
        <w:rPr>
          <w:rFonts w:ascii="Book Antiqua" w:eastAsia="Book Antiqua" w:hAnsi="Book Antiqua" w:cs="Book Antiqua"/>
          <w:color w:val="000000"/>
        </w:rPr>
      </w:pPr>
      <w:bookmarkStart w:id="0" w:name="OLE_LINK1"/>
      <w:bookmarkStart w:id="1" w:name="OLE_LINK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bookmarkEnd w:id="1"/>
    <w:p w14:paraId="4943487B" w14:textId="77777777" w:rsidR="000A1B27" w:rsidRDefault="000A1B27">
      <w:pPr>
        <w:adjustRightInd w:val="0"/>
        <w:snapToGrid w:val="0"/>
        <w:spacing w:line="360" w:lineRule="auto"/>
        <w:jc w:val="both"/>
        <w:rPr>
          <w:rFonts w:ascii="Book Antiqua" w:hAnsi="Book Antiqua" w:cs="Book Antiqua"/>
        </w:rPr>
      </w:pPr>
    </w:p>
    <w:p w14:paraId="7A656F96" w14:textId="786B872A" w:rsidR="00330522" w:rsidRPr="00330522" w:rsidRDefault="000A1B27" w:rsidP="00330522">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Liu LY, Yu TH, Liao TS, Xu P, Wang Y, Shi M, Li B. Pomolic acid and its glucopyranose ester promote apoptosis through autophagy in HT-29 colon cancer</w:t>
      </w:r>
      <w:r>
        <w:rPr>
          <w:rFonts w:ascii="Book Antiqua" w:eastAsia="宋体" w:hAnsi="Book Antiqua" w:cs="Book Antiqua" w:hint="eastAsia"/>
          <w:lang w:eastAsia="zh-CN"/>
        </w:rPr>
        <w:t xml:space="preserve"> </w:t>
      </w:r>
      <w:r>
        <w:rPr>
          <w:rFonts w:ascii="Book Antiqua" w:eastAsia="Book Antiqua" w:hAnsi="Book Antiqua" w:cs="Book Antiqua"/>
        </w:rPr>
        <w:t xml:space="preserve">cells. </w:t>
      </w:r>
      <w:r>
        <w:rPr>
          <w:rFonts w:ascii="Book Antiqua" w:eastAsia="Book Antiqua" w:hAnsi="Book Antiqua" w:cs="Book Antiqua"/>
          <w:i/>
          <w:iCs/>
        </w:rPr>
        <w:t>World J Gastrointest Oncol</w:t>
      </w:r>
      <w:r>
        <w:rPr>
          <w:rFonts w:ascii="Book Antiqua" w:eastAsia="Book Antiqua" w:hAnsi="Book Antiqua" w:cs="Book Antiqua"/>
        </w:rPr>
        <w:t xml:space="preserve"> 2023; </w:t>
      </w:r>
      <w:r w:rsidR="00330522" w:rsidRPr="00330522">
        <w:rPr>
          <w:rFonts w:ascii="Book Antiqua" w:eastAsia="Book Antiqua" w:hAnsi="Book Antiqua" w:cs="Book Antiqua"/>
        </w:rPr>
        <w:t xml:space="preserve">15(10): </w:t>
      </w:r>
      <w:r w:rsidRPr="000A1B27">
        <w:rPr>
          <w:rFonts w:ascii="Book Antiqua" w:eastAsia="Book Antiqua" w:hAnsi="Book Antiqua" w:cs="Book Antiqua"/>
        </w:rPr>
        <w:t>1756-17</w:t>
      </w:r>
      <w:r w:rsidR="00276C21">
        <w:rPr>
          <w:rFonts w:ascii="Book Antiqua" w:eastAsia="Book Antiqua" w:hAnsi="Book Antiqua" w:cs="Book Antiqua"/>
        </w:rPr>
        <w:t>70</w:t>
      </w:r>
    </w:p>
    <w:p w14:paraId="2076C801" w14:textId="1236BEAC" w:rsidR="00330522" w:rsidRPr="00330522" w:rsidRDefault="00330522" w:rsidP="00330522">
      <w:pPr>
        <w:adjustRightInd w:val="0"/>
        <w:snapToGrid w:val="0"/>
        <w:spacing w:line="360" w:lineRule="auto"/>
        <w:jc w:val="both"/>
        <w:rPr>
          <w:rFonts w:ascii="Book Antiqua" w:eastAsia="Book Antiqua" w:hAnsi="Book Antiqua" w:cs="Book Antiqua"/>
        </w:rPr>
      </w:pPr>
      <w:r w:rsidRPr="00330522">
        <w:rPr>
          <w:rFonts w:ascii="Book Antiqua" w:eastAsia="Book Antiqua" w:hAnsi="Book Antiqua" w:cs="Book Antiqua"/>
          <w:b/>
          <w:bCs/>
        </w:rPr>
        <w:t>URL</w:t>
      </w:r>
      <w:r w:rsidRPr="00330522">
        <w:rPr>
          <w:rFonts w:ascii="Book Antiqua" w:eastAsia="Book Antiqua" w:hAnsi="Book Antiqua" w:cs="Book Antiqua"/>
        </w:rPr>
        <w:t>: https://www.wjgnet.com/1948-5204/full/v15/i10/</w:t>
      </w:r>
      <w:r w:rsidR="000A1B27" w:rsidRPr="000A1B27">
        <w:rPr>
          <w:rFonts w:ascii="Book Antiqua" w:eastAsia="Book Antiqua" w:hAnsi="Book Antiqua" w:cs="Book Antiqua"/>
        </w:rPr>
        <w:t>1756</w:t>
      </w:r>
      <w:r w:rsidRPr="00330522">
        <w:rPr>
          <w:rFonts w:ascii="Book Antiqua" w:eastAsia="Book Antiqua" w:hAnsi="Book Antiqua" w:cs="Book Antiqua"/>
        </w:rPr>
        <w:t>.htm</w:t>
      </w:r>
    </w:p>
    <w:p w14:paraId="0F426333" w14:textId="06F8D99A" w:rsidR="003D6C41" w:rsidRDefault="00330522" w:rsidP="00330522">
      <w:pPr>
        <w:adjustRightInd w:val="0"/>
        <w:snapToGrid w:val="0"/>
        <w:spacing w:line="360" w:lineRule="auto"/>
        <w:jc w:val="both"/>
        <w:rPr>
          <w:rFonts w:ascii="Book Antiqua" w:hAnsi="Book Antiqua" w:cs="Book Antiqua"/>
        </w:rPr>
      </w:pPr>
      <w:r w:rsidRPr="00330522">
        <w:rPr>
          <w:rFonts w:ascii="Book Antiqua" w:eastAsia="Book Antiqua" w:hAnsi="Book Antiqua" w:cs="Book Antiqua"/>
          <w:b/>
          <w:bCs/>
        </w:rPr>
        <w:t>DOI</w:t>
      </w:r>
      <w:r w:rsidRPr="00330522">
        <w:rPr>
          <w:rFonts w:ascii="Book Antiqua" w:eastAsia="Book Antiqua" w:hAnsi="Book Antiqua" w:cs="Book Antiqua"/>
        </w:rPr>
        <w:t>: https://dx.doi.org/10.4251/wjgo.v15.i10.</w:t>
      </w:r>
      <w:r w:rsidR="000A1B27" w:rsidRPr="000A1B27">
        <w:rPr>
          <w:rFonts w:ascii="Book Antiqua" w:eastAsia="Book Antiqua" w:hAnsi="Book Antiqua" w:cs="Book Antiqua"/>
        </w:rPr>
        <w:t>1756</w:t>
      </w:r>
    </w:p>
    <w:p w14:paraId="00E45D3E" w14:textId="77777777" w:rsidR="003D6C41" w:rsidRDefault="003D6C41">
      <w:pPr>
        <w:adjustRightInd w:val="0"/>
        <w:snapToGrid w:val="0"/>
        <w:spacing w:line="360" w:lineRule="auto"/>
        <w:jc w:val="both"/>
        <w:rPr>
          <w:rFonts w:ascii="Book Antiqua" w:hAnsi="Book Antiqua" w:cs="Book Antiqua"/>
        </w:rPr>
      </w:pPr>
    </w:p>
    <w:p w14:paraId="53D9D27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Compounds </w:t>
      </w:r>
      <w:r>
        <w:rPr>
          <w:rFonts w:ascii="Book Antiqua" w:eastAsia="宋体" w:hAnsi="Book Antiqua" w:cs="Book Antiqua" w:hint="eastAsia"/>
          <w:color w:val="000000"/>
          <w:lang w:eastAsia="zh-CN"/>
        </w:rPr>
        <w:t>p</w:t>
      </w:r>
      <w:r>
        <w:rPr>
          <w:rFonts w:ascii="Book Antiqua" w:eastAsia="Book Antiqua" w:hAnsi="Book Antiqua" w:cs="Book Antiqua"/>
          <w:color w:val="000000"/>
        </w:rPr>
        <w:t>omolic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pomolic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 (PAO) exhibited a considerable growth inhibitory effect against HT-29 cell lines in a time-dose-dependent manner. PA and PAO promote apoptosis through autophagy in HT-29 colon tumor cells. Both PA and PAO provide novel therapeutic strategy for colorectal cancers treatment.</w:t>
      </w:r>
    </w:p>
    <w:p w14:paraId="666BE8E2" w14:textId="77777777" w:rsidR="003D6C41" w:rsidRDefault="003D6C41">
      <w:pPr>
        <w:adjustRightInd w:val="0"/>
        <w:snapToGrid w:val="0"/>
        <w:spacing w:line="360" w:lineRule="auto"/>
        <w:jc w:val="both"/>
        <w:rPr>
          <w:rFonts w:ascii="Book Antiqua" w:hAnsi="Book Antiqua" w:cs="Book Antiqua"/>
        </w:rPr>
      </w:pPr>
    </w:p>
    <w:p w14:paraId="54D2209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C39D9D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Colon cancer remains a leading cause of death globally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while colorectal cancer has become the third most common tumor with the highest incidence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Surgical treatment is generally the best choice for early-stage colon cancer patients, but unfortunately many patients are diagnosed at an advanced stage.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based postoperative adjuvant chemotherapy is currently the most important method for treating colon cancer. However, resistance and toxicity of chemotherapy have severely hampered the implementation of chemotherapy regimens. There is thus a need for new therapeutic options for patients at an advanced stage of the disease, so the search for new drugs and targets has become a key component of efforts to treat colon cancer.</w:t>
      </w:r>
    </w:p>
    <w:p w14:paraId="7266C66C" w14:textId="77777777"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 are abundant active substances in nature, especially in plants of medicine food homology.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Achyrocline satureioides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a plant from the </w:t>
      </w:r>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genus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rassica, </w:t>
      </w:r>
      <w:r>
        <w:rPr>
          <w:rFonts w:ascii="Book Antiqua" w:eastAsia="Book Antiqua" w:hAnsi="Book Antiqua" w:cs="Book Antiqua"/>
          <w:color w:val="000000"/>
        </w:rPr>
        <w:lastRenderedPageBreak/>
        <w:t>which is a medicinal herb widely used in Latin America for gastrointestinal diseases, bacterial infections, anti</w:t>
      </w:r>
      <w:r>
        <w:rPr>
          <w:rFonts w:ascii="Book Antiqua" w:eastAsia="宋体" w:hAnsi="Book Antiqua" w:cs="Book Antiqua" w:hint="eastAsia"/>
          <w:color w:val="000000"/>
          <w:lang w:eastAsia="zh-CN"/>
        </w:rPr>
        <w:t>-</w:t>
      </w:r>
      <w:r>
        <w:rPr>
          <w:rFonts w:ascii="Book Antiqua" w:eastAsia="Book Antiqua" w:hAnsi="Book Antiqua" w:cs="Book Antiqua"/>
          <w:color w:val="000000"/>
        </w:rPr>
        <w:t>inflammatory effects, pain relief, and for treating other diseases</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We previously isolated many compounds from the flowers of </w:t>
      </w:r>
      <w:r>
        <w:rPr>
          <w:rFonts w:ascii="Book Antiqua" w:eastAsia="Book Antiqua" w:hAnsi="Book Antiqua" w:cs="Book Antiqua"/>
          <w:i/>
          <w:iCs/>
          <w:color w:val="000000"/>
        </w:rPr>
        <w:t>A. satureioides</w:t>
      </w:r>
      <w:r>
        <w:rPr>
          <w:rFonts w:ascii="Book Antiqua" w:eastAsia="Book Antiqua" w:hAnsi="Book Antiqua" w:cs="Book Antiqua"/>
          <w:color w:val="000000"/>
        </w:rPr>
        <w:t>, including triterpenics, anthraquinones, and flavonoids. Research has shown that pomolic acid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its glucopyranose ester have effects against breast cancer</w:t>
      </w:r>
      <w:r>
        <w:rPr>
          <w:rFonts w:ascii="Book Antiqua" w:eastAsia="Book Antiqua" w:hAnsi="Book Antiqua" w:cs="Book Antiqua"/>
          <w:color w:val="000000"/>
          <w:szCs w:val="36"/>
          <w:vertAlign w:val="superscript"/>
        </w:rPr>
        <w:t>[8-10]</w:t>
      </w:r>
      <w:r>
        <w:rPr>
          <w:rFonts w:ascii="Book Antiqua" w:eastAsia="Book Antiqua" w:hAnsi="Book Antiqua" w:cs="Book Antiqua"/>
          <w:color w:val="000000"/>
        </w:rPr>
        <w:t>, prostate cancer</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leukemia</w:t>
      </w:r>
      <w:r>
        <w:rPr>
          <w:rFonts w:ascii="Book Antiqua" w:eastAsia="Book Antiqua" w:hAnsi="Book Antiqua" w:cs="Book Antiqua"/>
          <w:color w:val="000000"/>
          <w:szCs w:val="36"/>
          <w:vertAlign w:val="superscript"/>
        </w:rPr>
        <w:t>[12</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other malignant tumors. Because of its high safety, these agents have been increasingly used in the treatment of cancer. However, there has been little research on the use of PA and its glucopyranose ester in treating colon cancer, or on the mechanisms behind their effects. We thus investigated the influence of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its glucopyranose ester on colon cancer cells. In this study, PA and its glucopyranose ester showed good inhibitory effects on colon cancer cells and have potential as new drugs for future use in a clinical context.</w:t>
      </w:r>
    </w:p>
    <w:p w14:paraId="6BD71BB6" w14:textId="77777777" w:rsidR="003D6C41" w:rsidRDefault="003D6C41">
      <w:pPr>
        <w:adjustRightInd w:val="0"/>
        <w:snapToGrid w:val="0"/>
        <w:spacing w:line="360" w:lineRule="auto"/>
        <w:ind w:firstLine="560"/>
        <w:jc w:val="both"/>
        <w:rPr>
          <w:rFonts w:ascii="Book Antiqua" w:hAnsi="Book Antiqua" w:cs="Book Antiqua"/>
        </w:rPr>
      </w:pPr>
    </w:p>
    <w:p w14:paraId="364F065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10B2D667" w14:textId="77777777"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Materials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and chemicals</w:t>
      </w:r>
    </w:p>
    <w:p w14:paraId="37D7F9F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PA was separated and purified from </w:t>
      </w:r>
      <w:r>
        <w:rPr>
          <w:rFonts w:ascii="Book Antiqua" w:eastAsia="Book Antiqua" w:hAnsi="Book Antiqua" w:cs="Book Antiqua"/>
          <w:i/>
          <w:iCs/>
          <w:color w:val="000000"/>
        </w:rPr>
        <w:t>A. satureioides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(purity &gt; 98%). </w:t>
      </w:r>
      <w:r>
        <w:rPr>
          <w:rFonts w:ascii="Book Antiqua" w:eastAsia="宋体" w:hAnsi="Book Antiqua" w:cs="Book Antiqua" w:hint="eastAsia"/>
          <w:color w:val="000000"/>
          <w:lang w:eastAsia="zh-CN"/>
        </w:rPr>
        <w:t>P</w:t>
      </w:r>
      <w:r>
        <w:rPr>
          <w:rFonts w:ascii="Book Antiqua" w:eastAsia="Book Antiqua" w:hAnsi="Book Antiqua" w:cs="Book Antiqua" w:hint="eastAsia"/>
          <w:color w:val="000000"/>
        </w:rPr>
        <w:t>omolic acid-28-O-β-D-glucopyranosyl ester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obtained from Chengdu Alpha Biological Co., Ltd. (</w:t>
      </w:r>
      <w:r>
        <w:rPr>
          <w:rFonts w:ascii="Book Antiqua" w:eastAsia="宋体" w:hAnsi="Book Antiqua" w:cs="Book Antiqua" w:hint="eastAsia"/>
          <w:color w:val="000000"/>
          <w:lang w:eastAsia="zh-CN"/>
        </w:rPr>
        <w:t>cas</w:t>
      </w:r>
      <w:r>
        <w:rPr>
          <w:rFonts w:ascii="Book Antiqua" w:eastAsia="Book Antiqua" w:hAnsi="Book Antiqua" w:cs="Book Antiqua"/>
          <w:color w:val="000000"/>
        </w:rPr>
        <w:t>: 83725-25-0), with purity exceeding 94%. Oxaliplatin was obtained from Hengrui Medicine (China). Annexin-V-fluorescein isothiocyanate and propidium iodide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(BD Biosciences, Franklin Lake, NJ, United States),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McCoys’ 5A (Modified; Gibco, United States),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[fetal bovine serum (FBS</w:t>
      </w:r>
      <w:r>
        <w:rPr>
          <w:rFonts w:ascii="Book Antiqua" w:eastAsia="宋体" w:hAnsi="Book Antiqua" w:cs="Book Antiqua" w:hint="eastAsia"/>
          <w:color w:val="000000"/>
          <w:lang w:eastAsia="zh-CN"/>
        </w:rPr>
        <w:t>)</w:t>
      </w:r>
      <w:r>
        <w:rPr>
          <w:rFonts w:ascii="Book Antiqua" w:eastAsia="Book Antiqua" w:hAnsi="Book Antiqua" w:cs="Book Antiqua"/>
          <w:color w:val="000000"/>
        </w:rPr>
        <w:t>; EXCEll,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also obtained. Bcl2, anti</w:t>
      </w:r>
      <w:r>
        <w:rPr>
          <w:rFonts w:ascii="Book Antiqua" w:eastAsia="宋体" w:hAnsi="Book Antiqua" w:cs="Book Antiqua" w:hint="eastAsia"/>
          <w:color w:val="000000"/>
          <w:lang w:eastAsia="zh-CN"/>
        </w:rPr>
        <w:t>-sequestosome-1 (p62)</w:t>
      </w:r>
      <w:r>
        <w:rPr>
          <w:rFonts w:ascii="Book Antiqua" w:eastAsia="Book Antiqua" w:hAnsi="Book Antiqua" w:cs="Book Antiqua"/>
          <w:color w:val="000000"/>
        </w:rPr>
        <w:t>, anti</w:t>
      </w:r>
      <w:r>
        <w:rPr>
          <w:rFonts w:ascii="Book Antiqua" w:eastAsia="宋体" w:hAnsi="Book Antiqua" w:cs="Book Antiqua" w:hint="eastAsia"/>
          <w:color w:val="000000"/>
          <w:lang w:eastAsia="zh-CN"/>
        </w:rPr>
        <w:t>-light chain 3 (LC3) A/B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Bax</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Beclin-1</w:t>
      </w:r>
      <w:r>
        <w:rPr>
          <w:rFonts w:ascii="Book Antiqua" w:eastAsia="Book Antiqua" w:hAnsi="Book Antiqua" w:cs="Book Antiqua"/>
          <w:color w:val="000000"/>
        </w:rPr>
        <w:t>, anti</w:t>
      </w:r>
      <w:r>
        <w:rPr>
          <w:rFonts w:ascii="Book Antiqua" w:eastAsia="宋体" w:hAnsi="Book Antiqua" w:cs="Book Antiqua" w:hint="eastAsia"/>
          <w:color w:val="000000"/>
          <w:lang w:eastAsia="zh-CN"/>
        </w:rPr>
        <w:t>-janus kinase (JAK)</w:t>
      </w:r>
      <w:r>
        <w:rPr>
          <w:rFonts w:ascii="Book Antiqua" w:eastAsia="Book Antiqua" w:hAnsi="Book Antiqua" w:cs="Book Antiqua"/>
          <w:color w:val="000000"/>
        </w:rPr>
        <w:t>, anti</w:t>
      </w:r>
      <w:r>
        <w:rPr>
          <w:rFonts w:ascii="Book Antiqua" w:eastAsia="宋体" w:hAnsi="Book Antiqua" w:cs="Book Antiqua" w:hint="eastAsia"/>
          <w:color w:val="000000"/>
          <w:lang w:eastAsia="zh-CN"/>
        </w:rPr>
        <w:t>-</w:t>
      </w:r>
      <w:r>
        <w:rPr>
          <w:rFonts w:ascii="Book Antiqua" w:eastAsia="Book Antiqua" w:hAnsi="Book Antiqua" w:cs="Book Antiqua"/>
          <w:color w:val="000000"/>
        </w:rPr>
        <w:t>p</w:t>
      </w:r>
      <w:r>
        <w:rPr>
          <w:rFonts w:ascii="Book Antiqua" w:eastAsia="宋体" w:hAnsi="Book Antiqua" w:cs="Book Antiqua" w:hint="eastAsia"/>
          <w:color w:val="000000"/>
          <w:lang w:eastAsia="zh-CN"/>
        </w:rPr>
        <w:t>-</w:t>
      </w:r>
      <w:r>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anti-STAT3 antibodies were obtained from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ignaling </w:t>
      </w:r>
      <w:r>
        <w:rPr>
          <w:rFonts w:ascii="Book Antiqua" w:eastAsia="宋体" w:hAnsi="Book Antiqua" w:cs="Book Antiqua" w:hint="eastAsia"/>
          <w:color w:val="000000"/>
          <w:lang w:eastAsia="zh-CN"/>
        </w:rPr>
        <w:t>t</w:t>
      </w:r>
      <w:r>
        <w:rPr>
          <w:rFonts w:ascii="Book Antiqua" w:eastAsia="Book Antiqua" w:hAnsi="Book Antiqua" w:cs="Book Antiqua"/>
          <w:color w:val="000000"/>
        </w:rPr>
        <w:t>echnology (United States). Anti-β-actin was purchased Protech (China). 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diphenyl tetrazolium bromide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MTT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imethyl sulfoxide </w:t>
      </w:r>
      <w:r>
        <w:rPr>
          <w:rFonts w:ascii="Book Antiqua" w:eastAsia="宋体" w:hAnsi="Book Antiqua" w:cs="Book Antiqua" w:hint="eastAsia"/>
          <w:color w:val="000000"/>
          <w:lang w:eastAsia="zh-CN"/>
        </w:rPr>
        <w:t>(</w:t>
      </w:r>
      <w:r>
        <w:rPr>
          <w:rFonts w:ascii="Book Antiqua" w:eastAsia="Book Antiqua" w:hAnsi="Book Antiqua" w:cs="Book Antiqua"/>
          <w:color w:val="000000"/>
        </w:rPr>
        <w:t>DMSO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obtained from Solarbio (China). The HT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29 cell line was purchased from National Collection of Authenticated Cell Cultures. Finally, the laser confocal microscope </w:t>
      </w:r>
      <w:r>
        <w:rPr>
          <w:rFonts w:ascii="Book Antiqua" w:eastAsia="宋体" w:hAnsi="Book Antiqua" w:cs="Book Antiqua" w:hint="eastAsia"/>
          <w:color w:val="000000"/>
          <w:lang w:eastAsia="zh-CN"/>
        </w:rPr>
        <w:t>l</w:t>
      </w:r>
      <w:r>
        <w:rPr>
          <w:rFonts w:ascii="Book Antiqua" w:eastAsia="Book Antiqua" w:hAnsi="Book Antiqua" w:cs="Book Antiqua"/>
          <w:color w:val="000000"/>
        </w:rPr>
        <w:t>eica DMI3000B was used (Leica, Germany).</w:t>
      </w:r>
    </w:p>
    <w:p w14:paraId="739E7789" w14:textId="77777777" w:rsidR="003D6C41" w:rsidRDefault="003D6C41">
      <w:pPr>
        <w:adjustRightInd w:val="0"/>
        <w:snapToGrid w:val="0"/>
        <w:spacing w:line="360" w:lineRule="auto"/>
        <w:ind w:firstLine="560"/>
        <w:jc w:val="both"/>
        <w:rPr>
          <w:rFonts w:ascii="Book Antiqua" w:hAnsi="Book Antiqua" w:cs="Book Antiqua"/>
        </w:rPr>
      </w:pPr>
    </w:p>
    <w:p w14:paraId="215CC30D" w14:textId="77777777"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lastRenderedPageBreak/>
        <w:t>Methods</w:t>
      </w:r>
    </w:p>
    <w:p w14:paraId="7EB37BF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Preparation of PA</w:t>
      </w:r>
      <w:r>
        <w:rPr>
          <w:rFonts w:ascii="Book Antiqua" w:eastAsia="宋体" w:hAnsi="Book Antiqua" w:cs="Book Antiqua" w:hint="eastAsia"/>
          <w:b/>
          <w:bCs/>
          <w:color w:val="000000"/>
          <w:lang w:eastAsia="zh-CN"/>
        </w:rPr>
        <w:t xml:space="preserve">: </w:t>
      </w:r>
      <w:r>
        <w:rPr>
          <w:rFonts w:ascii="Book Antiqua" w:eastAsia="Book Antiqua" w:hAnsi="Book Antiqua" w:cs="Book Antiqua"/>
          <w:i/>
          <w:iCs/>
          <w:color w:val="000000"/>
        </w:rPr>
        <w:t>A. Satureioides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identified by Professor Peng H</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Anhui University of Chinese Medicine. Nine kilograms of dried </w:t>
      </w:r>
      <w:r>
        <w:rPr>
          <w:rFonts w:ascii="Book Antiqua" w:eastAsia="Book Antiqua" w:hAnsi="Book Antiqua" w:cs="Book Antiqua"/>
          <w:i/>
          <w:iCs/>
          <w:color w:val="000000"/>
        </w:rPr>
        <w:t>A. satureioides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pulverized mechanically and extracted five times with the amount of 95% ethanol. It was then heated and refluxed two times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h each, and subsequently heated and refluxed three times with the amount of 50% ethanol two times for 1 h each. Then, the ethanol extracts were combined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concentrated under reduced pressure to give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brown solid material (1.6 kg), which was extracted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ethyl acetate. Next, this ethyl acetate fraction (950 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subjected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silica gel column chromatography (petroleum ether:</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cetone 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and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 to obtain six fractions (Fr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w:t>
      </w:r>
      <w:r>
        <w:rPr>
          <w:rFonts w:ascii="Book Antiqua" w:eastAsia="宋体" w:hAnsi="Book Antiqua" w:cs="Book Antiqua" w:hint="eastAsia"/>
          <w:color w:val="000000"/>
          <w:lang w:eastAsia="zh-CN"/>
        </w:rPr>
        <w:t>-</w:t>
      </w:r>
      <w:r>
        <w:rPr>
          <w:rFonts w:ascii="Book Antiqua" w:eastAsia="Book Antiqua" w:hAnsi="Book Antiqua" w:cs="Book Antiqua"/>
          <w:color w:val="000000"/>
        </w:rPr>
        <w:t>6). Among them, Fr. 2 (110 g) was eluted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silica gel column chromatography (petroleum ether:</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cetone 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to obtain 10 fractions. Among these, Fr. 2</w:t>
      </w:r>
      <w:r>
        <w:rPr>
          <w:rFonts w:ascii="Book Antiqua" w:eastAsia="宋体" w:hAnsi="Book Antiqua" w:cs="Book Antiqua" w:hint="eastAsia"/>
          <w:color w:val="000000"/>
          <w:lang w:eastAsia="zh-CN"/>
        </w:rPr>
        <w:t>-</w:t>
      </w:r>
      <w:r>
        <w:rPr>
          <w:rFonts w:ascii="Book Antiqua" w:eastAsia="Book Antiqua" w:hAnsi="Book Antiqua" w:cs="Book Antiqua"/>
          <w:color w:val="000000"/>
        </w:rPr>
        <w:t>10 were subjected to medium</w:t>
      </w:r>
      <w:r>
        <w:rPr>
          <w:rFonts w:ascii="Book Antiqua" w:eastAsia="宋体" w:hAnsi="Book Antiqua" w:cs="Book Antiqua" w:hint="eastAsia"/>
          <w:color w:val="000000"/>
          <w:lang w:eastAsia="zh-CN"/>
        </w:rPr>
        <w:t>-</w:t>
      </w:r>
      <w:r>
        <w:rPr>
          <w:rFonts w:ascii="Book Antiqua" w:eastAsia="Book Antiqua" w:hAnsi="Book Antiqua" w:cs="Book Antiqua"/>
          <w:color w:val="000000"/>
        </w:rPr>
        <w:t>pressure preparative chromatography (methanol:</w:t>
      </w:r>
      <w:r>
        <w:rPr>
          <w:rFonts w:ascii="Book Antiqua" w:eastAsia="宋体" w:hAnsi="Book Antiqua" w:cs="Book Antiqua" w:hint="eastAsia"/>
          <w:color w:val="000000"/>
          <w:lang w:eastAsia="zh-CN"/>
        </w:rPr>
        <w:t xml:space="preserve"> W</w:t>
      </w:r>
      <w:r>
        <w:rPr>
          <w:rFonts w:ascii="Book Antiqua" w:eastAsia="Book Antiqua" w:hAnsi="Book Antiqua" w:cs="Book Antiqua"/>
          <w:color w:val="000000"/>
        </w:rPr>
        <w:t>ater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70</w:t>
      </w:r>
      <w:r>
        <w:rPr>
          <w:rFonts w:ascii="Book Antiqua" w:eastAsia="宋体" w:hAnsi="Book Antiqua" w:cs="Book Antiqua" w:hint="eastAsia"/>
          <w:color w:val="000000"/>
          <w:lang w:eastAsia="zh-CN"/>
        </w:rPr>
        <w:t>-</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gradient elution to obtain five fractions. Fr. 2</w:t>
      </w:r>
      <w:r>
        <w:rPr>
          <w:rFonts w:ascii="Book Antiqua" w:eastAsia="宋体" w:hAnsi="Book Antiqua" w:cs="Book Antiqua" w:hint="eastAsia"/>
          <w:color w:val="000000"/>
          <w:lang w:eastAsia="zh-CN"/>
        </w:rPr>
        <w:t>-</w:t>
      </w:r>
      <w:r>
        <w:rPr>
          <w:rFonts w:ascii="Book Antiqua" w:eastAsia="Book Antiqua" w:hAnsi="Book Antiqua" w:cs="Book Antiqua"/>
          <w:color w:val="000000"/>
        </w:rPr>
        <w:t>10</w:t>
      </w:r>
      <w:r>
        <w:rPr>
          <w:rFonts w:ascii="Book Antiqua" w:eastAsia="宋体" w:hAnsi="Book Antiqua" w:cs="Book Antiqua" w:hint="eastAsia"/>
          <w:color w:val="000000"/>
          <w:lang w:eastAsia="zh-CN"/>
        </w:rPr>
        <w:t>-</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then subjected to gel column chromatography (CH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Cl</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/MeOH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silica gel column chromatography (petroleum ether/acetone 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preparative thin-layer chromatography (petroleum ether/acetone 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to afford the compound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(116.6 mg). The concentrations of PA and PAO in this study were determined based on previous publications</w:t>
      </w:r>
      <w:r>
        <w:rPr>
          <w:rFonts w:ascii="Book Antiqua" w:eastAsia="Book Antiqua" w:hAnsi="Book Antiqua" w:cs="Book Antiqua"/>
          <w:color w:val="000000"/>
          <w:szCs w:val="36"/>
          <w:vertAlign w:val="superscript"/>
        </w:rPr>
        <w:t>[16</w:t>
      </w:r>
      <w:r>
        <w:rPr>
          <w:rFonts w:ascii="Book Antiqua" w:eastAsia="宋体" w:hAnsi="Book Antiqua" w:cs="Book Antiqua" w:hint="eastAsia"/>
          <w:color w:val="000000"/>
          <w:szCs w:val="36"/>
          <w:vertAlign w:val="superscript"/>
          <w:lang w:eastAsia="zh-CN"/>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preliminary experiment.</w:t>
      </w:r>
    </w:p>
    <w:p w14:paraId="46A8E145" w14:textId="77777777" w:rsidR="003D6C41" w:rsidRDefault="003D6C41">
      <w:pPr>
        <w:adjustRightInd w:val="0"/>
        <w:snapToGrid w:val="0"/>
        <w:spacing w:line="360" w:lineRule="auto"/>
        <w:ind w:firstLine="560"/>
        <w:jc w:val="both"/>
        <w:rPr>
          <w:rFonts w:ascii="Book Antiqua" w:hAnsi="Book Antiqua" w:cs="Book Antiqua"/>
        </w:rPr>
      </w:pPr>
    </w:p>
    <w:p w14:paraId="57D6E2A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Nuclear </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 xml:space="preserve">agnetic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esonance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NMR</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DMSO</w:t>
      </w:r>
      <w:r>
        <w:rPr>
          <w:rFonts w:ascii="Book Antiqua" w:eastAsia="宋体" w:hAnsi="Book Antiqua" w:cs="Book Antiqua" w:hint="eastAsia"/>
          <w:color w:val="000000"/>
          <w:lang w:eastAsia="zh-CN"/>
        </w:rPr>
        <w:t>-</w:t>
      </w:r>
      <w:r>
        <w:rPr>
          <w:rFonts w:ascii="Book Antiqua" w:eastAsia="Book Antiqua" w:hAnsi="Book Antiqua" w:cs="Book Antiqua"/>
          <w:color w:val="000000"/>
        </w:rPr>
        <w:t>d6 was used to dissolve the compound PA. An NMR spectrometer (Bruker Corporation, Solna, Sweden) was used to record C-NMR (125 MHz) and H-NMR (500 MHz) spectra. All chemical shifts were reported in δ (ppm) relative to tetramethylsilane.</w:t>
      </w:r>
    </w:p>
    <w:p w14:paraId="69C2825A" w14:textId="77777777" w:rsidR="003D6C41" w:rsidRDefault="003D6C41">
      <w:pPr>
        <w:adjustRightInd w:val="0"/>
        <w:snapToGrid w:val="0"/>
        <w:spacing w:line="360" w:lineRule="auto"/>
        <w:ind w:firstLine="560"/>
        <w:jc w:val="both"/>
        <w:rPr>
          <w:rFonts w:ascii="Book Antiqua" w:hAnsi="Book Antiqua" w:cs="Book Antiqua"/>
        </w:rPr>
      </w:pPr>
    </w:p>
    <w:p w14:paraId="660F946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Cell culture and proliferation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Cells were cultured in McCoy’s 5A (</w:t>
      </w:r>
      <w:r>
        <w:rPr>
          <w:rFonts w:ascii="Book Antiqua" w:eastAsia="宋体" w:hAnsi="Book Antiqua" w:cs="Book Antiqua" w:hint="eastAsia"/>
          <w:color w:val="000000"/>
          <w:lang w:eastAsia="zh-CN"/>
        </w:rPr>
        <w:t>m</w:t>
      </w:r>
      <w:r>
        <w:rPr>
          <w:rFonts w:ascii="Book Antiqua" w:eastAsia="Book Antiqua" w:hAnsi="Book Antiqua" w:cs="Book Antiqua"/>
          <w:color w:val="000000"/>
        </w:rPr>
        <w:t>odified) medium containing 50 U/mL penicillin, 50 mg/mL streptomycin, and 10% FBS under conditions of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The medium was replaced with serum</w:t>
      </w:r>
      <w:r>
        <w:rPr>
          <w:rFonts w:ascii="Book Antiqua" w:eastAsia="宋体" w:hAnsi="Book Antiqua" w:cs="Book Antiqua" w:hint="eastAsia"/>
          <w:color w:val="000000"/>
          <w:lang w:eastAsia="zh-CN"/>
        </w:rPr>
        <w:t>-</w:t>
      </w:r>
      <w:r>
        <w:rPr>
          <w:rFonts w:ascii="Book Antiqua" w:eastAsia="Book Antiqua" w:hAnsi="Book Antiqua" w:cs="Book Antiqua"/>
          <w:color w:val="000000"/>
        </w:rPr>
        <w:t>free medium 24 h before the different treatments.</w:t>
      </w:r>
    </w:p>
    <w:p w14:paraId="7EBE22B7" w14:textId="77777777" w:rsidR="003D6C41" w:rsidRDefault="00000000">
      <w:pPr>
        <w:adjustRightInd w:val="0"/>
        <w:snapToGrid w:val="0"/>
        <w:spacing w:line="360" w:lineRule="auto"/>
        <w:ind w:firstLine="560"/>
        <w:jc w:val="both"/>
        <w:rPr>
          <w:rFonts w:ascii="Book Antiqua" w:hAnsi="Book Antiqua" w:cs="Book Antiqua"/>
        </w:rPr>
      </w:pPr>
      <w:r>
        <w:rPr>
          <w:rFonts w:ascii="Book Antiqua" w:eastAsia="Book Antiqua" w:hAnsi="Book Antiqua" w:cs="Book Antiqua"/>
          <w:color w:val="000000"/>
        </w:rPr>
        <w:lastRenderedPageBreak/>
        <w:t xml:space="preserve">The MTT method was used to detect cell proliferation. Cells (1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were seeded in a 96</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After 12 h, the cells were treated with different concentrations of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 6.25, 7.5, 10, 12.5, 15, and 20 μg/mL equivalent to 10.59, 13.24, 15.89, 21.18, 26.48, 31.77, and 42.36 μM, respectively) or PAO (10, 20, 40, 60, 80, and 100 μM, respectively) medium with 0.1% DMSO. After different durations of incubation (24, 48, and 72 h), MTT reagents were used to incubate cells for 3 h. Then, the OD value was detected with an </w:t>
      </w:r>
      <w:r>
        <w:rPr>
          <w:rFonts w:ascii="Book Antiqua" w:eastAsia="宋体" w:hAnsi="Book Antiqua" w:cs="Book Antiqua" w:hint="eastAsia"/>
          <w:color w:val="000000"/>
          <w:lang w:eastAsia="zh-CN"/>
        </w:rPr>
        <w:t>e</w:t>
      </w:r>
      <w:r>
        <w:rPr>
          <w:rFonts w:ascii="Book Antiqua" w:eastAsia="Book Antiqua" w:hAnsi="Book Antiqua" w:cs="Book Antiqua"/>
          <w:color w:val="000000"/>
        </w:rPr>
        <w:t>nzyme</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inked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mmunosorbent </w:t>
      </w:r>
      <w:r>
        <w:rPr>
          <w:rFonts w:ascii="Book Antiqua" w:eastAsia="宋体" w:hAnsi="Book Antiqua" w:cs="Book Antiqua" w:hint="eastAsia"/>
          <w:color w:val="000000"/>
          <w:lang w:eastAsia="zh-CN"/>
        </w:rPr>
        <w:t>a</w:t>
      </w:r>
      <w:r>
        <w:rPr>
          <w:rFonts w:ascii="Book Antiqua" w:eastAsia="Book Antiqua" w:hAnsi="Book Antiqua" w:cs="Book Antiqua"/>
          <w:color w:val="000000"/>
        </w:rPr>
        <w:t>ssay reader (Thermo Fisher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Scientific, United States) at a wavelength of 490 nm. The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and inhibition rate were calculated.</w:t>
      </w:r>
    </w:p>
    <w:p w14:paraId="5F46AFC1" w14:textId="77777777" w:rsidR="003D6C41" w:rsidRDefault="003D6C41">
      <w:pPr>
        <w:adjustRightInd w:val="0"/>
        <w:snapToGrid w:val="0"/>
        <w:spacing w:line="360" w:lineRule="auto"/>
        <w:ind w:firstLine="560"/>
        <w:jc w:val="both"/>
        <w:rPr>
          <w:rFonts w:ascii="Book Antiqua" w:hAnsi="Book Antiqua" w:cs="Book Antiqua"/>
        </w:rPr>
      </w:pPr>
    </w:p>
    <w:p w14:paraId="35D160E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Hoechst 33342 staining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(2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/well) were seeded in a 24</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cell slides were added in per well. After being synchronized, the cells were treated with the medium or PA for 24 and 48 h. The cells were then washed in phosphate buffer saline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PBS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three times, while Hoechst 33342 (10 μg/mL) was added to each well for 30 min. The cell slides were taken out, placed on a glass slide, and observed under a laser scanning confocal microscope.</w:t>
      </w:r>
    </w:p>
    <w:p w14:paraId="3C7F0C9B" w14:textId="77777777" w:rsidR="003D6C41" w:rsidRDefault="003D6C41">
      <w:pPr>
        <w:adjustRightInd w:val="0"/>
        <w:snapToGrid w:val="0"/>
        <w:spacing w:line="360" w:lineRule="auto"/>
        <w:ind w:firstLine="560"/>
        <w:jc w:val="both"/>
        <w:rPr>
          <w:rFonts w:ascii="Book Antiqua" w:hAnsi="Book Antiqua" w:cs="Book Antiqua"/>
        </w:rPr>
      </w:pPr>
    </w:p>
    <w:p w14:paraId="711360D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Acridine orange/ethidium bromide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(AO/EB) double staining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(2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/well) were seeded in a 24</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and cell slides were added in per well. After being synchronized, the cells were treated with the medium or PA for 24 and 48 h. The cells were washed in PBS three times, while 10 μL of AO/EB solution was added for incubation (5 min). Then, the cell slides were taken out and observed under a confocal microscope.</w:t>
      </w:r>
    </w:p>
    <w:p w14:paraId="0F77CDDD" w14:textId="77777777" w:rsidR="003D6C41" w:rsidRDefault="003D6C41">
      <w:pPr>
        <w:adjustRightInd w:val="0"/>
        <w:snapToGrid w:val="0"/>
        <w:spacing w:line="360" w:lineRule="auto"/>
        <w:ind w:firstLine="560"/>
        <w:jc w:val="both"/>
        <w:rPr>
          <w:rFonts w:ascii="Book Antiqua" w:hAnsi="Book Antiqua" w:cs="Book Antiqua"/>
        </w:rPr>
      </w:pPr>
    </w:p>
    <w:p w14:paraId="0221470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Cell apoptosis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/well) were seeded in a six</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After the administration of drugs for 24 and 48 h, the cells were collected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washed with PBS three times. Annexin 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FITC and PI were used for staining, and the cells were analyzed with a FACS </w:t>
      </w:r>
      <w:r>
        <w:rPr>
          <w:rFonts w:ascii="Book Antiqua" w:eastAsia="宋体" w:hAnsi="Book Antiqua" w:cs="Book Antiqua" w:hint="eastAsia"/>
          <w:color w:val="000000"/>
          <w:lang w:eastAsia="zh-CN"/>
        </w:rPr>
        <w:t>v</w:t>
      </w:r>
      <w:r>
        <w:rPr>
          <w:rFonts w:ascii="Book Antiqua" w:eastAsia="Book Antiqua" w:hAnsi="Book Antiqua" w:cs="Book Antiqua"/>
          <w:color w:val="000000"/>
        </w:rPr>
        <w:t>erse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instrument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(BD Biosciences, San Jose, CA, United States).</w:t>
      </w:r>
    </w:p>
    <w:p w14:paraId="51AE32FA" w14:textId="77777777" w:rsidR="003D6C41" w:rsidRDefault="003D6C41">
      <w:pPr>
        <w:adjustRightInd w:val="0"/>
        <w:snapToGrid w:val="0"/>
        <w:spacing w:line="360" w:lineRule="auto"/>
        <w:ind w:firstLine="560"/>
        <w:jc w:val="both"/>
        <w:rPr>
          <w:rFonts w:ascii="Book Antiqua" w:hAnsi="Book Antiqua" w:cs="Book Antiqua"/>
        </w:rPr>
      </w:pPr>
    </w:p>
    <w:p w14:paraId="22E68873"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Cell cycle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/well) were seeded in a six-well plate. After the administration of drugs for 24 and 48 h, the cells were collected and washed with PBS </w:t>
      </w:r>
      <w:r>
        <w:rPr>
          <w:rFonts w:ascii="Book Antiqua" w:eastAsia="Book Antiqua" w:hAnsi="Book Antiqua" w:cs="Book Antiqua"/>
          <w:color w:val="000000"/>
        </w:rPr>
        <w:lastRenderedPageBreak/>
        <w:t>three times. The cells were then fixed in ice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cold 70% ethanol overnight. They were then stained with 500 μL of a PI RNase solution for 15 min and analyzed by flow cytometry (FACS </w:t>
      </w:r>
      <w:r>
        <w:rPr>
          <w:rFonts w:ascii="Book Antiqua" w:eastAsia="宋体" w:hAnsi="Book Antiqua" w:cs="Book Antiqua" w:hint="eastAsia"/>
          <w:color w:val="000000"/>
          <w:lang w:eastAsia="zh-CN"/>
        </w:rPr>
        <w:t>v</w:t>
      </w:r>
      <w:r>
        <w:rPr>
          <w:rFonts w:ascii="Book Antiqua" w:eastAsia="Book Antiqua" w:hAnsi="Book Antiqua" w:cs="Book Antiqua"/>
          <w:color w:val="000000"/>
        </w:rPr>
        <w:t>erse; BD Biosciences, United States). FlowJo version 10 software (BD Biosciences, United States) was used for cell phase analysis.</w:t>
      </w:r>
    </w:p>
    <w:p w14:paraId="010D7647" w14:textId="77777777" w:rsidR="003D6C41" w:rsidRDefault="003D6C41">
      <w:pPr>
        <w:adjustRightInd w:val="0"/>
        <w:snapToGrid w:val="0"/>
        <w:spacing w:line="360" w:lineRule="auto"/>
        <w:ind w:firstLine="560"/>
        <w:jc w:val="both"/>
        <w:rPr>
          <w:rFonts w:ascii="Book Antiqua" w:hAnsi="Book Antiqua" w:cs="Book Antiqua"/>
        </w:rPr>
      </w:pPr>
    </w:p>
    <w:p w14:paraId="7C7F34B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Scratch motility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/well) were seeded in a six</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and cultured under conditions of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A 10 μL sterilized pipette tip was then used to scrape the cell monolayer. The particular drug was added in the form of serum</w:t>
      </w:r>
      <w:r>
        <w:rPr>
          <w:rFonts w:ascii="Book Antiqua" w:eastAsia="宋体" w:hAnsi="Book Antiqua" w:cs="Book Antiqua" w:hint="eastAsia"/>
          <w:color w:val="000000"/>
          <w:lang w:eastAsia="zh-CN"/>
        </w:rPr>
        <w:t>-</w:t>
      </w:r>
      <w:r>
        <w:rPr>
          <w:rFonts w:ascii="Book Antiqua" w:eastAsia="Book Antiqua" w:hAnsi="Book Antiqua" w:cs="Book Antiqua"/>
          <w:color w:val="000000"/>
        </w:rPr>
        <w:t>free medium containing different drug concentrations, while the vehicle group was treated with 0.1% DMSO serum-free medium. The distance of cell movement was measured every 24 h until 48 h. The migration area was measured by ImageJ</w:t>
      </w:r>
      <w:r>
        <w:rPr>
          <w:rFonts w:ascii="Book Antiqua" w:eastAsia="Book Antiqua" w:hAnsi="Book Antiqua" w:cs="Book Antiqua"/>
          <w:color w:val="000000"/>
          <w:szCs w:val="36"/>
          <w:vertAlign w:val="superscript"/>
        </w:rPr>
        <w:t>[1</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7174AA5" w14:textId="77777777" w:rsidR="003D6C41" w:rsidRDefault="003D6C41">
      <w:pPr>
        <w:adjustRightInd w:val="0"/>
        <w:snapToGrid w:val="0"/>
        <w:spacing w:line="360" w:lineRule="auto"/>
        <w:ind w:firstLine="560"/>
        <w:jc w:val="both"/>
        <w:rPr>
          <w:rFonts w:ascii="Book Antiqua" w:hAnsi="Book Antiqua" w:cs="Book Antiqua"/>
        </w:rPr>
      </w:pPr>
    </w:p>
    <w:p w14:paraId="13977748" w14:textId="0E2D66AB"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Reverse-transcription and real-time </w:t>
      </w:r>
      <w:r>
        <w:rPr>
          <w:rFonts w:ascii="Book Antiqua" w:eastAsia="Book Antiqua" w:hAnsi="Book Antiqua" w:cs="Book Antiqua" w:hint="eastAsia"/>
          <w:b/>
          <w:bCs/>
          <w:color w:val="000000"/>
        </w:rPr>
        <w:t>polymerase chain reaction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RT-PCR</w:t>
      </w:r>
      <w:r>
        <w:rPr>
          <w:rFonts w:ascii="Book Antiqua" w:eastAsia="宋体" w:hAnsi="Book Antiqua" w:cs="Book Antiqua" w:hint="eastAsia"/>
          <w:b/>
          <w:bCs/>
          <w:color w:val="000000"/>
          <w:lang w:eastAsia="zh-CN"/>
        </w:rPr>
        <w:t>)</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color w:val="000000"/>
        </w:rPr>
        <w:t>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were exposed to the drugs for 48 h. TRIzol reagent was used for RNA extraction. Reverse-transcription PCR was performed using an RT-PCR Kit (TransGen Biotech, China). Real-time PCR was performed with TransStart®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Top Green qPCR SuperMix (TransGen Biotech, China). The 2</w:t>
      </w:r>
      <w:r>
        <w:rPr>
          <w:rFonts w:ascii="Book Antiqua" w:eastAsia="Book Antiqua" w:hAnsi="Book Antiqua" w:cs="Book Antiqua"/>
          <w:color w:val="000000"/>
          <w:szCs w:val="36"/>
          <w:vertAlign w:val="superscript"/>
        </w:rPr>
        <w:t>-</w:t>
      </w:r>
      <w:r w:rsidR="00AE1B70" w:rsidRPr="00AE1B70">
        <w:rPr>
          <w:rFonts w:ascii="Book Antiqua" w:eastAsia="Book Antiqua" w:hAnsi="Book Antiqua" w:cs="Book Antiqua"/>
          <w:color w:val="000000"/>
          <w:vertAlign w:val="superscript"/>
        </w:rPr>
        <w:t>ΔΔ</w:t>
      </w:r>
      <w:r>
        <w:rPr>
          <w:rFonts w:ascii="Book Antiqua" w:eastAsia="Book Antiqua" w:hAnsi="Book Antiqua" w:cs="Book Antiqua"/>
          <w:color w:val="000000"/>
          <w:vertAlign w:val="superscript"/>
        </w:rPr>
        <w:t>t</w:t>
      </w:r>
      <w:r>
        <w:rPr>
          <w:rFonts w:ascii="Book Antiqua" w:eastAsia="Book Antiqua" w:hAnsi="Book Antiqua" w:cs="Book Antiqua"/>
          <w:color w:val="000000"/>
        </w:rPr>
        <w:t xml:space="preserve"> method was used for gene expression analysis. The primers used are listed in </w:t>
      </w:r>
      <w:r>
        <w:rPr>
          <w:rFonts w:ascii="Book Antiqua" w:eastAsia="宋体" w:hAnsi="Book Antiqua" w:cs="Book Antiqua" w:hint="eastAsia"/>
          <w:color w:val="000000"/>
          <w:lang w:eastAsia="zh-CN"/>
        </w:rPr>
        <w:t>S</w:t>
      </w:r>
      <w:r>
        <w:rPr>
          <w:rFonts w:ascii="Book Antiqua" w:eastAsia="Book Antiqua" w:hAnsi="Book Antiqua" w:cs="Book Antiqua"/>
          <w:color w:val="000000"/>
        </w:rPr>
        <w:t>upplementary Table 1.</w:t>
      </w:r>
    </w:p>
    <w:p w14:paraId="34C7C8BE" w14:textId="77777777" w:rsidR="003D6C41" w:rsidRDefault="003D6C41">
      <w:pPr>
        <w:adjustRightInd w:val="0"/>
        <w:snapToGrid w:val="0"/>
        <w:spacing w:line="360" w:lineRule="auto"/>
        <w:ind w:firstLine="480"/>
        <w:jc w:val="both"/>
        <w:rPr>
          <w:rFonts w:ascii="Book Antiqua" w:hAnsi="Book Antiqua" w:cs="Book Antiqua"/>
        </w:rPr>
      </w:pPr>
    </w:p>
    <w:p w14:paraId="6F6CF4B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Western blotting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After the administration of drugs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24 and 48 h, cell lysates were collected. Protein samples (30 μg) were separated by 10% SDS</w:t>
      </w:r>
      <w:r>
        <w:rPr>
          <w:rFonts w:ascii="Book Antiqua" w:eastAsia="宋体" w:hAnsi="Book Antiqua" w:cs="Book Antiqua" w:hint="eastAsia"/>
          <w:color w:val="000000"/>
          <w:lang w:eastAsia="zh-CN"/>
        </w:rPr>
        <w:t>-</w:t>
      </w:r>
      <w:r>
        <w:rPr>
          <w:rFonts w:ascii="Book Antiqua" w:eastAsia="Book Antiqua" w:hAnsi="Book Antiqua" w:cs="Book Antiqua"/>
          <w:color w:val="000000"/>
        </w:rPr>
        <w:t>PAGE and transferred to PVDF membranes. These PVDF membranes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incubated with related primary antibodies overnight. These membranes were then incubated with secondary antibodies for 4 h. An enhanced chemiluminescence kit (Transgen, Beijing, China) was used to detect immunolabeling. Grayscale values were measured using ImageJ.</w:t>
      </w:r>
    </w:p>
    <w:p w14:paraId="41F50C90" w14:textId="77777777" w:rsidR="003D6C41" w:rsidRDefault="003D6C41">
      <w:pPr>
        <w:adjustRightInd w:val="0"/>
        <w:snapToGrid w:val="0"/>
        <w:spacing w:line="360" w:lineRule="auto"/>
        <w:ind w:firstLine="560"/>
        <w:jc w:val="both"/>
        <w:rPr>
          <w:rFonts w:ascii="Book Antiqua" w:hAnsi="Book Antiqua" w:cs="Book Antiqua"/>
        </w:rPr>
      </w:pPr>
    </w:p>
    <w:p w14:paraId="70EFC25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Statistical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All data are presented here as mean ± standard deviation from at least three independent experiments. In the figures, data representative of the experiments are presented. The statistical significance of differences was assessed by one-way analysis of variance.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to reflect statistical significance.</w:t>
      </w:r>
    </w:p>
    <w:p w14:paraId="3900194A" w14:textId="77777777" w:rsidR="003D6C41" w:rsidRDefault="003D6C41">
      <w:pPr>
        <w:adjustRightInd w:val="0"/>
        <w:snapToGrid w:val="0"/>
        <w:spacing w:line="360" w:lineRule="auto"/>
        <w:ind w:firstLine="560"/>
        <w:jc w:val="both"/>
        <w:rPr>
          <w:rFonts w:ascii="Book Antiqua" w:hAnsi="Book Antiqua" w:cs="Book Antiqua"/>
        </w:rPr>
      </w:pPr>
    </w:p>
    <w:p w14:paraId="53D70BDD"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7BEF1145" w14:textId="77777777"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suppressed HT</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29 cell proliferation in vitro</w:t>
      </w:r>
    </w:p>
    <w:p w14:paraId="1D768B2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investigate the effects of PA and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colon cancer cells, the MTT assay was performed. PA treatment at 6.25, 7.5, 10, 12.5, 15, and 20 μg/mL exerted significant inhibitory effects.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for the treatments lasting 24, 48, and 72 h were 9.7, 7.6, and 8.8 μg/mL, respectively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Meanwhile, PAO treatments at 10, 20, 40, 60, 80, and 100 μM also exerted significant inhibitory effects in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time</w:t>
      </w:r>
      <w:r>
        <w:rPr>
          <w:rFonts w:ascii="Book Antiqua" w:eastAsia="宋体" w:hAnsi="Book Antiqua" w:cs="Book Antiqua" w:hint="eastAsia"/>
          <w:color w:val="000000"/>
          <w:lang w:eastAsia="zh-CN"/>
        </w:rPr>
        <w:t>-</w:t>
      </w:r>
      <w:r>
        <w:rPr>
          <w:rFonts w:ascii="Book Antiqua" w:eastAsia="Book Antiqua" w:hAnsi="Book Antiqua" w:cs="Book Antiqua"/>
          <w:color w:val="000000"/>
        </w:rPr>
        <w:t>dependent manner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Here the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for the treatments lasting 24, 48, and 72 h were 50.4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(79.4 μg/mL), 24.3 μM (38.3 μg/mL), and 11.96 μM (18.8 μg/mL), respectively (Figure 1</w:t>
      </w:r>
      <w:r>
        <w:rPr>
          <w:rFonts w:ascii="Book Antiqua" w:eastAsia="宋体" w:hAnsi="Book Antiqua" w:cs="Book Antiqua" w:hint="eastAsia"/>
          <w:color w:val="000000"/>
          <w:lang w:eastAsia="zh-CN"/>
        </w:rPr>
        <w:t>B</w:t>
      </w:r>
      <w:r>
        <w:rPr>
          <w:rFonts w:ascii="Book Antiqua" w:eastAsia="Book Antiqua" w:hAnsi="Book Antiqua" w:cs="Book Antiqua"/>
          <w:color w:val="000000"/>
        </w:rPr>
        <w:t>). Compared with that in the vehicle control group, the cell cycle distribution was changed and the cells were arrested at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phase in the groups treated with PA (Figure 1</w:t>
      </w:r>
      <w:r>
        <w:rPr>
          <w:rFonts w:ascii="Book Antiqua" w:eastAsia="宋体" w:hAnsi="Book Antiqua" w:cs="Book Antiqua" w:hint="eastAsia"/>
          <w:color w:val="000000"/>
          <w:lang w:eastAsia="zh-CN"/>
        </w:rPr>
        <w:t>C and D</w:t>
      </w:r>
      <w:r>
        <w:rPr>
          <w:rFonts w:ascii="Book Antiqua" w:eastAsia="Book Antiqua" w:hAnsi="Book Antiqua" w:cs="Book Antiqua"/>
          <w:color w:val="000000"/>
        </w:rPr>
        <w:t>) and PAO (Figure 1</w:t>
      </w:r>
      <w:r>
        <w:rPr>
          <w:rFonts w:ascii="Book Antiqua" w:eastAsia="宋体" w:hAnsi="Book Antiqua" w:cs="Book Antiqua" w:hint="eastAsia"/>
          <w:color w:val="000000"/>
          <w:lang w:eastAsia="zh-CN"/>
        </w:rPr>
        <w:t>E and F</w:t>
      </w:r>
      <w:r>
        <w:rPr>
          <w:rFonts w:ascii="Book Antiqua" w:eastAsia="Book Antiqua" w:hAnsi="Book Antiqua" w:cs="Book Antiqua"/>
          <w:color w:val="000000"/>
        </w:rPr>
        <w:t>) for 24 (Figure 1</w:t>
      </w:r>
      <w:r>
        <w:rPr>
          <w:rFonts w:ascii="Book Antiqua" w:eastAsia="宋体" w:hAnsi="Book Antiqua" w:cs="Book Antiqua" w:hint="eastAsia"/>
          <w:color w:val="000000"/>
          <w:lang w:eastAsia="zh-CN"/>
        </w:rPr>
        <w:t>C, E</w:t>
      </w:r>
      <w:r>
        <w:rPr>
          <w:rFonts w:ascii="Book Antiqua" w:eastAsia="Book Antiqua" w:hAnsi="Book Antiqua" w:cs="Book Antiqua"/>
          <w:color w:val="000000"/>
        </w:rPr>
        <w:t>) and 48 h (Figure 1</w:t>
      </w:r>
      <w:r>
        <w:rPr>
          <w:rFonts w:ascii="Book Antiqua" w:eastAsia="宋体" w:hAnsi="Book Antiqua" w:cs="Book Antiqua" w:hint="eastAsia"/>
          <w:color w:val="000000"/>
          <w:lang w:eastAsia="zh-CN"/>
        </w:rPr>
        <w:t>D, F</w:t>
      </w:r>
      <w:r>
        <w:rPr>
          <w:rFonts w:ascii="Book Antiqua" w:eastAsia="Book Antiqua" w:hAnsi="Book Antiqua" w:cs="Book Antiqua"/>
          <w:color w:val="000000"/>
        </w:rPr>
        <w:t>).</w:t>
      </w:r>
    </w:p>
    <w:p w14:paraId="67C590EA" w14:textId="77777777" w:rsidR="003D6C41" w:rsidRDefault="003D6C41">
      <w:pPr>
        <w:adjustRightInd w:val="0"/>
        <w:snapToGrid w:val="0"/>
        <w:spacing w:line="360" w:lineRule="auto"/>
        <w:ind w:firstLine="560"/>
        <w:jc w:val="both"/>
        <w:rPr>
          <w:rFonts w:ascii="Book Antiqua" w:hAnsi="Book Antiqua" w:cs="Book Antiqua"/>
        </w:rPr>
      </w:pPr>
    </w:p>
    <w:p w14:paraId="215545DD"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PA and PAO can induce apoptosis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of HT-29 cells</w:t>
      </w:r>
    </w:p>
    <w:p w14:paraId="5F65F57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drug administration for 24 or 48 h, the cells were stained with Hoechst 33342. In this approach, live cells with an intact cellular structure could be distinguished from dead cells with an incomplete structure in which the nucleus was stained. The drug</w:t>
      </w:r>
      <w:r>
        <w:rPr>
          <w:rFonts w:ascii="Book Antiqua" w:eastAsia="宋体" w:hAnsi="Book Antiqua" w:cs="Book Antiqua" w:hint="eastAsia"/>
          <w:color w:val="000000"/>
          <w:lang w:eastAsia="zh-CN"/>
        </w:rPr>
        <w:t>-</w:t>
      </w:r>
      <w:r>
        <w:rPr>
          <w:rFonts w:ascii="Book Antiqua" w:eastAsia="Book Antiqua" w:hAnsi="Book Antiqua" w:cs="Book Antiqua"/>
          <w:color w:val="000000"/>
        </w:rPr>
        <w:t>administered group, especially the high</w:t>
      </w:r>
      <w:r>
        <w:rPr>
          <w:rFonts w:ascii="Book Antiqua" w:eastAsia="宋体" w:hAnsi="Book Antiqua" w:cs="Book Antiqua" w:hint="eastAsia"/>
          <w:color w:val="000000"/>
          <w:lang w:eastAsia="zh-CN"/>
        </w:rPr>
        <w:t>-</w:t>
      </w:r>
      <w:r>
        <w:rPr>
          <w:rFonts w:ascii="Book Antiqua" w:eastAsia="Book Antiqua" w:hAnsi="Book Antiqua" w:cs="Book Antiqua"/>
          <w:color w:val="000000"/>
        </w:rPr>
        <w:t>dose group and the positive group, showed more dead cells, as indicated in Figure 2</w:t>
      </w:r>
      <w:r>
        <w:rPr>
          <w:rFonts w:ascii="Book Antiqua" w:eastAsia="宋体" w:hAnsi="Book Antiqua" w:cs="Book Antiqua" w:hint="eastAsia"/>
          <w:color w:val="000000"/>
          <w:lang w:eastAsia="zh-CN"/>
        </w:rPr>
        <w:t>A and B</w:t>
      </w:r>
      <w:r>
        <w:rPr>
          <w:rFonts w:ascii="Book Antiqua" w:eastAsia="Book Antiqua" w:hAnsi="Book Antiqua" w:cs="Book Antiqua"/>
          <w:color w:val="000000"/>
        </w:rPr>
        <w:t>. Morphologically, the live cells were normal, with the nucleus being uniformly fluorescent green, while the early apoptotic cells were condensed into a hanging bead, with a green or yellow</w:t>
      </w:r>
      <w:r>
        <w:rPr>
          <w:rFonts w:ascii="Book Antiqua" w:eastAsia="宋体" w:hAnsi="Book Antiqua" w:cs="Book Antiqua" w:hint="eastAsia"/>
          <w:color w:val="000000"/>
          <w:lang w:eastAsia="zh-CN"/>
        </w:rPr>
        <w:t>-</w:t>
      </w:r>
      <w:r>
        <w:rPr>
          <w:rFonts w:ascii="Book Antiqua" w:eastAsia="Book Antiqua" w:hAnsi="Book Antiqua" w:cs="Book Antiqua"/>
          <w:color w:val="000000"/>
        </w:rPr>
        <w:t>green color or fragmented coloration. The late apoptotic cells were orange in color and the chromatin was concentrated. Meanwhile, the necrotic cells were round or elliptical, in which the nucleus was dyed orange, and the sizes were relatively s</w:t>
      </w:r>
      <w:r>
        <w:rPr>
          <w:rFonts w:ascii="Book Antiqua" w:eastAsia="宋体" w:hAnsi="Book Antiqua" w:cs="Book Antiqua" w:hint="eastAsia"/>
          <w:color w:val="000000"/>
          <w:lang w:eastAsia="zh-CN"/>
        </w:rPr>
        <w:t>mal</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Among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treated cells, there were increases in apoptotic cells compared with the rate of 2.67% in control cells to 12.07%, 14.14%, and 15.11% in groups treated with 7.5, 10, and 12.5 μg/mL for 24 h (Figure 2</w:t>
      </w:r>
      <w:r>
        <w:rPr>
          <w:rFonts w:ascii="Book Antiqua" w:eastAsia="宋体" w:hAnsi="Book Antiqua" w:cs="Book Antiqua" w:hint="eastAsia"/>
          <w:color w:val="000000"/>
          <w:lang w:eastAsia="zh-CN"/>
        </w:rPr>
        <w:t>C</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from 4.36% to 7.02%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21.45% in groups treated with 7.5, 10, and 12.5 </w:t>
      </w:r>
      <w:r>
        <w:rPr>
          <w:rFonts w:ascii="Book Antiqua" w:eastAsia="Book Antiqua" w:hAnsi="Book Antiqua" w:cs="Book Antiqua"/>
          <w:color w:val="000000"/>
        </w:rPr>
        <w:lastRenderedPageBreak/>
        <w:t>μg/mL for 48 h (Figure 2</w:t>
      </w:r>
      <w:r>
        <w:rPr>
          <w:rFonts w:ascii="Book Antiqua" w:eastAsia="宋体" w:hAnsi="Book Antiqua" w:cs="Book Antiqua" w:hint="eastAsia"/>
          <w:color w:val="000000"/>
          <w:lang w:eastAsia="zh-CN"/>
        </w:rPr>
        <w:t>D</w:t>
      </w:r>
      <w:r>
        <w:rPr>
          <w:rFonts w:ascii="Book Antiqua" w:eastAsia="Book Antiqua" w:hAnsi="Book Antiqua" w:cs="Book Antiqua"/>
          <w:color w:val="000000"/>
        </w:rPr>
        <w:t>). After PAO treatment, the apoptosis rate in the 80 μM and positive group was markedly higher than in the control group (Figure 2</w:t>
      </w:r>
      <w:r>
        <w:rPr>
          <w:rFonts w:ascii="Book Antiqua" w:eastAsia="宋体" w:hAnsi="Book Antiqua" w:cs="Book Antiqua" w:hint="eastAsia"/>
          <w:color w:val="000000"/>
          <w:lang w:eastAsia="zh-CN"/>
        </w:rPr>
        <w:t>E</w:t>
      </w:r>
      <w:r>
        <w:rPr>
          <w:rFonts w:ascii="Book Antiqua" w:eastAsia="Book Antiqua" w:hAnsi="Book Antiqua" w:cs="Book Antiqua"/>
          <w:color w:val="000000"/>
        </w:rPr>
        <w:t>).</w:t>
      </w:r>
    </w:p>
    <w:p w14:paraId="6587C42E" w14:textId="77777777" w:rsidR="003D6C41" w:rsidRDefault="003D6C41">
      <w:pPr>
        <w:adjustRightInd w:val="0"/>
        <w:snapToGrid w:val="0"/>
        <w:spacing w:line="360" w:lineRule="auto"/>
        <w:ind w:firstLine="480"/>
        <w:jc w:val="both"/>
        <w:rPr>
          <w:rFonts w:ascii="Book Antiqua" w:hAnsi="Book Antiqua" w:cs="Book Antiqua"/>
        </w:rPr>
      </w:pPr>
    </w:p>
    <w:p w14:paraId="247DF7A6" w14:textId="77777777"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 reduced scratch healing</w:t>
      </w:r>
    </w:p>
    <w:p w14:paraId="0F92541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the administration of drugs, the speed and extent of scratch healing in the drug group were lower than those in the vehicle group. A concentration of 12.5 μg/mL could significantly reduce the scratch healing rate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at 24 and 48 h, respectively) (Figure 3</w:t>
      </w:r>
      <w:r>
        <w:rPr>
          <w:rFonts w:ascii="Book Antiqua" w:eastAsia="宋体" w:hAnsi="Book Antiqua" w:cs="Book Antiqua" w:hint="eastAsia"/>
          <w:color w:val="000000"/>
          <w:lang w:eastAsia="zh-CN"/>
        </w:rPr>
        <w:t>A</w:t>
      </w:r>
      <w:r>
        <w:rPr>
          <w:rFonts w:ascii="Book Antiqua" w:eastAsia="Book Antiqua" w:hAnsi="Book Antiqua" w:cs="Book Antiqua"/>
          <w:color w:val="000000"/>
        </w:rPr>
        <w:t>). There was no significant difference at 24 h, but the PAO concentrations of 60 and 80 μM significantly reduced the healing rate of scratches at 48 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0.0001, Figure 3</w:t>
      </w:r>
      <w:r>
        <w:rPr>
          <w:rFonts w:ascii="Book Antiqua" w:eastAsia="宋体" w:hAnsi="Book Antiqua" w:cs="Book Antiqua" w:hint="eastAsia"/>
          <w:color w:val="000000"/>
          <w:lang w:eastAsia="zh-CN"/>
        </w:rPr>
        <w:t>B</w:t>
      </w:r>
      <w:r>
        <w:rPr>
          <w:rFonts w:ascii="Book Antiqua" w:eastAsia="Book Antiqua" w:hAnsi="Book Antiqua" w:cs="Book Antiqua"/>
          <w:color w:val="000000"/>
        </w:rPr>
        <w:t>).</w:t>
      </w:r>
    </w:p>
    <w:p w14:paraId="7BB13725" w14:textId="77777777" w:rsidR="003D6C41" w:rsidRDefault="003D6C41">
      <w:pPr>
        <w:adjustRightInd w:val="0"/>
        <w:snapToGrid w:val="0"/>
        <w:spacing w:line="360" w:lineRule="auto"/>
        <w:ind w:firstLine="480"/>
        <w:jc w:val="both"/>
        <w:rPr>
          <w:rFonts w:ascii="Book Antiqua" w:hAnsi="Book Antiqua" w:cs="Book Antiqua"/>
        </w:rPr>
      </w:pPr>
    </w:p>
    <w:p w14:paraId="589D6E24" w14:textId="77777777"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 induced apoptosis via</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the autophagy pathway</w:t>
      </w:r>
    </w:p>
    <w:p w14:paraId="2A9743E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expand these findings, the mechanisms behind the anti-colon cancer effects of PA and PAO were explored further. More protein levels were determined. We found that the levels of Bax/Bcl2,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Caspase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LC3II/I, Beclin1, and p62 proteins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markedly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enhanced in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 PA or PAO treatment and the expression of</w:t>
      </w:r>
      <w:r>
        <w:rPr>
          <w:rFonts w:ascii="Book Antiqua" w:eastAsia="宋体" w:hAnsi="Book Antiqua" w:cs="Book Antiqua" w:hint="eastAsia"/>
          <w:color w:val="000000"/>
          <w:lang w:eastAsia="zh-CN"/>
        </w:rPr>
        <w:t xml:space="preserve"> JAK</w:t>
      </w:r>
      <w:r>
        <w:rPr>
          <w:rFonts w:ascii="Book Antiqua" w:eastAsia="Book Antiqua" w:hAnsi="Book Antiqua" w:cs="Book Antiqua"/>
          <w:color w:val="000000"/>
        </w:rPr>
        <w:t xml:space="preserve"> STAT3 or p-STAT3 was downregulated (Figure 4). Meanwhile, no effect on the expression of Beclin1 was noted in the PA or PAO group (Figure 5</w:t>
      </w:r>
      <w:r>
        <w:rPr>
          <w:rFonts w:ascii="Book Antiqua" w:eastAsia="宋体" w:hAnsi="Book Antiqua" w:cs="Book Antiqua" w:hint="eastAsia"/>
          <w:color w:val="000000"/>
          <w:lang w:eastAsia="zh-CN"/>
        </w:rPr>
        <w:t>A</w:t>
      </w:r>
      <w:r>
        <w:rPr>
          <w:rFonts w:ascii="Book Antiqua" w:eastAsia="Book Antiqua" w:hAnsi="Book Antiqua" w:cs="Book Antiqua"/>
          <w:color w:val="000000"/>
        </w:rPr>
        <w:t>). Notably, the mRNA expression of Caspase3 and LC3II/I was upregulated while p62 was downregulated after treatment with PA or PAO (Figure 5</w:t>
      </w:r>
      <w:r>
        <w:rPr>
          <w:rFonts w:ascii="Book Antiqua" w:eastAsia="宋体" w:hAnsi="Book Antiqua" w:cs="Book Antiqua" w:hint="eastAsia"/>
          <w:color w:val="000000"/>
          <w:lang w:eastAsia="zh-CN"/>
        </w:rPr>
        <w:t>B-D</w:t>
      </w:r>
      <w:r>
        <w:rPr>
          <w:rFonts w:ascii="Book Antiqua" w:eastAsia="Book Antiqua" w:hAnsi="Book Antiqua" w:cs="Book Antiqua"/>
          <w:color w:val="000000"/>
        </w:rPr>
        <w:t>). These results are basically consistent with the results of phenotypic research mentioned above.</w:t>
      </w:r>
    </w:p>
    <w:p w14:paraId="0814D32E" w14:textId="77777777" w:rsidR="003D6C41" w:rsidRDefault="003D6C41">
      <w:pPr>
        <w:adjustRightInd w:val="0"/>
        <w:snapToGrid w:val="0"/>
        <w:spacing w:line="360" w:lineRule="auto"/>
        <w:ind w:firstLine="480"/>
        <w:jc w:val="both"/>
        <w:rPr>
          <w:rFonts w:ascii="Book Antiqua" w:hAnsi="Book Antiqua" w:cs="Book Antiqua"/>
        </w:rPr>
      </w:pPr>
    </w:p>
    <w:p w14:paraId="21F6528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1C884B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Colon cancer has the highest morbidity and mortality among gastrointestinal tumors, making it a major threat to health and a particular focus for researchers</w:t>
      </w:r>
      <w:r>
        <w:rPr>
          <w:rFonts w:ascii="Book Antiqua" w:eastAsia="Book Antiqua" w:hAnsi="Book Antiqua" w:cs="Book Antiqua"/>
          <w:color w:val="000000"/>
          <w:szCs w:val="36"/>
          <w:vertAlign w:val="superscript"/>
        </w:rPr>
        <w:t>[1</w:t>
      </w:r>
      <w:r>
        <w:rPr>
          <w:rFonts w:ascii="Book Antiqua" w:eastAsia="宋体" w:hAnsi="Book Antiqua" w:cs="Book Antiqua" w:hint="eastAsi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Owing to the serious side effects of chemotherapy and the high cost of targeted drugs, patient compliance and overall survival are poor. Combination therapy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fluorouracil, oxaliplatin,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calcium folinate is a common method for treating colon cancer. However, severe side effects including gastrointestinal reactions, bone marrow suppression, liver damage, and individual differences in drug sensitivity limit its </w:t>
      </w:r>
      <w:r>
        <w:rPr>
          <w:rFonts w:ascii="Book Antiqua" w:eastAsia="Book Antiqua" w:hAnsi="Book Antiqua" w:cs="Book Antiqua"/>
          <w:color w:val="000000"/>
        </w:rPr>
        <w:lastRenderedPageBreak/>
        <w:t>application</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Natural products with strong biological activity are optional drugs for clinical application. </w:t>
      </w:r>
      <w:r>
        <w:rPr>
          <w:rFonts w:ascii="Book Antiqua" w:eastAsia="Book Antiqua" w:hAnsi="Book Antiqua" w:cs="Book Antiqua"/>
          <w:i/>
          <w:iCs/>
          <w:color w:val="000000"/>
        </w:rPr>
        <w:t>A. satureioides</w:t>
      </w:r>
      <w:r>
        <w:rPr>
          <w:rFonts w:ascii="Book Antiqua" w:eastAsia="Book Antiqua" w:hAnsi="Book Antiqua" w:cs="Book Antiqua"/>
          <w:color w:val="000000"/>
        </w:rPr>
        <w:t>, an edible dual-use plant, has been used to cure a variety of diseases in Brazilian folk medicine. In this study, we searched for the active component, in the form of PA, from the plant for its anti-colon cancer effects, high safety, and strong medicinal properties. We also clarified its mechanism of action against colon cancer.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 has the particular advantage of having minimal side effects.</w:t>
      </w:r>
    </w:p>
    <w:p w14:paraId="0499515B" w14:textId="77777777"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study showed that PA can inhibit HT-29 cell proliferation in a time- and dose</w:t>
      </w:r>
      <w:r>
        <w:rPr>
          <w:rFonts w:ascii="Book Antiqua" w:eastAsia="宋体" w:hAnsi="Book Antiqua" w:cs="Book Antiqua" w:hint="eastAsia"/>
          <w:color w:val="000000"/>
          <w:lang w:eastAsia="zh-CN"/>
        </w:rPr>
        <w:t>-</w:t>
      </w:r>
      <w:r>
        <w:rPr>
          <w:rFonts w:ascii="Book Antiqua" w:eastAsia="Book Antiqua" w:hAnsi="Book Antiqua" w:cs="Book Antiqua"/>
          <w:color w:val="000000"/>
        </w:rPr>
        <w:t>dependent manner and promote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apoptosis, as well as changing the distribution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among the phases of the cell cycle. Specifically,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were arrested at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phase and their rate of migration was significantly reduced. The results also showed that, after the administration of PA or PAO, the levels of Bax/Bcl2, Caspase3, LC3II/I, Beclin1, and p62 in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markedly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elevated.</w:t>
      </w:r>
    </w:p>
    <w:p w14:paraId="08D2CBDB" w14:textId="77777777"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the process of tumor development, apoptosis is usually downregulated. Therefore, reduced apoptosis is considered to be a sign of cancer</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1-24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Members of the Bcl2 family play key roles in regulating cell apoptosis</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Bax and Bak (known as multi</w:t>
      </w:r>
      <w:r>
        <w:rPr>
          <w:rFonts w:ascii="Book Antiqua" w:eastAsia="宋体" w:hAnsi="Book Antiqua" w:cs="Book Antiqua" w:hint="eastAsia"/>
          <w:color w:val="000000"/>
          <w:lang w:eastAsia="zh-CN"/>
        </w:rPr>
        <w:t>-</w:t>
      </w:r>
      <w:r>
        <w:rPr>
          <w:rFonts w:ascii="Book Antiqua" w:eastAsia="Book Antiqua" w:hAnsi="Book Antiqua" w:cs="Book Antiqua"/>
          <w:color w:val="000000"/>
        </w:rPr>
        <w:t>domain pro</w:t>
      </w:r>
      <w:r>
        <w:rPr>
          <w:rFonts w:ascii="Book Antiqua" w:eastAsia="宋体" w:hAnsi="Book Antiqua" w:cs="Book Antiqua" w:hint="eastAsia"/>
          <w:color w:val="000000"/>
          <w:lang w:eastAsia="zh-CN"/>
        </w:rPr>
        <w:t>-</w:t>
      </w:r>
      <w:r>
        <w:rPr>
          <w:rFonts w:ascii="Book Antiqua" w:eastAsia="Book Antiqua" w:hAnsi="Book Antiqua" w:cs="Book Antiqua"/>
          <w:color w:val="000000"/>
        </w:rPr>
        <w:t>apoptotic proteins) can promote apoptosis by forming oligomers on the mitochondrial membrane. There, they directly induce apoptosis after receiving the death signal, resulting in the release of cytochrome c, and apoptotic protease activator</w:t>
      </w:r>
      <w:r>
        <w:rPr>
          <w:rFonts w:ascii="Book Antiqua" w:eastAsia="宋体" w:hAnsi="Book Antiqua" w:cs="Book Antiqua" w:hint="eastAsia"/>
          <w:color w:val="000000"/>
          <w:lang w:eastAsia="zh-CN"/>
        </w:rPr>
        <w:t>-</w:t>
      </w:r>
      <w:r>
        <w:rPr>
          <w:rFonts w:ascii="Book Antiqua" w:eastAsia="Book Antiqua" w:hAnsi="Book Antiqua" w:cs="Book Antiqua"/>
          <w:color w:val="000000"/>
        </w:rPr>
        <w:t>activating factor 1 and Caspase activation</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Our research has shown that PA and PAO can significantly reduce the Bcl2/Bax ratio, which is basically consistent with the findings in the above literature.</w:t>
      </w:r>
    </w:p>
    <w:p w14:paraId="19E35916" w14:textId="77777777"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cancer, autophagy plays two roles of restricting the occurrence of tumors in the early stage but also promoting tumor development in cancers that have already become established. When autophagy is activated, LC3 is catalyzed and cleaved by the corresponding protease, so that the C-terminal glycine residue of LC3 is exposed to form LC3I, which is then processed by ubiquitination. This in turn upregulates autophagy. Beclin1 is a homolog of mammalian ATG6, which is encoded by the only confirmed mammalian “autophagy gene”. It is an executor of autophagy and plays an important role in autophagy. It has been reported that Beclin1 monoallelic deletion can promote cancer development and progression</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Beclin1 can form a complex with type </w:t>
      </w:r>
      <w:r>
        <w:rPr>
          <w:rFonts w:ascii="Book Antiqua" w:eastAsia="Book Antiqua" w:hAnsi="Book Antiqua" w:cs="Book Antiqua"/>
          <w:color w:val="000000"/>
        </w:rPr>
        <w:lastRenderedPageBreak/>
        <w:t>III phosphatidylinositol</w:t>
      </w:r>
      <w:r>
        <w:rPr>
          <w:rFonts w:ascii="Book Antiqua" w:eastAsia="宋体" w:hAnsi="Book Antiqua" w:cs="Book Antiqua" w:hint="eastAsia"/>
          <w:color w:val="000000"/>
          <w:lang w:eastAsia="zh-CN"/>
        </w:rPr>
        <w:t>-</w:t>
      </w:r>
      <w:r>
        <w:rPr>
          <w:rFonts w:ascii="Book Antiqua" w:eastAsia="Book Antiqua" w:hAnsi="Book Antiqua" w:cs="Book Antiqua"/>
          <w:color w:val="000000"/>
        </w:rPr>
        <w:t>3 kinase, which can recruit autophagy</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 protein LC3 to regulate the maturation and formation of autophagosomes, leading to autophagy. Defects in autophagy can lead to the accumulation of p62, which is an autophagy substrate protein and also a ubiquitin-binding protein. The sustained expression of p62 can change the regulatory expression of NF-κB and promote tumorigenesis</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involvement of Bcl2 in the process of autophagy is mainly related to Beclin 1, which binds to and is inhibited by Bcl</w:t>
      </w:r>
      <w:r>
        <w:rPr>
          <w:rFonts w:ascii="Book Antiqua" w:eastAsia="宋体" w:hAnsi="Book Antiqua" w:cs="Book Antiqua" w:hint="eastAsia"/>
          <w:color w:val="000000"/>
          <w:lang w:eastAsia="zh-CN"/>
        </w:rPr>
        <w:t>-</w:t>
      </w:r>
      <w:r>
        <w:rPr>
          <w:rFonts w:ascii="Book Antiqua" w:eastAsia="Book Antiqua" w:hAnsi="Book Antiqua" w:cs="Book Antiqua"/>
          <w:color w:val="000000"/>
        </w:rPr>
        <w:t>2 or the Bcl</w:t>
      </w:r>
      <w:r>
        <w:rPr>
          <w:rFonts w:ascii="Book Antiqua" w:eastAsia="宋体" w:hAnsi="Book Antiqua" w:cs="Book Antiqua" w:hint="eastAsia"/>
          <w:color w:val="000000"/>
          <w:lang w:eastAsia="zh-CN"/>
        </w:rPr>
        <w:t>-</w:t>
      </w:r>
      <w:r>
        <w:rPr>
          <w:rFonts w:ascii="Book Antiqua" w:eastAsia="Book Antiqua" w:hAnsi="Book Antiqua" w:cs="Book Antiqua"/>
          <w:color w:val="000000"/>
        </w:rPr>
        <w:t>2 homolog Bcl</w:t>
      </w:r>
      <w:r>
        <w:rPr>
          <w:rFonts w:ascii="Book Antiqua" w:eastAsia="宋体" w:hAnsi="Book Antiqua" w:cs="Book Antiqua" w:hint="eastAsia"/>
          <w:color w:val="000000"/>
          <w:lang w:eastAsia="zh-CN"/>
        </w:rPr>
        <w:t>-</w:t>
      </w:r>
      <w:r>
        <w:rPr>
          <w:rFonts w:ascii="Book Antiqua" w:eastAsia="Book Antiqua" w:hAnsi="Book Antiqua" w:cs="Book Antiqua"/>
          <w:color w:val="000000"/>
        </w:rPr>
        <w:t>XL under physiological conditions. Our study showed that PA significantly increased the LC3II/I ratio and upregulated Beclin1. Interestingly, our experimental results revealed that PA can increase the level of p62 protein after PA administration for 24 and 48 h, but the positive drugs showed a decrease. This might be linked to the fact that, in addition to acting as a marker of autophagy activation, p62 can also serve as an important bridge for Caspase8-dependent cell activation, promoting the accumulation of Caspase8 and leading to apoptosis</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Style w:val="15"/>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Our study showed that, after PA or PAO treatment, the level of Bcl2 decreased while the level of Beclin1 increased, which may have resulted in autophagy activation.</w:t>
      </w:r>
    </w:p>
    <w:p w14:paraId="41DD6C9D" w14:textId="77777777" w:rsidR="003D6C41" w:rsidRDefault="003D6C41">
      <w:pPr>
        <w:adjustRightInd w:val="0"/>
        <w:snapToGrid w:val="0"/>
        <w:spacing w:line="360" w:lineRule="auto"/>
        <w:ind w:firstLine="560"/>
        <w:jc w:val="both"/>
        <w:rPr>
          <w:rFonts w:ascii="Book Antiqua" w:hAnsi="Book Antiqua" w:cs="Book Antiqua"/>
        </w:rPr>
      </w:pPr>
    </w:p>
    <w:p w14:paraId="669C9F9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1A3425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promote the apoptosis of colon cancer cells, possibly through upregulating the expression of LC3II/I and Beclin1 and then activating autophagy, while upregulating the expression of p62, Bax/Bcl2, and Caspase3. These results indicate the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potential anticancer agent.</w:t>
      </w:r>
    </w:p>
    <w:p w14:paraId="0F34DF52" w14:textId="77777777" w:rsidR="003D6C41" w:rsidRDefault="003D6C41">
      <w:pPr>
        <w:adjustRightInd w:val="0"/>
        <w:snapToGrid w:val="0"/>
        <w:spacing w:line="360" w:lineRule="auto"/>
        <w:ind w:firstLine="480"/>
        <w:jc w:val="both"/>
        <w:rPr>
          <w:rFonts w:ascii="Book Antiqua" w:hAnsi="Book Antiqua" w:cs="Book Antiqua"/>
        </w:rPr>
      </w:pPr>
    </w:p>
    <w:p w14:paraId="7A680CD9"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04C1ECA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1EA073E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Colon cancer remains as a high death leading cause in the world. Pomolic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 is separated from the ethyl acetate fraction of </w:t>
      </w:r>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 satureioides.</w:t>
      </w:r>
    </w:p>
    <w:p w14:paraId="0C8AFEFF" w14:textId="77777777" w:rsidR="003D6C41" w:rsidRDefault="003D6C41">
      <w:pPr>
        <w:adjustRightInd w:val="0"/>
        <w:snapToGrid w:val="0"/>
        <w:spacing w:line="360" w:lineRule="auto"/>
        <w:jc w:val="both"/>
        <w:rPr>
          <w:rFonts w:ascii="Book Antiqua" w:hAnsi="Book Antiqua" w:cs="Book Antiqua"/>
        </w:rPr>
      </w:pPr>
    </w:p>
    <w:p w14:paraId="4B653834"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52A0C3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want to explore a novel, safe, effective agent for the treatment of </w:t>
      </w:r>
      <w:r>
        <w:rPr>
          <w:rFonts w:ascii="Book Antiqua" w:eastAsia="宋体" w:hAnsi="Book Antiqua" w:cs="Book Antiqua" w:hint="eastAsia"/>
          <w:color w:val="000000"/>
          <w:lang w:eastAsia="zh-CN"/>
        </w:rPr>
        <w:t>c</w:t>
      </w:r>
      <w:r>
        <w:rPr>
          <w:rFonts w:ascii="Book Antiqua" w:eastAsia="Book Antiqua" w:hAnsi="Book Antiqua" w:cs="Book Antiqua"/>
          <w:color w:val="000000"/>
        </w:rPr>
        <w:t>olon cancer.</w:t>
      </w:r>
    </w:p>
    <w:p w14:paraId="392468D6" w14:textId="77777777" w:rsidR="003D6C41" w:rsidRDefault="003D6C41">
      <w:pPr>
        <w:adjustRightInd w:val="0"/>
        <w:snapToGrid w:val="0"/>
        <w:spacing w:line="360" w:lineRule="auto"/>
        <w:jc w:val="both"/>
        <w:rPr>
          <w:rFonts w:ascii="Book Antiqua" w:hAnsi="Book Antiqua" w:cs="Book Antiqua"/>
        </w:rPr>
      </w:pPr>
    </w:p>
    <w:p w14:paraId="44D6AA1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7A471D39"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aimed to examine the effects of PA and its glucopyranose ester, pomolic acid-28-O-β-D-glucopyranosyl ester (PAO) on colon cancer HT-29 cells.</w:t>
      </w:r>
    </w:p>
    <w:p w14:paraId="153905C0" w14:textId="77777777" w:rsidR="003D6C41" w:rsidRDefault="003D6C41">
      <w:pPr>
        <w:adjustRightInd w:val="0"/>
        <w:snapToGrid w:val="0"/>
        <w:spacing w:line="360" w:lineRule="auto"/>
        <w:jc w:val="both"/>
        <w:rPr>
          <w:rFonts w:ascii="Book Antiqua" w:hAnsi="Book Antiqua" w:cs="Book Antiqua"/>
        </w:rPr>
      </w:pPr>
    </w:p>
    <w:p w14:paraId="479E5BC2"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2133067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diphenyl tetrazolium bromide assay was used to measure cell viability. Apoptosis was detected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Hoechst 33342 Staining. PI single staining by flow cytometry was determine the cycle and scratch assay was used to observe the migration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The levels of mRNA and proteins were evaluated with the q</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polymerase chain reaction</w:t>
      </w:r>
      <w:r>
        <w:rPr>
          <w:rFonts w:ascii="Book Antiqua" w:eastAsia="Book Antiqua" w:hAnsi="Book Antiqua" w:cs="Book Antiqua"/>
          <w:color w:val="000000"/>
        </w:rPr>
        <w:t xml:space="preserve"> and western blot assay, respectively.</w:t>
      </w:r>
    </w:p>
    <w:p w14:paraId="3D8C70D4" w14:textId="77777777" w:rsidR="003D6C41" w:rsidRDefault="003D6C41">
      <w:pPr>
        <w:adjustRightInd w:val="0"/>
        <w:snapToGrid w:val="0"/>
        <w:spacing w:line="360" w:lineRule="auto"/>
        <w:jc w:val="both"/>
        <w:rPr>
          <w:rFonts w:ascii="Book Antiqua" w:hAnsi="Book Antiqua" w:cs="Book Antiqua"/>
        </w:rPr>
      </w:pPr>
    </w:p>
    <w:p w14:paraId="4FD14E2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BB11A6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Compounds PA and PAO exhibited a considerable growth inhibitory effect against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lines in a time-dose-dependent manner. After administration of drugs for 24h and 48h, it showed that PA and PAO could significantly promote the cell apoptosis, and arrested HT-29 cells at G</w:t>
      </w:r>
      <w:r>
        <w:rPr>
          <w:rFonts w:ascii="Book Antiqua" w:eastAsia="Book Antiqua" w:hAnsi="Book Antiqua" w:cs="Book Antiqua"/>
          <w:color w:val="000000"/>
          <w:vertAlign w:val="subscript"/>
        </w:rPr>
        <w:t>0</w:t>
      </w:r>
      <w:r>
        <w:rPr>
          <w:rFonts w:ascii="Book Antiqua" w:eastAsia="Book Antiqua" w:hAnsi="Book Antiqua" w:cs="Book Antiqua"/>
          <w:color w:val="000000"/>
        </w:rPr>
        <w:t>/G</w:t>
      </w:r>
      <w:r>
        <w:rPr>
          <w:rFonts w:ascii="Book Antiqua" w:eastAsia="Book Antiqua" w:hAnsi="Book Antiqua" w:cs="Book Antiqua"/>
          <w:color w:val="000000"/>
          <w:vertAlign w:val="subscript"/>
        </w:rPr>
        <w:t>1</w:t>
      </w:r>
      <w:r>
        <w:rPr>
          <w:rFonts w:ascii="Book Antiqua" w:eastAsia="Book Antiqua" w:hAnsi="Book Antiqua" w:cs="Book Antiqua"/>
          <w:color w:val="000000"/>
        </w:rPr>
        <w:t xml:space="preserve"> stage;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ratio of Bax/Bcl2 was increased and activated the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which leading to an apoptosis, and the expression of </w:t>
      </w:r>
      <w:r>
        <w:rPr>
          <w:rFonts w:ascii="Book Antiqua" w:eastAsia="Book Antiqua" w:hAnsi="Book Antiqua" w:cs="Book Antiqua" w:hint="eastAsia"/>
          <w:color w:val="000000"/>
        </w:rPr>
        <w:t>anti-light chain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and Beclin1 activate autophagy and cause cell death, increasing the expression of p62 promotes a cell apoptosis, inhibiting the level of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p-STAT3 can suppress the level of Bcl2 and promote cell.</w:t>
      </w:r>
    </w:p>
    <w:p w14:paraId="444E6CCF" w14:textId="77777777" w:rsidR="003D6C41" w:rsidRDefault="003D6C41">
      <w:pPr>
        <w:adjustRightInd w:val="0"/>
        <w:snapToGrid w:val="0"/>
        <w:spacing w:line="360" w:lineRule="auto"/>
        <w:jc w:val="both"/>
        <w:rPr>
          <w:rFonts w:ascii="Book Antiqua" w:hAnsi="Book Antiqua" w:cs="Book Antiqua"/>
        </w:rPr>
      </w:pPr>
    </w:p>
    <w:p w14:paraId="0FB10C0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16283A2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Both PA and PAO provide novel therapeutic strategy for colorectal cancers treatment.</w:t>
      </w:r>
    </w:p>
    <w:p w14:paraId="204C6F98" w14:textId="77777777" w:rsidR="003D6C41" w:rsidRDefault="003D6C41">
      <w:pPr>
        <w:adjustRightInd w:val="0"/>
        <w:snapToGrid w:val="0"/>
        <w:spacing w:line="360" w:lineRule="auto"/>
        <w:jc w:val="both"/>
        <w:rPr>
          <w:rFonts w:ascii="Book Antiqua" w:hAnsi="Book Antiqua" w:cs="Book Antiqua"/>
        </w:rPr>
      </w:pPr>
    </w:p>
    <w:p w14:paraId="2F61EA3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5A64261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inhibitions of </w:t>
      </w:r>
      <w:r>
        <w:rPr>
          <w:rFonts w:ascii="Book Antiqua" w:eastAsia="宋体" w:hAnsi="Book Antiqua" w:cs="Book Antiqua" w:hint="eastAsia"/>
          <w:color w:val="000000"/>
          <w:lang w:eastAsia="zh-CN"/>
        </w:rPr>
        <w:t>c</w:t>
      </w:r>
      <w:r>
        <w:rPr>
          <w:rFonts w:ascii="Book Antiqua" w:eastAsia="Book Antiqua" w:hAnsi="Book Antiqua" w:cs="Book Antiqua"/>
          <w:color w:val="000000"/>
        </w:rPr>
        <w:t>olon cancer by PA and PAO were validated with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p>
    <w:p w14:paraId="4F150FF9" w14:textId="77777777" w:rsidR="003D6C41" w:rsidRDefault="003D6C41">
      <w:pPr>
        <w:adjustRightInd w:val="0"/>
        <w:snapToGrid w:val="0"/>
        <w:spacing w:line="360" w:lineRule="auto"/>
        <w:jc w:val="both"/>
        <w:rPr>
          <w:rFonts w:ascii="Book Antiqua" w:hAnsi="Book Antiqua" w:cs="Book Antiqua"/>
        </w:rPr>
      </w:pPr>
    </w:p>
    <w:p w14:paraId="7612AD54"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4590629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authors thank Professor Peng H</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from Anhui University of Chinese Medicine for identifying </w:t>
      </w:r>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 satureioides.</w:t>
      </w:r>
    </w:p>
    <w:p w14:paraId="4F23AE26" w14:textId="77777777" w:rsidR="003D6C41" w:rsidRDefault="003D6C41">
      <w:pPr>
        <w:adjustRightInd w:val="0"/>
        <w:snapToGrid w:val="0"/>
        <w:spacing w:line="360" w:lineRule="auto"/>
        <w:jc w:val="both"/>
        <w:rPr>
          <w:rFonts w:ascii="Book Antiqua" w:hAnsi="Book Antiqua" w:cs="Book Antiqua"/>
        </w:rPr>
      </w:pPr>
    </w:p>
    <w:p w14:paraId="26DCB97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CC456B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2020. </w:t>
      </w:r>
      <w:r>
        <w:rPr>
          <w:rFonts w:ascii="Book Antiqua" w:eastAsia="Book Antiqua" w:hAnsi="Book Antiqua" w:cs="Book Antiqua"/>
          <w:i/>
          <w:iCs/>
        </w:rPr>
        <w:t>CA Cancer J Clin</w:t>
      </w:r>
      <w:r>
        <w:rPr>
          <w:rFonts w:ascii="Book Antiqua" w:eastAsia="Book Antiqua" w:hAnsi="Book Antiqua" w:cs="Book Antiqua"/>
        </w:rPr>
        <w:t xml:space="preserve"> 2020; </w:t>
      </w:r>
      <w:r>
        <w:rPr>
          <w:rFonts w:ascii="Book Antiqua" w:eastAsia="Book Antiqua" w:hAnsi="Book Antiqua" w:cs="Book Antiqua"/>
          <w:b/>
          <w:bCs/>
        </w:rPr>
        <w:t>70</w:t>
      </w:r>
      <w:r>
        <w:rPr>
          <w:rFonts w:ascii="Book Antiqua" w:eastAsia="Book Antiqua" w:hAnsi="Book Antiqua" w:cs="Book Antiqua"/>
        </w:rPr>
        <w:t>: 7-30 [PMID: 31912902 DOI: 10.3322/caac.21590]</w:t>
      </w:r>
    </w:p>
    <w:p w14:paraId="133F525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Bray F</w:t>
      </w:r>
      <w:r>
        <w:rPr>
          <w:rFonts w:ascii="Book Antiqua" w:eastAsia="Book Antiqua" w:hAnsi="Book Antiqua" w:cs="Book Antiqua"/>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7F46C5B8"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Retta D</w:t>
      </w:r>
      <w:r>
        <w:rPr>
          <w:rFonts w:ascii="Book Antiqua" w:eastAsia="Book Antiqua" w:hAnsi="Book Antiqua" w:cs="Book Antiqua"/>
        </w:rPr>
        <w:t>, Dellacassa E,</w:t>
      </w:r>
      <w:r>
        <w:rPr>
          <w:rFonts w:ascii="Book Antiqua" w:eastAsia="宋体" w:hAnsi="Book Antiqua" w:cs="Book Antiqua" w:hint="eastAsia"/>
          <w:lang w:eastAsia="zh-CN"/>
        </w:rPr>
        <w:t xml:space="preserve"> </w:t>
      </w:r>
      <w:r>
        <w:rPr>
          <w:rFonts w:ascii="Book Antiqua" w:eastAsia="Book Antiqua" w:hAnsi="Book Antiqua" w:cs="Book Antiqua"/>
        </w:rPr>
        <w:t>Villamil J,</w:t>
      </w:r>
      <w:r>
        <w:rPr>
          <w:rFonts w:ascii="Book Antiqua" w:eastAsia="宋体" w:hAnsi="Book Antiqua" w:cs="Book Antiqua" w:hint="eastAsia"/>
          <w:lang w:eastAsia="zh-CN"/>
        </w:rPr>
        <w:t xml:space="preserve"> </w:t>
      </w:r>
      <w:r>
        <w:rPr>
          <w:rFonts w:ascii="Book Antiqua" w:eastAsia="Book Antiqua" w:hAnsi="Book Antiqua" w:cs="Book Antiqua"/>
        </w:rPr>
        <w:t xml:space="preserve">Suárez </w:t>
      </w:r>
      <w:hyperlink r:id="rId7" w:tgtFrame="https://xueshu.baidu.com/usercenter/paper/_blank" w:history="1">
        <w:r>
          <w:rPr>
            <w:rFonts w:ascii="Book Antiqua" w:eastAsia="Book Antiqua" w:hAnsi="Book Antiqua" w:cs="Book Antiqua"/>
          </w:rPr>
          <w:t>SA</w:t>
        </w:r>
      </w:hyperlink>
      <w:r>
        <w:rPr>
          <w:rFonts w:ascii="Book Antiqua" w:eastAsia="宋体" w:hAnsi="Book Antiqua" w:cs="Book Antiqua" w:hint="eastAsia"/>
          <w:lang w:eastAsia="zh-CN"/>
        </w:rPr>
        <w:t>,</w:t>
      </w:r>
      <w:r>
        <w:rPr>
          <w:rFonts w:ascii="Book Antiqua" w:eastAsia="Book Antiqua" w:hAnsi="Book Antiqua" w:cs="Book Antiqua"/>
        </w:rPr>
        <w:t xml:space="preserve"> Bandoni</w:t>
      </w:r>
      <w:r>
        <w:rPr>
          <w:rFonts w:ascii="Book Antiqua" w:eastAsia="宋体" w:hAnsi="Book Antiqua" w:cs="Book Antiqua" w:hint="eastAsia"/>
          <w:lang w:eastAsia="zh-CN"/>
        </w:rPr>
        <w:t xml:space="preserve"> </w:t>
      </w:r>
      <w:hyperlink r:id="rId8" w:tgtFrame="https://xueshu.baidu.com/usercenter/paper/_blank" w:history="1">
        <w:r>
          <w:rPr>
            <w:rFonts w:ascii="Book Antiqua" w:eastAsia="Book Antiqua" w:hAnsi="Book Antiqua" w:cs="Book Antiqua"/>
          </w:rPr>
          <w:t>AL</w:t>
        </w:r>
      </w:hyperlink>
      <w:r>
        <w:rPr>
          <w:rFonts w:ascii="Book Antiqua" w:eastAsia="Book Antiqua" w:hAnsi="Book Antiqua" w:cs="Book Antiqua"/>
        </w:rPr>
        <w:t>.</w:t>
      </w:r>
      <w:r>
        <w:rPr>
          <w:rFonts w:ascii="Book Antiqua" w:eastAsia="Book Antiqua" w:hAnsi="Book Antiqua" w:cs="Book Antiqua"/>
          <w:lang w:eastAsia="zh-CN"/>
        </w:rPr>
        <w:t xml:space="preserve"> </w:t>
      </w:r>
      <w:r>
        <w:rPr>
          <w:rFonts w:ascii="Book Antiqua" w:eastAsia="Book Antiqua" w:hAnsi="Book Antiqua" w:cs="Book Antiqua"/>
        </w:rPr>
        <w:t>Marcela, a promising medicinal and aromatic plant from Latin America: A review.</w:t>
      </w:r>
      <w:r>
        <w:rPr>
          <w:rFonts w:ascii="Book Antiqua" w:eastAsia="宋体" w:hAnsi="Book Antiqua" w:cs="Book Antiqua" w:hint="eastAsia"/>
          <w:lang w:eastAsia="zh-CN"/>
        </w:rPr>
        <w:t xml:space="preserve"> </w:t>
      </w:r>
      <w:r>
        <w:rPr>
          <w:rFonts w:ascii="Book Antiqua" w:eastAsia="Book Antiqua" w:hAnsi="Book Antiqua" w:cs="Book Antiqua"/>
          <w:i/>
          <w:iCs/>
        </w:rPr>
        <w:t>Industrial Crops &amp; Products</w:t>
      </w:r>
      <w:r>
        <w:rPr>
          <w:rFonts w:ascii="Book Antiqua" w:eastAsia="Book Antiqua" w:hAnsi="Book Antiqua" w:cs="Book Antiqua"/>
        </w:rPr>
        <w:t xml:space="preserve"> 2012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38</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27</w:t>
      </w:r>
      <w:r>
        <w:rPr>
          <w:rFonts w:ascii="Book Antiqua" w:eastAsia="宋体" w:hAnsi="Book Antiqua" w:cs="Book Antiqua" w:hint="eastAsia"/>
          <w:lang w:eastAsia="zh-CN"/>
        </w:rPr>
        <w:t>-</w:t>
      </w:r>
      <w:r>
        <w:rPr>
          <w:rFonts w:ascii="Book Antiqua" w:eastAsia="Book Antiqua" w:hAnsi="Book Antiqua" w:cs="Book Antiqua"/>
        </w:rPr>
        <w:t>38</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10.1016/j.indcrop.2012.01.006]</w:t>
      </w:r>
    </w:p>
    <w:p w14:paraId="591C162F"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Pereira CG</w:t>
      </w:r>
      <w:r>
        <w:rPr>
          <w:rFonts w:ascii="Book Antiqua" w:eastAsia="Book Antiqua" w:hAnsi="Book Antiqua" w:cs="Book Antiqua"/>
        </w:rPr>
        <w:t>, Gualtieri IP, Meireles MAA.</w:t>
      </w:r>
      <w:r>
        <w:rPr>
          <w:rFonts w:ascii="Book Antiqua" w:eastAsia="宋体" w:hAnsi="Book Antiqua" w:cs="Book Antiqua" w:hint="eastAsia"/>
          <w:lang w:eastAsia="zh-CN"/>
        </w:rPr>
        <w:t xml:space="preserve"> </w:t>
      </w:r>
      <w:r>
        <w:rPr>
          <w:rFonts w:ascii="Book Antiqua" w:eastAsia="Book Antiqua" w:hAnsi="Book Antiqua" w:cs="Book Antiqua"/>
        </w:rPr>
        <w:t>Effect of Different Extraction Processes on the Recovery of Extracts from Achyrocline satureioides D.C.: An Evaluation of Antioxidant Activity.</w:t>
      </w:r>
      <w:r>
        <w:rPr>
          <w:rFonts w:ascii="Book Antiqua" w:eastAsia="宋体" w:hAnsi="Book Antiqua" w:cs="Book Antiqua" w:hint="eastAsia"/>
          <w:lang w:eastAsia="zh-CN"/>
        </w:rPr>
        <w:t xml:space="preserve"> </w:t>
      </w:r>
      <w:r>
        <w:rPr>
          <w:rFonts w:ascii="Book Antiqua" w:eastAsia="Book Antiqua" w:hAnsi="Book Antiqua" w:cs="Book Antiqua"/>
          <w:i/>
          <w:iCs/>
        </w:rPr>
        <w:t>Separation Science &amp; Technology</w:t>
      </w:r>
      <w:r>
        <w:rPr>
          <w:rFonts w:ascii="Book Antiqua" w:eastAsia="Book Antiqua" w:hAnsi="Book Antiqua" w:cs="Book Antiqua"/>
        </w:rPr>
        <w:t xml:space="preserve"> 2008</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43</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1549-1563</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10.1080/01496390801955562]</w:t>
      </w:r>
    </w:p>
    <w:p w14:paraId="258BE9F5"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Puhlmann J</w:t>
      </w:r>
      <w:r>
        <w:rPr>
          <w:rFonts w:ascii="Book Antiqua" w:eastAsia="Book Antiqua" w:hAnsi="Book Antiqua" w:cs="Book Antiqua"/>
        </w:rPr>
        <w:t xml:space="preserve">, Knaus U, Tubaro L, Schaefer W, Wagner H. Immunologically active metallic ion-containing polysaccharides of Achyrocline satureioides. </w:t>
      </w:r>
      <w:r>
        <w:rPr>
          <w:rFonts w:ascii="Book Antiqua" w:eastAsia="Book Antiqua" w:hAnsi="Book Antiqua" w:cs="Book Antiqua"/>
          <w:i/>
          <w:iCs/>
        </w:rPr>
        <w:t>Phytochemistry</w:t>
      </w:r>
      <w:r>
        <w:rPr>
          <w:rFonts w:ascii="Book Antiqua" w:eastAsia="Book Antiqua" w:hAnsi="Book Antiqua" w:cs="Book Antiqua"/>
        </w:rPr>
        <w:t xml:space="preserve"> 1992; </w:t>
      </w:r>
      <w:r>
        <w:rPr>
          <w:rFonts w:ascii="Book Antiqua" w:eastAsia="Book Antiqua" w:hAnsi="Book Antiqua" w:cs="Book Antiqua"/>
          <w:b/>
          <w:bCs/>
        </w:rPr>
        <w:t>31</w:t>
      </w:r>
      <w:r>
        <w:rPr>
          <w:rFonts w:ascii="Book Antiqua" w:eastAsia="Book Antiqua" w:hAnsi="Book Antiqua" w:cs="Book Antiqua"/>
        </w:rPr>
        <w:t>: 2617-2621 [PMID: 1368417 DOI: 10.1016/0031-9422(92)83597-r]</w:t>
      </w:r>
    </w:p>
    <w:p w14:paraId="039B308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Sabini MC</w:t>
      </w:r>
      <w:r>
        <w:rPr>
          <w:rFonts w:ascii="Book Antiqua" w:eastAsia="Book Antiqua" w:hAnsi="Book Antiqua" w:cs="Book Antiqua"/>
        </w:rPr>
        <w:t xml:space="preserve">, Escobar FM, Tonn CE, Zanon SM, Contigiani MS, Sabini LI. Evaluation of antiviral activity of aqueous extracts from Achyrocline satureioides against Western equine encephalitis virus. </w:t>
      </w:r>
      <w:r>
        <w:rPr>
          <w:rFonts w:ascii="Book Antiqua" w:eastAsia="Book Antiqua" w:hAnsi="Book Antiqua" w:cs="Book Antiqua"/>
          <w:i/>
          <w:iCs/>
        </w:rPr>
        <w:t>Nat Prod Res</w:t>
      </w:r>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405-415 [PMID: 20623427 DOI: 10.1080/14786419.2010.490216]</w:t>
      </w:r>
    </w:p>
    <w:p w14:paraId="73A15A52"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Baldissera MD</w:t>
      </w:r>
      <w:r>
        <w:rPr>
          <w:rFonts w:ascii="Book Antiqua" w:eastAsia="Book Antiqua" w:hAnsi="Book Antiqua" w:cs="Book Antiqua"/>
        </w:rPr>
        <w:t xml:space="preserve">, Oliveira CB, Rech VC, Rezer JF, Sagrillo MR, Alves MP, da Silva AP, Leal DB, Boligon AA, Athayde ML, Da Silva AS, Mendes RE, Monteiro SG. Treatment with essential oil of Achyrocline satureioides in rats infected with Trypanosoma evansi: relationship between protective effect and tissue damage. </w:t>
      </w:r>
      <w:r>
        <w:rPr>
          <w:rFonts w:ascii="Book Antiqua" w:eastAsia="Book Antiqua" w:hAnsi="Book Antiqua" w:cs="Book Antiqua"/>
          <w:i/>
          <w:iCs/>
        </w:rPr>
        <w:t>Pathol Res Pract</w:t>
      </w:r>
      <w:r>
        <w:rPr>
          <w:rFonts w:ascii="Book Antiqua" w:eastAsia="Book Antiqua" w:hAnsi="Book Antiqua" w:cs="Book Antiqua"/>
        </w:rPr>
        <w:t xml:space="preserve"> 2014; </w:t>
      </w:r>
      <w:r>
        <w:rPr>
          <w:rFonts w:ascii="Book Antiqua" w:eastAsia="Book Antiqua" w:hAnsi="Book Antiqua" w:cs="Book Antiqua"/>
          <w:b/>
          <w:bCs/>
        </w:rPr>
        <w:t>210</w:t>
      </w:r>
      <w:r>
        <w:rPr>
          <w:rFonts w:ascii="Book Antiqua" w:eastAsia="Book Antiqua" w:hAnsi="Book Antiqua" w:cs="Book Antiqua"/>
        </w:rPr>
        <w:t>: 1068-1074 [PMID: 25017420 DOI: 10.1016/j.prp.2014.06.008]</w:t>
      </w:r>
    </w:p>
    <w:p w14:paraId="1012ED3C"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8 </w:t>
      </w:r>
      <w:r>
        <w:rPr>
          <w:rFonts w:ascii="Book Antiqua" w:eastAsia="Book Antiqua" w:hAnsi="Book Antiqua" w:cs="Book Antiqua" w:hint="eastAsia"/>
          <w:b/>
          <w:bCs/>
        </w:rPr>
        <w:t>Kim B</w:t>
      </w:r>
      <w:r>
        <w:rPr>
          <w:rFonts w:ascii="Book Antiqua" w:eastAsia="Book Antiqua" w:hAnsi="Book Antiqua" w:cs="Book Antiqua" w:hint="eastAsia"/>
        </w:rPr>
        <w:t xml:space="preserve">, Kim JH, Park B. Pomolic acid inhibits invasion of breast cancer cells through the suppression of CXC chemokine receptor type 4 expression. </w:t>
      </w:r>
      <w:r>
        <w:rPr>
          <w:rFonts w:ascii="Book Antiqua" w:eastAsia="Book Antiqua" w:hAnsi="Book Antiqua" w:cs="Book Antiqua" w:hint="eastAsia"/>
          <w:i/>
          <w:iCs/>
        </w:rPr>
        <w:t>J Cell Biochem</w:t>
      </w:r>
      <w:r>
        <w:rPr>
          <w:rFonts w:ascii="Book Antiqua" w:eastAsia="Book Antiqua" w:hAnsi="Book Antiqua" w:cs="Book Antiqua" w:hint="eastAsia"/>
        </w:rPr>
        <w:t xml:space="preserve"> 2016, </w:t>
      </w:r>
      <w:r>
        <w:rPr>
          <w:rFonts w:ascii="Book Antiqua" w:eastAsia="Book Antiqua" w:hAnsi="Book Antiqua" w:cs="Book Antiqua" w:hint="eastAsia"/>
          <w:b/>
          <w:bCs/>
        </w:rPr>
        <w:t>117</w:t>
      </w:r>
      <w:r>
        <w:rPr>
          <w:rFonts w:ascii="Book Antiqua" w:eastAsia="Book Antiqua" w:hAnsi="Book Antiqua" w:cs="Book Antiqua" w:hint="eastAsia"/>
        </w:rPr>
        <w:t>: 1296-1307 [PMID: 27870282 DOI: 10.1002/jcb.25730]</w:t>
      </w:r>
    </w:p>
    <w:p w14:paraId="4123CA6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Kim B</w:t>
      </w:r>
      <w:r>
        <w:rPr>
          <w:rFonts w:ascii="Book Antiqua" w:eastAsia="Book Antiqua" w:hAnsi="Book Antiqua" w:cs="Book Antiqua"/>
        </w:rPr>
        <w:t xml:space="preserve">, Kim YC, Park B. Pomolic acid inhibits metastasis of HER2 overexpressing breast cancer cells through inactivation of the ERK pathway. </w:t>
      </w:r>
      <w:r>
        <w:rPr>
          <w:rFonts w:ascii="Book Antiqua" w:eastAsia="Book Antiqua" w:hAnsi="Book Antiqua" w:cs="Book Antiqua"/>
          <w:i/>
          <w:iCs/>
        </w:rPr>
        <w:t>Int J Oncol</w:t>
      </w:r>
      <w:r>
        <w:rPr>
          <w:rFonts w:ascii="Book Antiqua" w:eastAsia="Book Antiqua" w:hAnsi="Book Antiqua" w:cs="Book Antiqua"/>
        </w:rPr>
        <w:t xml:space="preserve"> 2016; </w:t>
      </w:r>
      <w:r>
        <w:rPr>
          <w:rFonts w:ascii="Book Antiqua" w:eastAsia="Book Antiqua" w:hAnsi="Book Antiqua" w:cs="Book Antiqua"/>
          <w:b/>
          <w:bCs/>
        </w:rPr>
        <w:t>49</w:t>
      </w:r>
      <w:r>
        <w:rPr>
          <w:rFonts w:ascii="Book Antiqua" w:eastAsia="Book Antiqua" w:hAnsi="Book Antiqua" w:cs="Book Antiqua"/>
        </w:rPr>
        <w:t>: 744-752 [PMID: 27277173 DOI: 10.3892/ijo.2016.3568]</w:t>
      </w:r>
    </w:p>
    <w:p w14:paraId="151970D9"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Park JH</w:t>
      </w:r>
      <w:r>
        <w:rPr>
          <w:rFonts w:ascii="Book Antiqua" w:eastAsia="Book Antiqua" w:hAnsi="Book Antiqua" w:cs="Book Antiqua"/>
        </w:rPr>
        <w:t xml:space="preserve">, Yoon J, Park B. Pomolic acid suppresses HIF1α/VEGF-mediated angiogenesis by targeting p38-MAPK and mTOR signaling cascades. </w:t>
      </w:r>
      <w:r>
        <w:rPr>
          <w:rFonts w:ascii="Book Antiqua" w:eastAsia="Book Antiqua" w:hAnsi="Book Antiqua" w:cs="Book Antiqua"/>
          <w:i/>
          <w:iCs/>
        </w:rPr>
        <w:t>Phytomedicine</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1716-1726 [PMID: 27912873 DOI: 10.1016/j.phymed.2016.10.010]</w:t>
      </w:r>
    </w:p>
    <w:p w14:paraId="0C0ADF9F"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Martins CA</w:t>
      </w:r>
      <w:r>
        <w:rPr>
          <w:rFonts w:ascii="Book Antiqua" w:eastAsia="Book Antiqua" w:hAnsi="Book Antiqua" w:cs="Book Antiqua"/>
        </w:rPr>
        <w:t xml:space="preserve">, Rocha GDG, Gattass CR, Takiya CM. Pomolic acid exhibits anticancer potential against a docetaxel‑resistant PC3 prostate cell line. </w:t>
      </w:r>
      <w:r>
        <w:rPr>
          <w:rFonts w:ascii="Book Antiqua" w:eastAsia="Book Antiqua" w:hAnsi="Book Antiqua" w:cs="Book Antiqua"/>
          <w:i/>
          <w:iCs/>
        </w:rPr>
        <w:t>Oncol Rep</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328-338 [PMID: 31002376 DOI: 10.3892/or.2019.7132]</w:t>
      </w:r>
    </w:p>
    <w:p w14:paraId="18317F60"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Pereira MXG</w:t>
      </w:r>
      <w:r>
        <w:rPr>
          <w:rFonts w:ascii="Book Antiqua" w:eastAsia="Book Antiqua" w:hAnsi="Book Antiqua" w:cs="Book Antiqua"/>
        </w:rPr>
        <w:t xml:space="preserve">, Hammes ASO, Vasconcelos FC, Pozzo AR, Pereira TH, Caffarena ER, Gattass CR, Maia RC. Antitumor Effect of Pomolic Acid in Acute Myeloid Leukemia Cells Involves Cell Death, Decreased Cell Growth and Topoisomerases Inhibition. </w:t>
      </w:r>
      <w:r>
        <w:rPr>
          <w:rFonts w:ascii="Book Antiqua" w:eastAsia="Book Antiqua" w:hAnsi="Book Antiqua" w:cs="Book Antiqua"/>
          <w:i/>
          <w:iCs/>
        </w:rPr>
        <w:t>Anticancer Agents Med Chem</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1457-1468 [PMID: 29651965 DOI: 10.2174/1871520618666180412120128]</w:t>
      </w:r>
    </w:p>
    <w:p w14:paraId="3DF04A9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Kuete V</w:t>
      </w:r>
      <w:r>
        <w:rPr>
          <w:rFonts w:ascii="Book Antiqua" w:eastAsia="Book Antiqua" w:hAnsi="Book Antiqua" w:cs="Book Antiqua"/>
        </w:rPr>
        <w:t xml:space="preserve">, Sandjo LP, Seukep JA, Zeino M, Mbaveng AT, Ngadjui B, Efferth T. Cytotoxic compounds from the fruits of Uapaca togoensis towards multifactorial drug-resistant cancer cells. </w:t>
      </w:r>
      <w:r>
        <w:rPr>
          <w:rFonts w:ascii="Book Antiqua" w:eastAsia="Book Antiqua" w:hAnsi="Book Antiqua" w:cs="Book Antiqua"/>
          <w:i/>
          <w:iCs/>
        </w:rPr>
        <w:t>Planta Med</w:t>
      </w:r>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32-38 [PMID: 25473921 DOI: 10.1055/s-0034-1383362]</w:t>
      </w:r>
    </w:p>
    <w:p w14:paraId="466A259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Fernandes J</w:t>
      </w:r>
      <w:r>
        <w:rPr>
          <w:rFonts w:ascii="Book Antiqua" w:eastAsia="Book Antiqua" w:hAnsi="Book Antiqua" w:cs="Book Antiqua"/>
        </w:rPr>
        <w:t xml:space="preserve">, Weinlich R, Castilho RO, Kaplan MA, Amarante-Mendes GP, Gattass CR. Pomolic acid triggers mitochondria-dependent apoptotic cell death in leukemia cell line. </w:t>
      </w:r>
      <w:r>
        <w:rPr>
          <w:rFonts w:ascii="Book Antiqua" w:eastAsia="Book Antiqua" w:hAnsi="Book Antiqua" w:cs="Book Antiqua"/>
          <w:i/>
          <w:iCs/>
        </w:rPr>
        <w:t>Cancer Lett</w:t>
      </w:r>
      <w:r>
        <w:rPr>
          <w:rFonts w:ascii="Book Antiqua" w:eastAsia="Book Antiqua" w:hAnsi="Book Antiqua" w:cs="Book Antiqua"/>
        </w:rPr>
        <w:t xml:space="preserve"> 2005; </w:t>
      </w:r>
      <w:r>
        <w:rPr>
          <w:rFonts w:ascii="Book Antiqua" w:eastAsia="Book Antiqua" w:hAnsi="Book Antiqua" w:cs="Book Antiqua"/>
          <w:b/>
          <w:bCs/>
        </w:rPr>
        <w:t>219</w:t>
      </w:r>
      <w:r>
        <w:rPr>
          <w:rFonts w:ascii="Book Antiqua" w:eastAsia="Book Antiqua" w:hAnsi="Book Antiqua" w:cs="Book Antiqua"/>
        </w:rPr>
        <w:t>: 49-55 [PMID: 15694664 DOI: 10.1016/j.canlet.2004.09.001]</w:t>
      </w:r>
    </w:p>
    <w:p w14:paraId="71322963"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Vasconcelos FC</w:t>
      </w:r>
      <w:r>
        <w:rPr>
          <w:rFonts w:ascii="Book Antiqua" w:eastAsia="Book Antiqua" w:hAnsi="Book Antiqua" w:cs="Book Antiqua"/>
        </w:rPr>
        <w:t xml:space="preserve">, Gattass CR, Rumjanek VM, Maia RC. Pomolic acid-induced apoptosis in cells from patients with chronic myeloid leukemia exhibiting different drug resistance profile. </w:t>
      </w:r>
      <w:r>
        <w:rPr>
          <w:rFonts w:ascii="Book Antiqua" w:eastAsia="Book Antiqua" w:hAnsi="Book Antiqua" w:cs="Book Antiqua"/>
          <w:i/>
          <w:iCs/>
        </w:rPr>
        <w:t>Invest New Drugs</w:t>
      </w:r>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525-533 [PMID: 17520174 DOI: 10.1007/s10637-007-9064-5]</w:t>
      </w:r>
    </w:p>
    <w:p w14:paraId="2C6AB8FF"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Book Antiqua" w:hAnsi="Book Antiqua" w:cs="Book Antiqua"/>
          <w:b/>
          <w:bCs/>
        </w:rPr>
        <w:t xml:space="preserve"> </w:t>
      </w:r>
      <w:r>
        <w:rPr>
          <w:rFonts w:ascii="Book Antiqua" w:eastAsia="Book Antiqua" w:hAnsi="Book Antiqua" w:cs="Book Antiqua" w:hint="eastAsia"/>
          <w:b/>
          <w:bCs/>
        </w:rPr>
        <w:t>Guimarães LPTP</w:t>
      </w:r>
      <w:r>
        <w:rPr>
          <w:rFonts w:ascii="Book Antiqua" w:eastAsia="Book Antiqua" w:hAnsi="Book Antiqua" w:cs="Book Antiqua" w:hint="eastAsia"/>
        </w:rPr>
        <w:t xml:space="preserve">, Rocha GDG, Queiroz RM, Martins CA, Takiya CM, Gattass CR. Pomolic acid induces apoptosis and inhibits multidrug resistance protein MRP1 and </w:t>
      </w:r>
      <w:r>
        <w:rPr>
          <w:rFonts w:ascii="Book Antiqua" w:eastAsia="Book Antiqua" w:hAnsi="Book Antiqua" w:cs="Book Antiqua" w:hint="eastAsia"/>
        </w:rPr>
        <w:lastRenderedPageBreak/>
        <w:t xml:space="preserve">migration in glioblastoma cells. </w:t>
      </w:r>
      <w:r>
        <w:rPr>
          <w:rFonts w:ascii="Book Antiqua" w:eastAsia="Book Antiqua" w:hAnsi="Book Antiqua" w:cs="Book Antiqua" w:hint="eastAsia"/>
          <w:i/>
          <w:iCs/>
        </w:rPr>
        <w:t>Oncol Rep</w:t>
      </w:r>
      <w:r>
        <w:rPr>
          <w:rFonts w:ascii="Book Antiqua" w:eastAsia="Book Antiqua" w:hAnsi="Book Antiqua" w:cs="Book Antiqua" w:hint="eastAsia"/>
        </w:rPr>
        <w:t xml:space="preserve"> 2017; </w:t>
      </w:r>
      <w:r>
        <w:rPr>
          <w:rFonts w:ascii="Book Antiqua" w:eastAsia="Book Antiqua" w:hAnsi="Book Antiqua" w:cs="Book Antiqua" w:hint="eastAsia"/>
          <w:b/>
          <w:bCs/>
        </w:rPr>
        <w:t>38</w:t>
      </w:r>
      <w:r>
        <w:rPr>
          <w:rFonts w:ascii="Book Antiqua" w:eastAsia="Book Antiqua" w:hAnsi="Book Antiqua" w:cs="Book Antiqua" w:hint="eastAsia"/>
        </w:rPr>
        <w:t>: 2525-2534 [PMID: 28849227 DOI: 10.3892/or.2017.5895]</w:t>
      </w:r>
    </w:p>
    <w:p w14:paraId="1547D60C"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17</w:t>
      </w:r>
      <w:r>
        <w:rPr>
          <w:rFonts w:ascii="Book Antiqua" w:eastAsia="Book Antiqua" w:hAnsi="Book Antiqua" w:cs="Book Antiqua" w:hint="eastAsia"/>
        </w:rPr>
        <w:t xml:space="preserve"> Martins CA, Rocha GDG, Gattass CR, Takiya CM. Pomolic acid exhibits anticancer potential against a docetaxel</w:t>
      </w:r>
      <w:r>
        <w:rPr>
          <w:rFonts w:ascii="Book Antiqua" w:eastAsia="Book Antiqua" w:hAnsi="Book Antiqua" w:cs="Book Antiqua" w:hint="eastAsia"/>
        </w:rPr>
        <w:noBreakHyphen/>
        <w:t>resistant PC3 prostate cell line. Oncol Rep 2019; 42: 328-338 [PMID: 31002376 DOI: 10.3892/or.2019.7132]</w:t>
      </w:r>
    </w:p>
    <w:p w14:paraId="7FEB41CE"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Chung DJ</w:t>
      </w:r>
      <w:r>
        <w:rPr>
          <w:rFonts w:ascii="Book Antiqua" w:eastAsia="Book Antiqua" w:hAnsi="Book Antiqua" w:cs="Book Antiqua"/>
        </w:rPr>
        <w:t xml:space="preserve">, Wang CJ, Yeh CW, Tseng TH. Inhibition of the Proliferation and Invasion of C6 Glioma Cells by Tricin via the Upregulation of Focal-Adhesion-Kinase-Targeting MicroRNA-7. </w:t>
      </w:r>
      <w:r>
        <w:rPr>
          <w:rFonts w:ascii="Book Antiqua" w:eastAsia="Book Antiqua" w:hAnsi="Book Antiqua" w:cs="Book Antiqua"/>
          <w:i/>
          <w:iCs/>
        </w:rPr>
        <w:t>J Agric Food Chem</w:t>
      </w:r>
      <w:r>
        <w:rPr>
          <w:rFonts w:ascii="Book Antiqua" w:eastAsia="Book Antiqua" w:hAnsi="Book Antiqua" w:cs="Book Antiqua"/>
        </w:rPr>
        <w:t xml:space="preserve"> 2018; </w:t>
      </w:r>
      <w:r>
        <w:rPr>
          <w:rFonts w:ascii="Book Antiqua" w:eastAsia="Book Antiqua" w:hAnsi="Book Antiqua" w:cs="Book Antiqua"/>
          <w:b/>
          <w:bCs/>
        </w:rPr>
        <w:t>66</w:t>
      </w:r>
      <w:r>
        <w:rPr>
          <w:rFonts w:ascii="Book Antiqua" w:eastAsia="Book Antiqua" w:hAnsi="Book Antiqua" w:cs="Book Antiqua"/>
        </w:rPr>
        <w:t>: 6708-6716 [PMID: 29877083 DOI: 10.1021/acs.jafc.8b00604]</w:t>
      </w:r>
    </w:p>
    <w:p w14:paraId="7F48658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2019. </w:t>
      </w:r>
      <w:r>
        <w:rPr>
          <w:rFonts w:ascii="Book Antiqua" w:eastAsia="Book Antiqua" w:hAnsi="Book Antiqua" w:cs="Book Antiqua"/>
          <w:i/>
          <w:iCs/>
        </w:rPr>
        <w:t>CA Cancer J Clin</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7-34 [PMID: 30620402 DOI: 10.3322/caac.21551]</w:t>
      </w:r>
    </w:p>
    <w:p w14:paraId="176D042E" w14:textId="77777777" w:rsidR="003D6C41"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20</w:t>
      </w:r>
      <w:r>
        <w:rPr>
          <w:rFonts w:ascii="Book Antiqua" w:eastAsia="Book Antiqua" w:hAnsi="Book Antiqua" w:cs="Book Antiqua"/>
        </w:rPr>
        <w:t xml:space="preserve"> </w:t>
      </w:r>
      <w:r>
        <w:rPr>
          <w:rFonts w:ascii="Book Antiqua" w:eastAsia="Book Antiqua" w:hAnsi="Book Antiqua" w:cs="Book Antiqua"/>
          <w:b/>
          <w:bCs/>
        </w:rPr>
        <w:t>Gosavi R</w:t>
      </w:r>
      <w:r>
        <w:rPr>
          <w:rFonts w:ascii="Book Antiqua" w:eastAsia="Book Antiqua" w:hAnsi="Book Antiqua" w:cs="Book Antiqua"/>
        </w:rPr>
        <w:t xml:space="preserve">, Chia C, Michael M, Heriot AG, Warrier SK, Kong JC. Neoadjuvant chemotherapy in locally advanced colon cancer: a systematic review and meta-analysis. </w:t>
      </w:r>
      <w:r>
        <w:rPr>
          <w:rFonts w:ascii="Book Antiqua" w:eastAsia="Book Antiqua" w:hAnsi="Book Antiqua" w:cs="Book Antiqua"/>
          <w:i/>
          <w:iCs/>
        </w:rPr>
        <w:t>Int J Colorectal Dis</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2063-2070 [PMID: 33945007 DOI: 10.1007/s00384-021-03945-3]</w:t>
      </w:r>
    </w:p>
    <w:p w14:paraId="4C461B79"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Dai H</w:t>
      </w:r>
      <w:r>
        <w:rPr>
          <w:rFonts w:ascii="Book Antiqua" w:eastAsia="Book Antiqua" w:hAnsi="Book Antiqua" w:cs="Book Antiqua"/>
        </w:rPr>
        <w:t>, Meng WX, Kaufmann SH.</w:t>
      </w:r>
      <w:r>
        <w:rPr>
          <w:rFonts w:ascii="Book Antiqua" w:eastAsia="宋体" w:hAnsi="Book Antiqua" w:cs="Book Antiqua" w:hint="eastAsia"/>
          <w:lang w:eastAsia="zh-CN"/>
        </w:rPr>
        <w:t xml:space="preserve"> </w:t>
      </w:r>
      <w:r>
        <w:rPr>
          <w:rFonts w:ascii="Book Antiqua" w:eastAsia="Book Antiqua" w:hAnsi="Book Antiqua" w:cs="Book Antiqua"/>
        </w:rPr>
        <w:t>BCL2 Family</w:t>
      </w:r>
      <w:r>
        <w:rPr>
          <w:rFonts w:ascii="Book Antiqua" w:eastAsia="宋体" w:hAnsi="Book Antiqua" w:cs="Book Antiqua" w:hint="eastAsia"/>
          <w:lang w:eastAsia="zh-CN"/>
        </w:rPr>
        <w:t>,</w:t>
      </w:r>
      <w:r>
        <w:rPr>
          <w:rFonts w:ascii="Book Antiqua" w:eastAsia="Book Antiqua" w:hAnsi="Book Antiqua" w:cs="Book Antiqua"/>
        </w:rPr>
        <w:t xml:space="preserve"> Mitochondrial Apoptosis, and Beyond</w:t>
      </w:r>
      <w:r>
        <w:rPr>
          <w:rFonts w:ascii="Book Antiqua" w:eastAsia="宋体" w:hAnsi="Book Antiqua" w:cs="Book Antiqua" w:hint="eastAsia"/>
          <w:lang w:eastAsia="zh-CN"/>
        </w:rPr>
        <w:t>.</w:t>
      </w:r>
      <w:r>
        <w:rPr>
          <w:rFonts w:ascii="Book Antiqua" w:eastAsia="Book Antiqua" w:hAnsi="Book Antiqua" w:cs="Book Antiqua" w:hint="eastAsia"/>
          <w:lang w:eastAsia="zh-CN"/>
        </w:rPr>
        <w:t xml:space="preserve"> </w:t>
      </w:r>
      <w:r>
        <w:rPr>
          <w:rFonts w:ascii="Book Antiqua" w:eastAsia="Book Antiqua" w:hAnsi="Book Antiqua" w:cs="Book Antiqua"/>
          <w:i/>
          <w:iCs/>
        </w:rPr>
        <w:t>Cancer Transl Med</w:t>
      </w:r>
      <w:r>
        <w:rPr>
          <w:rFonts w:ascii="Book Antiqua" w:eastAsia="Book Antiqua" w:hAnsi="Book Antiqua" w:cs="Book Antiqua"/>
        </w:rPr>
        <w:t xml:space="preserve"> 2016</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2</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10.4103/2395-3977.177558]</w:t>
      </w:r>
    </w:p>
    <w:p w14:paraId="3898C4BA"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Thandapani P</w:t>
      </w:r>
      <w:r>
        <w:rPr>
          <w:rFonts w:ascii="Book Antiqua" w:eastAsia="Book Antiqua" w:hAnsi="Book Antiqua" w:cs="Book Antiqua"/>
        </w:rPr>
        <w:t xml:space="preserve">, Aifantis I. Apoptosis, Up the Ante. </w:t>
      </w:r>
      <w:r>
        <w:rPr>
          <w:rFonts w:ascii="Book Antiqua" w:eastAsia="Book Antiqua" w:hAnsi="Book Antiqua" w:cs="Book Antiqua"/>
          <w:i/>
          <w:iCs/>
        </w:rPr>
        <w:t>Cancer Cell</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402-403 [PMID: 29017053 DOI: 10.1016/j.ccell.2017.09.009]</w:t>
      </w:r>
    </w:p>
    <w:p w14:paraId="57BFF041"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Pullarkat VA</w:t>
      </w:r>
      <w:r>
        <w:rPr>
          <w:rFonts w:ascii="Book Antiqua" w:eastAsia="Book Antiqua" w:hAnsi="Book Antiqua" w:cs="Book Antiqua"/>
        </w:rPr>
        <w:t xml:space="preserve">, Newman EM. BCL2 Inhibition by Venetoclax: Targeting the Achilles' Heel of the Acute Myeloid Leukemia Stem Cell? </w:t>
      </w:r>
      <w:r>
        <w:rPr>
          <w:rFonts w:ascii="Book Antiqua" w:eastAsia="Book Antiqua" w:hAnsi="Book Antiqua" w:cs="Book Antiqua"/>
          <w:i/>
          <w:iCs/>
        </w:rPr>
        <w:t>Cancer Discov</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1082-1083 [PMID: 27698099 DOI: 10.1158/2159-8290.cd-16-0921]</w:t>
      </w:r>
    </w:p>
    <w:p w14:paraId="7970E1E6"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Hata AN</w:t>
      </w:r>
      <w:r>
        <w:rPr>
          <w:rFonts w:ascii="Book Antiqua" w:eastAsia="Book Antiqua" w:hAnsi="Book Antiqua" w:cs="Book Antiqua"/>
        </w:rPr>
        <w:t xml:space="preserve">, Engelman JA, Faber AC. The BCL2 Family: Key Mediators of the Apoptotic Response to Targeted Anticancer Therapeutics. </w:t>
      </w:r>
      <w:r>
        <w:rPr>
          <w:rFonts w:ascii="Book Antiqua" w:eastAsia="Book Antiqua" w:hAnsi="Book Antiqua" w:cs="Book Antiqua"/>
          <w:i/>
          <w:iCs/>
        </w:rPr>
        <w:t>Cancer Discov</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475-487 [PMID: 25895919 DOI: 10.1158/2159-8290.CD-15-0011]</w:t>
      </w:r>
    </w:p>
    <w:p w14:paraId="7A973128"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Fesik SW</w:t>
      </w:r>
      <w:r>
        <w:rPr>
          <w:rFonts w:ascii="Book Antiqua" w:eastAsia="Book Antiqua" w:hAnsi="Book Antiqua" w:cs="Book Antiqua"/>
        </w:rPr>
        <w:t xml:space="preserve">. Promoting apoptosis as a strategy for cancer drug discovery. </w:t>
      </w:r>
      <w:r>
        <w:rPr>
          <w:rFonts w:ascii="Book Antiqua" w:eastAsia="Book Antiqua" w:hAnsi="Book Antiqua" w:cs="Book Antiqua"/>
          <w:i/>
          <w:iCs/>
        </w:rPr>
        <w:t>Nat Rev Cancer</w:t>
      </w:r>
      <w:r>
        <w:rPr>
          <w:rFonts w:ascii="Book Antiqua" w:eastAsia="Book Antiqua" w:hAnsi="Book Antiqua" w:cs="Book Antiqua"/>
        </w:rPr>
        <w:t xml:space="preserve"> 2005; </w:t>
      </w:r>
      <w:r>
        <w:rPr>
          <w:rFonts w:ascii="Book Antiqua" w:eastAsia="Book Antiqua" w:hAnsi="Book Antiqua" w:cs="Book Antiqua"/>
          <w:b/>
          <w:bCs/>
        </w:rPr>
        <w:t>5</w:t>
      </w:r>
      <w:r>
        <w:rPr>
          <w:rFonts w:ascii="Book Antiqua" w:eastAsia="Book Antiqua" w:hAnsi="Book Antiqua" w:cs="Book Antiqua"/>
        </w:rPr>
        <w:t>: 876-885 [PMID: 16239906 DOI: 10.1038/nrc1736]</w:t>
      </w:r>
    </w:p>
    <w:p w14:paraId="1545CE6F"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Wei MC</w:t>
      </w:r>
      <w:r>
        <w:rPr>
          <w:rFonts w:ascii="Book Antiqua" w:eastAsia="Book Antiqua" w:hAnsi="Book Antiqua" w:cs="Book Antiqua"/>
        </w:rPr>
        <w:t xml:space="preserve">, Zong WX, Cheng EH, Lindsten T, Panoutsakopoulou V, Ross AJ, Roth KA, MacGregor GR, Thompson CB, Korsmeyer SJ. Proapoptotic BAX and BAK: a requisite </w:t>
      </w:r>
      <w:r>
        <w:rPr>
          <w:rFonts w:ascii="Book Antiqua" w:eastAsia="Book Antiqua" w:hAnsi="Book Antiqua" w:cs="Book Antiqua"/>
        </w:rPr>
        <w:lastRenderedPageBreak/>
        <w:t xml:space="preserve">gateway to mitochondrial dysfunction and death. </w:t>
      </w:r>
      <w:r>
        <w:rPr>
          <w:rFonts w:ascii="Book Antiqua" w:eastAsia="Book Antiqua" w:hAnsi="Book Antiqua" w:cs="Book Antiqua"/>
          <w:i/>
          <w:iCs/>
        </w:rPr>
        <w:t>Science</w:t>
      </w:r>
      <w:r>
        <w:rPr>
          <w:rFonts w:ascii="Book Antiqua" w:eastAsia="Book Antiqua" w:hAnsi="Book Antiqua" w:cs="Book Antiqua"/>
        </w:rPr>
        <w:t xml:space="preserve"> 2001; </w:t>
      </w:r>
      <w:r>
        <w:rPr>
          <w:rFonts w:ascii="Book Antiqua" w:eastAsia="Book Antiqua" w:hAnsi="Book Antiqua" w:cs="Book Antiqua"/>
          <w:b/>
          <w:bCs/>
        </w:rPr>
        <w:t>292</w:t>
      </w:r>
      <w:r>
        <w:rPr>
          <w:rFonts w:ascii="Book Antiqua" w:eastAsia="Book Antiqua" w:hAnsi="Book Antiqua" w:cs="Book Antiqua"/>
        </w:rPr>
        <w:t>: 727-730 [PMID: 11326099 DOI: 10.1126/science.1059108]</w:t>
      </w:r>
    </w:p>
    <w:p w14:paraId="320D3864"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Peng Y</w:t>
      </w:r>
      <w:r>
        <w:rPr>
          <w:rFonts w:ascii="Book Antiqua" w:eastAsia="Book Antiqua" w:hAnsi="Book Antiqua" w:cs="Book Antiqua"/>
        </w:rPr>
        <w:t xml:space="preserve">, Miao H, Wu S, Yang W, Zhang Y, Xie G, Xie X, Li J, Shi C, Ye L, Sun W, Wang L, Liang H, Ou J. ABHD5 interacts with BECN1 to regulate autophagy and tumorigenesis of colon cancer independent of PNPLA2. </w:t>
      </w:r>
      <w:r>
        <w:rPr>
          <w:rFonts w:ascii="Book Antiqua" w:eastAsia="Book Antiqua" w:hAnsi="Book Antiqua" w:cs="Book Antiqua"/>
          <w:i/>
          <w:iCs/>
        </w:rPr>
        <w:t>Autophagy</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2167-2182 [PMID: 27559856 DOI: 10.1080/15548627.2016.1217380]</w:t>
      </w:r>
    </w:p>
    <w:p w14:paraId="4039136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Pankiv S</w:t>
      </w:r>
      <w:r>
        <w:rPr>
          <w:rFonts w:ascii="Book Antiqua" w:eastAsia="Book Antiqua" w:hAnsi="Book Antiqua" w:cs="Book Antiqua"/>
        </w:rPr>
        <w:t xml:space="preserve">, Clausen TH, Lamark T, Brech A, Bruun JA, Outzen H, Øvervatn A, Bjørkøy G, Johansen T. p62/SQSTM1 binds directly to Atg8/LC3 to facilitate degradation of ubiquitinated protein aggregates by autophagy.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24131-24145 [PMID: 17580304 DOI: 10.1074/jbc.m702824200]</w:t>
      </w:r>
    </w:p>
    <w:p w14:paraId="68AAC77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Mathew R</w:t>
      </w:r>
      <w:r>
        <w:rPr>
          <w:rFonts w:ascii="Book Antiqua" w:eastAsia="Book Antiqua" w:hAnsi="Book Antiqua" w:cs="Book Antiqua"/>
        </w:rPr>
        <w:t xml:space="preserve">, Karp CM, Beaudoin B, Vuong N, Chen G, Chen HY, Bray K, Reddy A, Bhanot G, Gelinas C, Dipaola RS, Karantza-Wadsworth V, White E. Autophagy suppresses tumorigenesis through elimination of p62. </w:t>
      </w:r>
      <w:r>
        <w:rPr>
          <w:rFonts w:ascii="Book Antiqua" w:eastAsia="Book Antiqua" w:hAnsi="Book Antiqua" w:cs="Book Antiqua"/>
          <w:i/>
          <w:iCs/>
        </w:rPr>
        <w:t>Cell</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1062-1075 [PMID: 19524509 DOI: 10.1016/j.cell.2009.03.048]</w:t>
      </w:r>
    </w:p>
    <w:p w14:paraId="7AB2E0AA"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30</w:t>
      </w:r>
      <w:r>
        <w:rPr>
          <w:rFonts w:ascii="Book Antiqua" w:eastAsia="Book Antiqua" w:hAnsi="Book Antiqua" w:cs="Book Antiqua"/>
        </w:rPr>
        <w:t xml:space="preserve"> </w:t>
      </w:r>
      <w:r>
        <w:rPr>
          <w:rFonts w:ascii="Book Antiqua" w:eastAsia="Book Antiqua" w:hAnsi="Book Antiqua" w:cs="Book Antiqua"/>
          <w:b/>
          <w:bCs/>
        </w:rPr>
        <w:t>Ichimura Y</w:t>
      </w:r>
      <w:r>
        <w:rPr>
          <w:rFonts w:ascii="Book Antiqua" w:eastAsia="Book Antiqua" w:hAnsi="Book Antiqua" w:cs="Book Antiqua"/>
        </w:rPr>
        <w:t xml:space="preserve">, Kumanomidou T, Sou YS, Mizushima T, Ezaki J, Ueno T, Kominami E, Yamane T, Tanaka K, Komatsu M. Structural basis for sorting mechanism of p62 in selective autophagy. </w:t>
      </w:r>
      <w:r>
        <w:rPr>
          <w:rFonts w:ascii="Book Antiqua" w:eastAsia="Book Antiqua" w:hAnsi="Book Antiqua" w:cs="Book Antiqua"/>
          <w:i/>
          <w:iCs/>
        </w:rPr>
        <w:t>J Biol Chem</w:t>
      </w:r>
      <w:r>
        <w:rPr>
          <w:rFonts w:ascii="Book Antiqua" w:eastAsia="Book Antiqua" w:hAnsi="Book Antiqua" w:cs="Book Antiqua"/>
        </w:rPr>
        <w:t xml:space="preserve"> 2008; </w:t>
      </w:r>
      <w:r>
        <w:rPr>
          <w:rFonts w:ascii="Book Antiqua" w:eastAsia="Book Antiqua" w:hAnsi="Book Antiqua" w:cs="Book Antiqua"/>
          <w:b/>
          <w:bCs/>
        </w:rPr>
        <w:t>283</w:t>
      </w:r>
      <w:r>
        <w:rPr>
          <w:rFonts w:ascii="Book Antiqua" w:eastAsia="Book Antiqua" w:hAnsi="Book Antiqua" w:cs="Book Antiqua"/>
        </w:rPr>
        <w:t>: 22847-22857 [PMID: 18524774 DOI: 10.1074/jbc.</w:t>
      </w:r>
      <w:r>
        <w:rPr>
          <w:rFonts w:ascii="Book Antiqua" w:eastAsia="宋体" w:hAnsi="Book Antiqua" w:cs="Book Antiqua" w:hint="eastAsia"/>
          <w:lang w:eastAsia="zh-CN"/>
        </w:rPr>
        <w:t>M</w:t>
      </w:r>
      <w:r>
        <w:rPr>
          <w:rFonts w:ascii="Book Antiqua" w:eastAsia="Book Antiqua" w:hAnsi="Book Antiqua" w:cs="Book Antiqua"/>
        </w:rPr>
        <w:t>802182200]</w:t>
      </w:r>
    </w:p>
    <w:p w14:paraId="3B61E20E"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Zhang YB</w:t>
      </w:r>
      <w:r>
        <w:rPr>
          <w:rFonts w:ascii="Book Antiqua" w:eastAsia="Book Antiqua" w:hAnsi="Book Antiqua" w:cs="Book Antiqua"/>
        </w:rPr>
        <w:t xml:space="preserve">, Gong JL, Xing TY, Zheng SP, Ding W. Autophagy protein p62/SQSTM1 is involved in HAMLET-induced cell death by modulating apotosis in U87MG cells. </w:t>
      </w:r>
      <w:r>
        <w:rPr>
          <w:rFonts w:ascii="Book Antiqua" w:eastAsia="Book Antiqua" w:hAnsi="Book Antiqua" w:cs="Book Antiqua"/>
          <w:i/>
          <w:iCs/>
        </w:rPr>
        <w:t>Cell Death Dis</w:t>
      </w:r>
      <w:r>
        <w:rPr>
          <w:rFonts w:ascii="Book Antiqua" w:eastAsia="Book Antiqua" w:hAnsi="Book Antiqua" w:cs="Book Antiqua"/>
        </w:rPr>
        <w:t xml:space="preserve"> 2013; </w:t>
      </w:r>
      <w:r>
        <w:rPr>
          <w:rFonts w:ascii="Book Antiqua" w:eastAsia="Book Antiqua" w:hAnsi="Book Antiqua" w:cs="Book Antiqua"/>
          <w:b/>
          <w:bCs/>
        </w:rPr>
        <w:t>4</w:t>
      </w:r>
      <w:r>
        <w:rPr>
          <w:rFonts w:ascii="Book Antiqua" w:eastAsia="Book Antiqua" w:hAnsi="Book Antiqua" w:cs="Book Antiqua"/>
        </w:rPr>
        <w:t>: e550 [PMID: 23519119 DOI: 10.1038/cddis.2013.77]</w:t>
      </w:r>
    </w:p>
    <w:p w14:paraId="3529F62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Jin Z</w:t>
      </w:r>
      <w:r>
        <w:rPr>
          <w:rFonts w:ascii="Book Antiqua" w:eastAsia="Book Antiqua" w:hAnsi="Book Antiqua" w:cs="Book Antiqua"/>
        </w:rPr>
        <w:t xml:space="preserve">, Li Y, Pitti R, Lawrence D, Pham VC, Lill JR, Ashkenazi A. Cullin3-based polyubiquitination and p62-dependent aggregation of caspase-8 mediate extrinsic apoptosis signaling. </w:t>
      </w:r>
      <w:r>
        <w:rPr>
          <w:rFonts w:ascii="Book Antiqua" w:eastAsia="Book Antiqua" w:hAnsi="Book Antiqua" w:cs="Book Antiqua"/>
          <w:i/>
          <w:iCs/>
        </w:rPr>
        <w:t>Cell</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721-735 [PMID: 19427028 DOI: 10.1016/j.cell.2009.03.015]</w:t>
      </w:r>
    </w:p>
    <w:p w14:paraId="25D4D916" w14:textId="77777777" w:rsidR="003D6C41" w:rsidRDefault="003D6C41">
      <w:pPr>
        <w:adjustRightInd w:val="0"/>
        <w:snapToGrid w:val="0"/>
        <w:spacing w:line="360" w:lineRule="auto"/>
        <w:jc w:val="both"/>
        <w:rPr>
          <w:rFonts w:ascii="Book Antiqua" w:hAnsi="Book Antiqua" w:cs="Book Antiqua"/>
        </w:rPr>
        <w:sectPr w:rsidR="003D6C41">
          <w:pgSz w:w="12240" w:h="15840"/>
          <w:pgMar w:top="1440" w:right="1440" w:bottom="1440" w:left="1440" w:header="720" w:footer="720" w:gutter="0"/>
          <w:cols w:space="720"/>
          <w:docGrid w:linePitch="360"/>
        </w:sectPr>
      </w:pPr>
    </w:p>
    <w:p w14:paraId="7198ED3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12D0669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14:paraId="5FFC7703" w14:textId="77777777" w:rsidR="003D6C41" w:rsidRDefault="003D6C41">
      <w:pPr>
        <w:adjustRightInd w:val="0"/>
        <w:snapToGrid w:val="0"/>
        <w:spacing w:line="360" w:lineRule="auto"/>
        <w:jc w:val="both"/>
        <w:rPr>
          <w:rFonts w:ascii="Book Antiqua" w:hAnsi="Book Antiqua" w:cs="Book Antiqua"/>
        </w:rPr>
      </w:pPr>
    </w:p>
    <w:p w14:paraId="736E84DB" w14:textId="77777777" w:rsidR="003D6C41" w:rsidRDefault="00000000">
      <w:pPr>
        <w:adjustRightInd w:val="0"/>
        <w:snapToGrid w:val="0"/>
        <w:spacing w:line="360" w:lineRule="auto"/>
        <w:jc w:val="both"/>
        <w:rPr>
          <w:rFonts w:ascii="Book Antiqua" w:hAnsi="Book Antiqua" w:cstheme="minorHAnsi"/>
        </w:rPr>
      </w:pPr>
      <w:r>
        <w:rPr>
          <w:rFonts w:ascii="Book Antiqua" w:eastAsia="Book Antiqua" w:hAnsi="Book Antiqua" w:cs="Book Antiqua"/>
          <w:b/>
          <w:bCs/>
        </w:rPr>
        <w:t xml:space="preserve">Data sharing statement: </w:t>
      </w:r>
      <w:r>
        <w:rPr>
          <w:rFonts w:ascii="Book Antiqua" w:hAnsi="Book Antiqua" w:cstheme="minorHAnsi"/>
        </w:rPr>
        <w:t>No additional data are available.</w:t>
      </w:r>
    </w:p>
    <w:p w14:paraId="71EBAC6F" w14:textId="77777777" w:rsidR="003D6C41" w:rsidRDefault="003D6C41">
      <w:pPr>
        <w:adjustRightInd w:val="0"/>
        <w:snapToGrid w:val="0"/>
        <w:spacing w:line="360" w:lineRule="auto"/>
        <w:jc w:val="both"/>
        <w:rPr>
          <w:rFonts w:ascii="Book Antiqua" w:hAnsi="Book Antiqua" w:cs="Book Antiqua"/>
        </w:rPr>
      </w:pPr>
    </w:p>
    <w:p w14:paraId="7943074C"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7BDAE2" w14:textId="77777777" w:rsidR="003D6C41" w:rsidRDefault="003D6C41">
      <w:pPr>
        <w:adjustRightInd w:val="0"/>
        <w:snapToGrid w:val="0"/>
        <w:spacing w:line="360" w:lineRule="auto"/>
        <w:jc w:val="both"/>
        <w:rPr>
          <w:rFonts w:ascii="Book Antiqua" w:hAnsi="Book Antiqua" w:cs="Book Antiqua"/>
        </w:rPr>
      </w:pPr>
    </w:p>
    <w:p w14:paraId="7988D5B5" w14:textId="77777777"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17B7725" w14:textId="77777777" w:rsidR="003D6C41" w:rsidRDefault="003D6C41">
      <w:pPr>
        <w:adjustRightInd w:val="0"/>
        <w:snapToGrid w:val="0"/>
        <w:spacing w:line="360" w:lineRule="auto"/>
        <w:jc w:val="both"/>
        <w:rPr>
          <w:rFonts w:ascii="Book Antiqua" w:eastAsia="Book Antiqua" w:hAnsi="Book Antiqua" w:cs="Book Antiqua"/>
        </w:rPr>
      </w:pPr>
    </w:p>
    <w:p w14:paraId="4896799E"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FC47E8F" w14:textId="77777777" w:rsidR="003D6C41" w:rsidRDefault="003D6C41">
      <w:pPr>
        <w:adjustRightInd w:val="0"/>
        <w:snapToGrid w:val="0"/>
        <w:spacing w:line="360" w:lineRule="auto"/>
        <w:jc w:val="both"/>
        <w:rPr>
          <w:rFonts w:ascii="Book Antiqua" w:hAnsi="Book Antiqua" w:cs="Book Antiqua"/>
        </w:rPr>
      </w:pPr>
    </w:p>
    <w:p w14:paraId="40381DD3"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21, 2023</w:t>
      </w:r>
    </w:p>
    <w:p w14:paraId="43DCF46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 2023</w:t>
      </w:r>
    </w:p>
    <w:p w14:paraId="0E980715" w14:textId="3A44A443"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330522" w:rsidRPr="00A02082">
        <w:rPr>
          <w:rFonts w:ascii="Book Antiqua" w:eastAsia="Book Antiqua" w:hAnsi="Book Antiqua" w:cs="Book Antiqua"/>
        </w:rPr>
        <w:t>August 31, 2023</w:t>
      </w:r>
    </w:p>
    <w:p w14:paraId="79545BEF" w14:textId="77777777" w:rsidR="003D6C41" w:rsidRDefault="003D6C41">
      <w:pPr>
        <w:adjustRightInd w:val="0"/>
        <w:snapToGrid w:val="0"/>
        <w:spacing w:line="360" w:lineRule="auto"/>
        <w:jc w:val="both"/>
        <w:rPr>
          <w:rFonts w:ascii="Book Antiqua" w:hAnsi="Book Antiqua" w:cs="Book Antiqua"/>
        </w:rPr>
      </w:pPr>
    </w:p>
    <w:p w14:paraId="3457DF94"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2A28FF11"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1CE01E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572B9C69"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3F1C496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14:paraId="3B38DC6B"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0F6CD336"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CEF6607" w14:textId="77777777"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72A0936" w14:textId="77777777" w:rsidR="003D6C41" w:rsidRDefault="003D6C41">
      <w:pPr>
        <w:adjustRightInd w:val="0"/>
        <w:snapToGrid w:val="0"/>
        <w:spacing w:line="360" w:lineRule="auto"/>
        <w:jc w:val="both"/>
        <w:rPr>
          <w:rFonts w:ascii="Book Antiqua" w:hAnsi="Book Antiqua" w:cs="Book Antiqua"/>
        </w:rPr>
      </w:pPr>
    </w:p>
    <w:p w14:paraId="52B04152" w14:textId="038902FF" w:rsidR="003D6C41" w:rsidRDefault="00000000">
      <w:pPr>
        <w:adjustRightInd w:val="0"/>
        <w:snapToGrid w:val="0"/>
        <w:spacing w:line="360" w:lineRule="auto"/>
        <w:jc w:val="both"/>
        <w:rPr>
          <w:rFonts w:ascii="Book Antiqua" w:hAnsi="Book Antiqua" w:cs="Book Antiqua"/>
        </w:rPr>
        <w:sectPr w:rsidR="003D6C4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Kim K, South Korea; Rau B,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330522" w:rsidRPr="00330522">
        <w:rPr>
          <w:rFonts w:ascii="Book Antiqua" w:eastAsia="Book Antiqua" w:hAnsi="Book Antiqua" w:cs="Book Antiqua" w:hint="eastAsia"/>
          <w:bCs/>
          <w:color w:val="000000"/>
          <w:lang w:eastAsia="zh-CN"/>
        </w:rPr>
        <w:t>A</w:t>
      </w:r>
      <w:r>
        <w:rPr>
          <w:rFonts w:ascii="Book Antiqua" w:eastAsia="Book Antiqua" w:hAnsi="Book Antiqua" w:cs="Book Antiqua"/>
          <w:b/>
          <w:color w:val="000000"/>
        </w:rPr>
        <w:t xml:space="preserve"> P-Editor:</w:t>
      </w:r>
      <w:r w:rsidR="00330522">
        <w:rPr>
          <w:rFonts w:ascii="Book Antiqua" w:eastAsia="Book Antiqua" w:hAnsi="Book Antiqua" w:cs="Book Antiqua"/>
          <w:b/>
          <w:color w:val="000000"/>
        </w:rPr>
        <w:t xml:space="preserve"> </w:t>
      </w:r>
      <w:r w:rsidR="00330522" w:rsidRPr="00330522">
        <w:rPr>
          <w:rFonts w:ascii="Book Antiqua" w:eastAsia="Book Antiqua" w:hAnsi="Book Antiqua" w:cs="Book Antiqua" w:hint="eastAsia"/>
          <w:bCs/>
          <w:color w:val="000000"/>
          <w:lang w:eastAsia="zh-CN"/>
        </w:rPr>
        <w:t>Zhang</w:t>
      </w:r>
      <w:r w:rsidR="00330522" w:rsidRPr="00330522">
        <w:rPr>
          <w:rFonts w:ascii="Book Antiqua" w:eastAsia="Book Antiqua" w:hAnsi="Book Antiqua" w:cs="Book Antiqua"/>
          <w:bCs/>
          <w:color w:val="000000"/>
          <w:lang w:eastAsia="zh-CN"/>
        </w:rPr>
        <w:t xml:space="preserve"> </w:t>
      </w:r>
      <w:r w:rsidR="00330522" w:rsidRPr="00330522">
        <w:rPr>
          <w:rFonts w:ascii="Book Antiqua" w:eastAsia="Book Antiqua" w:hAnsi="Book Antiqua" w:cs="Book Antiqua" w:hint="eastAsia"/>
          <w:bCs/>
          <w:color w:val="000000"/>
          <w:lang w:eastAsia="zh-CN"/>
        </w:rPr>
        <w:t>XD</w:t>
      </w:r>
      <w:r>
        <w:rPr>
          <w:rFonts w:ascii="Book Antiqua" w:eastAsia="Book Antiqua" w:hAnsi="Book Antiqua" w:cs="Book Antiqua"/>
          <w:b/>
          <w:color w:val="000000"/>
        </w:rPr>
        <w:t xml:space="preserve"> </w:t>
      </w:r>
    </w:p>
    <w:p w14:paraId="4EC6C56C" w14:textId="77777777" w:rsidR="003D6C41"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A90A9E2" w14:textId="514F82F8" w:rsidR="003D6C41" w:rsidRDefault="00351211">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2604F50" wp14:editId="4055E6FE">
            <wp:extent cx="1389380" cy="8229600"/>
            <wp:effectExtent l="0" t="0" r="0" b="0"/>
            <wp:docPr id="108147458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74589" name="图片 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9380" cy="8229600"/>
                    </a:xfrm>
                    <a:prstGeom prst="rect">
                      <a:avLst/>
                    </a:prstGeom>
                  </pic:spPr>
                </pic:pic>
              </a:graphicData>
            </a:graphic>
          </wp:inline>
        </w:drawing>
      </w:r>
    </w:p>
    <w:p w14:paraId="5AD22149" w14:textId="77777777" w:rsidR="003D6C41"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lastRenderedPageBreak/>
        <w:t xml:space="preserve">Figure </w:t>
      </w:r>
      <w:r>
        <w:rPr>
          <w:rFonts w:ascii="Book Antiqua" w:eastAsia="宋体" w:hAnsi="Book Antiqua" w:cs="Book Antiqua" w:hint="eastAsia"/>
          <w:b/>
          <w:bCs/>
          <w:color w:val="000000"/>
          <w:lang w:eastAsia="zh-CN"/>
        </w:rPr>
        <w:t xml:space="preserve">1 </w:t>
      </w:r>
      <w:r>
        <w:rPr>
          <w:rFonts w:ascii="Book Antiqua" w:eastAsia="Book Antiqua" w:hAnsi="Book Antiqua" w:cs="Book Antiqua"/>
          <w:b/>
          <w:bCs/>
          <w:color w:val="000000"/>
        </w:rPr>
        <w:t xml:space="preserve">The effects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 acid and pomolic acid-28-O-β-D-glucopyranosyl ester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on proliferation of colon cancer cells.</w:t>
      </w:r>
      <w:r>
        <w:rPr>
          <w:rFonts w:ascii="Book Antiqua" w:eastAsia="Book Antiqua" w:hAnsi="Book Antiqua" w:cs="Book Antiqua"/>
          <w:color w:val="000000"/>
        </w:rPr>
        <w:t xml:space="preserve"> A: The proliferation of HT-29 cells after treatment with different concentrations of </w:t>
      </w:r>
      <w:r>
        <w:rPr>
          <w:rFonts w:ascii="Book Antiqua" w:eastAsia="Book Antiqua" w:hAnsi="Book Antiqua" w:cs="Book Antiqua" w:hint="eastAsia"/>
          <w:color w:val="000000"/>
        </w:rPr>
        <w:t>pomolic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24, 48, and 72 h; B: The proliferation of HT-29 cells after treatment with different concentrations of </w:t>
      </w:r>
      <w:r>
        <w:rPr>
          <w:rFonts w:ascii="Book Antiqua" w:eastAsia="Book Antiqua" w:hAnsi="Book Antiqua" w:cs="Book Antiqua" w:hint="eastAsia"/>
          <w:color w:val="000000"/>
        </w:rPr>
        <w:t>pomolic acid-28-O</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β-D-glucopyranosyl ester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24, 48, and 72 h; C: The cell cycle distribution of HT-29 cells after treatment with different concentrations of PA for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D: The cell cycle distribution of HT-29 cells after treatment with different concentrations of PA for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E: The cell cycle distribution of HT-29 cells after treatment with different concentrations of PAO for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F: The cell cycle distribution of HT-29 cells after treatment with different concentrations of PAO for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&lt; 0.05, </w:t>
      </w:r>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 xml:space="preserve">&lt; 0.01, </w:t>
      </w:r>
      <w:r>
        <w:rPr>
          <w:rFonts w:ascii="Book Antiqua" w:eastAsia="宋体" w:hAnsi="Book Antiqua" w:cs="Book Antiqua" w:hint="eastAsia"/>
          <w:color w:val="000000"/>
          <w:vertAlign w:val="superscript"/>
          <w:lang w:eastAsia="zh-CN"/>
        </w:rPr>
        <w:t>c</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 xml:space="preserve">&lt; 0.001, </w:t>
      </w:r>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&lt; 0.0001.</w:t>
      </w:r>
    </w:p>
    <w:p w14:paraId="4A53D3B9" w14:textId="1FE8263C" w:rsidR="003D6C41" w:rsidRDefault="00CF6C55">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280F9694" wp14:editId="4829FAE5">
            <wp:extent cx="5916295" cy="8229600"/>
            <wp:effectExtent l="0" t="0" r="0" b="0"/>
            <wp:docPr id="1603756687"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56687" name="图片 2"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6295" cy="8229600"/>
                    </a:xfrm>
                    <a:prstGeom prst="rect">
                      <a:avLst/>
                    </a:prstGeom>
                  </pic:spPr>
                </pic:pic>
              </a:graphicData>
            </a:graphic>
          </wp:inline>
        </w:drawing>
      </w:r>
    </w:p>
    <w:p w14:paraId="0CEE30C2" w14:textId="77777777" w:rsidR="003D6C41"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lastRenderedPageBreak/>
        <w:t xml:space="preserve">Figure 2 </w:t>
      </w:r>
      <w:r>
        <w:rPr>
          <w:rFonts w:ascii="Book Antiqua" w:eastAsia="宋体" w:hAnsi="Book Antiqua" w:cs="Book Antiqua" w:hint="eastAsia"/>
          <w:b/>
          <w:bCs/>
          <w:color w:val="000000"/>
          <w:lang w:eastAsia="zh-CN"/>
        </w:rPr>
        <w:t>Apoptosis of HT-29 cells after drug administration.</w:t>
      </w:r>
      <w:r>
        <w:rPr>
          <w:rFonts w:ascii="Book Antiqua" w:eastAsia="宋体" w:hAnsi="Book Antiqua" w:cs="Book Antiqua" w:hint="eastAsia"/>
          <w:color w:val="000000"/>
          <w:lang w:eastAsia="zh-CN"/>
        </w:rPr>
        <w:t xml:space="preserve"> A: </w:t>
      </w:r>
      <w:r>
        <w:rPr>
          <w:rFonts w:ascii="Book Antiqua" w:eastAsia="Book Antiqua" w:hAnsi="Book Antiqua" w:cs="Book Antiqua"/>
          <w:color w:val="000000"/>
        </w:rPr>
        <w:t xml:space="preserve">HT-29 cells were stained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oechst 33342 and observed under an inverted fluorescence microscope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 xml:space="preserve">HT-29 cells were stained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oechst 33342 and observed under an inverted fluorescence microscope (40</w:t>
      </w:r>
      <w:r>
        <w:rPr>
          <w:rFonts w:ascii="Book Antiqua" w:eastAsia="宋体" w:hAnsi="Book Antiqua" w:cs="Book Antiqua" w:hint="eastAsia"/>
          <w:color w:val="000000"/>
          <w:lang w:eastAsia="zh-CN"/>
        </w:rPr>
        <w:t xml:space="preserve">0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C: </w:t>
      </w:r>
      <w:bookmarkStart w:id="2" w:name="OLE_LINK6"/>
      <w:r>
        <w:rPr>
          <w:rFonts w:ascii="Book Antiqua" w:eastAsia="宋体" w:hAnsi="Book Antiqua" w:cs="Book Antiqua" w:hint="eastAsia"/>
          <w:color w:val="000000"/>
          <w:lang w:eastAsia="zh-CN"/>
        </w:rPr>
        <w:t>Apoptosis of cells after treated with pomolic acid (PA) for 24 h;</w:t>
      </w:r>
      <w:bookmarkEnd w:id="2"/>
      <w:r>
        <w:rPr>
          <w:rFonts w:ascii="Book Antiqua" w:eastAsia="宋体" w:hAnsi="Book Antiqua" w:cs="Book Antiqua" w:hint="eastAsia"/>
          <w:color w:val="000000"/>
          <w:lang w:eastAsia="zh-CN"/>
        </w:rPr>
        <w:t xml:space="preserve"> D: Apoptosis of cells after treated with PA for 48 h; E: Apoptosis of cells after treated with pomolic acid-28-O-</w:t>
      </w:r>
      <w:r>
        <w:rPr>
          <w:rFonts w:ascii="Book Antiqua" w:eastAsia="宋体" w:hAnsi="Book Antiqua" w:cs="Book Antiqua"/>
          <w:color w:val="000000"/>
          <w:lang w:eastAsia="zh-CN"/>
        </w:rPr>
        <w:t>β</w:t>
      </w:r>
      <w:r>
        <w:rPr>
          <w:rFonts w:ascii="Book Antiqua" w:eastAsia="宋体" w:hAnsi="Book Antiqua" w:cs="Book Antiqua" w:hint="eastAsia"/>
          <w:color w:val="000000"/>
          <w:lang w:eastAsia="zh-CN"/>
        </w:rPr>
        <w:t xml:space="preserve">-D-glucopyranosyl ester for 48 h. </w:t>
      </w:r>
      <w:r>
        <w:rPr>
          <w:rFonts w:ascii="Book Antiqua" w:eastAsia="Book Antiqua" w:hAnsi="Book Antiqua" w:cs="Book Antiqua" w:hint="eastAsia"/>
          <w:color w:val="000000"/>
          <w:vertAlign w:val="superscript"/>
          <w:lang w:eastAsia="zh-CN"/>
        </w:rPr>
        <w:t>b</w:t>
      </w:r>
      <w:r>
        <w:rPr>
          <w:rFonts w:ascii="Book Antiqua" w:eastAsia="Book Antiqua" w:hAnsi="Book Antiqua" w:cs="Book Antiqua" w:hint="eastAsia"/>
          <w:i/>
          <w:iCs/>
          <w:color w:val="000000"/>
          <w:lang w:eastAsia="zh-CN"/>
        </w:rPr>
        <w:t xml:space="preserve">P </w:t>
      </w:r>
      <w:r>
        <w:rPr>
          <w:rFonts w:ascii="Book Antiqua" w:eastAsia="Book Antiqua" w:hAnsi="Book Antiqua" w:cs="Book Antiqua" w:hint="eastAsia"/>
          <w:color w:val="000000"/>
          <w:lang w:eastAsia="zh-CN"/>
        </w:rPr>
        <w:t xml:space="preserve">&lt; 0.01, </w:t>
      </w:r>
      <w:r>
        <w:rPr>
          <w:rFonts w:ascii="Book Antiqua" w:eastAsia="Book Antiqua" w:hAnsi="Book Antiqua" w:cs="Book Antiqua" w:hint="eastAsia"/>
          <w:color w:val="000000"/>
          <w:vertAlign w:val="superscript"/>
          <w:lang w:eastAsia="zh-CN"/>
        </w:rPr>
        <w:t>d</w:t>
      </w:r>
      <w:r>
        <w:rPr>
          <w:rFonts w:ascii="Book Antiqua" w:eastAsia="Book Antiqua" w:hAnsi="Book Antiqua" w:cs="Book Antiqua" w:hint="eastAsia"/>
          <w:i/>
          <w:iCs/>
          <w:color w:val="000000"/>
          <w:lang w:eastAsia="zh-CN"/>
        </w:rPr>
        <w:t xml:space="preserve">P </w:t>
      </w:r>
      <w:r>
        <w:rPr>
          <w:rFonts w:ascii="Book Antiqua" w:eastAsia="Book Antiqua" w:hAnsi="Book Antiqua" w:cs="Book Antiqua" w:hint="eastAsia"/>
          <w:color w:val="000000"/>
          <w:lang w:eastAsia="zh-CN"/>
        </w:rPr>
        <w:t>&lt; 0.0001.</w:t>
      </w:r>
    </w:p>
    <w:p w14:paraId="28D14012"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7E93B1DA"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031AE4B2"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39C434BD"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372819B8"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186F7745"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073F5A3A"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2475137A"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3A78EFD6" w14:textId="77777777" w:rsidR="003D6C41" w:rsidRDefault="003D6C41">
      <w:pPr>
        <w:adjustRightInd w:val="0"/>
        <w:snapToGrid w:val="0"/>
        <w:spacing w:line="360" w:lineRule="auto"/>
        <w:jc w:val="both"/>
        <w:rPr>
          <w:rFonts w:ascii="Book Antiqua" w:eastAsia="宋体" w:hAnsi="Book Antiqua" w:cs="Book Antiqua"/>
          <w:color w:val="000000"/>
          <w:lang w:eastAsia="zh-CN"/>
        </w:rPr>
      </w:pPr>
    </w:p>
    <w:p w14:paraId="4C95A747" w14:textId="74874B3B" w:rsidR="003D6C41" w:rsidRDefault="00CF6C55">
      <w:pPr>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055E0A94" wp14:editId="11215E43">
            <wp:extent cx="5943600" cy="5194300"/>
            <wp:effectExtent l="0" t="0" r="0" b="0"/>
            <wp:docPr id="203187442"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7442" name="图片 3" descr="图示&#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194300"/>
                    </a:xfrm>
                    <a:prstGeom prst="rect">
                      <a:avLst/>
                    </a:prstGeom>
                  </pic:spPr>
                </pic:pic>
              </a:graphicData>
            </a:graphic>
          </wp:inline>
        </w:drawing>
      </w:r>
    </w:p>
    <w:p w14:paraId="243F3406" w14:textId="77777777" w:rsidR="003D6C41" w:rsidRDefault="00000000">
      <w:pPr>
        <w:adjustRightInd w:val="0"/>
        <w:snapToGrid w:val="0"/>
        <w:spacing w:line="360" w:lineRule="auto"/>
        <w:jc w:val="both"/>
        <w:rPr>
          <w:rFonts w:ascii="Book Antiqua" w:eastAsia="宋体" w:hAnsi="Book Antiqua" w:cs="Book Antiqua"/>
          <w:color w:val="000000"/>
          <w:lang w:eastAsia="zh-CN"/>
        </w:rPr>
      </w:pPr>
      <w:r>
        <w:rPr>
          <w:rStyle w:val="17"/>
          <w:rFonts w:ascii="Book Antiqua" w:eastAsia="Book Antiqua" w:hAnsi="Book Antiqua" w:cs="Book Antiqua"/>
          <w:b/>
          <w:bCs/>
          <w:color w:val="000000"/>
          <w:shd w:val="clear" w:color="auto" w:fill="FFFFFF"/>
        </w:rPr>
        <w:t xml:space="preserve">Figure 3 Effects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 acid and pomolic acid-28-O-β-D-glucopyranosyl ester</w:t>
      </w:r>
      <w:r>
        <w:rPr>
          <w:rStyle w:val="17"/>
          <w:rFonts w:ascii="Book Antiqua" w:eastAsia="Book Antiqua" w:hAnsi="Book Antiqua" w:cs="Book Antiqua"/>
          <w:b/>
          <w:bCs/>
          <w:color w:val="000000"/>
          <w:shd w:val="clear" w:color="auto" w:fill="FFFFFF"/>
        </w:rPr>
        <w:t xml:space="preserve"> on scratch assay in HT-29 cells.</w:t>
      </w:r>
      <w:r>
        <w:rPr>
          <w:rStyle w:val="17"/>
          <w:rFonts w:ascii="Book Antiqua" w:eastAsia="Book Antiqua" w:hAnsi="Book Antiqua" w:cs="Book Antiqua"/>
          <w:color w:val="000000"/>
          <w:shd w:val="clear" w:color="auto" w:fill="FFFFFF"/>
        </w:rPr>
        <w:t xml:space="preserve"> A: The speed and extent of</w:t>
      </w:r>
      <w:r>
        <w:rPr>
          <w:rStyle w:val="17"/>
          <w:rFonts w:ascii="Book Antiqua" w:eastAsia="宋体" w:hAnsi="Book Antiqua" w:cs="Book Antiqua" w:hint="eastAsia"/>
          <w:color w:val="000000"/>
          <w:shd w:val="clear" w:color="auto" w:fill="FFFFFF"/>
          <w:lang w:eastAsia="zh-CN"/>
        </w:rPr>
        <w:t xml:space="preserve"> </w:t>
      </w:r>
      <w:r>
        <w:rPr>
          <w:rStyle w:val="17"/>
          <w:rFonts w:ascii="Book Antiqua" w:eastAsia="Book Antiqua" w:hAnsi="Book Antiqua" w:cs="Book Antiqua"/>
          <w:color w:val="000000"/>
          <w:shd w:val="clear" w:color="auto" w:fill="FFFFFF"/>
        </w:rPr>
        <w:t xml:space="preserve">scratch healing of cells after treated with different concentration of </w:t>
      </w:r>
      <w:r>
        <w:rPr>
          <w:rStyle w:val="17"/>
          <w:rFonts w:ascii="Book Antiqua" w:eastAsia="Book Antiqua" w:hAnsi="Book Antiqua" w:cs="Book Antiqua" w:hint="eastAsia"/>
          <w:color w:val="000000"/>
          <w:shd w:val="clear" w:color="auto" w:fill="FFFFFF"/>
        </w:rPr>
        <w:t>pomolic acid</w:t>
      </w:r>
      <w:r>
        <w:rPr>
          <w:rStyle w:val="17"/>
          <w:rFonts w:ascii="Book Antiqua" w:eastAsia="Book Antiqua" w:hAnsi="Book Antiqua" w:cs="Book Antiqua"/>
          <w:color w:val="000000"/>
          <w:shd w:val="clear" w:color="auto" w:fill="FFFFFF"/>
        </w:rPr>
        <w:t>; B: The speed and extent of</w:t>
      </w:r>
      <w:r>
        <w:rPr>
          <w:rStyle w:val="17"/>
          <w:rFonts w:ascii="Book Antiqua" w:eastAsia="宋体" w:hAnsi="Book Antiqua" w:cs="Book Antiqua" w:hint="eastAsia"/>
          <w:color w:val="000000"/>
          <w:shd w:val="clear" w:color="auto" w:fill="FFFFFF"/>
          <w:lang w:eastAsia="zh-CN"/>
        </w:rPr>
        <w:t xml:space="preserve"> </w:t>
      </w:r>
      <w:r>
        <w:rPr>
          <w:rStyle w:val="17"/>
          <w:rFonts w:ascii="Book Antiqua" w:eastAsia="Book Antiqua" w:hAnsi="Book Antiqua" w:cs="Book Antiqua"/>
          <w:color w:val="000000"/>
          <w:shd w:val="clear" w:color="auto" w:fill="FFFFFF"/>
        </w:rPr>
        <w:t xml:space="preserve">scratch healing of cells after treated with different concentration of </w:t>
      </w:r>
      <w:r>
        <w:rPr>
          <w:rStyle w:val="17"/>
          <w:rFonts w:ascii="Book Antiqua" w:eastAsia="Book Antiqua" w:hAnsi="Book Antiqua" w:cs="Book Antiqua" w:hint="eastAsia"/>
          <w:color w:val="000000"/>
          <w:shd w:val="clear" w:color="auto" w:fill="FFFFFF"/>
        </w:rPr>
        <w:t>pomolic acid-28-O-β-D-glucopyranosyl ester</w:t>
      </w:r>
      <w:r>
        <w:rPr>
          <w:rStyle w:val="17"/>
          <w:rFonts w:ascii="Book Antiqua" w:eastAsia="宋体" w:hAnsi="Book Antiqua" w:cs="Book Antiqua" w:hint="eastAsia"/>
          <w:color w:val="000000"/>
          <w:shd w:val="clear" w:color="auto" w:fill="FFFFFF"/>
          <w:lang w:eastAsia="zh-CN"/>
        </w:rPr>
        <w:t>.</w:t>
      </w:r>
      <w:r>
        <w:rPr>
          <w:rStyle w:val="17"/>
          <w:rFonts w:ascii="Book Antiqua" w:eastAsia="Book Antiqua" w:hAnsi="Book Antiqua" w:cs="Book Antiqua"/>
          <w:color w:val="000000"/>
          <w:shd w:val="clear" w:color="auto" w:fill="FFFFFF"/>
        </w:rPr>
        <w:t xml:space="preserve"> </w:t>
      </w:r>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&lt; 0.05, </w:t>
      </w:r>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 xml:space="preserve">&lt; 0.01, </w:t>
      </w:r>
      <w:r>
        <w:rPr>
          <w:rFonts w:ascii="Book Antiqua" w:eastAsia="宋体" w:hAnsi="Book Antiqua" w:cs="Book Antiqua" w:hint="eastAsia"/>
          <w:color w:val="000000"/>
          <w:vertAlign w:val="superscript"/>
          <w:lang w:eastAsia="zh-CN"/>
        </w:rPr>
        <w:t>c</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 xml:space="preserve">&lt; 0.001, </w:t>
      </w:r>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&lt; 0.0001.</w:t>
      </w:r>
    </w:p>
    <w:p w14:paraId="27BB8CDE" w14:textId="0B489529" w:rsidR="003D6C41" w:rsidRDefault="00CF6C55">
      <w:pPr>
        <w:adjustRightInd w:val="0"/>
        <w:snapToGrid w:val="0"/>
        <w:spacing w:line="360" w:lineRule="auto"/>
        <w:jc w:val="both"/>
        <w:rPr>
          <w:rStyle w:val="17"/>
          <w:rFonts w:ascii="Book Antiqua" w:eastAsia="Book Antiqua" w:hAnsi="Book Antiqua" w:cs="Book Antiqua"/>
          <w:color w:val="000000"/>
          <w:shd w:val="clear" w:color="auto" w:fill="FFFFFF"/>
        </w:rPr>
      </w:pPr>
      <w:r>
        <w:rPr>
          <w:rFonts w:ascii="Book Antiqua" w:eastAsia="Book Antiqua" w:hAnsi="Book Antiqua" w:cs="Book Antiqua"/>
          <w:noProof/>
          <w:color w:val="000000"/>
          <w:shd w:val="clear" w:color="auto" w:fill="FFFFFF"/>
        </w:rPr>
        <w:lastRenderedPageBreak/>
        <w:drawing>
          <wp:inline distT="0" distB="0" distL="0" distR="0" wp14:anchorId="7A8F037B" wp14:editId="6F259DBD">
            <wp:extent cx="5943600" cy="7604125"/>
            <wp:effectExtent l="0" t="0" r="0" b="0"/>
            <wp:docPr id="21042879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7942" name="图片 21042879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04125"/>
                    </a:xfrm>
                    <a:prstGeom prst="rect">
                      <a:avLst/>
                    </a:prstGeom>
                  </pic:spPr>
                </pic:pic>
              </a:graphicData>
            </a:graphic>
          </wp:inline>
        </w:drawing>
      </w:r>
    </w:p>
    <w:p w14:paraId="6117ED73" w14:textId="77777777" w:rsidR="003D6C41"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rPr>
        <w:t xml:space="preserve">Figure 4 Effects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 acid and pomolic acid-28-O-β-D-glucopyranosyl ester on the relative expression of proteins.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 and B: </w:t>
      </w:r>
      <w:bookmarkStart w:id="3" w:name="OLE_LINK10"/>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apoptosis related </w:t>
      </w:r>
      <w:r>
        <w:rPr>
          <w:rFonts w:ascii="Book Antiqua" w:eastAsia="宋体" w:hAnsi="Book Antiqua" w:cs="Book Antiqua" w:hint="eastAsia"/>
          <w:color w:val="000000"/>
          <w:lang w:eastAsia="zh-CN"/>
        </w:rPr>
        <w:lastRenderedPageBreak/>
        <w:t>protein</w:t>
      </w:r>
      <w:r>
        <w:rPr>
          <w:rFonts w:ascii="Book Antiqua" w:eastAsia="Book Antiqua" w:hAnsi="Book Antiqua" w:cs="Book Antiqua"/>
          <w:color w:val="000000"/>
        </w:rPr>
        <w:t xml:space="preserve"> in HT-29 cells treated with </w:t>
      </w:r>
      <w:r>
        <w:rPr>
          <w:rFonts w:ascii="Book Antiqua" w:eastAsia="Book Antiqua" w:hAnsi="Book Antiqua" w:cs="Book Antiqua" w:hint="eastAsia"/>
          <w:color w:val="000000"/>
        </w:rPr>
        <w:t>pomolic acid (PA)</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w:t>
      </w:r>
      <w:bookmarkEnd w:id="3"/>
      <w:r>
        <w:rPr>
          <w:rFonts w:ascii="Book Antiqua" w:eastAsia="宋体" w:hAnsi="Book Antiqua" w:cs="Book Antiqua" w:hint="eastAsia"/>
          <w:color w:val="000000"/>
          <w:lang w:eastAsia="zh-CN"/>
        </w:rPr>
        <w:t xml:space="preserve">C and D: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autophagy related protein</w:t>
      </w:r>
      <w:r>
        <w:rPr>
          <w:rFonts w:ascii="Book Antiqua" w:eastAsia="Book Antiqua" w:hAnsi="Book Antiqua" w:cs="Book Antiqua"/>
          <w:color w:val="000000"/>
        </w:rPr>
        <w:t xml:space="preserve"> in HT-29 cells treated with PA for 24</w:t>
      </w:r>
      <w:r>
        <w:rPr>
          <w:rFonts w:ascii="Book Antiqua" w:eastAsia="宋体" w:hAnsi="Book Antiqua" w:cs="Book Antiqua" w:hint="eastAsia"/>
          <w:color w:val="000000"/>
          <w:lang w:eastAsia="zh-CN"/>
        </w:rPr>
        <w:t xml:space="preserve"> h and 48 h; E and F: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w:t>
      </w:r>
      <w:r>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(STAT3) and janus kinase (JAK) protein</w:t>
      </w:r>
      <w:r>
        <w:rPr>
          <w:rFonts w:ascii="Book Antiqua" w:eastAsia="Book Antiqua" w:hAnsi="Book Antiqua" w:cs="Book Antiqua"/>
          <w:color w:val="000000"/>
        </w:rPr>
        <w:t xml:space="preserve"> in HT-29 cells treated with PA for </w:t>
      </w:r>
      <w:r>
        <w:rPr>
          <w:rFonts w:ascii="Book Antiqua" w:eastAsia="宋体" w:hAnsi="Book Antiqua" w:cs="Book Antiqua" w:hint="eastAsia"/>
          <w:color w:val="000000"/>
          <w:lang w:eastAsia="zh-CN"/>
        </w:rPr>
        <w:t xml:space="preserve">24 h and 48 h; G and H: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apoptosis related protein</w:t>
      </w:r>
      <w:r>
        <w:rPr>
          <w:rFonts w:ascii="Book Antiqua" w:eastAsia="Book Antiqua" w:hAnsi="Book Antiqua" w:cs="Book Antiqua"/>
          <w:color w:val="000000"/>
        </w:rPr>
        <w:t xml:space="preserve"> in HT-29 cells treated with </w:t>
      </w:r>
      <w:r>
        <w:rPr>
          <w:rFonts w:ascii="Book Antiqua" w:eastAsia="Book Antiqua" w:hAnsi="Book Antiqua" w:cs="Book Antiqua" w:hint="eastAsia"/>
          <w:color w:val="000000"/>
        </w:rPr>
        <w:t>pomolic acid-28-O-β-D-glucopyranosyl ester (PAO)</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I and J: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w:t>
      </w:r>
      <w:bookmarkStart w:id="4" w:name="OLE_LINK11"/>
      <w:r>
        <w:rPr>
          <w:rFonts w:ascii="Book Antiqua" w:eastAsia="宋体" w:hAnsi="Book Antiqua" w:cs="Book Antiqua" w:hint="eastAsia"/>
          <w:color w:val="000000"/>
          <w:lang w:eastAsia="zh-CN"/>
        </w:rPr>
        <w:t>p62</w:t>
      </w:r>
      <w:bookmarkEnd w:id="4"/>
      <w:r>
        <w:rPr>
          <w:rFonts w:ascii="Book Antiqua" w:eastAsia="宋体" w:hAnsi="Book Antiqua" w:cs="Book Antiqua" w:hint="eastAsia"/>
          <w:color w:val="000000"/>
          <w:lang w:eastAsia="zh-CN"/>
        </w:rPr>
        <w:t xml:space="preserve">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K: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STAT3 and JAK1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24h; L: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STAT3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48 h. Caspase: C</w:t>
      </w:r>
      <w:r>
        <w:rPr>
          <w:rFonts w:ascii="Book Antiqua" w:eastAsia="Book Antiqua" w:hAnsi="Book Antiqua" w:cs="Book Antiqua"/>
          <w:color w:val="000000"/>
        </w:rPr>
        <w:t>ysteinyl aspartate specific proteinase</w:t>
      </w:r>
      <w:r>
        <w:rPr>
          <w:rFonts w:ascii="Book Antiqua" w:eastAsia="宋体" w:hAnsi="Book Antiqua" w:cs="Book Antiqua" w:hint="eastAsia"/>
          <w:color w:val="000000"/>
          <w:lang w:eastAsia="zh-CN"/>
        </w:rPr>
        <w:t xml:space="preserve">; LC3: Light chain 3;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 S</w:t>
      </w:r>
      <w:r>
        <w:rPr>
          <w:rFonts w:ascii="Book Antiqua" w:eastAsia="Book Antiqua" w:hAnsi="Book Antiqua" w:cs="Book Antiqua"/>
          <w:color w:val="000000"/>
        </w:rPr>
        <w:t>ignal transducer and activator of transcription 3</w:t>
      </w:r>
      <w:r>
        <w:rPr>
          <w:rFonts w:ascii="Book Antiqua" w:eastAsia="宋体" w:hAnsi="Book Antiqua" w:cs="Book Antiqua" w:hint="eastAsia"/>
          <w:color w:val="000000"/>
          <w:lang w:eastAsia="zh-CN"/>
        </w:rPr>
        <w:t>; JAK: Janus kinase.</w:t>
      </w:r>
    </w:p>
    <w:p w14:paraId="6DFD3595" w14:textId="77777777" w:rsidR="003D6C41" w:rsidRDefault="003D6C41">
      <w:pPr>
        <w:adjustRightInd w:val="0"/>
        <w:snapToGrid w:val="0"/>
        <w:spacing w:line="360" w:lineRule="auto"/>
        <w:jc w:val="both"/>
        <w:rPr>
          <w:rFonts w:ascii="Book Antiqua" w:hAnsi="Book Antiqua" w:cs="Book Antiqua"/>
          <w:color w:val="000000" w:themeColor="text1"/>
          <w:lang w:eastAsia="zh-CN"/>
        </w:rPr>
      </w:pPr>
    </w:p>
    <w:p w14:paraId="25FD890B" w14:textId="77777777" w:rsidR="003D6C41" w:rsidRDefault="003D6C41">
      <w:pPr>
        <w:adjustRightInd w:val="0"/>
        <w:snapToGrid w:val="0"/>
        <w:spacing w:line="360" w:lineRule="auto"/>
        <w:jc w:val="both"/>
        <w:rPr>
          <w:rFonts w:ascii="Book Antiqua" w:hAnsi="Book Antiqua" w:cs="Book Antiqua"/>
          <w:color w:val="000000" w:themeColor="text1"/>
          <w:lang w:eastAsia="zh-CN"/>
        </w:rPr>
      </w:pPr>
    </w:p>
    <w:p w14:paraId="0A7F44D7" w14:textId="77777777" w:rsidR="003D6C41" w:rsidRDefault="003D6C41">
      <w:pPr>
        <w:adjustRightInd w:val="0"/>
        <w:snapToGrid w:val="0"/>
        <w:spacing w:line="360" w:lineRule="auto"/>
        <w:jc w:val="both"/>
        <w:rPr>
          <w:rFonts w:ascii="Book Antiqua" w:hAnsi="Book Antiqua" w:cs="Book Antiqua"/>
          <w:color w:val="000000" w:themeColor="text1"/>
          <w:lang w:eastAsia="zh-CN"/>
        </w:rPr>
      </w:pPr>
    </w:p>
    <w:p w14:paraId="4F80976A" w14:textId="4AC966B9" w:rsidR="003D6C41" w:rsidRDefault="00CF6C55">
      <w:pPr>
        <w:adjustRightInd w:val="0"/>
        <w:snapToGrid w:val="0"/>
        <w:spacing w:line="360" w:lineRule="auto"/>
        <w:jc w:val="both"/>
        <w:rPr>
          <w:rFonts w:ascii="Book Antiqua" w:hAnsi="Book Antiqua" w:cs="Book Antiqua"/>
          <w:color w:val="000000" w:themeColor="text1"/>
          <w:lang w:eastAsia="zh-CN"/>
        </w:rPr>
      </w:pPr>
      <w:r>
        <w:rPr>
          <w:rFonts w:ascii="Book Antiqua" w:hAnsi="Book Antiqua" w:cs="Book Antiqua"/>
          <w:noProof/>
          <w:color w:val="000000" w:themeColor="text1"/>
          <w:lang w:eastAsia="zh-CN"/>
        </w:rPr>
        <w:drawing>
          <wp:inline distT="0" distB="0" distL="0" distR="0" wp14:anchorId="2B76B009" wp14:editId="4DF29AB3">
            <wp:extent cx="5943600" cy="3721100"/>
            <wp:effectExtent l="0" t="0" r="0" b="0"/>
            <wp:docPr id="265201506"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1506" name="图片 5"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inline>
        </w:drawing>
      </w:r>
    </w:p>
    <w:p w14:paraId="133D96E6" w14:textId="14A465DC" w:rsidR="000A1B27"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5 Effects of </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 acid and pomolic acid-28-O-β-D-glucopyranosyl ester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on the mRNA expression of Beclin1, </w:t>
      </w:r>
      <w:r>
        <w:rPr>
          <w:rFonts w:ascii="Book Antiqua" w:eastAsia="宋体" w:hAnsi="Book Antiqua" w:cs="Book Antiqua" w:hint="eastAsia"/>
          <w:b/>
          <w:bCs/>
          <w:color w:val="000000"/>
          <w:lang w:eastAsia="zh-CN"/>
        </w:rPr>
        <w:t>c</w:t>
      </w:r>
      <w:r>
        <w:rPr>
          <w:rFonts w:ascii="Book Antiqua" w:eastAsia="Book Antiqua" w:hAnsi="Book Antiqua" w:cs="Book Antiqua" w:hint="eastAsia"/>
          <w:b/>
          <w:bCs/>
          <w:color w:val="000000"/>
        </w:rPr>
        <w:t>ysteinyl aspartate specific proteinase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3, p62, and </w:t>
      </w:r>
      <w:r>
        <w:rPr>
          <w:rFonts w:ascii="Book Antiqua" w:eastAsia="宋体" w:hAnsi="Book Antiqua" w:cs="Book Antiqua" w:hint="eastAsia"/>
          <w:b/>
          <w:bCs/>
          <w:color w:val="000000"/>
          <w:lang w:eastAsia="zh-CN"/>
        </w:rPr>
        <w:lastRenderedPageBreak/>
        <w:t>light chain 3</w:t>
      </w:r>
      <w:r>
        <w:rPr>
          <w:rFonts w:ascii="Book Antiqua" w:eastAsia="Book Antiqua" w:hAnsi="Book Antiqua" w:cs="Book Antiqua"/>
          <w:b/>
          <w:bCs/>
          <w:color w:val="000000"/>
        </w:rPr>
        <w:t>A/B.</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Beclin1; B: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C: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w:t>
      </w:r>
      <w:r>
        <w:rPr>
          <w:rFonts w:ascii="Book Antiqua" w:eastAsia="宋体" w:hAnsi="Book Antiqua" w:cs="Book Antiqua" w:hint="eastAsia"/>
          <w:color w:val="000000"/>
          <w:lang w:eastAsia="zh-CN"/>
        </w:rPr>
        <w:t>light chain 3</w:t>
      </w:r>
      <w:r>
        <w:rPr>
          <w:rFonts w:ascii="Book Antiqua" w:eastAsia="Book Antiqua" w:hAnsi="Book Antiqua" w:cs="Book Antiqua"/>
          <w:color w:val="000000"/>
        </w:rPr>
        <w:t xml:space="preserve">A/B; D: </w:t>
      </w:r>
      <w:r>
        <w:rPr>
          <w:rFonts w:ascii="Book Antiqua" w:eastAsia="宋体" w:hAnsi="Book Antiqua" w:cs="Book Antiqua" w:hint="eastAsia"/>
          <w:color w:val="000000"/>
          <w:lang w:eastAsia="zh-CN"/>
        </w:rPr>
        <w:t>M</w:t>
      </w:r>
      <w:r>
        <w:rPr>
          <w:rFonts w:ascii="Book Antiqua" w:eastAsia="Book Antiqua" w:hAnsi="Book Antiqua" w:cs="Book Antiqua"/>
          <w:color w:val="000000"/>
        </w:rPr>
        <w:t>RNA expression of p62.</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&lt; 0.05, </w:t>
      </w:r>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 xml:space="preserve">&lt; 0.01, </w:t>
      </w:r>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 xml:space="preserve">P </w:t>
      </w:r>
      <w:r>
        <w:rPr>
          <w:rFonts w:ascii="Book Antiqua" w:eastAsia="宋体" w:hAnsi="Book Antiqua" w:cs="Book Antiqua" w:hint="eastAsia"/>
          <w:color w:val="000000"/>
          <w:lang w:eastAsia="zh-CN"/>
        </w:rPr>
        <w:t>&lt; 0.0001. PA: P</w:t>
      </w:r>
      <w:r>
        <w:rPr>
          <w:rFonts w:ascii="Book Antiqua" w:eastAsia="Book Antiqua" w:hAnsi="Book Antiqua" w:cs="Book Antiqua"/>
          <w:color w:val="000000"/>
        </w:rPr>
        <w:t>omolic acid</w:t>
      </w:r>
      <w:r>
        <w:rPr>
          <w:rFonts w:ascii="Book Antiqua" w:eastAsia="宋体" w:hAnsi="Book Antiqua" w:cs="Book Antiqua" w:hint="eastAsia"/>
          <w:color w:val="000000"/>
          <w:lang w:eastAsia="zh-CN"/>
        </w:rPr>
        <w:t>; PAO: P</w:t>
      </w:r>
      <w:r>
        <w:rPr>
          <w:rFonts w:ascii="Book Antiqua" w:eastAsia="Book Antiqua" w:hAnsi="Book Antiqua" w:cs="Book Antiqua"/>
          <w:color w:val="000000"/>
        </w:rPr>
        <w:t>omolic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w:t>
      </w:r>
      <w:r>
        <w:rPr>
          <w:rFonts w:ascii="Book Antiqua" w:eastAsia="宋体" w:hAnsi="Book Antiqua" w:cs="Book Antiqua" w:hint="eastAsia"/>
          <w:color w:val="000000"/>
          <w:lang w:eastAsia="zh-CN"/>
        </w:rPr>
        <w:t>; Caspase 3: C</w:t>
      </w:r>
      <w:r>
        <w:rPr>
          <w:rFonts w:ascii="Book Antiqua" w:eastAsia="Book Antiqua" w:hAnsi="Book Antiqua" w:cs="Book Antiqua"/>
          <w:color w:val="000000"/>
        </w:rPr>
        <w:t>ysteinyl aspartate specific proteinase</w:t>
      </w:r>
      <w:r>
        <w:rPr>
          <w:rFonts w:ascii="Book Antiqua" w:eastAsia="宋体" w:hAnsi="Book Antiqua" w:cs="Book Antiqua" w:hint="eastAsia"/>
          <w:color w:val="000000"/>
          <w:lang w:eastAsia="zh-CN"/>
        </w:rPr>
        <w:t xml:space="preserve"> 3; LC3: Light chain 3.</w:t>
      </w:r>
    </w:p>
    <w:p w14:paraId="01E46C49" w14:textId="77777777" w:rsidR="000A1B27" w:rsidRDefault="000A1B27" w:rsidP="000A1B27">
      <w:pPr>
        <w:snapToGrid w:val="0"/>
        <w:ind w:leftChars="100" w:left="240"/>
        <w:jc w:val="center"/>
        <w:rPr>
          <w:rFonts w:ascii="Book Antiqua" w:hAnsi="Book Antiqua"/>
        </w:rPr>
      </w:pPr>
      <w:r>
        <w:rPr>
          <w:rFonts w:ascii="Book Antiqua" w:eastAsia="宋体" w:hAnsi="Book Antiqua" w:cs="Book Antiqua"/>
          <w:color w:val="000000"/>
          <w:lang w:eastAsia="zh-CN"/>
        </w:rPr>
        <w:br w:type="page"/>
      </w:r>
    </w:p>
    <w:p w14:paraId="331AEB50" w14:textId="77777777" w:rsidR="000A1B27" w:rsidRDefault="000A1B27" w:rsidP="000A1B27">
      <w:pPr>
        <w:snapToGrid w:val="0"/>
        <w:ind w:leftChars="100" w:left="240"/>
        <w:jc w:val="center"/>
        <w:rPr>
          <w:rFonts w:ascii="Book Antiqua" w:hAnsi="Book Antiqua"/>
        </w:rPr>
      </w:pPr>
    </w:p>
    <w:p w14:paraId="2AC217C9" w14:textId="77777777" w:rsidR="000A1B27" w:rsidRDefault="000A1B27" w:rsidP="000A1B27">
      <w:pPr>
        <w:snapToGrid w:val="0"/>
        <w:ind w:leftChars="100" w:left="240"/>
        <w:jc w:val="center"/>
        <w:rPr>
          <w:rFonts w:ascii="Book Antiqua" w:hAnsi="Book Antiqua"/>
        </w:rPr>
      </w:pPr>
    </w:p>
    <w:p w14:paraId="73173B94" w14:textId="77777777" w:rsidR="000A1B27" w:rsidRDefault="000A1B27" w:rsidP="000A1B27">
      <w:pPr>
        <w:snapToGrid w:val="0"/>
        <w:ind w:leftChars="100" w:left="240"/>
        <w:jc w:val="center"/>
        <w:rPr>
          <w:rFonts w:ascii="Book Antiqua" w:hAnsi="Book Antiqua"/>
        </w:rPr>
      </w:pPr>
    </w:p>
    <w:p w14:paraId="5D559A7E" w14:textId="77777777" w:rsidR="000A1B27" w:rsidRDefault="000A1B27" w:rsidP="000A1B27">
      <w:pPr>
        <w:snapToGrid w:val="0"/>
        <w:ind w:leftChars="100" w:left="240"/>
        <w:jc w:val="center"/>
        <w:rPr>
          <w:rFonts w:ascii="Book Antiqua" w:hAnsi="Book Antiqua"/>
        </w:rPr>
      </w:pPr>
      <w:r>
        <w:rPr>
          <w:rFonts w:ascii="Book Antiqua" w:hAnsi="Book Antiqua"/>
          <w:noProof/>
        </w:rPr>
        <w:drawing>
          <wp:inline distT="0" distB="0" distL="0" distR="0" wp14:anchorId="4A4494FF" wp14:editId="4414C6C4">
            <wp:extent cx="2499360" cy="1440180"/>
            <wp:effectExtent l="0" t="0" r="0" b="7620"/>
            <wp:docPr id="1714502664" name="图片 171450266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14CC09" w14:textId="77777777" w:rsidR="000A1B27" w:rsidRDefault="000A1B27" w:rsidP="000A1B27">
      <w:pPr>
        <w:snapToGrid w:val="0"/>
        <w:ind w:leftChars="100" w:left="240"/>
        <w:jc w:val="center"/>
        <w:rPr>
          <w:rFonts w:ascii="Book Antiqua" w:hAnsi="Book Antiqua"/>
        </w:rPr>
      </w:pPr>
    </w:p>
    <w:p w14:paraId="10E43D34" w14:textId="77777777" w:rsidR="000A1B27" w:rsidRDefault="000A1B27" w:rsidP="000A1B2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F0CB5C1" w14:textId="77777777" w:rsidR="000A1B27" w:rsidRDefault="000A1B27" w:rsidP="000A1B2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5A579FD" w14:textId="77777777" w:rsidR="000A1B27" w:rsidRDefault="000A1B27" w:rsidP="000A1B2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45C6AF" w14:textId="77777777" w:rsidR="000A1B27" w:rsidRDefault="000A1B27" w:rsidP="000A1B2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E4175E" w14:textId="77777777" w:rsidR="000A1B27" w:rsidRDefault="000A1B27" w:rsidP="000A1B2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614B49" w14:textId="77777777" w:rsidR="000A1B27" w:rsidRDefault="000A1B27" w:rsidP="000A1B2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3921D10" w14:textId="77777777" w:rsidR="000A1B27" w:rsidRDefault="000A1B27" w:rsidP="000A1B27">
      <w:pPr>
        <w:snapToGrid w:val="0"/>
        <w:ind w:leftChars="100" w:left="240"/>
        <w:jc w:val="center"/>
        <w:rPr>
          <w:rFonts w:ascii="Book Antiqua" w:hAnsi="Book Antiqua"/>
        </w:rPr>
      </w:pPr>
    </w:p>
    <w:p w14:paraId="2771DE15" w14:textId="77777777" w:rsidR="000A1B27" w:rsidRDefault="000A1B27" w:rsidP="000A1B27">
      <w:pPr>
        <w:snapToGrid w:val="0"/>
        <w:ind w:leftChars="100" w:left="240"/>
        <w:jc w:val="center"/>
        <w:rPr>
          <w:rFonts w:ascii="Book Antiqua" w:hAnsi="Book Antiqua"/>
        </w:rPr>
      </w:pPr>
    </w:p>
    <w:p w14:paraId="56619B5A" w14:textId="77777777" w:rsidR="000A1B27" w:rsidRDefault="000A1B27" w:rsidP="000A1B27">
      <w:pPr>
        <w:snapToGrid w:val="0"/>
        <w:ind w:leftChars="100" w:left="240"/>
        <w:jc w:val="center"/>
        <w:rPr>
          <w:rFonts w:ascii="Book Antiqua" w:hAnsi="Book Antiqua"/>
        </w:rPr>
      </w:pPr>
    </w:p>
    <w:p w14:paraId="7991AFB9" w14:textId="77777777" w:rsidR="000A1B27" w:rsidRDefault="000A1B27" w:rsidP="000A1B27">
      <w:pPr>
        <w:snapToGrid w:val="0"/>
        <w:ind w:leftChars="100" w:left="240"/>
        <w:jc w:val="center"/>
        <w:rPr>
          <w:rFonts w:ascii="Book Antiqua" w:hAnsi="Book Antiqua"/>
        </w:rPr>
      </w:pPr>
      <w:r>
        <w:rPr>
          <w:rFonts w:ascii="Book Antiqua" w:hAnsi="Book Antiqua"/>
          <w:noProof/>
        </w:rPr>
        <w:drawing>
          <wp:inline distT="0" distB="0" distL="0" distR="0" wp14:anchorId="6C1A15A8" wp14:editId="3FBDC0A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0F38DA" w14:textId="77777777" w:rsidR="000A1B27" w:rsidRDefault="000A1B27" w:rsidP="000A1B27">
      <w:pPr>
        <w:snapToGrid w:val="0"/>
        <w:ind w:leftChars="100" w:left="240"/>
        <w:jc w:val="center"/>
        <w:rPr>
          <w:rFonts w:ascii="Book Antiqua" w:hAnsi="Book Antiqua"/>
        </w:rPr>
      </w:pPr>
    </w:p>
    <w:p w14:paraId="1404EB93" w14:textId="77777777" w:rsidR="000A1B27" w:rsidRDefault="000A1B27" w:rsidP="000A1B27">
      <w:pPr>
        <w:snapToGrid w:val="0"/>
        <w:ind w:leftChars="100" w:left="240"/>
        <w:jc w:val="center"/>
        <w:rPr>
          <w:rFonts w:ascii="Book Antiqua" w:hAnsi="Book Antiqua"/>
        </w:rPr>
      </w:pPr>
    </w:p>
    <w:p w14:paraId="1BCE1ADB" w14:textId="77777777" w:rsidR="000A1B27" w:rsidRDefault="000A1B27" w:rsidP="000A1B27">
      <w:pPr>
        <w:snapToGrid w:val="0"/>
        <w:ind w:leftChars="100" w:left="240"/>
        <w:jc w:val="center"/>
        <w:rPr>
          <w:rFonts w:ascii="Book Antiqua" w:hAnsi="Book Antiqua"/>
        </w:rPr>
      </w:pPr>
    </w:p>
    <w:p w14:paraId="4CE8FCBA" w14:textId="77777777" w:rsidR="000A1B27" w:rsidRDefault="000A1B27" w:rsidP="000A1B27">
      <w:pPr>
        <w:snapToGrid w:val="0"/>
        <w:ind w:leftChars="100" w:left="240"/>
        <w:jc w:val="center"/>
        <w:rPr>
          <w:rFonts w:ascii="Book Antiqua" w:hAnsi="Book Antiqua"/>
        </w:rPr>
      </w:pPr>
    </w:p>
    <w:p w14:paraId="21345C1D" w14:textId="77777777" w:rsidR="000A1B27" w:rsidRDefault="000A1B27" w:rsidP="000A1B27">
      <w:pPr>
        <w:snapToGrid w:val="0"/>
        <w:ind w:leftChars="100" w:left="240"/>
        <w:jc w:val="center"/>
        <w:rPr>
          <w:rFonts w:ascii="Book Antiqua" w:hAnsi="Book Antiqua"/>
        </w:rPr>
      </w:pPr>
    </w:p>
    <w:p w14:paraId="70BE97A1" w14:textId="77777777" w:rsidR="000A1B27" w:rsidRDefault="000A1B27" w:rsidP="000A1B27">
      <w:pPr>
        <w:snapToGrid w:val="0"/>
        <w:ind w:leftChars="100" w:left="240"/>
        <w:jc w:val="center"/>
        <w:rPr>
          <w:rFonts w:ascii="Book Antiqua" w:hAnsi="Book Antiqua"/>
        </w:rPr>
      </w:pPr>
    </w:p>
    <w:p w14:paraId="5ACBE62F" w14:textId="77777777" w:rsidR="000A1B27" w:rsidRDefault="000A1B27" w:rsidP="000A1B27">
      <w:pPr>
        <w:snapToGrid w:val="0"/>
        <w:ind w:leftChars="100" w:left="240"/>
        <w:jc w:val="center"/>
        <w:rPr>
          <w:rFonts w:ascii="Book Antiqua" w:hAnsi="Book Antiqua"/>
        </w:rPr>
      </w:pPr>
    </w:p>
    <w:p w14:paraId="5B4A8C16" w14:textId="77777777" w:rsidR="000A1B27" w:rsidRDefault="000A1B27" w:rsidP="000A1B27">
      <w:pPr>
        <w:snapToGrid w:val="0"/>
        <w:ind w:leftChars="100" w:left="240"/>
        <w:jc w:val="center"/>
        <w:rPr>
          <w:rFonts w:ascii="Book Antiqua" w:hAnsi="Book Antiqua"/>
        </w:rPr>
      </w:pPr>
    </w:p>
    <w:p w14:paraId="55ED213A" w14:textId="77777777" w:rsidR="000A1B27" w:rsidRDefault="000A1B27" w:rsidP="000A1B27">
      <w:pPr>
        <w:snapToGrid w:val="0"/>
        <w:ind w:leftChars="100" w:left="240"/>
        <w:jc w:val="center"/>
        <w:rPr>
          <w:rFonts w:ascii="Book Antiqua" w:hAnsi="Book Antiqua"/>
        </w:rPr>
      </w:pPr>
    </w:p>
    <w:p w14:paraId="052083DE" w14:textId="77777777" w:rsidR="000A1B27" w:rsidRDefault="000A1B27" w:rsidP="000A1B27">
      <w:pPr>
        <w:snapToGrid w:val="0"/>
        <w:ind w:leftChars="100" w:left="240"/>
        <w:jc w:val="right"/>
        <w:rPr>
          <w:rFonts w:ascii="Book Antiqua" w:hAnsi="Book Antiqua"/>
          <w:color w:val="000000" w:themeColor="text1"/>
        </w:rPr>
      </w:pPr>
    </w:p>
    <w:p w14:paraId="4B6F8E4D" w14:textId="77777777" w:rsidR="000A1B27" w:rsidRDefault="000A1B27" w:rsidP="000A1B2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1B2F1B9" w14:textId="77777777" w:rsidR="000A1B27" w:rsidRDefault="000A1B27" w:rsidP="000A1B27">
      <w:pPr>
        <w:rPr>
          <w:rFonts w:ascii="Book Antiqua" w:hAnsi="Book Antiqua" w:cs="Book Antiqua"/>
          <w:b/>
          <w:bCs/>
          <w:color w:val="000000"/>
        </w:rPr>
      </w:pPr>
    </w:p>
    <w:p w14:paraId="25038F7D" w14:textId="18F00034" w:rsidR="003D6C41" w:rsidRPr="000A1B27" w:rsidRDefault="003D6C41">
      <w:pPr>
        <w:adjustRightInd w:val="0"/>
        <w:snapToGrid w:val="0"/>
        <w:spacing w:line="360" w:lineRule="auto"/>
        <w:jc w:val="both"/>
        <w:rPr>
          <w:rFonts w:ascii="Book Antiqua" w:eastAsia="宋体" w:hAnsi="Book Antiqua" w:cs="Book Antiqua"/>
          <w:lang w:eastAsia="zh-CN"/>
        </w:rPr>
      </w:pPr>
    </w:p>
    <w:sectPr w:rsidR="003D6C41" w:rsidRPr="000A1B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C256B" w14:textId="77777777" w:rsidR="003C2FBF" w:rsidRDefault="003C2FBF">
      <w:r>
        <w:separator/>
      </w:r>
    </w:p>
  </w:endnote>
  <w:endnote w:type="continuationSeparator" w:id="0">
    <w:p w14:paraId="6B6CC591" w14:textId="77777777" w:rsidR="003C2FBF" w:rsidRDefault="003C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574119"/>
    </w:sdtPr>
    <w:sdtContent>
      <w:sdt>
        <w:sdtPr>
          <w:id w:val="860082579"/>
        </w:sdtPr>
        <w:sdtContent>
          <w:p w14:paraId="4352E429" w14:textId="77777777" w:rsidR="003D6C41" w:rsidRDefault="00000000">
            <w:pPr>
              <w:pStyle w:val="a3"/>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p>
        </w:sdtContent>
      </w:sdt>
    </w:sdtContent>
  </w:sdt>
  <w:p w14:paraId="5E07C146" w14:textId="77777777" w:rsidR="003D6C41" w:rsidRDefault="003D6C4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8C779" w14:textId="77777777" w:rsidR="003C2FBF" w:rsidRDefault="003C2FBF">
      <w:r>
        <w:separator/>
      </w:r>
    </w:p>
  </w:footnote>
  <w:footnote w:type="continuationSeparator" w:id="0">
    <w:p w14:paraId="3050A55A" w14:textId="77777777" w:rsidR="003C2FBF" w:rsidRDefault="003C2F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A1B27"/>
    <w:rsid w:val="0017560A"/>
    <w:rsid w:val="00276C21"/>
    <w:rsid w:val="00330522"/>
    <w:rsid w:val="00351211"/>
    <w:rsid w:val="003C2FBF"/>
    <w:rsid w:val="003D6C41"/>
    <w:rsid w:val="00433BCD"/>
    <w:rsid w:val="00443A95"/>
    <w:rsid w:val="004C7885"/>
    <w:rsid w:val="007C0F5F"/>
    <w:rsid w:val="007E4F78"/>
    <w:rsid w:val="007F0A1D"/>
    <w:rsid w:val="008F667B"/>
    <w:rsid w:val="00950EEB"/>
    <w:rsid w:val="00A02082"/>
    <w:rsid w:val="00A12741"/>
    <w:rsid w:val="00A77B3E"/>
    <w:rsid w:val="00AE1B70"/>
    <w:rsid w:val="00B27D30"/>
    <w:rsid w:val="00B47EC6"/>
    <w:rsid w:val="00C7412D"/>
    <w:rsid w:val="00CA2A55"/>
    <w:rsid w:val="00CF6C55"/>
    <w:rsid w:val="00D54E62"/>
    <w:rsid w:val="00EA3DEF"/>
    <w:rsid w:val="011A3B5E"/>
    <w:rsid w:val="01215C6D"/>
    <w:rsid w:val="014A2DD9"/>
    <w:rsid w:val="014C6B51"/>
    <w:rsid w:val="01505F15"/>
    <w:rsid w:val="01B82438"/>
    <w:rsid w:val="0224362A"/>
    <w:rsid w:val="02837130"/>
    <w:rsid w:val="029F53A6"/>
    <w:rsid w:val="02C80459"/>
    <w:rsid w:val="0328714A"/>
    <w:rsid w:val="059C797B"/>
    <w:rsid w:val="06444866"/>
    <w:rsid w:val="064D5EE3"/>
    <w:rsid w:val="06D25D4A"/>
    <w:rsid w:val="07124399"/>
    <w:rsid w:val="0757624F"/>
    <w:rsid w:val="076D7821"/>
    <w:rsid w:val="08053EFD"/>
    <w:rsid w:val="08441AAE"/>
    <w:rsid w:val="085B1D6F"/>
    <w:rsid w:val="08713341"/>
    <w:rsid w:val="08D00067"/>
    <w:rsid w:val="08F71A98"/>
    <w:rsid w:val="090E293E"/>
    <w:rsid w:val="093F51ED"/>
    <w:rsid w:val="09581E0B"/>
    <w:rsid w:val="098470A4"/>
    <w:rsid w:val="09886B94"/>
    <w:rsid w:val="09B554AF"/>
    <w:rsid w:val="09D9119E"/>
    <w:rsid w:val="09E71B0D"/>
    <w:rsid w:val="0B2E72C7"/>
    <w:rsid w:val="0B41524D"/>
    <w:rsid w:val="0B492353"/>
    <w:rsid w:val="0BA65AEA"/>
    <w:rsid w:val="0BC03AC8"/>
    <w:rsid w:val="0BDE0CED"/>
    <w:rsid w:val="0C5E598A"/>
    <w:rsid w:val="0C61547A"/>
    <w:rsid w:val="0CA535B9"/>
    <w:rsid w:val="0D077DD0"/>
    <w:rsid w:val="0D5D5C42"/>
    <w:rsid w:val="0D6B4803"/>
    <w:rsid w:val="0DDA7292"/>
    <w:rsid w:val="0E39220B"/>
    <w:rsid w:val="0E5C05EF"/>
    <w:rsid w:val="0F0E7B3C"/>
    <w:rsid w:val="0F20161D"/>
    <w:rsid w:val="10036F74"/>
    <w:rsid w:val="100B5E29"/>
    <w:rsid w:val="1017657C"/>
    <w:rsid w:val="102B64CB"/>
    <w:rsid w:val="106F460A"/>
    <w:rsid w:val="107B2FAF"/>
    <w:rsid w:val="10833C11"/>
    <w:rsid w:val="10A06571"/>
    <w:rsid w:val="10CA1840"/>
    <w:rsid w:val="10D75D0B"/>
    <w:rsid w:val="11050ACA"/>
    <w:rsid w:val="111451B1"/>
    <w:rsid w:val="11B85B3D"/>
    <w:rsid w:val="11C646EA"/>
    <w:rsid w:val="11E626AA"/>
    <w:rsid w:val="12282CC2"/>
    <w:rsid w:val="12753A2E"/>
    <w:rsid w:val="13117BFA"/>
    <w:rsid w:val="131D034D"/>
    <w:rsid w:val="134A4EBA"/>
    <w:rsid w:val="13675A6C"/>
    <w:rsid w:val="1367781A"/>
    <w:rsid w:val="137361BF"/>
    <w:rsid w:val="139B5716"/>
    <w:rsid w:val="13EC5F71"/>
    <w:rsid w:val="140908D1"/>
    <w:rsid w:val="14EF5D19"/>
    <w:rsid w:val="15325C06"/>
    <w:rsid w:val="1582093B"/>
    <w:rsid w:val="166D15EC"/>
    <w:rsid w:val="1673508E"/>
    <w:rsid w:val="16A36DBB"/>
    <w:rsid w:val="16B25250"/>
    <w:rsid w:val="170610F8"/>
    <w:rsid w:val="175E7186"/>
    <w:rsid w:val="176D73C9"/>
    <w:rsid w:val="17742506"/>
    <w:rsid w:val="17920BDE"/>
    <w:rsid w:val="17CC40F0"/>
    <w:rsid w:val="17D905BB"/>
    <w:rsid w:val="18C15C1F"/>
    <w:rsid w:val="18C82B09"/>
    <w:rsid w:val="19650358"/>
    <w:rsid w:val="19E35721"/>
    <w:rsid w:val="1A044015"/>
    <w:rsid w:val="1A1E4DB0"/>
    <w:rsid w:val="1A930EF5"/>
    <w:rsid w:val="1B261D69"/>
    <w:rsid w:val="1B5508A0"/>
    <w:rsid w:val="1BFB31F6"/>
    <w:rsid w:val="1C0025BA"/>
    <w:rsid w:val="1C6E5776"/>
    <w:rsid w:val="1CCE4466"/>
    <w:rsid w:val="1D5C7CC4"/>
    <w:rsid w:val="1D843C54"/>
    <w:rsid w:val="1DD27F86"/>
    <w:rsid w:val="1DE877AA"/>
    <w:rsid w:val="1E560BB7"/>
    <w:rsid w:val="1E6F1C79"/>
    <w:rsid w:val="1E91399D"/>
    <w:rsid w:val="1F861028"/>
    <w:rsid w:val="1F903C55"/>
    <w:rsid w:val="1FE10954"/>
    <w:rsid w:val="20012DA5"/>
    <w:rsid w:val="200B08A4"/>
    <w:rsid w:val="20457135"/>
    <w:rsid w:val="205B24B5"/>
    <w:rsid w:val="20A62CA4"/>
    <w:rsid w:val="20AF45AF"/>
    <w:rsid w:val="211B39F2"/>
    <w:rsid w:val="214E5B76"/>
    <w:rsid w:val="21507B40"/>
    <w:rsid w:val="221D181A"/>
    <w:rsid w:val="22CA329C"/>
    <w:rsid w:val="22E9024C"/>
    <w:rsid w:val="237A5348"/>
    <w:rsid w:val="239C52BE"/>
    <w:rsid w:val="24661428"/>
    <w:rsid w:val="252C2672"/>
    <w:rsid w:val="254210EA"/>
    <w:rsid w:val="25473008"/>
    <w:rsid w:val="258F75E6"/>
    <w:rsid w:val="25AF7C37"/>
    <w:rsid w:val="25B82157"/>
    <w:rsid w:val="26170C2C"/>
    <w:rsid w:val="267047E0"/>
    <w:rsid w:val="26887D7C"/>
    <w:rsid w:val="269B185D"/>
    <w:rsid w:val="26C32B62"/>
    <w:rsid w:val="271D04C4"/>
    <w:rsid w:val="273F48DE"/>
    <w:rsid w:val="276E6F72"/>
    <w:rsid w:val="277D5407"/>
    <w:rsid w:val="27802801"/>
    <w:rsid w:val="27C272BD"/>
    <w:rsid w:val="27D72D69"/>
    <w:rsid w:val="27F751B9"/>
    <w:rsid w:val="288822B5"/>
    <w:rsid w:val="2912392D"/>
    <w:rsid w:val="295D104C"/>
    <w:rsid w:val="29934A6D"/>
    <w:rsid w:val="29C56BF1"/>
    <w:rsid w:val="29D62BAC"/>
    <w:rsid w:val="2A241B69"/>
    <w:rsid w:val="2AE17A5A"/>
    <w:rsid w:val="2B0379D1"/>
    <w:rsid w:val="2B430715"/>
    <w:rsid w:val="2B5B780D"/>
    <w:rsid w:val="2BF35C97"/>
    <w:rsid w:val="2C0003B4"/>
    <w:rsid w:val="2C5F50DB"/>
    <w:rsid w:val="2C864D5D"/>
    <w:rsid w:val="2D960FD0"/>
    <w:rsid w:val="2DD438A6"/>
    <w:rsid w:val="2E627104"/>
    <w:rsid w:val="2ECB4CA9"/>
    <w:rsid w:val="2F1877C3"/>
    <w:rsid w:val="2FDE27BA"/>
    <w:rsid w:val="30000983"/>
    <w:rsid w:val="30532F8E"/>
    <w:rsid w:val="312A215B"/>
    <w:rsid w:val="313A1C72"/>
    <w:rsid w:val="32CE4D68"/>
    <w:rsid w:val="32D51D62"/>
    <w:rsid w:val="32F742BF"/>
    <w:rsid w:val="33466FF4"/>
    <w:rsid w:val="33552D94"/>
    <w:rsid w:val="337C6572"/>
    <w:rsid w:val="33C543BD"/>
    <w:rsid w:val="343B642D"/>
    <w:rsid w:val="34533777"/>
    <w:rsid w:val="348A4CBF"/>
    <w:rsid w:val="34A22009"/>
    <w:rsid w:val="34BA37F6"/>
    <w:rsid w:val="34C957E7"/>
    <w:rsid w:val="34E16FD5"/>
    <w:rsid w:val="34F52A80"/>
    <w:rsid w:val="351A6043"/>
    <w:rsid w:val="35E13004"/>
    <w:rsid w:val="366003CD"/>
    <w:rsid w:val="36A24542"/>
    <w:rsid w:val="36D30B9F"/>
    <w:rsid w:val="36D93CDC"/>
    <w:rsid w:val="37887BDC"/>
    <w:rsid w:val="37F76B0F"/>
    <w:rsid w:val="38A547BD"/>
    <w:rsid w:val="38D15CEB"/>
    <w:rsid w:val="38F4304F"/>
    <w:rsid w:val="3902751A"/>
    <w:rsid w:val="39A71ED0"/>
    <w:rsid w:val="3A43603C"/>
    <w:rsid w:val="3A52627F"/>
    <w:rsid w:val="3B903503"/>
    <w:rsid w:val="3BB05953"/>
    <w:rsid w:val="3BC767F9"/>
    <w:rsid w:val="3CFE26EE"/>
    <w:rsid w:val="3D3954D4"/>
    <w:rsid w:val="3D567E34"/>
    <w:rsid w:val="3DAC5CA6"/>
    <w:rsid w:val="3DE511B8"/>
    <w:rsid w:val="3E173A67"/>
    <w:rsid w:val="3EAD7F28"/>
    <w:rsid w:val="3EC51715"/>
    <w:rsid w:val="3ECF60F0"/>
    <w:rsid w:val="3EF73899"/>
    <w:rsid w:val="3F5D194E"/>
    <w:rsid w:val="3F95733A"/>
    <w:rsid w:val="3FF43934"/>
    <w:rsid w:val="4004001B"/>
    <w:rsid w:val="400C0C7E"/>
    <w:rsid w:val="40531B1A"/>
    <w:rsid w:val="406D5BC1"/>
    <w:rsid w:val="40776A3F"/>
    <w:rsid w:val="409969B6"/>
    <w:rsid w:val="40B25CC9"/>
    <w:rsid w:val="417B430D"/>
    <w:rsid w:val="422824E8"/>
    <w:rsid w:val="423A5F76"/>
    <w:rsid w:val="4244741C"/>
    <w:rsid w:val="42621029"/>
    <w:rsid w:val="427A6373"/>
    <w:rsid w:val="427B20EB"/>
    <w:rsid w:val="427F1BDB"/>
    <w:rsid w:val="42C35F6C"/>
    <w:rsid w:val="43404C67"/>
    <w:rsid w:val="43413334"/>
    <w:rsid w:val="43A86F10"/>
    <w:rsid w:val="43AF4742"/>
    <w:rsid w:val="43D146B8"/>
    <w:rsid w:val="43F93F25"/>
    <w:rsid w:val="442C18EF"/>
    <w:rsid w:val="44366C11"/>
    <w:rsid w:val="446217B4"/>
    <w:rsid w:val="44C24001"/>
    <w:rsid w:val="45CC3389"/>
    <w:rsid w:val="46380A1F"/>
    <w:rsid w:val="464C19A5"/>
    <w:rsid w:val="46963997"/>
    <w:rsid w:val="469F0A9E"/>
    <w:rsid w:val="46AB7A0E"/>
    <w:rsid w:val="46F31E8C"/>
    <w:rsid w:val="4712301E"/>
    <w:rsid w:val="472D4FA9"/>
    <w:rsid w:val="473311E6"/>
    <w:rsid w:val="47855EE6"/>
    <w:rsid w:val="47881532"/>
    <w:rsid w:val="4800556C"/>
    <w:rsid w:val="482C6361"/>
    <w:rsid w:val="48343468"/>
    <w:rsid w:val="4839282C"/>
    <w:rsid w:val="488063C9"/>
    <w:rsid w:val="489F6B33"/>
    <w:rsid w:val="48B704BD"/>
    <w:rsid w:val="48EC3D42"/>
    <w:rsid w:val="48FA4992"/>
    <w:rsid w:val="491C4628"/>
    <w:rsid w:val="49AB1508"/>
    <w:rsid w:val="49C600F0"/>
    <w:rsid w:val="4A1D0657"/>
    <w:rsid w:val="4A4A2ACF"/>
    <w:rsid w:val="4A4E6A63"/>
    <w:rsid w:val="4A606796"/>
    <w:rsid w:val="4A8E50B1"/>
    <w:rsid w:val="4AF173EE"/>
    <w:rsid w:val="4B187071"/>
    <w:rsid w:val="4B221C9D"/>
    <w:rsid w:val="4B8F7333"/>
    <w:rsid w:val="4BB46D99"/>
    <w:rsid w:val="4BC0573E"/>
    <w:rsid w:val="4C0849EF"/>
    <w:rsid w:val="4C681932"/>
    <w:rsid w:val="4C9149E5"/>
    <w:rsid w:val="4D111067"/>
    <w:rsid w:val="4D704F42"/>
    <w:rsid w:val="4E031912"/>
    <w:rsid w:val="4E387D8C"/>
    <w:rsid w:val="4E3E0B9C"/>
    <w:rsid w:val="4E487C6D"/>
    <w:rsid w:val="4E832A53"/>
    <w:rsid w:val="4EA84268"/>
    <w:rsid w:val="4EAF55F6"/>
    <w:rsid w:val="4F583EE0"/>
    <w:rsid w:val="4FB01626"/>
    <w:rsid w:val="4FE614EB"/>
    <w:rsid w:val="50131BB5"/>
    <w:rsid w:val="509C21A4"/>
    <w:rsid w:val="50EC2B32"/>
    <w:rsid w:val="50FD6AED"/>
    <w:rsid w:val="51917235"/>
    <w:rsid w:val="51DA6E2E"/>
    <w:rsid w:val="52CA6EA2"/>
    <w:rsid w:val="53081779"/>
    <w:rsid w:val="53407DE6"/>
    <w:rsid w:val="537B019D"/>
    <w:rsid w:val="538A6632"/>
    <w:rsid w:val="53C75190"/>
    <w:rsid w:val="53E67D0C"/>
    <w:rsid w:val="545E3D46"/>
    <w:rsid w:val="54F2623D"/>
    <w:rsid w:val="54F46459"/>
    <w:rsid w:val="550F6DEF"/>
    <w:rsid w:val="558A46C7"/>
    <w:rsid w:val="55FF3307"/>
    <w:rsid w:val="56C80086"/>
    <w:rsid w:val="56ED381D"/>
    <w:rsid w:val="57150D77"/>
    <w:rsid w:val="57E91B79"/>
    <w:rsid w:val="58226E39"/>
    <w:rsid w:val="582C5F09"/>
    <w:rsid w:val="58F22CAF"/>
    <w:rsid w:val="591744C4"/>
    <w:rsid w:val="593432C8"/>
    <w:rsid w:val="599B6EA3"/>
    <w:rsid w:val="59B44408"/>
    <w:rsid w:val="59B77A55"/>
    <w:rsid w:val="59D95C1D"/>
    <w:rsid w:val="5A1D5B0A"/>
    <w:rsid w:val="5A6A06C9"/>
    <w:rsid w:val="5A9A7E31"/>
    <w:rsid w:val="5AB35595"/>
    <w:rsid w:val="5ADE798F"/>
    <w:rsid w:val="5B0B0058"/>
    <w:rsid w:val="5B317A04"/>
    <w:rsid w:val="5B9D02AC"/>
    <w:rsid w:val="5BDD7C46"/>
    <w:rsid w:val="5BE82147"/>
    <w:rsid w:val="5BFD2097"/>
    <w:rsid w:val="5C2C0286"/>
    <w:rsid w:val="5C313AEE"/>
    <w:rsid w:val="5C533A65"/>
    <w:rsid w:val="5C6E4D42"/>
    <w:rsid w:val="5CCB1629"/>
    <w:rsid w:val="5D0104EC"/>
    <w:rsid w:val="5D137698"/>
    <w:rsid w:val="5D215911"/>
    <w:rsid w:val="5DAD3649"/>
    <w:rsid w:val="5DBB7F74"/>
    <w:rsid w:val="5DF66D9E"/>
    <w:rsid w:val="5E316028"/>
    <w:rsid w:val="5EE17A4E"/>
    <w:rsid w:val="5EE25574"/>
    <w:rsid w:val="5F1B68EC"/>
    <w:rsid w:val="5F3D09FC"/>
    <w:rsid w:val="5F7C32D2"/>
    <w:rsid w:val="5FFA35CE"/>
    <w:rsid w:val="6122434D"/>
    <w:rsid w:val="613100ED"/>
    <w:rsid w:val="61333E65"/>
    <w:rsid w:val="613F280A"/>
    <w:rsid w:val="615C160D"/>
    <w:rsid w:val="61677FB2"/>
    <w:rsid w:val="61D70C94"/>
    <w:rsid w:val="61E37639"/>
    <w:rsid w:val="61E628B7"/>
    <w:rsid w:val="61F42D77"/>
    <w:rsid w:val="62F53AC8"/>
    <w:rsid w:val="63263B05"/>
    <w:rsid w:val="636C7B02"/>
    <w:rsid w:val="63846BFA"/>
    <w:rsid w:val="63F20007"/>
    <w:rsid w:val="63F37308"/>
    <w:rsid w:val="64153CF6"/>
    <w:rsid w:val="645111D2"/>
    <w:rsid w:val="64897C1D"/>
    <w:rsid w:val="64C5571C"/>
    <w:rsid w:val="64D21BE7"/>
    <w:rsid w:val="6506581C"/>
    <w:rsid w:val="65BF660F"/>
    <w:rsid w:val="65C6174B"/>
    <w:rsid w:val="660B3602"/>
    <w:rsid w:val="66ED2D08"/>
    <w:rsid w:val="66F95B50"/>
    <w:rsid w:val="67210E21"/>
    <w:rsid w:val="67A07D7A"/>
    <w:rsid w:val="67A55390"/>
    <w:rsid w:val="67C41CBB"/>
    <w:rsid w:val="67DB7004"/>
    <w:rsid w:val="68064081"/>
    <w:rsid w:val="68AB69D7"/>
    <w:rsid w:val="68CA1553"/>
    <w:rsid w:val="68D423D1"/>
    <w:rsid w:val="68DE4FFE"/>
    <w:rsid w:val="68E32614"/>
    <w:rsid w:val="69244207"/>
    <w:rsid w:val="69AC6EAA"/>
    <w:rsid w:val="69EB23F2"/>
    <w:rsid w:val="6AB853DB"/>
    <w:rsid w:val="6ABE0C43"/>
    <w:rsid w:val="6AC87D14"/>
    <w:rsid w:val="6AEF5A9A"/>
    <w:rsid w:val="6B59096C"/>
    <w:rsid w:val="6BBB5183"/>
    <w:rsid w:val="6C6E6699"/>
    <w:rsid w:val="6D0843F7"/>
    <w:rsid w:val="6D2B6338"/>
    <w:rsid w:val="6D521B17"/>
    <w:rsid w:val="6DE210EC"/>
    <w:rsid w:val="6E184B0E"/>
    <w:rsid w:val="6E9C573F"/>
    <w:rsid w:val="6F4162E7"/>
    <w:rsid w:val="6F651FD5"/>
    <w:rsid w:val="6FA523D2"/>
    <w:rsid w:val="6FC0720B"/>
    <w:rsid w:val="707104E7"/>
    <w:rsid w:val="70912956"/>
    <w:rsid w:val="70A02B99"/>
    <w:rsid w:val="70C44AD9"/>
    <w:rsid w:val="71153587"/>
    <w:rsid w:val="718129CA"/>
    <w:rsid w:val="71D84CE0"/>
    <w:rsid w:val="71E52F59"/>
    <w:rsid w:val="71FD4747"/>
    <w:rsid w:val="725325B9"/>
    <w:rsid w:val="731A4E85"/>
    <w:rsid w:val="73245D03"/>
    <w:rsid w:val="73974727"/>
    <w:rsid w:val="73DC65DE"/>
    <w:rsid w:val="73F531FC"/>
    <w:rsid w:val="73F73418"/>
    <w:rsid w:val="741B7106"/>
    <w:rsid w:val="743106D8"/>
    <w:rsid w:val="74B60BDD"/>
    <w:rsid w:val="74E03EAC"/>
    <w:rsid w:val="75151DA7"/>
    <w:rsid w:val="753D12FE"/>
    <w:rsid w:val="76085468"/>
    <w:rsid w:val="76312C11"/>
    <w:rsid w:val="763224E5"/>
    <w:rsid w:val="764A5A81"/>
    <w:rsid w:val="766F3739"/>
    <w:rsid w:val="76746FA2"/>
    <w:rsid w:val="768C7E47"/>
    <w:rsid w:val="76EF6628"/>
    <w:rsid w:val="78947487"/>
    <w:rsid w:val="79CC49FF"/>
    <w:rsid w:val="7A747570"/>
    <w:rsid w:val="7A831561"/>
    <w:rsid w:val="7AA17C39"/>
    <w:rsid w:val="7AC51B7A"/>
    <w:rsid w:val="7B6738CD"/>
    <w:rsid w:val="7B963516"/>
    <w:rsid w:val="7C030BAC"/>
    <w:rsid w:val="7C041AF3"/>
    <w:rsid w:val="7C5A2796"/>
    <w:rsid w:val="7C8E404D"/>
    <w:rsid w:val="7C9932BE"/>
    <w:rsid w:val="7CB77BE8"/>
    <w:rsid w:val="7CBB76D8"/>
    <w:rsid w:val="7D0C3BC9"/>
    <w:rsid w:val="7D657644"/>
    <w:rsid w:val="7DCB0BE8"/>
    <w:rsid w:val="7E130E4E"/>
    <w:rsid w:val="7E6671D0"/>
    <w:rsid w:val="7F0C5FC9"/>
    <w:rsid w:val="7F111831"/>
    <w:rsid w:val="7F842003"/>
    <w:rsid w:val="7F8738A2"/>
    <w:rsid w:val="7FB64187"/>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9CF948"/>
  <w15:docId w15:val="{31C7FC66-DFC5-4FB9-9DFA-CA520451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rPr>
      <w:rFonts w:ascii="Consolas" w:eastAsia="微软雅黑" w:hAnsi="Consolas"/>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qFormat/>
    <w:rPr>
      <w:color w:val="0000FF"/>
      <w:u w:val="single"/>
    </w:rPr>
  </w:style>
  <w:style w:type="character" w:customStyle="1" w:styleId="15">
    <w:name w:val="15"/>
    <w:basedOn w:val="a0"/>
    <w:qFormat/>
  </w:style>
  <w:style w:type="character" w:customStyle="1" w:styleId="16">
    <w:name w:val="16"/>
    <w:basedOn w:val="a0"/>
    <w:qFormat/>
  </w:style>
  <w:style w:type="character" w:customStyle="1" w:styleId="17">
    <w:name w:val="17"/>
    <w:basedOn w:val="a0"/>
    <w:qFormat/>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styleId="a9">
    <w:name w:val="Revision"/>
    <w:hidden/>
    <w:uiPriority w:val="99"/>
    <w:unhideWhenUsed/>
    <w:rsid w:val="00A0208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ueshu.baidu.com/s?wd=author:(AL%20Bandoni)%20&amp;tn=SE_baiduxueshu_c1gjeupa&amp;ie=utf-8&amp;sc_f_para=sc_hilight=person"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xueshu.baidu.com/s?wd=author:(SA%20Su%C3%A1rez)%20&amp;tn=SE_baiduxueshu_c1gjeupa&amp;ie=utf-8&amp;sc_f_para=sc_hilight=perso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29</Pages>
  <Words>5557</Words>
  <Characters>31681</Characters>
  <Application>Microsoft Office Word</Application>
  <DocSecurity>0</DocSecurity>
  <Lines>264</Lines>
  <Paragraphs>74</Paragraphs>
  <ScaleCrop>false</ScaleCrop>
  <Company>BPG</Company>
  <LinksUpToDate>false</LinksUpToDate>
  <CharactersWithSpaces>37164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12</cp:revision>
  <dcterms:created xsi:type="dcterms:W3CDTF">2023-07-07T04:13:00Z</dcterms:created>
  <dcterms:modified xsi:type="dcterms:W3CDTF">2023-10-09T09:15:00Z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465A161F8C82419BB3EA0167755A8B70_12</vt:lpwstr>
  </property>
</Properties>
</file>