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Gastroenterology</w:t>
      </w:r>
      <w:bookmarkStart w:id="156" w:name="_GoBack"/>
      <w:bookmarkEnd w:id="156"/>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85347</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REVIEW</w:t>
      </w:r>
    </w:p>
    <w:p>
      <w:pPr>
        <w:spacing w:line="360" w:lineRule="auto"/>
        <w:jc w:val="both"/>
        <w:rPr>
          <w:color w:val="000000" w:themeColor="text1"/>
          <w:lang w:eastAsia="zh-CN"/>
          <w14:textFill>
            <w14:solidFill>
              <w14:schemeClr w14:val="tx1"/>
            </w14:solidFill>
          </w14:textFill>
        </w:rPr>
      </w:pPr>
    </w:p>
    <w:p>
      <w:pPr>
        <w:spacing w:line="360" w:lineRule="auto"/>
        <w:jc w:val="both"/>
        <w:rPr>
          <w:color w:val="000000" w:themeColor="text1"/>
          <w14:textFill>
            <w14:solidFill>
              <w14:schemeClr w14:val="tx1"/>
            </w14:solidFill>
          </w14:textFill>
        </w:rPr>
      </w:pPr>
      <w:bookmarkStart w:id="0" w:name="OLE_LINK6887"/>
      <w:r>
        <w:rPr>
          <w:rFonts w:ascii="Book Antiqua" w:hAnsi="Book Antiqua" w:eastAsia="Book Antiqua" w:cs="Book Antiqua"/>
          <w:b/>
          <w:bCs/>
          <w:color w:val="000000" w:themeColor="text1"/>
          <w14:textFill>
            <w14:solidFill>
              <w14:schemeClr w14:val="tx1"/>
            </w14:solidFill>
          </w14:textFill>
        </w:rPr>
        <w:t>Perioperative immunotherapy for esophageal squamous cell carcinoma: Now and future</w:t>
      </w:r>
    </w:p>
    <w:bookmarkEnd w:id="0"/>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Liu Y. </w:t>
      </w:r>
      <w:bookmarkStart w:id="1" w:name="OLE_LINK6888"/>
      <w:r>
        <w:rPr>
          <w:rFonts w:ascii="Book Antiqua" w:hAnsi="Book Antiqua" w:eastAsia="Book Antiqua" w:cs="Book Antiqua"/>
          <w:color w:val="000000" w:themeColor="text1"/>
          <w14:textFill>
            <w14:solidFill>
              <w14:schemeClr w14:val="tx1"/>
            </w14:solidFill>
          </w14:textFill>
        </w:rPr>
        <w:t>Perioperative immunotherapy for ESCC</w:t>
      </w:r>
      <w:bookmarkEnd w:id="1"/>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Yong Liu</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Yong Liu, </w:t>
      </w:r>
      <w:bookmarkStart w:id="2" w:name="OLE_LINK6685"/>
      <w:r>
        <w:rPr>
          <w:rFonts w:ascii="Book Antiqua" w:hAnsi="Book Antiqua" w:eastAsia="Book Antiqua" w:cs="Book Antiqua"/>
          <w:color w:val="000000" w:themeColor="text1"/>
          <w14:textFill>
            <w14:solidFill>
              <w14:schemeClr w14:val="tx1"/>
            </w14:solidFill>
          </w14:textFill>
        </w:rPr>
        <w:t xml:space="preserve">Department of </w:t>
      </w:r>
      <w:bookmarkStart w:id="3" w:name="OLE_LINK6684"/>
      <w:r>
        <w:rPr>
          <w:rFonts w:ascii="Book Antiqua" w:hAnsi="Book Antiqua" w:eastAsia="Book Antiqua" w:cs="Book Antiqua"/>
          <w:color w:val="000000" w:themeColor="text1"/>
          <w14:textFill>
            <w14:solidFill>
              <w14:schemeClr w14:val="tx1"/>
            </w14:solidFill>
          </w14:textFill>
        </w:rPr>
        <w:t>Thoracic Surgery,</w:t>
      </w:r>
      <w:bookmarkEnd w:id="3"/>
      <w:r>
        <w:rPr>
          <w:rFonts w:ascii="Book Antiqua" w:hAnsi="Book Antiqua" w:eastAsia="Book Antiqua" w:cs="Book Antiqua"/>
          <w:color w:val="000000" w:themeColor="text1"/>
          <w14:textFill>
            <w14:solidFill>
              <w14:schemeClr w14:val="tx1"/>
            </w14:solidFill>
          </w14:textFill>
        </w:rPr>
        <w:t xml:space="preserve"> The Central Hospital of Wuhan, Tongji Medical College, Huazhong University of Science and Technology, Wuhan 430011, Hubei </w:t>
      </w:r>
      <w:r>
        <w:rPr>
          <w:rFonts w:hint="eastAsia" w:ascii="Book Antiqua" w:hAnsi="Book Antiqua" w:eastAsia="Book Antiqua" w:cs="Book Antiqua"/>
          <w:color w:val="000000" w:themeColor="text1"/>
          <w:lang w:eastAsia="zh-CN"/>
          <w14:textFill>
            <w14:solidFill>
              <w14:schemeClr w14:val="tx1"/>
            </w14:solidFill>
          </w14:textFill>
        </w:rPr>
        <w:t>P</w:t>
      </w:r>
      <w:r>
        <w:rPr>
          <w:rFonts w:ascii="Book Antiqua" w:hAnsi="Book Antiqua" w:eastAsia="Book Antiqua" w:cs="Book Antiqua"/>
          <w:color w:val="000000" w:themeColor="text1"/>
          <w:lang w:eastAsia="zh-CN"/>
          <w14:textFill>
            <w14:solidFill>
              <w14:schemeClr w14:val="tx1"/>
            </w14:solidFill>
          </w14:textFill>
        </w:rPr>
        <w:t>rovince</w:t>
      </w:r>
      <w:r>
        <w:rPr>
          <w:rFonts w:ascii="Book Antiqua" w:hAnsi="Book Antiqua" w:eastAsia="Book Antiqua" w:cs="Book Antiqua"/>
          <w:color w:val="000000" w:themeColor="text1"/>
          <w14:textFill>
            <w14:solidFill>
              <w14:schemeClr w14:val="tx1"/>
            </w14:solidFill>
          </w14:textFill>
        </w:rPr>
        <w:t>, China</w:t>
      </w:r>
      <w:bookmarkEnd w:id="2"/>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Liu Y designed the paper, collected and analyzed the data in the references, and wrote the manuscript.</w:t>
      </w:r>
    </w:p>
    <w:p>
      <w:pPr>
        <w:spacing w:line="360" w:lineRule="auto"/>
        <w:jc w:val="both"/>
        <w:rPr>
          <w:color w:val="000000" w:themeColor="text1"/>
          <w14:textFill>
            <w14:solidFill>
              <w14:schemeClr w14:val="tx1"/>
            </w14:solidFill>
          </w14:textFill>
        </w:rPr>
      </w:pPr>
    </w:p>
    <w:p>
      <w:pPr>
        <w:spacing w:line="360" w:lineRule="auto"/>
        <w:jc w:val="both"/>
        <w:rPr>
          <w:rFonts w:ascii="Book Antiqua" w:hAnsi="Book Antiqua" w:eastAsia="Book Antiqua" w:cs="Book Antiqua"/>
          <w:b/>
          <w:bCs/>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Yong Liu, Doctor, MD, Chief Doctor, Surgeon, Surgical Oncologist, </w:t>
      </w:r>
      <w:bookmarkStart w:id="4" w:name="OLE_LINK6892"/>
      <w:r>
        <w:rPr>
          <w:rFonts w:ascii="Book Antiqua" w:hAnsi="Book Antiqua" w:eastAsia="Book Antiqua" w:cs="Book Antiqua"/>
          <w:color w:val="000000" w:themeColor="text1"/>
          <w14:textFill>
            <w14:solidFill>
              <w14:schemeClr w14:val="tx1"/>
            </w14:solidFill>
          </w14:textFill>
        </w:rPr>
        <w:t>Department of Thoracic Surgery</w:t>
      </w:r>
      <w:bookmarkEnd w:id="4"/>
      <w:r>
        <w:rPr>
          <w:rFonts w:ascii="Book Antiqua" w:hAnsi="Book Antiqua" w:eastAsia="Book Antiqua" w:cs="Book Antiqua"/>
          <w:color w:val="000000" w:themeColor="text1"/>
          <w14:textFill>
            <w14:solidFill>
              <w14:schemeClr w14:val="tx1"/>
            </w14:solidFill>
          </w14:textFill>
        </w:rPr>
        <w:t xml:space="preserve">, </w:t>
      </w:r>
      <w:bookmarkStart w:id="5" w:name="OLE_LINK6893"/>
      <w:r>
        <w:rPr>
          <w:rFonts w:ascii="Book Antiqua" w:hAnsi="Book Antiqua" w:eastAsia="Book Antiqua" w:cs="Book Antiqua"/>
          <w:color w:val="000000" w:themeColor="text1"/>
          <w14:textFill>
            <w14:solidFill>
              <w14:schemeClr w14:val="tx1"/>
            </w14:solidFill>
          </w14:textFill>
        </w:rPr>
        <w:t>The Central Hospital of Wuhan, Tongji Medical College, Huazhong University of Science and Technology</w:t>
      </w:r>
      <w:bookmarkEnd w:id="5"/>
      <w:r>
        <w:rPr>
          <w:rFonts w:ascii="Book Antiqua" w:hAnsi="Book Antiqua" w:eastAsia="Book Antiqua" w:cs="Book Antiqua"/>
          <w:color w:val="000000" w:themeColor="text1"/>
          <w14:textFill>
            <w14:solidFill>
              <w14:schemeClr w14:val="tx1"/>
            </w14:solidFill>
          </w14:textFill>
        </w:rPr>
        <w:t xml:space="preserve">, </w:t>
      </w:r>
      <w:bookmarkStart w:id="6" w:name="OLE_LINK6894"/>
      <w:r>
        <w:rPr>
          <w:rFonts w:ascii="Book Antiqua" w:hAnsi="Book Antiqua" w:eastAsia="Book Antiqua" w:cs="Book Antiqua"/>
          <w:color w:val="000000" w:themeColor="text1"/>
          <w14:textFill>
            <w14:solidFill>
              <w14:schemeClr w14:val="tx1"/>
            </w14:solidFill>
          </w14:textFill>
        </w:rPr>
        <w:t>No. 26 Shengli Street</w:t>
      </w:r>
      <w:bookmarkEnd w:id="6"/>
      <w:r>
        <w:rPr>
          <w:rFonts w:ascii="Book Antiqua" w:hAnsi="Book Antiqua" w:eastAsia="Book Antiqua" w:cs="Book Antiqua"/>
          <w:color w:val="000000" w:themeColor="text1"/>
          <w14:textFill>
            <w14:solidFill>
              <w14:schemeClr w14:val="tx1"/>
            </w14:solidFill>
          </w14:textFill>
        </w:rPr>
        <w:t xml:space="preserve">, Wuhan 430011, </w:t>
      </w:r>
      <w:bookmarkStart w:id="7" w:name="OLE_LINK6895"/>
      <w:r>
        <w:rPr>
          <w:rFonts w:ascii="Book Antiqua" w:hAnsi="Book Antiqua" w:eastAsia="Book Antiqua" w:cs="Book Antiqua"/>
          <w:color w:val="000000" w:themeColor="text1"/>
          <w14:textFill>
            <w14:solidFill>
              <w14:schemeClr w14:val="tx1"/>
            </w14:solidFill>
          </w14:textFill>
        </w:rPr>
        <w:t xml:space="preserve">Hubei </w:t>
      </w:r>
      <w:r>
        <w:rPr>
          <w:rFonts w:hint="eastAsia" w:ascii="Book Antiqua" w:hAnsi="Book Antiqua" w:eastAsia="Book Antiqua" w:cs="Book Antiqua"/>
          <w:color w:val="000000" w:themeColor="text1"/>
          <w:lang w:eastAsia="zh-CN"/>
          <w14:textFill>
            <w14:solidFill>
              <w14:schemeClr w14:val="tx1"/>
            </w14:solidFill>
          </w14:textFill>
        </w:rPr>
        <w:t>P</w:t>
      </w:r>
      <w:r>
        <w:rPr>
          <w:rFonts w:ascii="Book Antiqua" w:hAnsi="Book Antiqua" w:eastAsia="Book Antiqua" w:cs="Book Antiqua"/>
          <w:color w:val="000000" w:themeColor="text1"/>
          <w:lang w:eastAsia="zh-CN"/>
          <w14:textFill>
            <w14:solidFill>
              <w14:schemeClr w14:val="tx1"/>
            </w14:solidFill>
          </w14:textFill>
        </w:rPr>
        <w:t>rovince</w:t>
      </w:r>
      <w:bookmarkEnd w:id="7"/>
      <w:r>
        <w:rPr>
          <w:rFonts w:ascii="Book Antiqua" w:hAnsi="Book Antiqua" w:eastAsia="Book Antiqua" w:cs="Book Antiqua"/>
          <w:color w:val="000000" w:themeColor="text1"/>
          <w14:textFill>
            <w14:solidFill>
              <w14:schemeClr w14:val="tx1"/>
            </w14:solidFill>
          </w14:textFill>
        </w:rPr>
        <w:t>, China.</w:t>
      </w:r>
      <w:r>
        <w:rPr>
          <w:rFonts w:hint="eastAsia" w:ascii="Book Antiqua" w:hAnsi="Book Antiqua" w:eastAsia="Book Antiqua" w:cs="Book Antiqua"/>
          <w:b/>
          <w:bCs/>
          <w:color w:val="000000" w:themeColor="text1"/>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liuyong7575@163.com</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April 23, 2023</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eastAsia="Book Antiqua" w:cs="Book Antiqua"/>
          <w:color w:val="000000" w:themeColor="text1"/>
          <w14:textFill>
            <w14:solidFill>
              <w14:schemeClr w14:val="tx1"/>
            </w14:solidFill>
          </w14:textFill>
        </w:rPr>
        <w:t>July 19, 2023</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Accepted: </w:t>
      </w:r>
      <w:r>
        <w:rPr>
          <w:rFonts w:ascii="Book Antiqua" w:hAnsi="Book Antiqua" w:eastAsia="Book Antiqua" w:cs="Book Antiqua"/>
          <w:color w:val="000000" w:themeColor="text1"/>
          <w14:textFill>
            <w14:solidFill>
              <w14:schemeClr w14:val="tx1"/>
            </w14:solidFill>
          </w14:textFill>
        </w:rPr>
        <w:t>August 15, 2023</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p>
    <w:p>
      <w:pPr>
        <w:spacing w:line="360" w:lineRule="auto"/>
        <w:jc w:val="both"/>
        <w:rPr>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spacing w:line="360" w:lineRule="auto"/>
        <w:jc w:val="both"/>
        <w:rPr>
          <w:color w:val="000000" w:themeColor="text1"/>
          <w14:textFill>
            <w14:solidFill>
              <w14:schemeClr w14:val="tx1"/>
            </w14:solidFill>
          </w14:textFill>
        </w:rPr>
      </w:pPr>
      <w:bookmarkStart w:id="8" w:name="OLE_LINK6687"/>
      <w:r>
        <w:rPr>
          <w:rFonts w:ascii="Book Antiqua" w:hAnsi="Book Antiqua" w:eastAsia="Book Antiqua" w:cs="Book Antiqua"/>
          <w:color w:val="000000" w:themeColor="text1"/>
          <w14:textFill>
            <w14:solidFill>
              <w14:schemeClr w14:val="tx1"/>
            </w14:solidFill>
          </w14:textFill>
        </w:rPr>
        <w:t>Esophageal cancer</w:t>
      </w:r>
      <w:bookmarkEnd w:id="8"/>
      <w:r>
        <w:rPr>
          <w:rFonts w:ascii="Book Antiqua" w:hAnsi="Book Antiqua" w:eastAsia="Book Antiqua" w:cs="Book Antiqua"/>
          <w:color w:val="000000" w:themeColor="text1"/>
          <w14:textFill>
            <w14:solidFill>
              <w14:schemeClr w14:val="tx1"/>
            </w14:solidFill>
          </w14:textFill>
        </w:rPr>
        <w:t xml:space="preserve"> (EC) ranks among the most prevalent malignant tumors affecting the digestive tract. </w:t>
      </w:r>
      <w:bookmarkStart w:id="9" w:name="OLE_LINK6688"/>
      <w:r>
        <w:rPr>
          <w:rFonts w:ascii="Book Antiqua" w:hAnsi="Book Antiqua" w:eastAsia="Book Antiqua" w:cs="Book Antiqua"/>
          <w:color w:val="000000" w:themeColor="text1"/>
          <w14:textFill>
            <w14:solidFill>
              <w14:schemeClr w14:val="tx1"/>
            </w14:solidFill>
          </w14:textFill>
        </w:rPr>
        <w:t>Esophageal squamous cell carcinoma</w:t>
      </w:r>
      <w:bookmarkEnd w:id="9"/>
      <w:r>
        <w:rPr>
          <w:rFonts w:ascii="Book Antiqua" w:hAnsi="Book Antiqua" w:eastAsia="Book Antiqua" w:cs="Book Antiqua"/>
          <w:color w:val="000000" w:themeColor="text1"/>
          <w14:textFill>
            <w14:solidFill>
              <w14:schemeClr w14:val="tx1"/>
            </w14:solidFill>
          </w14:textFill>
        </w:rPr>
        <w:t xml:space="preserve"> (ESCC) stands as the prevailing pathological subtype, encompassing approximately 90% of all EC patients. In clinical stage II-IVA locally advanced ESCC cases, the primary approach to treatment involves a combination of neoadjuvant therapy and surgical resection. Despite concerted efforts, the long-term outcomes for ESCC patients remain unsatisfactory, with dismal prognoses. However, recent years have witnessed remarkable strides in immunotherapy, particularly in the </w:t>
      </w:r>
      <w:r>
        <w:rPr>
          <w:rFonts w:hint="eastAsia" w:ascii="Book Antiqua" w:hAnsi="Book Antiqua" w:eastAsia="宋体" w:cs="Book Antiqua"/>
          <w:color w:val="000000" w:themeColor="text1"/>
          <w:lang w:val="en-US" w:eastAsia="zh-CN"/>
          <w14:textFill>
            <w14:solidFill>
              <w14:schemeClr w14:val="tx1"/>
            </w14:solidFill>
          </w14:textFill>
        </w:rPr>
        <w:t>second-</w:t>
      </w:r>
      <w:r>
        <w:rPr>
          <w:rFonts w:ascii="Book Antiqua" w:hAnsi="Book Antiqua" w:eastAsia="Book Antiqua" w:cs="Book Antiqua"/>
          <w:color w:val="000000" w:themeColor="text1"/>
          <w14:textFill>
            <w14:solidFill>
              <w14:schemeClr w14:val="tx1"/>
            </w14:solidFill>
          </w14:textFill>
        </w:rPr>
        <w:t xml:space="preserve"> and </w:t>
      </w:r>
      <w:r>
        <w:rPr>
          <w:rFonts w:hint="eastAsia" w:ascii="Book Antiqua" w:hAnsi="Book Antiqua" w:eastAsia="宋体" w:cs="Book Antiqua"/>
          <w:color w:val="000000" w:themeColor="text1"/>
          <w:lang w:val="en-US" w:eastAsia="zh-CN"/>
          <w14:textFill>
            <w14:solidFill>
              <w14:schemeClr w14:val="tx1"/>
            </w14:solidFill>
          </w14:textFill>
        </w:rPr>
        <w:t>first</w:t>
      </w:r>
      <w:r>
        <w:rPr>
          <w:rFonts w:ascii="Book Antiqua" w:hAnsi="Book Antiqua" w:eastAsia="Book Antiqua" w:cs="Book Antiqua"/>
          <w:color w:val="000000" w:themeColor="text1"/>
          <w14:textFill>
            <w14:solidFill>
              <w14:schemeClr w14:val="tx1"/>
            </w14:solidFill>
          </w14:textFill>
        </w:rPr>
        <w:t xml:space="preserve">-line treatment of advanced or metastatic ESCC, with the development of monoclonal antibodies that inhibit programmed death 1 or programmed death ligand 1 demonstrating encouraging responses and perioperative clinical benefits for various malignancies, including ESCC. This comprehensive review aims to present the current landscape of perioperative immunotherapy for resectable ESCC, focusing specifically on the role of </w:t>
      </w:r>
      <w:bookmarkStart w:id="10" w:name="OLE_LINK6689"/>
      <w:r>
        <w:rPr>
          <w:rFonts w:ascii="Book Antiqua" w:hAnsi="Book Antiqua" w:eastAsia="Book Antiqua" w:cs="Book Antiqua"/>
          <w:color w:val="000000" w:themeColor="text1"/>
          <w14:textFill>
            <w14:solidFill>
              <w14:schemeClr w14:val="tx1"/>
            </w14:solidFill>
          </w14:textFill>
        </w:rPr>
        <w:t>immune checkpoint inhibitor</w:t>
      </w:r>
      <w:bookmarkEnd w:id="10"/>
      <w:r>
        <w:rPr>
          <w:rFonts w:ascii="Book Antiqua" w:hAnsi="Book Antiqua" w:eastAsia="Book Antiqua" w:cs="Book Antiqua"/>
          <w:color w:val="000000" w:themeColor="text1"/>
          <w14:textFill>
            <w14:solidFill>
              <w14:schemeClr w14:val="tx1"/>
            </w14:solidFill>
          </w14:textFill>
        </w:rPr>
        <w:t>s during the perioperative period. Additionally, the review will explore promising biomarkers and offer insights into future prospects.</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bookmarkStart w:id="11" w:name="OLE_LINK6889"/>
      <w:r>
        <w:rPr>
          <w:rFonts w:ascii="Book Antiqua" w:hAnsi="Book Antiqua" w:eastAsia="Book Antiqua" w:cs="Book Antiqua"/>
          <w:color w:val="000000" w:themeColor="text1"/>
          <w14:textFill>
            <w14:solidFill>
              <w14:schemeClr w14:val="tx1"/>
            </w14:solidFill>
          </w14:textFill>
        </w:rPr>
        <w:t xml:space="preserve">Esophageal squamous cell carcinoma; </w:t>
      </w:r>
      <w:bookmarkStart w:id="12" w:name="OLE_LINK6690"/>
      <w:r>
        <w:rPr>
          <w:rFonts w:ascii="Book Antiqua" w:hAnsi="Book Antiqua" w:eastAsia="Book Antiqua" w:cs="Book Antiqua"/>
          <w:color w:val="000000" w:themeColor="text1"/>
          <w14:textFill>
            <w14:solidFill>
              <w14:schemeClr w14:val="tx1"/>
            </w14:solidFill>
          </w14:textFill>
        </w:rPr>
        <w:t>Immune checkpoint inhibitor</w:t>
      </w:r>
      <w:bookmarkEnd w:id="12"/>
      <w:r>
        <w:rPr>
          <w:rFonts w:ascii="Book Antiqua" w:hAnsi="Book Antiqua" w:eastAsia="Book Antiqua" w:cs="Book Antiqua"/>
          <w:color w:val="000000" w:themeColor="text1"/>
          <w14:textFill>
            <w14:solidFill>
              <w14:schemeClr w14:val="tx1"/>
            </w14:solidFill>
          </w14:textFill>
        </w:rPr>
        <w:t xml:space="preserve">s; Immunotherapy; </w:t>
      </w:r>
      <w:bookmarkStart w:id="13" w:name="OLE_LINK6693"/>
      <w:r>
        <w:rPr>
          <w:rFonts w:ascii="Book Antiqua" w:hAnsi="Book Antiqua" w:eastAsia="Book Antiqua" w:cs="Book Antiqua"/>
          <w:color w:val="000000" w:themeColor="text1"/>
          <w14:textFill>
            <w14:solidFill>
              <w14:schemeClr w14:val="tx1"/>
            </w14:solidFill>
          </w14:textFill>
        </w:rPr>
        <w:t>N</w:t>
      </w:r>
      <w:bookmarkEnd w:id="13"/>
      <w:r>
        <w:rPr>
          <w:rFonts w:ascii="Book Antiqua" w:hAnsi="Book Antiqua" w:eastAsia="Book Antiqua" w:cs="Book Antiqua"/>
          <w:color w:val="000000" w:themeColor="text1"/>
          <w14:textFill>
            <w14:solidFill>
              <w14:schemeClr w14:val="tx1"/>
            </w14:solidFill>
          </w14:textFill>
        </w:rPr>
        <w:t>eoadjuvant; Randomized clinical trial</w:t>
      </w:r>
    </w:p>
    <w:bookmarkEnd w:id="11"/>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bookmarkStart w:id="14" w:name="OLE_LINK6890"/>
      <w:r>
        <w:rPr>
          <w:rFonts w:ascii="Book Antiqua" w:hAnsi="Book Antiqua" w:eastAsia="Book Antiqua" w:cs="Book Antiqua"/>
          <w:color w:val="000000" w:themeColor="text1"/>
          <w14:textFill>
            <w14:solidFill>
              <w14:schemeClr w14:val="tx1"/>
            </w14:solidFill>
          </w14:textFill>
        </w:rPr>
        <w:t xml:space="preserve">Liu Y. Perioperative immunotherapy for esophageal squamous cell carcinoma: </w:t>
      </w:r>
      <w:bookmarkStart w:id="15" w:name="OLE_LINK6694"/>
      <w:r>
        <w:rPr>
          <w:rFonts w:ascii="Book Antiqua" w:hAnsi="Book Antiqua" w:eastAsia="Book Antiqua" w:cs="Book Antiqua"/>
          <w:color w:val="000000" w:themeColor="text1"/>
          <w14:textFill>
            <w14:solidFill>
              <w14:schemeClr w14:val="tx1"/>
            </w14:solidFill>
          </w14:textFill>
        </w:rPr>
        <w:t>N</w:t>
      </w:r>
      <w:bookmarkEnd w:id="15"/>
      <w:r>
        <w:rPr>
          <w:rFonts w:ascii="Book Antiqua" w:hAnsi="Book Antiqua" w:eastAsia="Book Antiqua" w:cs="Book Antiqua"/>
          <w:color w:val="000000" w:themeColor="text1"/>
          <w14:textFill>
            <w14:solidFill>
              <w14:schemeClr w14:val="tx1"/>
            </w14:solidFill>
          </w14:textFill>
        </w:rPr>
        <w:t xml:space="preserve">ow and future. </w:t>
      </w:r>
      <w:r>
        <w:rPr>
          <w:rFonts w:ascii="Book Antiqua" w:hAnsi="Book Antiqua" w:eastAsia="Book Antiqua" w:cs="Book Antiqua"/>
          <w:i/>
          <w:iCs/>
          <w:color w:val="000000" w:themeColor="text1"/>
          <w14:textFill>
            <w14:solidFill>
              <w14:schemeClr w14:val="tx1"/>
            </w14:solidFill>
          </w14:textFill>
        </w:rPr>
        <w:t>World J Gastroenterol</w:t>
      </w:r>
      <w:r>
        <w:rPr>
          <w:rFonts w:ascii="Book Antiqua" w:hAnsi="Book Antiqua" w:eastAsia="Book Antiqua" w:cs="Book Antiqua"/>
          <w:color w:val="000000" w:themeColor="text1"/>
          <w14:textFill>
            <w14:solidFill>
              <w14:schemeClr w14:val="tx1"/>
            </w14:solidFill>
          </w14:textFill>
        </w:rPr>
        <w:t xml:space="preserve"> 2023; In press</w:t>
      </w:r>
    </w:p>
    <w:bookmarkEnd w:id="14"/>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bookmarkStart w:id="16" w:name="OLE_LINK6891"/>
      <w:r>
        <w:rPr>
          <w:rFonts w:ascii="Book Antiqua" w:hAnsi="Book Antiqua" w:eastAsia="Book Antiqua" w:cs="Book Antiqua"/>
          <w:color w:val="000000" w:themeColor="text1"/>
          <w14:textFill>
            <w14:solidFill>
              <w14:schemeClr w14:val="tx1"/>
            </w14:solidFill>
          </w14:textFill>
        </w:rPr>
        <w:t xml:space="preserve">Esophageal cancer ranks among the most prevalent malignant tumors affecting the digestive tract. In locally advanced </w:t>
      </w:r>
      <w:r>
        <w:rPr>
          <w:rFonts w:hint="eastAsia" w:ascii="Book Antiqua" w:hAnsi="Book Antiqua" w:eastAsia="Book Antiqua" w:cs="Book Antiqua"/>
          <w:color w:val="000000" w:themeColor="text1"/>
          <w:lang w:eastAsia="zh-CN"/>
          <w14:textFill>
            <w14:solidFill>
              <w14:schemeClr w14:val="tx1"/>
            </w14:solidFill>
          </w14:textFill>
        </w:rPr>
        <w:t>e</w:t>
      </w:r>
      <w:r>
        <w:rPr>
          <w:rFonts w:ascii="Book Antiqua" w:hAnsi="Book Antiqua" w:eastAsia="Book Antiqua" w:cs="Book Antiqua"/>
          <w:color w:val="000000" w:themeColor="text1"/>
          <w14:textFill>
            <w14:solidFill>
              <w14:schemeClr w14:val="tx1"/>
            </w14:solidFill>
          </w14:textFill>
        </w:rPr>
        <w:t xml:space="preserve">sophageal squamous cell carcinoma (ESCC), the mainstay of treatment involves neoadjuvant therapy in conjunction with surgical resection. Notably, immunotherapy has achieved significant breakthroughs in the </w:t>
      </w:r>
      <w:r>
        <w:rPr>
          <w:rFonts w:hint="eastAsia" w:ascii="Book Antiqua" w:hAnsi="Book Antiqua" w:eastAsia="宋体" w:cs="Book Antiqua"/>
          <w:color w:val="000000" w:themeColor="text1"/>
          <w:lang w:val="en-US" w:eastAsia="zh-CN"/>
          <w14:textFill>
            <w14:solidFill>
              <w14:schemeClr w14:val="tx1"/>
            </w14:solidFill>
          </w14:textFill>
        </w:rPr>
        <w:t>second-</w:t>
      </w:r>
      <w:r>
        <w:rPr>
          <w:rFonts w:ascii="Book Antiqua" w:hAnsi="Book Antiqua" w:eastAsia="Book Antiqua" w:cs="Book Antiqua"/>
          <w:color w:val="000000" w:themeColor="text1"/>
          <w14:textFill>
            <w14:solidFill>
              <w14:schemeClr w14:val="tx1"/>
            </w14:solidFill>
          </w14:textFill>
        </w:rPr>
        <w:t xml:space="preserve"> and </w:t>
      </w:r>
      <w:r>
        <w:rPr>
          <w:rFonts w:hint="eastAsia" w:ascii="Book Antiqua" w:hAnsi="Book Antiqua" w:eastAsia="宋体" w:cs="Book Antiqua"/>
          <w:color w:val="000000" w:themeColor="text1"/>
          <w:lang w:val="en-US" w:eastAsia="zh-CN"/>
          <w14:textFill>
            <w14:solidFill>
              <w14:schemeClr w14:val="tx1"/>
            </w14:solidFill>
          </w14:textFill>
        </w:rPr>
        <w:t>first</w:t>
      </w:r>
      <w:r>
        <w:rPr>
          <w:rFonts w:ascii="Book Antiqua" w:hAnsi="Book Antiqua" w:eastAsia="Book Antiqua" w:cs="Book Antiqua"/>
          <w:color w:val="000000" w:themeColor="text1"/>
          <w14:textFill>
            <w14:solidFill>
              <w14:schemeClr w14:val="tx1"/>
            </w14:solidFill>
          </w14:textFill>
        </w:rPr>
        <w:t>-line treatment of advanced or metastatic ESCC. This review focuses on the current landscape of perioperative immunotherapy for resectable ESCC and discusses promising biomarkers and future perspectives.</w:t>
      </w:r>
    </w:p>
    <w:bookmarkEnd w:id="16"/>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INTRODUCTION</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Esophageal cancer (EC), one of the most prevalent malignancies affecting the digestive tract, originates from the epithelial lining of the esophagus. According to the International Agency for Research on Cancer's latest update on the global cancer burden, based on the GLOBOCAN 2020 projections of cancer incidence and mortality, EC ranks seventh in terms of cancer incidence worldwide and sixth in cancer-related mortality</w:t>
      </w:r>
      <w:r>
        <w:rPr>
          <w:rFonts w:ascii="Book Antiqua" w:hAnsi="Book Antiqua" w:eastAsia="Book Antiqua" w:cs="Book Antiqua"/>
          <w:color w:val="000000" w:themeColor="text1"/>
          <w:szCs w:val="30"/>
          <w:vertAlign w:val="superscript"/>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xml:space="preserve">. The incidence of EC varies significantly across countries and regions, with East Asia having the highest disease occurrence, being twice the global average (12.2/1000). EC can be classified into two histological subtypes: </w:t>
      </w:r>
      <w:r>
        <w:rPr>
          <w:rFonts w:hint="eastAsia" w:ascii="Book Antiqua" w:hAnsi="Book Antiqua" w:eastAsia="宋体" w:cs="Book Antiqua"/>
          <w:color w:val="000000" w:themeColor="text1"/>
          <w:lang w:val="en-US" w:eastAsia="zh-CN"/>
          <w14:textFill>
            <w14:solidFill>
              <w14:schemeClr w14:val="tx1"/>
            </w14:solidFill>
          </w14:textFill>
        </w:rPr>
        <w:t>E</w:t>
      </w:r>
      <w:r>
        <w:rPr>
          <w:rFonts w:ascii="Book Antiqua" w:hAnsi="Book Antiqua" w:eastAsia="Book Antiqua" w:cs="Book Antiqua"/>
          <w:color w:val="000000" w:themeColor="text1"/>
          <w14:textFill>
            <w14:solidFill>
              <w14:schemeClr w14:val="tx1"/>
            </w14:solidFill>
          </w14:textFill>
        </w:rPr>
        <w:t xml:space="preserve">sophageal squamous cell carcinoma (ESCC) and </w:t>
      </w:r>
      <w:bookmarkStart w:id="17" w:name="OLE_LINK6696"/>
      <w:r>
        <w:rPr>
          <w:rFonts w:ascii="Book Antiqua" w:hAnsi="Book Antiqua" w:eastAsia="Book Antiqua" w:cs="Book Antiqua"/>
          <w:color w:val="000000" w:themeColor="text1"/>
          <w14:textFill>
            <w14:solidFill>
              <w14:schemeClr w14:val="tx1"/>
            </w14:solidFill>
          </w14:textFill>
        </w:rPr>
        <w:t>esophageal adenocarcinoma</w:t>
      </w:r>
      <w:bookmarkEnd w:id="17"/>
      <w:r>
        <w:rPr>
          <w:rFonts w:ascii="Book Antiqua" w:hAnsi="Book Antiqua" w:eastAsia="Book Antiqua" w:cs="Book Antiqua"/>
          <w:color w:val="000000" w:themeColor="text1"/>
          <w14:textFill>
            <w14:solidFill>
              <w14:schemeClr w14:val="tx1"/>
            </w14:solidFill>
          </w14:textFill>
        </w:rPr>
        <w:t xml:space="preserve"> (EAC). EAC is the predominant pathological type in relatively low-incidence areas such as Europe and America. However, globally, ESCC accounts for approximately 90% of all EC cases</w:t>
      </w:r>
      <w:r>
        <w:rPr>
          <w:rFonts w:ascii="Book Antiqua" w:hAnsi="Book Antiqua" w:eastAsia="Book Antiqua" w:cs="Book Antiqua"/>
          <w:color w:val="000000" w:themeColor="text1"/>
          <w:szCs w:val="30"/>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and more than half of the ESCC cases occur in China</w:t>
      </w:r>
      <w:r>
        <w:rPr>
          <w:rFonts w:ascii="Book Antiqua" w:hAnsi="Book Antiqua" w:eastAsia="Book Antiqua" w:cs="Book Antiqua"/>
          <w:color w:val="000000" w:themeColor="text1"/>
          <w:szCs w:val="30"/>
          <w:vertAlign w:val="superscript"/>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For many years, surgery has served as the primary treatment for early-stage ESCC. High-grade dysplasia and very early-stage tumors are amenable to local therapies such as endoscopic resection, ablation, or surgery. Surgery can improve the </w:t>
      </w:r>
      <w:r>
        <w:rPr>
          <w:rFonts w:hint="eastAsia" w:ascii="Book Antiqua" w:hAnsi="Book Antiqua" w:eastAsia="宋体" w:cs="Book Antiqua"/>
          <w:color w:val="000000" w:themeColor="text1"/>
          <w:lang w:val="en-US" w:eastAsia="zh-CN"/>
          <w14:textFill>
            <w14:solidFill>
              <w14:schemeClr w14:val="tx1"/>
            </w14:solidFill>
          </w14:textFill>
        </w:rPr>
        <w:t>5</w:t>
      </w:r>
      <w:r>
        <w:rPr>
          <w:rFonts w:ascii="Book Antiqua" w:hAnsi="Book Antiqua" w:eastAsia="Book Antiqua" w:cs="Book Antiqua"/>
          <w:color w:val="000000" w:themeColor="text1"/>
          <w14:textFill>
            <w14:solidFill>
              <w14:schemeClr w14:val="tx1"/>
            </w14:solidFill>
          </w14:textFill>
        </w:rPr>
        <w:t>-year survival rate to 60%-85% in patients with early-stage disease</w:t>
      </w:r>
      <w:r>
        <w:rPr>
          <w:rFonts w:ascii="Book Antiqua" w:hAnsi="Book Antiqua" w:eastAsia="Book Antiqua" w:cs="Book Antiqua"/>
          <w:color w:val="000000" w:themeColor="text1"/>
          <w:szCs w:val="30"/>
          <w:vertAlign w:val="superscript"/>
          <w14:textFill>
            <w14:solidFill>
              <w14:schemeClr w14:val="tx1"/>
            </w14:solidFill>
          </w14:textFill>
        </w:rPr>
        <w:t>[4]</w:t>
      </w:r>
      <w:r>
        <w:rPr>
          <w:rFonts w:ascii="Book Antiqua" w:hAnsi="Book Antiqua" w:eastAsia="Book Antiqua" w:cs="Book Antiqua"/>
          <w:color w:val="000000" w:themeColor="text1"/>
          <w14:textFill>
            <w14:solidFill>
              <w14:schemeClr w14:val="tx1"/>
            </w14:solidFill>
          </w14:textFill>
        </w:rPr>
        <w:t xml:space="preserve">. However, due to the subtle nature of early symptoms, many patients present with advanced or metastatic disease at the time of diagnosis. For locally advanced disease, surgery alone has not yielded satisfactory results, with a median survival time of 12 to 18 mo and a </w:t>
      </w:r>
      <w:r>
        <w:rPr>
          <w:rFonts w:hint="eastAsia" w:ascii="Book Antiqua" w:hAnsi="Book Antiqua" w:eastAsia="宋体" w:cs="Book Antiqua"/>
          <w:color w:val="000000" w:themeColor="text1"/>
          <w:lang w:val="en-US" w:eastAsia="zh-CN"/>
          <w14:textFill>
            <w14:solidFill>
              <w14:schemeClr w14:val="tx1"/>
            </w14:solidFill>
          </w14:textFill>
        </w:rPr>
        <w:t>5</w:t>
      </w:r>
      <w:r>
        <w:rPr>
          <w:rFonts w:ascii="Book Antiqua" w:hAnsi="Book Antiqua" w:eastAsia="Book Antiqua" w:cs="Book Antiqua"/>
          <w:color w:val="000000" w:themeColor="text1"/>
          <w14:textFill>
            <w14:solidFill>
              <w14:schemeClr w14:val="tx1"/>
            </w14:solidFill>
          </w14:textFill>
        </w:rPr>
        <w:t>-year survival rate of 15%-39%</w:t>
      </w:r>
      <w:r>
        <w:rPr>
          <w:rFonts w:ascii="Book Antiqua" w:hAnsi="Book Antiqua" w:eastAsia="Book Antiqua" w:cs="Book Antiqua"/>
          <w:color w:val="000000" w:themeColor="text1"/>
          <w:szCs w:val="30"/>
          <w:vertAlign w:val="superscript"/>
          <w14:textFill>
            <w14:solidFill>
              <w14:schemeClr w14:val="tx1"/>
            </w14:solidFill>
          </w14:textFill>
        </w:rPr>
        <w:t>[5,6]</w:t>
      </w:r>
      <w:r>
        <w:rPr>
          <w:rFonts w:ascii="Book Antiqua" w:hAnsi="Book Antiqua" w:eastAsia="Book Antiqua" w:cs="Book Antiqua"/>
          <w:color w:val="000000" w:themeColor="text1"/>
          <w14:textFill>
            <w14:solidFill>
              <w14:schemeClr w14:val="tx1"/>
            </w14:solidFill>
          </w14:textFill>
        </w:rPr>
        <w:t xml:space="preserve">. Furthermore, local or systemic recurrence is common, with recurrence reported in 35%-50% of patients who </w:t>
      </w:r>
      <w:r>
        <w:rPr>
          <w:rFonts w:hint="eastAsia" w:ascii="Book Antiqua" w:hAnsi="Book Antiqua" w:eastAsia="宋体" w:cs="Book Antiqua"/>
          <w:color w:val="000000" w:themeColor="text1"/>
          <w:lang w:val="en-US" w:eastAsia="zh-CN"/>
          <w14:textFill>
            <w14:solidFill>
              <w14:schemeClr w14:val="tx1"/>
            </w14:solidFill>
          </w14:textFill>
        </w:rPr>
        <w:t xml:space="preserve">had </w:t>
      </w:r>
      <w:r>
        <w:rPr>
          <w:rFonts w:ascii="Book Antiqua" w:hAnsi="Book Antiqua" w:eastAsia="Book Antiqua" w:cs="Book Antiqua"/>
          <w:color w:val="000000" w:themeColor="text1"/>
          <w14:textFill>
            <w14:solidFill>
              <w14:schemeClr w14:val="tx1"/>
            </w14:solidFill>
          </w14:textFill>
        </w:rPr>
        <w:t>under</w:t>
      </w:r>
      <w:r>
        <w:rPr>
          <w:rFonts w:hint="eastAsia" w:ascii="Book Antiqua" w:hAnsi="Book Antiqua" w:eastAsia="宋体" w:cs="Book Antiqua"/>
          <w:color w:val="000000" w:themeColor="text1"/>
          <w:lang w:val="en-US" w:eastAsia="zh-CN"/>
          <w14:textFill>
            <w14:solidFill>
              <w14:schemeClr w14:val="tx1"/>
            </w14:solidFill>
          </w14:textFill>
        </w:rPr>
        <w:t>went</w:t>
      </w:r>
      <w:r>
        <w:rPr>
          <w:rFonts w:ascii="Book Antiqua" w:hAnsi="Book Antiqua" w:eastAsia="Book Antiqua" w:cs="Book Antiqua"/>
          <w:color w:val="000000" w:themeColor="text1"/>
          <w14:textFill>
            <w14:solidFill>
              <w14:schemeClr w14:val="tx1"/>
            </w14:solidFill>
          </w14:textFill>
        </w:rPr>
        <w:t xml:space="preserve"> surgery alone</w:t>
      </w:r>
      <w:r>
        <w:rPr>
          <w:rFonts w:ascii="Book Antiqua" w:hAnsi="Book Antiqua" w:eastAsia="Book Antiqua" w:cs="Book Antiqua"/>
          <w:color w:val="000000" w:themeColor="text1"/>
          <w:szCs w:val="30"/>
          <w:vertAlign w:val="superscript"/>
          <w14:textFill>
            <w14:solidFill>
              <w14:schemeClr w14:val="tx1"/>
            </w14:solidFill>
          </w14:textFill>
        </w:rPr>
        <w:t>[7]</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Neoadjuvant therapy combined with surgery stands as a cornerstone in the treatment of locally advanced ESCC, typically encompassing clinical stage</w:t>
      </w:r>
      <w:r>
        <w:rPr>
          <w:rFonts w:hint="eastAsia" w:ascii="Book Antiqua" w:hAnsi="Book Antiqua" w:eastAsia="宋体" w:cs="Book Antiqua"/>
          <w:color w:val="000000" w:themeColor="text1"/>
          <w:lang w:val="en-US"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II to IVA</w:t>
      </w:r>
      <w:r>
        <w:rPr>
          <w:rFonts w:ascii="Book Antiqua" w:hAnsi="Book Antiqua" w:eastAsia="Book Antiqua" w:cs="Book Antiqua"/>
          <w:color w:val="000000" w:themeColor="text1"/>
          <w:szCs w:val="30"/>
          <w:vertAlign w:val="superscript"/>
          <w14:textFill>
            <w14:solidFill>
              <w14:schemeClr w14:val="tx1"/>
            </w14:solidFill>
          </w14:textFill>
        </w:rPr>
        <w:t>[8]</w:t>
      </w:r>
      <w:r>
        <w:rPr>
          <w:rFonts w:ascii="Book Antiqua" w:hAnsi="Book Antiqua" w:eastAsia="Book Antiqua" w:cs="Book Antiqua"/>
          <w:color w:val="000000" w:themeColor="text1"/>
          <w14:textFill>
            <w14:solidFill>
              <w14:schemeClr w14:val="tx1"/>
            </w14:solidFill>
          </w14:textFill>
        </w:rPr>
        <w:t xml:space="preserve">. The medical community widely acknowledges the value of neoadjuvant therapy due to its efficiency compared to postoperative adjuvant therapy. Moreover, it leads to reductions in tumor and </w:t>
      </w:r>
      <w:bookmarkStart w:id="18" w:name="OLE_LINK6698"/>
      <w:r>
        <w:rPr>
          <w:rFonts w:ascii="Book Antiqua" w:hAnsi="Book Antiqua" w:eastAsia="Book Antiqua" w:cs="Book Antiqua"/>
          <w:color w:val="000000" w:themeColor="text1"/>
          <w14:textFill>
            <w14:solidFill>
              <w14:schemeClr w14:val="tx1"/>
            </w14:solidFill>
          </w14:textFill>
        </w:rPr>
        <w:t>lymph node</w:t>
      </w:r>
      <w:bookmarkEnd w:id="18"/>
      <w:r>
        <w:rPr>
          <w:rFonts w:ascii="Book Antiqua" w:hAnsi="Book Antiqua" w:eastAsia="Book Antiqua" w:cs="Book Antiqua"/>
          <w:color w:val="000000" w:themeColor="text1"/>
          <w14:textFill>
            <w14:solidFill>
              <w14:schemeClr w14:val="tx1"/>
            </w14:solidFill>
          </w14:textFill>
        </w:rPr>
        <w:t xml:space="preserve"> (LN) volumes, improves the R0 resection rate, and enhances long-term survival rates</w:t>
      </w:r>
      <w:r>
        <w:rPr>
          <w:rFonts w:ascii="Book Antiqua" w:hAnsi="Book Antiqua" w:eastAsia="Book Antiqua" w:cs="Book Antiqua"/>
          <w:color w:val="000000" w:themeColor="text1"/>
          <w:szCs w:val="30"/>
          <w:vertAlign w:val="superscript"/>
          <w14:textFill>
            <w14:solidFill>
              <w14:schemeClr w14:val="tx1"/>
            </w14:solidFill>
          </w14:textFill>
        </w:rPr>
        <w:t>[9-11]</w:t>
      </w:r>
      <w:r>
        <w:rPr>
          <w:rFonts w:ascii="Book Antiqua" w:hAnsi="Book Antiqua" w:eastAsia="Book Antiqua" w:cs="Book Antiqua"/>
          <w:color w:val="000000" w:themeColor="text1"/>
          <w14:textFill>
            <w14:solidFill>
              <w14:schemeClr w14:val="tx1"/>
            </w14:solidFill>
          </w14:textFill>
        </w:rPr>
        <w:t>. Additionally, neoadjuvant therapy allows for the evaluation of patient response using resected specimens</w:t>
      </w:r>
      <w:r>
        <w:rPr>
          <w:rFonts w:ascii="Book Antiqua" w:hAnsi="Book Antiqua" w:eastAsia="Book Antiqua" w:cs="Book Antiqua"/>
          <w:color w:val="000000" w:themeColor="text1"/>
          <w:szCs w:val="30"/>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xml:space="preserve">. Numerous </w:t>
      </w:r>
      <w:bookmarkStart w:id="19" w:name="OLE_LINK6700"/>
      <w:r>
        <w:rPr>
          <w:rFonts w:ascii="Book Antiqua" w:hAnsi="Book Antiqua" w:eastAsia="Book Antiqua" w:cs="Book Antiqua"/>
          <w:color w:val="000000" w:themeColor="text1"/>
          <w14:textFill>
            <w14:solidFill>
              <w14:schemeClr w14:val="tx1"/>
            </w14:solidFill>
          </w14:textFill>
        </w:rPr>
        <w:t>randomized controlled trial</w:t>
      </w:r>
      <w:bookmarkEnd w:id="19"/>
      <w:r>
        <w:rPr>
          <w:rFonts w:ascii="Book Antiqua" w:hAnsi="Book Antiqua" w:eastAsia="Book Antiqua" w:cs="Book Antiqua"/>
          <w:color w:val="000000" w:themeColor="text1"/>
          <w14:textFill>
            <w14:solidFill>
              <w14:schemeClr w14:val="tx1"/>
            </w14:solidFill>
          </w14:textFill>
        </w:rPr>
        <w:t xml:space="preserve">s (RCTs) have indicated that preoperative or </w:t>
      </w:r>
      <w:bookmarkStart w:id="20" w:name="OLE_LINK6702"/>
      <w:r>
        <w:rPr>
          <w:rFonts w:ascii="Book Antiqua" w:hAnsi="Book Antiqua" w:eastAsia="Book Antiqua" w:cs="Book Antiqua"/>
          <w:color w:val="000000" w:themeColor="text1"/>
          <w14:textFill>
            <w14:solidFill>
              <w14:schemeClr w14:val="tx1"/>
            </w14:solidFill>
          </w14:textFill>
        </w:rPr>
        <w:t>neoadjuvant chemoradiotherapy</w:t>
      </w:r>
      <w:bookmarkEnd w:id="20"/>
      <w:r>
        <w:rPr>
          <w:rFonts w:ascii="Book Antiqua" w:hAnsi="Book Antiqua" w:eastAsia="Book Antiqua" w:cs="Book Antiqua"/>
          <w:color w:val="000000" w:themeColor="text1"/>
          <w14:textFill>
            <w14:solidFill>
              <w14:schemeClr w14:val="tx1"/>
            </w14:solidFill>
          </w14:textFill>
        </w:rPr>
        <w:t xml:space="preserve"> (nCRT) may result in longer </w:t>
      </w:r>
      <w:bookmarkStart w:id="21" w:name="OLE_LINK6703"/>
      <w:r>
        <w:rPr>
          <w:rFonts w:ascii="Book Antiqua" w:hAnsi="Book Antiqua" w:eastAsia="Book Antiqua" w:cs="Book Antiqua"/>
          <w:color w:val="000000" w:themeColor="text1"/>
          <w14:textFill>
            <w14:solidFill>
              <w14:schemeClr w14:val="tx1"/>
            </w14:solidFill>
          </w14:textFill>
        </w:rPr>
        <w:t>overall survival</w:t>
      </w:r>
      <w:bookmarkEnd w:id="21"/>
      <w:r>
        <w:rPr>
          <w:rFonts w:ascii="Book Antiqua" w:hAnsi="Book Antiqua" w:eastAsia="Book Antiqua" w:cs="Book Antiqua"/>
          <w:color w:val="000000" w:themeColor="text1"/>
          <w14:textFill>
            <w14:solidFill>
              <w14:schemeClr w14:val="tx1"/>
            </w14:solidFill>
          </w14:textFill>
        </w:rPr>
        <w:t xml:space="preserve"> (OS) compared to surgery alone</w:t>
      </w:r>
      <w:r>
        <w:rPr>
          <w:rFonts w:ascii="Book Antiqua" w:hAnsi="Book Antiqua" w:eastAsia="Book Antiqua" w:cs="Book Antiqua"/>
          <w:color w:val="000000" w:themeColor="text1"/>
          <w:szCs w:val="30"/>
          <w:vertAlign w:val="superscript"/>
          <w14:textFill>
            <w14:solidFill>
              <w14:schemeClr w14:val="tx1"/>
            </w14:solidFill>
          </w14:textFill>
        </w:rPr>
        <w:t>[13-15]</w:t>
      </w:r>
      <w:r>
        <w:rPr>
          <w:rFonts w:ascii="Book Antiqua" w:hAnsi="Book Antiqua" w:eastAsia="Book Antiqua" w:cs="Book Antiqua"/>
          <w:color w:val="000000" w:themeColor="text1"/>
          <w14:textFill>
            <w14:solidFill>
              <w14:schemeClr w14:val="tx1"/>
            </w14:solidFill>
          </w14:textFill>
        </w:rPr>
        <w:t>. The CROSS trial established nCRT as the first-line therapeutic choice for resectable locally advanced ESCC, combining radiotherapy with a chemotherapy regimen containing carboplatin and paclitaxel</w:t>
      </w:r>
      <w:r>
        <w:rPr>
          <w:rFonts w:ascii="Book Antiqua" w:hAnsi="Book Antiqua" w:eastAsia="Book Antiqua" w:cs="Book Antiqua"/>
          <w:color w:val="000000" w:themeColor="text1"/>
          <w:szCs w:val="30"/>
          <w:vertAlign w:val="superscript"/>
          <w14:textFill>
            <w14:solidFill>
              <w14:schemeClr w14:val="tx1"/>
            </w14:solidFill>
          </w14:textFill>
        </w:rPr>
        <w:t>[16]</w:t>
      </w:r>
      <w:r>
        <w:rPr>
          <w:rFonts w:ascii="Book Antiqua" w:hAnsi="Book Antiqua" w:eastAsia="Book Antiqua" w:cs="Book Antiqua"/>
          <w:color w:val="000000" w:themeColor="text1"/>
          <w14:textFill>
            <w14:solidFill>
              <w14:schemeClr w14:val="tx1"/>
            </w14:solidFill>
          </w14:textFill>
        </w:rPr>
        <w:t>. The NEOCRTEC5010 phase III, multi-center, open-label RCT confirmed the findings of the CROSS trial for ESCC</w:t>
      </w:r>
      <w:r>
        <w:rPr>
          <w:rFonts w:ascii="Book Antiqua" w:hAnsi="Book Antiqua" w:eastAsia="Book Antiqua" w:cs="Book Antiqua"/>
          <w:color w:val="000000" w:themeColor="text1"/>
          <w:szCs w:val="30"/>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However, the optimal neoadjuvant therapy for resectable locally advanced ESCC remains a topic of debate. Neoadjuvant chemotherapy showed improved OS over surgery alone only for EAC, whereas nCRT demonstrated considerably better OS than surgery alone for both EAC and ESCC, according to the NewEC study</w:t>
      </w:r>
      <w:bookmarkStart w:id="22" w:name="OLE_LINK6869"/>
      <w:r>
        <w:rPr>
          <w:rFonts w:ascii="Book Antiqua" w:hAnsi="Book Antiqua" w:eastAsia="Book Antiqua" w:cs="Book Antiqua"/>
          <w:color w:val="000000" w:themeColor="text1"/>
          <w:szCs w:val="30"/>
          <w:vertAlign w:val="superscript"/>
          <w14:textFill>
            <w14:solidFill>
              <w14:schemeClr w14:val="tx1"/>
            </w14:solidFill>
          </w14:textFill>
        </w:rPr>
        <w:t>[</w:t>
      </w:r>
      <w:bookmarkEnd w:id="22"/>
      <w:r>
        <w:rPr>
          <w:rFonts w:ascii="Book Antiqua" w:hAnsi="Book Antiqua" w:eastAsia="Book Antiqua" w:cs="Book Antiqua"/>
          <w:color w:val="000000" w:themeColor="text1"/>
          <w:szCs w:val="30"/>
          <w:vertAlign w:val="superscript"/>
          <w14:textFill>
            <w14:solidFill>
              <w14:schemeClr w14:val="tx1"/>
            </w14:solidFill>
          </w14:textFill>
        </w:rPr>
        <w:t>17]</w:t>
      </w:r>
      <w:r>
        <w:rPr>
          <w:rFonts w:ascii="Book Antiqua" w:hAnsi="Book Antiqua" w:eastAsia="Book Antiqua" w:cs="Book Antiqua"/>
          <w:color w:val="000000" w:themeColor="text1"/>
          <w14:textFill>
            <w14:solidFill>
              <w14:schemeClr w14:val="tx1"/>
            </w14:solidFill>
          </w14:textFill>
        </w:rPr>
        <w:t>. Several subsequent meta-analyses also supported the utility of preoperative nCRT, showing improved OS compared to other treatment modalities, including surgery alone, neoadjuvant chemotherapy, and neoadjuvant radiotherapy, albeit with increased postoperative mortality</w:t>
      </w:r>
      <w:r>
        <w:rPr>
          <w:rFonts w:ascii="Book Antiqua" w:hAnsi="Book Antiqua" w:eastAsia="Book Antiqua" w:cs="Book Antiqua"/>
          <w:color w:val="000000" w:themeColor="text1"/>
          <w:szCs w:val="30"/>
          <w:vertAlign w:val="superscript"/>
          <w14:textFill>
            <w14:solidFill>
              <w14:schemeClr w14:val="tx1"/>
            </w14:solidFill>
          </w14:textFill>
        </w:rPr>
        <w:t>[18,19]</w:t>
      </w:r>
      <w:r>
        <w:rPr>
          <w:rFonts w:ascii="Book Antiqua" w:hAnsi="Book Antiqua" w:eastAsia="Book Antiqua" w:cs="Book Antiqua"/>
          <w:color w:val="000000" w:themeColor="text1"/>
          <w14:textFill>
            <w14:solidFill>
              <w14:schemeClr w14:val="tx1"/>
            </w14:solidFill>
          </w14:textFill>
        </w:rPr>
        <w:t xml:space="preserve">. Postoperative morbidity was similar between the nCRT and S (surgery) groups (55.6% </w:t>
      </w:r>
      <w:bookmarkStart w:id="23" w:name="OLE_LINK6704"/>
      <w:r>
        <w:rPr>
          <w:rFonts w:ascii="Book Antiqua" w:hAnsi="Book Antiqua" w:eastAsia="Book Antiqua" w:cs="Book Antiqua"/>
          <w:i/>
          <w:iCs/>
          <w:color w:val="000000" w:themeColor="text1"/>
          <w14:textFill>
            <w14:solidFill>
              <w14:schemeClr w14:val="tx1"/>
            </w14:solidFill>
          </w14:textFill>
        </w:rPr>
        <w:t>vs</w:t>
      </w:r>
      <w:bookmarkEnd w:id="23"/>
      <w:r>
        <w:rPr>
          <w:rFonts w:ascii="Book Antiqua" w:hAnsi="Book Antiqua" w:eastAsia="Book Antiqua" w:cs="Book Antiqua"/>
          <w:color w:val="000000" w:themeColor="text1"/>
          <w14:textFill>
            <w14:solidFill>
              <w14:schemeClr w14:val="tx1"/>
            </w14:solidFill>
          </w14:textFill>
        </w:rPr>
        <w:t xml:space="preserve"> 52.8%;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0.720), while in-hospital postoperative mortality was significantly higher in the CRT group (11.1%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3.4%;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0.049)</w:t>
      </w:r>
      <w:r>
        <w:rPr>
          <w:rFonts w:ascii="Book Antiqua" w:hAnsi="Book Antiqua" w:eastAsia="Book Antiqua" w:cs="Book Antiqua"/>
          <w:color w:val="000000" w:themeColor="text1"/>
          <w:szCs w:val="30"/>
          <w:vertAlign w:val="superscript"/>
          <w14:textFill>
            <w14:solidFill>
              <w14:schemeClr w14:val="tx1"/>
            </w14:solidFill>
          </w14:textFill>
        </w:rPr>
        <w:t>[20]</w:t>
      </w:r>
      <w:r>
        <w:rPr>
          <w:rFonts w:ascii="Book Antiqua" w:hAnsi="Book Antiqua" w:eastAsia="Book Antiqua" w:cs="Book Antiqua"/>
          <w:color w:val="000000" w:themeColor="text1"/>
          <w14:textFill>
            <w14:solidFill>
              <w14:schemeClr w14:val="tx1"/>
            </w14:solidFill>
          </w14:textFill>
        </w:rPr>
        <w:t>. A Japanese study</w:t>
      </w:r>
      <w:r>
        <w:rPr>
          <w:rFonts w:ascii="Book Antiqua" w:hAnsi="Book Antiqua" w:eastAsia="Book Antiqua" w:cs="Book Antiqua"/>
          <w:color w:val="000000" w:themeColor="text1"/>
          <w:szCs w:val="30"/>
          <w:vertAlign w:val="superscript"/>
          <w14:textFill>
            <w14:solidFill>
              <w14:schemeClr w14:val="tx1"/>
            </w14:solidFill>
          </w14:textFill>
        </w:rPr>
        <w:t>[21]</w:t>
      </w:r>
      <w:r>
        <w:rPr>
          <w:rFonts w:ascii="Book Antiqua" w:hAnsi="Book Antiqua" w:eastAsia="Book Antiqua" w:cs="Book Antiqua"/>
          <w:color w:val="000000" w:themeColor="text1"/>
          <w14:textFill>
            <w14:solidFill>
              <w14:schemeClr w14:val="tx1"/>
            </w14:solidFill>
          </w14:textFill>
        </w:rPr>
        <w:t xml:space="preserve"> examined late complications, revealing </w:t>
      </w:r>
      <w:r>
        <w:rPr>
          <w:rFonts w:hint="eastAsia" w:ascii="Book Antiqua" w:hAnsi="Book Antiqua" w:eastAsia="宋体" w:cs="Book Antiqua"/>
          <w:color w:val="000000" w:themeColor="text1"/>
          <w:lang w:val="en-US" w:eastAsia="zh-CN"/>
          <w14:textFill>
            <w14:solidFill>
              <w14:schemeClr w14:val="tx1"/>
            </w14:solidFill>
          </w14:textFill>
        </w:rPr>
        <w:t>g</w:t>
      </w:r>
      <w:r>
        <w:rPr>
          <w:rFonts w:ascii="Book Antiqua" w:hAnsi="Book Antiqua" w:eastAsia="Book Antiqua" w:cs="Book Antiqua"/>
          <w:color w:val="000000" w:themeColor="text1"/>
          <w14:textFill>
            <w14:solidFill>
              <w14:schemeClr w14:val="tx1"/>
            </w14:solidFill>
          </w14:textFill>
        </w:rPr>
        <w:t xml:space="preserve">rade 2 anastomotic stricture as the most common event, occurring in 30% of the 33 patients. A total of 12 events of </w:t>
      </w:r>
      <w:r>
        <w:rPr>
          <w:rFonts w:hint="eastAsia" w:ascii="Book Antiqua" w:hAnsi="Book Antiqua" w:eastAsia="宋体" w:cs="Book Antiqua"/>
          <w:color w:val="000000" w:themeColor="text1"/>
          <w:lang w:val="en-US" w:eastAsia="zh-CN"/>
          <w14:textFill>
            <w14:solidFill>
              <w14:schemeClr w14:val="tx1"/>
            </w14:solidFill>
          </w14:textFill>
        </w:rPr>
        <w:t>g</w:t>
      </w:r>
      <w:r>
        <w:rPr>
          <w:rFonts w:ascii="Book Antiqua" w:hAnsi="Book Antiqua" w:eastAsia="Book Antiqua" w:cs="Book Antiqua"/>
          <w:color w:val="000000" w:themeColor="text1"/>
          <w14:textFill>
            <w14:solidFill>
              <w14:schemeClr w14:val="tx1"/>
            </w14:solidFill>
          </w14:textFill>
        </w:rPr>
        <w:t xml:space="preserve">rade 3 or worse complications were observed in </w:t>
      </w:r>
      <w:r>
        <w:rPr>
          <w:rFonts w:hint="eastAsia" w:ascii="Book Antiqua" w:hAnsi="Book Antiqua" w:eastAsia="宋体" w:cs="Book Antiqua"/>
          <w:color w:val="000000" w:themeColor="text1"/>
          <w:lang w:val="en-US" w:eastAsia="zh-CN"/>
          <w14:textFill>
            <w14:solidFill>
              <w14:schemeClr w14:val="tx1"/>
            </w14:solidFill>
          </w14:textFill>
        </w:rPr>
        <w:t>ten</w:t>
      </w:r>
      <w:r>
        <w:rPr>
          <w:rFonts w:ascii="Book Antiqua" w:hAnsi="Book Antiqua" w:eastAsia="Book Antiqua" w:cs="Book Antiqua"/>
          <w:color w:val="000000" w:themeColor="text1"/>
          <w14:textFill>
            <w14:solidFill>
              <w14:schemeClr w14:val="tx1"/>
            </w14:solidFill>
          </w14:textFill>
        </w:rPr>
        <w:t xml:space="preserve"> patients, including gastric tube ulcer, cardiac complications, and pulmonary complications. The 5-year incidence rate was 22%, and three patients succumbed to the late complications. A clear advantage of nCRT over neoadjuvant chemotherapy was not established.</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Presently, both the National Comprehensive Cancer Network and the Chinese Society of Clinical Oncology guidelines recommend chemoradiotherapy (CRT) as the standard approach for locally advanced ESCC</w:t>
      </w:r>
      <w:r>
        <w:rPr>
          <w:rFonts w:ascii="Book Antiqua" w:hAnsi="Book Antiqua" w:eastAsia="Book Antiqua" w:cs="Book Antiqua"/>
          <w:color w:val="000000" w:themeColor="text1"/>
          <w:szCs w:val="30"/>
          <w:vertAlign w:val="superscript"/>
          <w14:textFill>
            <w14:solidFill>
              <w14:schemeClr w14:val="tx1"/>
            </w14:solidFill>
          </w14:textFill>
        </w:rPr>
        <w:t>[22-24]</w:t>
      </w:r>
      <w:r>
        <w:rPr>
          <w:rFonts w:ascii="Book Antiqua" w:hAnsi="Book Antiqua" w:eastAsia="Book Antiqua" w:cs="Book Antiqua"/>
          <w:color w:val="000000" w:themeColor="text1"/>
          <w14:textFill>
            <w14:solidFill>
              <w14:schemeClr w14:val="tx1"/>
            </w14:solidFill>
          </w14:textFill>
        </w:rPr>
        <w:t xml:space="preserve">. Despite significant efforts made by the medical community, the expected long-term outcomes for ESCC patients have seen limited improvement, remaining poor. The </w:t>
      </w:r>
      <w:r>
        <w:rPr>
          <w:rFonts w:hint="eastAsia" w:ascii="Book Antiqua" w:hAnsi="Book Antiqua" w:eastAsia="宋体" w:cs="Book Antiqua"/>
          <w:color w:val="000000" w:themeColor="text1"/>
          <w:lang w:val="en-US" w:eastAsia="zh-CN"/>
          <w14:textFill>
            <w14:solidFill>
              <w14:schemeClr w14:val="tx1"/>
            </w14:solidFill>
          </w14:textFill>
        </w:rPr>
        <w:t>5</w:t>
      </w:r>
      <w:r>
        <w:rPr>
          <w:rFonts w:ascii="Book Antiqua" w:hAnsi="Book Antiqua" w:eastAsia="Book Antiqua" w:cs="Book Antiqua"/>
          <w:color w:val="000000" w:themeColor="text1"/>
          <w14:textFill>
            <w14:solidFill>
              <w14:schemeClr w14:val="tx1"/>
            </w14:solidFill>
          </w14:textFill>
        </w:rPr>
        <w:t>-year OS in patients undergoing nCRT and surgery is approximately 50%, and the incidence of local recurrence or distant metastasis remains high</w:t>
      </w:r>
      <w:r>
        <w:rPr>
          <w:rFonts w:ascii="Book Antiqua" w:hAnsi="Book Antiqua" w:eastAsia="Book Antiqua" w:cs="Book Antiqua"/>
          <w:color w:val="000000" w:themeColor="text1"/>
          <w:szCs w:val="30"/>
          <w:vertAlign w:val="superscript"/>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 xml:space="preserve">. Relapse after </w:t>
      </w:r>
      <w:r>
        <w:rPr>
          <w:rFonts w:hint="eastAsia" w:ascii="Book Antiqua" w:hAnsi="Book Antiqua" w:eastAsia="Book Antiqua" w:cs="Book Antiqua"/>
          <w:color w:val="000000" w:themeColor="text1"/>
          <w:lang w:eastAsia="zh-CN"/>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CRT is common and constitutes a major hurdle to overcome</w:t>
      </w:r>
      <w:r>
        <w:rPr>
          <w:rFonts w:ascii="Book Antiqua" w:hAnsi="Book Antiqua" w:eastAsia="Book Antiqua" w:cs="Book Antiqua"/>
          <w:color w:val="000000" w:themeColor="text1"/>
          <w:szCs w:val="30"/>
          <w:vertAlign w:val="superscript"/>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Immunotherapy is a therapeutic approach that involves the use of substances to stimulate or suppress the immune system, aiding the body in combating cancer, infections, and other diseases. It encompasses biologic/targeted agents that aim to enhance and restore the immune system's ability to recognize and eliminate cancer cells by modifying and/or blocking costimulatory signals</w:t>
      </w:r>
      <w:r>
        <w:rPr>
          <w:rFonts w:ascii="Book Antiqua" w:hAnsi="Book Antiqua" w:eastAsia="Book Antiqua" w:cs="Book Antiqua"/>
          <w:color w:val="000000" w:themeColor="text1"/>
          <w:szCs w:val="30"/>
          <w:vertAlign w:val="superscript"/>
          <w14:textFill>
            <w14:solidFill>
              <w14:schemeClr w14:val="tx1"/>
            </w14:solidFill>
          </w14:textFill>
        </w:rPr>
        <w:t>[27,28]</w:t>
      </w:r>
      <w:r>
        <w:rPr>
          <w:rFonts w:ascii="Book Antiqua" w:hAnsi="Book Antiqua" w:eastAsia="Book Antiqua" w:cs="Book Antiqua"/>
          <w:color w:val="000000" w:themeColor="text1"/>
          <w14:textFill>
            <w14:solidFill>
              <w14:schemeClr w14:val="tx1"/>
            </w14:solidFill>
          </w14:textFill>
        </w:rPr>
        <w:t xml:space="preserve">. Over the past few years, immunotherapy has achieved remarkable progress in cancer treatment, particularly with the advent of </w:t>
      </w:r>
      <w:bookmarkStart w:id="24" w:name="OLE_LINK6691"/>
      <w:r>
        <w:rPr>
          <w:rFonts w:ascii="Book Antiqua" w:hAnsi="Book Antiqua" w:eastAsia="Book Antiqua" w:cs="Book Antiqua"/>
          <w:color w:val="000000" w:themeColor="text1"/>
          <w14:textFill>
            <w14:solidFill>
              <w14:schemeClr w14:val="tx1"/>
            </w14:solidFill>
          </w14:textFill>
        </w:rPr>
        <w:t>immune checkpoint inhibitor</w:t>
      </w:r>
      <w:bookmarkEnd w:id="24"/>
      <w:r>
        <w:rPr>
          <w:rFonts w:ascii="Book Antiqua" w:hAnsi="Book Antiqua" w:eastAsia="Book Antiqua" w:cs="Book Antiqua"/>
          <w:color w:val="000000" w:themeColor="text1"/>
          <w14:textFill>
            <w14:solidFill>
              <w14:schemeClr w14:val="tx1"/>
            </w14:solidFill>
          </w14:textFill>
        </w:rPr>
        <w:t>s (ICIs)</w:t>
      </w:r>
      <w:r>
        <w:rPr>
          <w:rFonts w:ascii="Book Antiqua" w:hAnsi="Book Antiqua" w:eastAsia="Book Antiqua" w:cs="Book Antiqua"/>
          <w:color w:val="000000" w:themeColor="text1"/>
          <w:szCs w:val="30"/>
          <w:vertAlign w:val="superscript"/>
          <w14:textFill>
            <w14:solidFill>
              <w14:schemeClr w14:val="tx1"/>
            </w14:solidFill>
          </w14:textFill>
        </w:rPr>
        <w:t>[29]</w:t>
      </w:r>
      <w:r>
        <w:rPr>
          <w:rFonts w:ascii="Book Antiqua" w:hAnsi="Book Antiqua" w:eastAsia="Book Antiqua" w:cs="Book Antiqua"/>
          <w:color w:val="000000" w:themeColor="text1"/>
          <w14:textFill>
            <w14:solidFill>
              <w14:schemeClr w14:val="tx1"/>
            </w14:solidFill>
          </w14:textFill>
        </w:rPr>
        <w:t>. The development of ICIs, which inhibit programmed death 1 (PD-1) or programmed death ligand 1 (PD-L1), has shown convincing responses and clinical benefits across various malignancies, including ESCC</w:t>
      </w:r>
      <w:r>
        <w:rPr>
          <w:rFonts w:ascii="Book Antiqua" w:hAnsi="Book Antiqua" w:eastAsia="Book Antiqua" w:cs="Book Antiqua"/>
          <w:color w:val="000000" w:themeColor="text1"/>
          <w:szCs w:val="30"/>
          <w:vertAlign w:val="superscript"/>
          <w14:textFill>
            <w14:solidFill>
              <w14:schemeClr w14:val="tx1"/>
            </w14:solidFill>
          </w14:textFill>
        </w:rPr>
        <w:t>[30,31]</w:t>
      </w:r>
      <w:r>
        <w:rPr>
          <w:rFonts w:ascii="Book Antiqua" w:hAnsi="Book Antiqua" w:eastAsia="Book Antiqua" w:cs="Book Antiqua"/>
          <w:color w:val="000000" w:themeColor="text1"/>
          <w14:textFill>
            <w14:solidFill>
              <w14:schemeClr w14:val="tx1"/>
            </w14:solidFill>
          </w14:textFill>
        </w:rPr>
        <w:t xml:space="preserve">. </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the study "KEYNOTE-181", </w:t>
      </w:r>
      <w:r>
        <w:rPr>
          <w:rFonts w:hint="default" w:ascii="Book Antiqua" w:hAnsi="Book Antiqua" w:eastAsia="Book Antiqua" w:cs="Book Antiqua"/>
          <w:color w:val="000000" w:themeColor="text1"/>
          <w:lang w:val="en-US"/>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embrolizumab demonstrated superior OS, a higher objective response rate, and a lower incidence of grade</w:t>
      </w:r>
      <w:r>
        <w:rPr>
          <w:rFonts w:hint="eastAsia" w:ascii="Book Antiqua" w:hAnsi="Book Antiqua" w:eastAsia="宋体" w:cs="Book Antiqua"/>
          <w:color w:val="000000" w:themeColor="text1"/>
          <w:lang w:val="en-US"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3-5 treatment-related adverse events (trAEs) compared to chemotherapy in the second-line setting</w:t>
      </w:r>
      <w:r>
        <w:rPr>
          <w:rFonts w:ascii="Book Antiqua" w:hAnsi="Book Antiqua" w:eastAsia="Book Antiqua" w:cs="Book Antiqua"/>
          <w:color w:val="000000" w:themeColor="text1"/>
          <w:szCs w:val="30"/>
          <w:vertAlign w:val="superscript"/>
          <w14:textFill>
            <w14:solidFill>
              <w14:schemeClr w14:val="tx1"/>
            </w14:solidFill>
          </w14:textFill>
        </w:rPr>
        <w:t>[32]</w:t>
      </w:r>
      <w:r>
        <w:rPr>
          <w:rFonts w:ascii="Book Antiqua" w:hAnsi="Book Antiqua" w:eastAsia="Book Antiqua" w:cs="Book Antiqua"/>
          <w:color w:val="000000" w:themeColor="text1"/>
          <w14:textFill>
            <w14:solidFill>
              <w14:schemeClr w14:val="tx1"/>
            </w14:solidFill>
          </w14:textFill>
        </w:rPr>
        <w:t>. Grade</w:t>
      </w:r>
      <w:r>
        <w:rPr>
          <w:rFonts w:hint="eastAsia" w:ascii="Book Antiqua" w:hAnsi="Book Antiqua" w:eastAsia="宋体" w:cs="Book Antiqua"/>
          <w:color w:val="000000" w:themeColor="text1"/>
          <w:lang w:val="en-US"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3-5 trAEs occurred in 18.2% of patients </w:t>
      </w:r>
      <w:r>
        <w:rPr>
          <w:rFonts w:hint="eastAsia" w:ascii="Book Antiqua" w:hAnsi="Book Antiqua" w:eastAsia="宋体" w:cs="Book Antiqua"/>
          <w:color w:val="000000" w:themeColor="text1"/>
          <w:lang w:val="en-US" w:eastAsia="zh-CN"/>
          <w14:textFill>
            <w14:solidFill>
              <w14:schemeClr w14:val="tx1"/>
            </w14:solidFill>
          </w14:textFill>
        </w:rPr>
        <w:t xml:space="preserve">treated </w:t>
      </w:r>
      <w:r>
        <w:rPr>
          <w:rFonts w:ascii="Book Antiqua" w:hAnsi="Book Antiqua" w:eastAsia="Book Antiqua" w:cs="Book Antiqua"/>
          <w:color w:val="000000" w:themeColor="text1"/>
          <w14:textFill>
            <w14:solidFill>
              <w14:schemeClr w14:val="tx1"/>
            </w14:solidFill>
          </w14:textFill>
        </w:rPr>
        <w:t xml:space="preserve">with </w:t>
      </w:r>
      <w:r>
        <w:rPr>
          <w:rFonts w:hint="default" w:ascii="Book Antiqua" w:hAnsi="Book Antiqua" w:eastAsia="Book Antiqua" w:cs="Book Antiqua"/>
          <w:color w:val="000000" w:themeColor="text1"/>
          <w:lang w:val="en-US"/>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embrolizumab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40.9% in the chemotherapy group. Other trials such as "RATIONALE-302"</w:t>
      </w:r>
      <w:r>
        <w:rPr>
          <w:rFonts w:ascii="Book Antiqua" w:hAnsi="Book Antiqua" w:eastAsia="Book Antiqua" w:cs="Book Antiqua"/>
          <w:color w:val="000000" w:themeColor="text1"/>
          <w:szCs w:val="30"/>
          <w:vertAlign w:val="superscript"/>
          <w14:textFill>
            <w14:solidFill>
              <w14:schemeClr w14:val="tx1"/>
            </w14:solidFill>
          </w14:textFill>
        </w:rPr>
        <w:t>[33]</w:t>
      </w:r>
      <w:r>
        <w:rPr>
          <w:rFonts w:ascii="Book Antiqua" w:hAnsi="Book Antiqua" w:eastAsia="Book Antiqua" w:cs="Book Antiqua"/>
          <w:color w:val="000000" w:themeColor="text1"/>
          <w14:textFill>
            <w14:solidFill>
              <w14:schemeClr w14:val="tx1"/>
            </w14:solidFill>
          </w14:textFill>
        </w:rPr>
        <w:t>, "ATTRACTION-3"</w:t>
      </w:r>
      <w:r>
        <w:rPr>
          <w:rFonts w:ascii="Book Antiqua" w:hAnsi="Book Antiqua" w:eastAsia="Book Antiqua" w:cs="Book Antiqua"/>
          <w:color w:val="000000" w:themeColor="text1"/>
          <w:szCs w:val="30"/>
          <w:vertAlign w:val="superscript"/>
          <w14:textFill>
            <w14:solidFill>
              <w14:schemeClr w14:val="tx1"/>
            </w14:solidFill>
          </w14:textFill>
        </w:rPr>
        <w:t>[34]</w:t>
      </w:r>
      <w:r>
        <w:rPr>
          <w:rFonts w:ascii="Book Antiqua" w:hAnsi="Book Antiqua" w:eastAsia="Book Antiqua" w:cs="Book Antiqua"/>
          <w:color w:val="000000" w:themeColor="text1"/>
          <w14:textFill>
            <w14:solidFill>
              <w14:schemeClr w14:val="tx1"/>
            </w14:solidFill>
          </w14:textFill>
        </w:rPr>
        <w:t>, and "ESCORT"</w:t>
      </w:r>
      <w:r>
        <w:rPr>
          <w:rFonts w:ascii="Book Antiqua" w:hAnsi="Book Antiqua" w:eastAsia="Book Antiqua" w:cs="Book Antiqua"/>
          <w:color w:val="000000" w:themeColor="text1"/>
          <w:szCs w:val="30"/>
          <w:vertAlign w:val="superscript"/>
          <w14:textFill>
            <w14:solidFill>
              <w14:schemeClr w14:val="tx1"/>
            </w14:solidFill>
          </w14:textFill>
        </w:rPr>
        <w:t>[35]</w:t>
      </w:r>
      <w:r>
        <w:rPr>
          <w:rFonts w:ascii="Book Antiqua" w:hAnsi="Book Antiqua" w:eastAsia="Book Antiqua" w:cs="Book Antiqua"/>
          <w:color w:val="000000" w:themeColor="text1"/>
          <w14:textFill>
            <w14:solidFill>
              <w14:schemeClr w14:val="tx1"/>
            </w14:solidFill>
          </w14:textFill>
        </w:rPr>
        <w:t xml:space="preserve"> have also reported positive outcomes. In these trials, immunotherapy showed lower rates of grade</w:t>
      </w:r>
      <w:r>
        <w:rPr>
          <w:rFonts w:hint="eastAsia" w:ascii="Book Antiqua" w:hAnsi="Book Antiqua" w:eastAsia="宋体" w:cs="Book Antiqua"/>
          <w:color w:val="000000" w:themeColor="text1"/>
          <w:lang w:val="en-US"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3-5 trAEs compared to chemotherapy, with percentages of 18.8%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55.8% in "RATIONALE-302"</w:t>
      </w:r>
      <w:r>
        <w:rPr>
          <w:rFonts w:ascii="Book Antiqua" w:hAnsi="Book Antiqua" w:eastAsia="Book Antiqua" w:cs="Book Antiqua"/>
          <w:color w:val="000000" w:themeColor="text1"/>
          <w:szCs w:val="30"/>
          <w:vertAlign w:val="superscript"/>
          <w14:textFill>
            <w14:solidFill>
              <w14:schemeClr w14:val="tx1"/>
            </w14:solidFill>
          </w14:textFill>
        </w:rPr>
        <w:t>[33]</w:t>
      </w:r>
      <w:r>
        <w:rPr>
          <w:rFonts w:ascii="Book Antiqua" w:hAnsi="Book Antiqua" w:eastAsia="Book Antiqua" w:cs="Book Antiqua"/>
          <w:color w:val="000000" w:themeColor="text1"/>
          <w14:textFill>
            <w14:solidFill>
              <w14:schemeClr w14:val="tx1"/>
            </w14:solidFill>
          </w14:textFill>
        </w:rPr>
        <w:t xml:space="preserve">, 18%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63% in "ATTRACTION-3"</w:t>
      </w:r>
      <w:r>
        <w:rPr>
          <w:rFonts w:ascii="Book Antiqua" w:hAnsi="Book Antiqua" w:eastAsia="Book Antiqua" w:cs="Book Antiqua"/>
          <w:color w:val="000000" w:themeColor="text1"/>
          <w:szCs w:val="30"/>
          <w:vertAlign w:val="superscript"/>
          <w14:textFill>
            <w14:solidFill>
              <w14:schemeClr w14:val="tx1"/>
            </w14:solidFill>
          </w14:textFill>
        </w:rPr>
        <w:t>[34]</w:t>
      </w:r>
      <w:r>
        <w:rPr>
          <w:rFonts w:hint="eastAsia" w:ascii="Book Antiqua" w:hAnsi="Book Antiqua" w:eastAsia="宋体" w:cs="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and 19% </w:t>
      </w:r>
      <w:r>
        <w:rPr>
          <w:rFonts w:ascii="Book Antiqua" w:hAnsi="Book Antiqua" w:eastAsia="Book Antiqua" w:cs="Book Antiqua"/>
          <w:i/>
          <w:iCs/>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39% in "ESCORT"</w:t>
      </w:r>
      <w:r>
        <w:rPr>
          <w:rFonts w:ascii="Book Antiqua" w:hAnsi="Book Antiqua" w:eastAsia="Book Antiqua" w:cs="Book Antiqua"/>
          <w:color w:val="000000" w:themeColor="text1"/>
          <w:szCs w:val="30"/>
          <w:vertAlign w:val="superscript"/>
          <w14:textFill>
            <w14:solidFill>
              <w14:schemeClr w14:val="tx1"/>
            </w14:solidFill>
          </w14:textFill>
        </w:rPr>
        <w:t>[35]</w:t>
      </w:r>
      <w:r>
        <w:rPr>
          <w:rFonts w:ascii="Book Antiqua" w:hAnsi="Book Antiqua" w:eastAsia="Book Antiqua" w:cs="Book Antiqua"/>
          <w:color w:val="000000" w:themeColor="text1"/>
          <w14:textFill>
            <w14:solidFill>
              <w14:schemeClr w14:val="tx1"/>
            </w14:solidFill>
          </w14:textFill>
        </w:rPr>
        <w:t xml:space="preserve">. </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It is important to note that in studies like "JUPITER-06"</w:t>
      </w:r>
      <w:r>
        <w:rPr>
          <w:rFonts w:ascii="Book Antiqua" w:hAnsi="Book Antiqua" w:eastAsia="Book Antiqua" w:cs="Book Antiqua"/>
          <w:color w:val="000000" w:themeColor="text1"/>
          <w:szCs w:val="30"/>
          <w:vertAlign w:val="superscript"/>
          <w14:textFill>
            <w14:solidFill>
              <w14:schemeClr w14:val="tx1"/>
            </w14:solidFill>
          </w14:textFill>
        </w:rPr>
        <w:t>[36]</w:t>
      </w:r>
      <w:r>
        <w:rPr>
          <w:rFonts w:ascii="Book Antiqua" w:hAnsi="Book Antiqua" w:eastAsia="Book Antiqua" w:cs="Book Antiqua"/>
          <w:color w:val="000000" w:themeColor="text1"/>
          <w14:textFill>
            <w14:solidFill>
              <w14:schemeClr w14:val="tx1"/>
            </w14:solidFill>
          </w14:textFill>
        </w:rPr>
        <w:t>, "CheckMate-648"</w:t>
      </w:r>
      <w:r>
        <w:rPr>
          <w:rFonts w:ascii="Book Antiqua" w:hAnsi="Book Antiqua" w:eastAsia="Book Antiqua" w:cs="Book Antiqua"/>
          <w:color w:val="000000" w:themeColor="text1"/>
          <w:szCs w:val="30"/>
          <w:vertAlign w:val="superscript"/>
          <w14:textFill>
            <w14:solidFill>
              <w14:schemeClr w14:val="tx1"/>
            </w14:solidFill>
          </w14:textFill>
        </w:rPr>
        <w:t>[37]</w:t>
      </w:r>
      <w:r>
        <w:rPr>
          <w:rFonts w:ascii="Book Antiqua" w:hAnsi="Book Antiqua" w:eastAsia="Book Antiqua" w:cs="Book Antiqua"/>
          <w:color w:val="000000" w:themeColor="text1"/>
          <w14:textFill>
            <w14:solidFill>
              <w14:schemeClr w14:val="tx1"/>
            </w14:solidFill>
          </w14:textFill>
        </w:rPr>
        <w:t>, "ORIENT-15"</w:t>
      </w:r>
      <w:r>
        <w:rPr>
          <w:rFonts w:ascii="Book Antiqua" w:hAnsi="Book Antiqua" w:eastAsia="Book Antiqua" w:cs="Book Antiqua"/>
          <w:color w:val="000000" w:themeColor="text1"/>
          <w:szCs w:val="30"/>
          <w:vertAlign w:val="superscript"/>
          <w14:textFill>
            <w14:solidFill>
              <w14:schemeClr w14:val="tx1"/>
            </w14:solidFill>
          </w14:textFill>
        </w:rPr>
        <w:t>[38]</w:t>
      </w:r>
      <w:r>
        <w:rPr>
          <w:rFonts w:ascii="Book Antiqua" w:hAnsi="Book Antiqua" w:eastAsia="Book Antiqua" w:cs="Book Antiqua"/>
          <w:color w:val="000000" w:themeColor="text1"/>
          <w14:textFill>
            <w14:solidFill>
              <w14:schemeClr w14:val="tx1"/>
            </w14:solidFill>
          </w14:textFill>
        </w:rPr>
        <w:t>, "ESCORT-1st"</w:t>
      </w:r>
      <w:r>
        <w:rPr>
          <w:rFonts w:ascii="Book Antiqua" w:hAnsi="Book Antiqua" w:eastAsia="Book Antiqua" w:cs="Book Antiqua"/>
          <w:color w:val="000000" w:themeColor="text1"/>
          <w:szCs w:val="30"/>
          <w:vertAlign w:val="superscript"/>
          <w14:textFill>
            <w14:solidFill>
              <w14:schemeClr w14:val="tx1"/>
            </w14:solidFill>
          </w14:textFill>
        </w:rPr>
        <w:t>[39]</w:t>
      </w:r>
      <w:r>
        <w:rPr>
          <w:rFonts w:hint="eastAsia" w:ascii="Book Antiqua" w:hAnsi="Book Antiqua" w:eastAsia="宋体" w:cs="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and "KEYNOTE-590"</w:t>
      </w:r>
      <w:r>
        <w:rPr>
          <w:rFonts w:ascii="Book Antiqua" w:hAnsi="Book Antiqua" w:eastAsia="Book Antiqua" w:cs="Book Antiqua"/>
          <w:color w:val="000000" w:themeColor="text1"/>
          <w:szCs w:val="30"/>
          <w:vertAlign w:val="superscript"/>
          <w14:textFill>
            <w14:solidFill>
              <w14:schemeClr w14:val="tx1"/>
            </w14:solidFill>
          </w14:textFill>
        </w:rPr>
        <w:t>[40]</w:t>
      </w:r>
      <w:r>
        <w:rPr>
          <w:rFonts w:ascii="Book Antiqua" w:hAnsi="Book Antiqua" w:eastAsia="Book Antiqua" w:cs="Book Antiqua"/>
          <w:color w:val="000000" w:themeColor="text1"/>
          <w14:textFill>
            <w14:solidFill>
              <w14:schemeClr w14:val="tx1"/>
            </w14:solidFill>
          </w14:textFill>
        </w:rPr>
        <w:t>, treating patients with advanced EC using PD-1 inhibitors in combination with chemotherapy as first-line therapy resulted in significantly longer OS and progression-free survival (PFS) compared to chemotherapy alone. The occurrence rates of grade</w:t>
      </w:r>
      <w:r>
        <w:rPr>
          <w:rFonts w:hint="eastAsia" w:ascii="Book Antiqua" w:hAnsi="Book Antiqua" w:eastAsia="宋体" w:cs="Book Antiqua"/>
          <w:color w:val="000000" w:themeColor="text1"/>
          <w:lang w:val="en-US"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3-5 trAEs in these trials were relatively comparable.</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Neoadjuvant immunotherapy has been explored in various other malignancies, such as lung cancer</w:t>
      </w:r>
      <w:r>
        <w:rPr>
          <w:rFonts w:ascii="Book Antiqua" w:hAnsi="Book Antiqua" w:eastAsia="Book Antiqua" w:cs="Book Antiqua"/>
          <w:color w:val="000000" w:themeColor="text1"/>
          <w:szCs w:val="30"/>
          <w:vertAlign w:val="superscript"/>
          <w14:textFill>
            <w14:solidFill>
              <w14:schemeClr w14:val="tx1"/>
            </w14:solidFill>
          </w14:textFill>
        </w:rPr>
        <w:t>[41,42]</w:t>
      </w:r>
      <w:r>
        <w:rPr>
          <w:rFonts w:ascii="Book Antiqua" w:hAnsi="Book Antiqua" w:eastAsia="Book Antiqua" w:cs="Book Antiqua"/>
          <w:color w:val="000000" w:themeColor="text1"/>
          <w14:textFill>
            <w14:solidFill>
              <w14:schemeClr w14:val="tx1"/>
            </w14:solidFill>
          </w14:textFill>
        </w:rPr>
        <w:t>, melanoma</w:t>
      </w:r>
      <w:r>
        <w:rPr>
          <w:rFonts w:ascii="Book Antiqua" w:hAnsi="Book Antiqua" w:eastAsia="Book Antiqua" w:cs="Book Antiqua"/>
          <w:color w:val="000000" w:themeColor="text1"/>
          <w:szCs w:val="30"/>
          <w:vertAlign w:val="superscript"/>
          <w14:textFill>
            <w14:solidFill>
              <w14:schemeClr w14:val="tx1"/>
            </w14:solidFill>
          </w14:textFill>
        </w:rPr>
        <w:t>[43]</w:t>
      </w:r>
      <w:r>
        <w:rPr>
          <w:rFonts w:ascii="Book Antiqua" w:hAnsi="Book Antiqua" w:eastAsia="Book Antiqua" w:cs="Book Antiqua"/>
          <w:color w:val="000000" w:themeColor="text1"/>
          <w14:textFill>
            <w14:solidFill>
              <w14:schemeClr w14:val="tx1"/>
            </w14:solidFill>
          </w14:textFill>
        </w:rPr>
        <w:t>, bladder cancer</w:t>
      </w:r>
      <w:r>
        <w:rPr>
          <w:rFonts w:ascii="Book Antiqua" w:hAnsi="Book Antiqua" w:eastAsia="Book Antiqua" w:cs="Book Antiqua"/>
          <w:color w:val="000000" w:themeColor="text1"/>
          <w:szCs w:val="30"/>
          <w:vertAlign w:val="superscript"/>
          <w14:textFill>
            <w14:solidFill>
              <w14:schemeClr w14:val="tx1"/>
            </w14:solidFill>
          </w14:textFill>
        </w:rPr>
        <w:t>[44]</w:t>
      </w:r>
      <w:r>
        <w:rPr>
          <w:rFonts w:ascii="Book Antiqua" w:hAnsi="Book Antiqua" w:eastAsia="Book Antiqua" w:cs="Book Antiqua"/>
          <w:color w:val="000000" w:themeColor="text1"/>
          <w14:textFill>
            <w14:solidFill>
              <w14:schemeClr w14:val="tx1"/>
            </w14:solidFill>
          </w14:textFill>
        </w:rPr>
        <w:t>, colon cancer</w:t>
      </w:r>
      <w:r>
        <w:rPr>
          <w:rFonts w:ascii="Book Antiqua" w:hAnsi="Book Antiqua" w:eastAsia="Book Antiqua" w:cs="Book Antiqua"/>
          <w:color w:val="000000" w:themeColor="text1"/>
          <w:szCs w:val="30"/>
          <w:vertAlign w:val="superscript"/>
          <w14:textFill>
            <w14:solidFill>
              <w14:schemeClr w14:val="tx1"/>
            </w14:solidFill>
          </w14:textFill>
        </w:rPr>
        <w:t>[45]</w:t>
      </w:r>
      <w:r>
        <w:rPr>
          <w:rFonts w:ascii="Book Antiqua" w:hAnsi="Book Antiqua" w:eastAsia="Book Antiqua" w:cs="Book Antiqua"/>
          <w:color w:val="000000" w:themeColor="text1"/>
          <w14:textFill>
            <w14:solidFill>
              <w14:schemeClr w14:val="tx1"/>
            </w14:solidFill>
          </w14:textFill>
        </w:rPr>
        <w:t>, and glioblastoma</w:t>
      </w:r>
      <w:r>
        <w:rPr>
          <w:rFonts w:ascii="Book Antiqua" w:hAnsi="Book Antiqua" w:eastAsia="Book Antiqua" w:cs="Book Antiqua"/>
          <w:color w:val="000000" w:themeColor="text1"/>
          <w:szCs w:val="30"/>
          <w:vertAlign w:val="superscript"/>
          <w14:textFill>
            <w14:solidFill>
              <w14:schemeClr w14:val="tx1"/>
            </w14:solidFill>
          </w14:textFill>
        </w:rPr>
        <w:t>[46]</w:t>
      </w:r>
      <w:r>
        <w:rPr>
          <w:rFonts w:ascii="Book Antiqua" w:hAnsi="Book Antiqua" w:eastAsia="Book Antiqua" w:cs="Book Antiqua"/>
          <w:color w:val="000000" w:themeColor="text1"/>
          <w14:textFill>
            <w14:solidFill>
              <w14:schemeClr w14:val="tx1"/>
            </w14:solidFill>
          </w14:textFill>
        </w:rPr>
        <w:t xml:space="preserve">. In a clinical trial (NCT02259621) investigating neoadjuvant </w:t>
      </w:r>
      <w:r>
        <w:rPr>
          <w:rFonts w:hint="default" w:ascii="Book Antiqua" w:hAnsi="Book Antiqua" w:eastAsia="Book Antiqua" w:cs="Book Antiqua"/>
          <w:color w:val="000000" w:themeColor="text1"/>
          <w:lang w:val="en-US"/>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ivolumab, surgery was not delayed, and 45% of resected tumors showed a major pathological response (MPR). In the NADIM trial</w:t>
      </w:r>
      <w:r>
        <w:rPr>
          <w:rFonts w:ascii="Book Antiqua" w:hAnsi="Book Antiqua" w:eastAsia="Book Antiqua" w:cs="Book Antiqua"/>
          <w:color w:val="000000" w:themeColor="text1"/>
          <w:szCs w:val="30"/>
          <w:vertAlign w:val="superscript"/>
          <w14:textFill>
            <w14:solidFill>
              <w14:schemeClr w14:val="tx1"/>
            </w14:solidFill>
          </w14:textFill>
        </w:rPr>
        <w:t>[42]</w:t>
      </w:r>
      <w:r>
        <w:rPr>
          <w:rFonts w:ascii="Book Antiqua" w:hAnsi="Book Antiqua" w:eastAsia="Book Antiqua" w:cs="Book Antiqua"/>
          <w:color w:val="000000" w:themeColor="text1"/>
          <w14:textFill>
            <w14:solidFill>
              <w14:schemeClr w14:val="tx1"/>
            </w14:solidFill>
          </w14:textFill>
        </w:rPr>
        <w:t xml:space="preserve">, patients were treated with a neoadjuvant regimen consisting of paclitaxel and carboplatin in combination with </w:t>
      </w:r>
      <w:r>
        <w:rPr>
          <w:rFonts w:hint="default" w:ascii="Book Antiqua" w:hAnsi="Book Antiqua" w:eastAsia="Book Antiqua" w:cs="Book Antiqua"/>
          <w:color w:val="000000" w:themeColor="text1"/>
          <w:lang w:val="en-US"/>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ivolumab. Out of the initial 51 patients deemed eligible, 46 patients received neoadjuvant treatment and subsequently underwent surgery. At the 24-mo mark, the PFS rate was observed to be 77.1%. Among the 27 patients who had melanoma,</w:t>
      </w:r>
      <w:r>
        <w:rPr>
          <w:rFonts w:hint="eastAsia" w:ascii="Book Antiqua" w:hAnsi="Book Antiqua" w:eastAsia="宋体" w:cs="Book Antiqua"/>
          <w:color w:val="000000" w:themeColor="text1"/>
          <w:lang w:val="en-US" w:eastAsia="zh-CN"/>
          <w14:textFill>
            <w14:solidFill>
              <w14:schemeClr w14:val="tx1"/>
            </w14:solidFill>
          </w14:textFill>
        </w:rPr>
        <w:t xml:space="preserve"> eight</w:t>
      </w:r>
      <w:r>
        <w:rPr>
          <w:rFonts w:ascii="Book Antiqua" w:hAnsi="Book Antiqua" w:eastAsia="Book Antiqua" w:cs="Book Antiqua"/>
          <w:color w:val="000000" w:themeColor="text1"/>
          <w14:textFill>
            <w14:solidFill>
              <w14:schemeClr w14:val="tx1"/>
            </w14:solidFill>
          </w14:textFill>
        </w:rPr>
        <w:t xml:space="preserve"> experienced either a complete response or an MPR after receiving a single dose of the anti-PD-1 drug, </w:t>
      </w:r>
      <w:r>
        <w:rPr>
          <w:rFonts w:hint="default" w:ascii="Book Antiqua" w:hAnsi="Book Antiqua" w:eastAsia="Book Antiqua" w:cs="Book Antiqua"/>
          <w:color w:val="000000" w:themeColor="text1"/>
          <w:lang w:val="en-US"/>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embrolizumab. Importantly, all </w:t>
      </w:r>
      <w:r>
        <w:rPr>
          <w:rFonts w:hint="eastAsia" w:ascii="Book Antiqua" w:hAnsi="Book Antiqua" w:eastAsia="宋体" w:cs="Book Antiqua"/>
          <w:color w:val="000000" w:themeColor="text1"/>
          <w:lang w:val="en-US" w:eastAsia="zh-CN"/>
          <w14:textFill>
            <w14:solidFill>
              <w14:schemeClr w14:val="tx1"/>
            </w14:solidFill>
          </w14:textFill>
        </w:rPr>
        <w:t>eight</w:t>
      </w:r>
      <w:r>
        <w:rPr>
          <w:rFonts w:ascii="Book Antiqua" w:hAnsi="Book Antiqua" w:eastAsia="Book Antiqua" w:cs="Book Antiqua"/>
          <w:color w:val="000000" w:themeColor="text1"/>
          <w14:textFill>
            <w14:solidFill>
              <w14:schemeClr w14:val="tx1"/>
            </w14:solidFill>
          </w14:textFill>
        </w:rPr>
        <w:t xml:space="preserve"> of these patients remained free from the disease</w:t>
      </w:r>
      <w:r>
        <w:rPr>
          <w:rFonts w:ascii="Book Antiqua" w:hAnsi="Book Antiqua" w:eastAsia="Book Antiqua" w:cs="Book Antiqua"/>
          <w:color w:val="000000" w:themeColor="text1"/>
          <w:szCs w:val="30"/>
          <w:vertAlign w:val="superscript"/>
          <w14:textFill>
            <w14:solidFill>
              <w14:schemeClr w14:val="tx1"/>
            </w14:solidFill>
          </w14:textFill>
        </w:rPr>
        <w:t>[43]</w:t>
      </w:r>
      <w:r>
        <w:rPr>
          <w:rFonts w:ascii="Book Antiqua" w:hAnsi="Book Antiqua" w:eastAsia="Book Antiqua" w:cs="Book Antiqua"/>
          <w:color w:val="000000" w:themeColor="text1"/>
          <w14:textFill>
            <w14:solidFill>
              <w14:schemeClr w14:val="tx1"/>
            </w14:solidFill>
          </w14:textFill>
        </w:rPr>
        <w:t xml:space="preserve">. In a single-arm phase II study exploring </w:t>
      </w:r>
      <w:r>
        <w:rPr>
          <w:rFonts w:hint="default" w:ascii="Book Antiqua" w:hAnsi="Book Antiqua" w:eastAsia="Book Antiqua" w:cs="Book Antiqua"/>
          <w:color w:val="000000" w:themeColor="text1"/>
          <w:lang w:val="en-US"/>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 xml:space="preserve">tezolizumab before cystectomy in 95 patients with muscle-invasive urothelial cancer (NCT02662309), the pathological complete response </w:t>
      </w:r>
      <w:r>
        <w:rPr>
          <w:rFonts w:ascii="Book Antiqua" w:hAnsi="Book Antiqua" w:eastAsia="Book Antiqua" w:cs="Book Antiqua"/>
          <w:color w:val="000000" w:themeColor="text1"/>
          <w:shd w:val="clear" w:color="auto" w:fill="FFFFFF"/>
          <w14:textFill>
            <w14:solidFill>
              <w14:schemeClr w14:val="tx1"/>
            </w14:solidFill>
          </w14:textFill>
        </w:rPr>
        <w:t xml:space="preserve">(pCR) </w:t>
      </w:r>
      <w:r>
        <w:rPr>
          <w:rFonts w:ascii="Book Antiqua" w:hAnsi="Book Antiqua" w:eastAsia="Book Antiqua" w:cs="Book Antiqua"/>
          <w:color w:val="000000" w:themeColor="text1"/>
          <w14:textFill>
            <w14:solidFill>
              <w14:schemeClr w14:val="tx1"/>
            </w14:solidFill>
          </w14:textFill>
        </w:rPr>
        <w:t>rate was 31%</w:t>
      </w:r>
      <w:r>
        <w:rPr>
          <w:rFonts w:ascii="Book Antiqua" w:hAnsi="Book Antiqua" w:eastAsia="Book Antiqua" w:cs="Book Antiqua"/>
          <w:color w:val="000000" w:themeColor="text1"/>
          <w:szCs w:val="30"/>
          <w:vertAlign w:val="superscript"/>
          <w14:textFill>
            <w14:solidFill>
              <w14:schemeClr w14:val="tx1"/>
            </w14:solidFill>
          </w14:textFill>
        </w:rPr>
        <w:t>[44]</w:t>
      </w:r>
      <w:r>
        <w:rPr>
          <w:rFonts w:ascii="Book Antiqua" w:hAnsi="Book Antiqua" w:eastAsia="Book Antiqua" w:cs="Book Antiqua"/>
          <w:color w:val="000000" w:themeColor="text1"/>
          <w14:textFill>
            <w14:solidFill>
              <w14:schemeClr w14:val="tx1"/>
            </w14:solidFill>
          </w14:textFill>
        </w:rPr>
        <w:t>. In the exploratory NICHE study (NCT03026140)</w:t>
      </w:r>
      <w:r>
        <w:rPr>
          <w:rFonts w:ascii="Book Antiqua" w:hAnsi="Book Antiqua" w:eastAsia="Book Antiqua" w:cs="Book Antiqua"/>
          <w:color w:val="000000" w:themeColor="text1"/>
          <w:szCs w:val="30"/>
          <w:vertAlign w:val="superscript"/>
          <w14:textFill>
            <w14:solidFill>
              <w14:schemeClr w14:val="tx1"/>
            </w14:solidFill>
          </w14:textFill>
        </w:rPr>
        <w:t>[45]</w:t>
      </w:r>
      <w:r>
        <w:rPr>
          <w:rFonts w:ascii="Book Antiqua" w:hAnsi="Book Antiqua" w:eastAsia="Book Antiqua" w:cs="Book Antiqua"/>
          <w:color w:val="000000" w:themeColor="text1"/>
          <w14:textFill>
            <w14:solidFill>
              <w14:schemeClr w14:val="tx1"/>
            </w14:solidFill>
          </w14:textFill>
        </w:rPr>
        <w:t xml:space="preserve">, patients with early-stage colon cancers, categorized as mismatch repair-deficient (dMMR) or mismatch repair-proficient (pMMR) tumors, received a single dose of </w:t>
      </w:r>
      <w:r>
        <w:rPr>
          <w:rFonts w:hint="default" w:ascii="Book Antiqua" w:hAnsi="Book Antiqua" w:eastAsia="Book Antiqua" w:cs="Book Antiqua"/>
          <w:color w:val="000000" w:themeColor="text1"/>
          <w:lang w:val="en-US"/>
          <w14:textFill>
            <w14:solidFill>
              <w14:schemeClr w14:val="tx1"/>
            </w14:solidFill>
          </w14:textFill>
        </w:rPr>
        <w:t>I</w:t>
      </w:r>
      <w:r>
        <w:rPr>
          <w:rFonts w:ascii="Book Antiqua" w:hAnsi="Book Antiqua" w:eastAsia="Book Antiqua" w:cs="Book Antiqua"/>
          <w:color w:val="000000" w:themeColor="text1"/>
          <w14:textFill>
            <w14:solidFill>
              <w14:schemeClr w14:val="tx1"/>
            </w14:solidFill>
          </w14:textFill>
        </w:rPr>
        <w:t xml:space="preserve">pilimumab and two doses of </w:t>
      </w:r>
      <w:r>
        <w:rPr>
          <w:rFonts w:hint="default" w:ascii="Book Antiqua" w:hAnsi="Book Antiqua" w:eastAsia="Book Antiqua" w:cs="Book Antiqua"/>
          <w:color w:val="000000" w:themeColor="text1"/>
          <w:lang w:val="en-US"/>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ivolumab before surgery. Among dMMR tumors, 20 out of 20 displayed a pathological response, with 19 </w:t>
      </w:r>
      <w:r>
        <w:rPr>
          <w:rFonts w:hint="eastAsia" w:ascii="Book Antiqua" w:hAnsi="Book Antiqua" w:eastAsia="宋体" w:cs="Book Antiqua"/>
          <w:color w:val="000000" w:themeColor="text1"/>
          <w:lang w:val="en-US" w:eastAsia="zh-CN"/>
          <w14:textFill>
            <w14:solidFill>
              <w14:schemeClr w14:val="tx1"/>
            </w14:solidFill>
          </w14:textFill>
        </w:rPr>
        <w:t xml:space="preserve">cases of </w:t>
      </w:r>
      <w:r>
        <w:rPr>
          <w:rFonts w:ascii="Book Antiqua" w:hAnsi="Book Antiqua" w:eastAsia="Book Antiqua" w:cs="Book Antiqua"/>
          <w:color w:val="000000" w:themeColor="text1"/>
          <w14:textFill>
            <w14:solidFill>
              <w14:schemeClr w14:val="tx1"/>
            </w14:solidFill>
          </w14:textFill>
        </w:rPr>
        <w:t xml:space="preserve">MPR and 12 </w:t>
      </w:r>
      <w:r>
        <w:rPr>
          <w:rFonts w:hint="eastAsia" w:ascii="Book Antiqua" w:hAnsi="Book Antiqua" w:eastAsia="宋体" w:cs="Book Antiqua"/>
          <w:color w:val="000000" w:themeColor="text1"/>
          <w:lang w:val="en-US" w:eastAsia="zh-CN"/>
          <w14:textFill>
            <w14:solidFill>
              <w14:schemeClr w14:val="tx1"/>
            </w14:solidFill>
          </w14:textFill>
        </w:rPr>
        <w:t xml:space="preserve">cases of </w:t>
      </w:r>
      <w:r>
        <w:rPr>
          <w:rFonts w:ascii="Book Antiqua" w:hAnsi="Book Antiqua" w:eastAsia="Book Antiqua" w:cs="Book Antiqua"/>
          <w:color w:val="000000" w:themeColor="text1"/>
          <w14:textFill>
            <w14:solidFill>
              <w14:schemeClr w14:val="tx1"/>
            </w14:solidFill>
          </w14:textFill>
        </w:rPr>
        <w:t xml:space="preserve">pCR. In pMMR tumors, 4 out of 15 showed pathological responses, with </w:t>
      </w:r>
      <w:r>
        <w:rPr>
          <w:rFonts w:hint="eastAsia" w:ascii="Book Antiqua" w:hAnsi="Book Antiqua" w:eastAsia="宋体" w:cs="Book Antiqua"/>
          <w:color w:val="000000" w:themeColor="text1"/>
          <w:lang w:val="en-US" w:eastAsia="zh-CN"/>
          <w14:textFill>
            <w14:solidFill>
              <w14:schemeClr w14:val="tx1"/>
            </w14:solidFill>
          </w14:textFill>
        </w:rPr>
        <w:t>three cases of</w:t>
      </w:r>
      <w:r>
        <w:rPr>
          <w:rFonts w:ascii="Book Antiqua" w:hAnsi="Book Antiqua" w:eastAsia="Book Antiqua" w:cs="Book Antiqua"/>
          <w:color w:val="000000" w:themeColor="text1"/>
          <w14:textFill>
            <w14:solidFill>
              <w14:schemeClr w14:val="tx1"/>
            </w14:solidFill>
          </w14:textFill>
        </w:rPr>
        <w:t xml:space="preserve"> MPR and </w:t>
      </w:r>
      <w:r>
        <w:rPr>
          <w:rFonts w:hint="eastAsia" w:ascii="Book Antiqua" w:hAnsi="Book Antiqua" w:eastAsia="宋体" w:cs="Book Antiqua"/>
          <w:color w:val="000000" w:themeColor="text1"/>
          <w:lang w:val="en-US" w:eastAsia="zh-CN"/>
          <w14:textFill>
            <w14:solidFill>
              <w14:schemeClr w14:val="tx1"/>
            </w14:solidFill>
          </w14:textFill>
        </w:rPr>
        <w:t>one case of</w:t>
      </w:r>
      <w:r>
        <w:rPr>
          <w:rFonts w:ascii="Book Antiqua" w:hAnsi="Book Antiqua" w:eastAsia="Book Antiqua" w:cs="Book Antiqua"/>
          <w:color w:val="000000" w:themeColor="text1"/>
          <w14:textFill>
            <w14:solidFill>
              <w14:schemeClr w14:val="tx1"/>
            </w14:solidFill>
          </w14:textFill>
        </w:rPr>
        <w:t xml:space="preserve"> partial response. In a single-arm phase II clinical trial (NCT02550249)</w:t>
      </w:r>
      <w:r>
        <w:rPr>
          <w:rFonts w:ascii="Book Antiqua" w:hAnsi="Book Antiqua" w:eastAsia="Book Antiqua" w:cs="Book Antiqua"/>
          <w:color w:val="000000" w:themeColor="text1"/>
          <w:szCs w:val="30"/>
          <w:vertAlign w:val="superscript"/>
          <w14:textFill>
            <w14:solidFill>
              <w14:schemeClr w14:val="tx1"/>
            </w14:solidFill>
          </w14:textFill>
        </w:rPr>
        <w:t>[46]</w:t>
      </w:r>
      <w:r>
        <w:rPr>
          <w:rFonts w:ascii="Book Antiqua" w:hAnsi="Book Antiqua" w:eastAsia="Book Antiqua" w:cs="Book Antiqua"/>
          <w:color w:val="000000" w:themeColor="text1"/>
          <w14:textFill>
            <w14:solidFill>
              <w14:schemeClr w14:val="tx1"/>
            </w14:solidFill>
          </w14:textFill>
        </w:rPr>
        <w:t xml:space="preserve">, a presurgical dose of </w:t>
      </w:r>
      <w:r>
        <w:rPr>
          <w:rFonts w:hint="default" w:ascii="Book Antiqua" w:hAnsi="Book Antiqua" w:eastAsia="Book Antiqua" w:cs="Book Antiqua"/>
          <w:color w:val="000000" w:themeColor="text1"/>
          <w:lang w:val="en-US"/>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ivolumab followed by postsurgical </w:t>
      </w:r>
      <w:r>
        <w:rPr>
          <w:rFonts w:hint="default" w:ascii="Book Antiqua" w:hAnsi="Book Antiqua" w:eastAsia="Book Antiqua" w:cs="Book Antiqua"/>
          <w:color w:val="000000" w:themeColor="text1"/>
          <w:lang w:val="en-US"/>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ivolumab until disease progression or unacceptable toxicity was tested in 30 patients. However, no significant clinical benefit was observed following salvage surgery, although two out of the three patients treated with </w:t>
      </w:r>
      <w:r>
        <w:rPr>
          <w:rFonts w:hint="default" w:ascii="Book Antiqua" w:hAnsi="Book Antiqua" w:eastAsia="Book Antiqua" w:cs="Book Antiqua"/>
          <w:color w:val="000000" w:themeColor="text1"/>
          <w:lang w:val="en-US"/>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ivolumab before and after primary surgery remained alive 33 and 28 mo later.</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Based on this background, this review aims to depict the current scenario in the field of perioperative immunotherapy for resectable ESCC, focusing in particular on an overview of the role of ICIs in this field, alongside a discussion of the promising biomarkers and </w:t>
      </w:r>
      <w:r>
        <w:rPr>
          <w:rFonts w:hint="eastAsia" w:ascii="Book Antiqua" w:hAnsi="Book Antiqua" w:eastAsia="宋体" w:cs="Book Antiqua"/>
          <w:color w:val="000000" w:themeColor="text1"/>
          <w:lang w:val="en-US" w:eastAsia="zh-CN"/>
          <w14:textFill>
            <w14:solidFill>
              <w14:schemeClr w14:val="tx1"/>
            </w14:solidFill>
          </w14:textFill>
        </w:rPr>
        <w:t xml:space="preserve">forecast of </w:t>
      </w:r>
      <w:r>
        <w:rPr>
          <w:rFonts w:ascii="Book Antiqua" w:hAnsi="Book Antiqua" w:eastAsia="Book Antiqua" w:cs="Book Antiqua"/>
          <w:color w:val="000000" w:themeColor="text1"/>
          <w14:textFill>
            <w14:solidFill>
              <w14:schemeClr w14:val="tx1"/>
            </w14:solidFill>
          </w14:textFill>
        </w:rPr>
        <w:t>future perspectives.</w:t>
      </w:r>
    </w:p>
    <w:p>
      <w:pPr>
        <w:spacing w:line="360" w:lineRule="auto"/>
        <w:ind w:firstLine="210"/>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aps/>
          <w:color w:val="000000" w:themeColor="text1"/>
          <w:u w:val="single" w:color="000000"/>
          <w14:textFill>
            <w14:solidFill>
              <w14:schemeClr w14:val="tx1"/>
            </w14:solidFill>
          </w14:textFill>
        </w:rPr>
        <w:t>PERIOPERATIVE IMMUNOTHERAPY OF ESCC</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Drugs for immunotherapy of ESC</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Cancer cells have the ability to evade immune surveillance by disrupting the balance of the tumor microenvironment (TME). This disruption can lead to tumor development by blocking apoptosis, promoting angiogenesis, proliferation, </w:t>
      </w:r>
      <w:r>
        <w:rPr>
          <w:rFonts w:hint="eastAsia" w:ascii="Book Antiqua" w:hAnsi="Book Antiqua" w:eastAsia="宋体" w:cs="Book Antiqua"/>
          <w:color w:val="000000" w:themeColor="text1"/>
          <w:lang w:val="en-US" w:eastAsia="zh-CN"/>
          <w14:textFill>
            <w14:solidFill>
              <w14:schemeClr w14:val="tx1"/>
            </w14:solidFill>
          </w14:textFill>
        </w:rPr>
        <w:t xml:space="preserve">and </w:t>
      </w:r>
      <w:r>
        <w:rPr>
          <w:rFonts w:ascii="Book Antiqua" w:hAnsi="Book Antiqua" w:eastAsia="Book Antiqua" w:cs="Book Antiqua"/>
          <w:color w:val="000000" w:themeColor="text1"/>
          <w14:textFill>
            <w14:solidFill>
              <w14:schemeClr w14:val="tx1"/>
            </w14:solidFill>
          </w14:textFill>
        </w:rPr>
        <w:t>distant metastasis, and evading immune detection</w:t>
      </w:r>
      <w:r>
        <w:rPr>
          <w:rFonts w:ascii="Book Antiqua" w:hAnsi="Book Antiqua" w:eastAsia="Book Antiqua" w:cs="Book Antiqua"/>
          <w:color w:val="000000" w:themeColor="text1"/>
          <w:szCs w:val="30"/>
          <w:vertAlign w:val="superscript"/>
          <w14:textFill>
            <w14:solidFill>
              <w14:schemeClr w14:val="tx1"/>
            </w14:solidFill>
          </w14:textFill>
        </w:rPr>
        <w:t>[47]</w:t>
      </w:r>
      <w:r>
        <w:rPr>
          <w:rFonts w:ascii="Book Antiqua" w:hAnsi="Book Antiqua" w:eastAsia="Book Antiqua" w:cs="Book Antiqua"/>
          <w:color w:val="000000" w:themeColor="text1"/>
          <w14:textFill>
            <w14:solidFill>
              <w14:schemeClr w14:val="tx1"/>
            </w14:solidFill>
          </w14:textFill>
        </w:rPr>
        <w:t>. CD8(+) T cells, also known as cytotoxic T lymphocytes, play a crucial role in killing tumor cells, and their presence in the TME is associated with improved cancer prognosis</w:t>
      </w:r>
      <w:r>
        <w:rPr>
          <w:rFonts w:ascii="Book Antiqua" w:hAnsi="Book Antiqua" w:eastAsia="Book Antiqua" w:cs="Book Antiqua"/>
          <w:color w:val="000000" w:themeColor="text1"/>
          <w:szCs w:val="30"/>
          <w:vertAlign w:val="superscript"/>
          <w14:textFill>
            <w14:solidFill>
              <w14:schemeClr w14:val="tx1"/>
            </w14:solidFill>
          </w14:textFill>
        </w:rPr>
        <w:t>[48]</w:t>
      </w:r>
      <w:r>
        <w:rPr>
          <w:rFonts w:ascii="Book Antiqua" w:hAnsi="Book Antiqua" w:eastAsia="Book Antiqua" w:cs="Book Antiqua"/>
          <w:color w:val="000000" w:themeColor="text1"/>
          <w14:textFill>
            <w14:solidFill>
              <w14:schemeClr w14:val="tx1"/>
            </w14:solidFill>
          </w14:textFill>
        </w:rPr>
        <w:t xml:space="preserve">. For CD8(+) T cells to effectively kill tumor cells, two signals are essential: </w:t>
      </w:r>
      <w:r>
        <w:rPr>
          <w:rFonts w:hint="eastAsia" w:ascii="Book Antiqua" w:hAnsi="Book Antiqua" w:eastAsia="宋体" w:cs="Book Antiqua"/>
          <w:color w:val="000000" w:themeColor="text1"/>
          <w:lang w:val="en-US" w:eastAsia="zh-CN"/>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he recognition of antigens presented by major histocompatibility complexes</w:t>
      </w:r>
      <w:r>
        <w:rPr>
          <w:rFonts w:ascii="Book Antiqua" w:hAnsi="Book Antiqua" w:eastAsia="Book Antiqua" w:cs="Book Antiqua"/>
          <w:color w:val="000000" w:themeColor="text1"/>
          <w:szCs w:val="30"/>
          <w:vertAlign w:val="superscript"/>
          <w14:textFill>
            <w14:solidFill>
              <w14:schemeClr w14:val="tx1"/>
            </w14:solidFill>
          </w14:textFill>
        </w:rPr>
        <w:t>[49]</w:t>
      </w:r>
      <w:r>
        <w:rPr>
          <w:rFonts w:hint="eastAsia" w:ascii="Book Antiqua" w:hAnsi="Book Antiqua" w:eastAsia="宋体" w:cs="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and the stimulation or suppression of T cell activation. The second signal, acting as a co-stimulatory or co-inhibitory signal, is often referred to as an "immune checkpoint" for CD8(+) T cell function. Immune checkpoints help maintain the balance of T-cell activation, immune tolerance, and immune-mediated tissue damage</w:t>
      </w:r>
      <w:r>
        <w:rPr>
          <w:rFonts w:ascii="Book Antiqua" w:hAnsi="Book Antiqua" w:eastAsia="Book Antiqua" w:cs="Book Antiqua"/>
          <w:color w:val="000000" w:themeColor="text1"/>
          <w:szCs w:val="30"/>
          <w:vertAlign w:val="superscript"/>
          <w14:textFill>
            <w14:solidFill>
              <w14:schemeClr w14:val="tx1"/>
            </w14:solidFill>
          </w14:textFill>
        </w:rPr>
        <w:t>[50]</w:t>
      </w:r>
      <w:r>
        <w:rPr>
          <w:rFonts w:ascii="Book Antiqua" w:hAnsi="Book Antiqua" w:eastAsia="Book Antiqua" w:cs="Book Antiqua"/>
          <w:color w:val="000000" w:themeColor="text1"/>
          <w14:textFill>
            <w14:solidFill>
              <w14:schemeClr w14:val="tx1"/>
            </w14:solidFill>
          </w14:textFill>
        </w:rPr>
        <w:t>. Both co-stimulatory and co-inhibitory ligands and their receptors are present on T cells and antigen-presenting cells. Inhibitory checkpoint molecules displayed by CD8(+) T cells can respond to and aid the tumor in evading the immune system</w:t>
      </w:r>
      <w:r>
        <w:rPr>
          <w:rFonts w:ascii="Book Antiqua" w:hAnsi="Book Antiqua" w:eastAsia="Book Antiqua" w:cs="Book Antiqua"/>
          <w:color w:val="000000" w:themeColor="text1"/>
          <w:szCs w:val="30"/>
          <w:vertAlign w:val="superscript"/>
          <w14:textFill>
            <w14:solidFill>
              <w14:schemeClr w14:val="tx1"/>
            </w14:solidFill>
          </w14:textFill>
        </w:rPr>
        <w:t>[51]</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There are four main ICIs named after the corresponding Food and Drug Administration (FDA)-approved monoclonal antibody therapies: </w:t>
      </w:r>
      <w:r>
        <w:rPr>
          <w:rFonts w:hint="eastAsia" w:ascii="Book Antiqua" w:hAnsi="Book Antiqua" w:eastAsia="宋体" w:cs="Book Antiqua"/>
          <w:color w:val="000000" w:themeColor="text1"/>
          <w:lang w:val="en-US" w:eastAsia="zh-CN"/>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ytotoxic T lymphocyte antigen-4 (CTLA-4), PD-1, PD-L1/L2, and lymphocyte activation gene-3 (LAG-3)</w:t>
      </w:r>
      <w:r>
        <w:rPr>
          <w:rFonts w:ascii="Book Antiqua" w:hAnsi="Book Antiqua" w:eastAsia="Book Antiqua" w:cs="Book Antiqua"/>
          <w:color w:val="000000" w:themeColor="text1"/>
          <w:szCs w:val="30"/>
          <w:vertAlign w:val="superscript"/>
          <w14:textFill>
            <w14:solidFill>
              <w14:schemeClr w14:val="tx1"/>
            </w14:solidFill>
          </w14:textFill>
        </w:rPr>
        <w:t>[52]</w:t>
      </w:r>
      <w:r>
        <w:rPr>
          <w:rFonts w:ascii="Book Antiqua" w:hAnsi="Book Antiqua" w:eastAsia="Book Antiqua" w:cs="Book Antiqua"/>
          <w:color w:val="000000" w:themeColor="text1"/>
          <w14:textFill>
            <w14:solidFill>
              <w14:schemeClr w14:val="tx1"/>
            </w14:solidFill>
          </w14:textFill>
        </w:rPr>
        <w:t>. CTLA-4 and PD-1 are members of the CD28 receptor family expressed on T-cells, which bind to their corresponding targets of the B7 family</w:t>
      </w:r>
      <w:r>
        <w:rPr>
          <w:rFonts w:ascii="Book Antiqua" w:hAnsi="Book Antiqua" w:eastAsia="Book Antiqua" w:cs="Book Antiqua"/>
          <w:color w:val="000000" w:themeColor="text1"/>
          <w:szCs w:val="30"/>
          <w:vertAlign w:val="superscript"/>
          <w14:textFill>
            <w14:solidFill>
              <w14:schemeClr w14:val="tx1"/>
            </w14:solidFill>
          </w14:textFill>
        </w:rPr>
        <w:t>[53]</w:t>
      </w:r>
      <w:r>
        <w:rPr>
          <w:rFonts w:ascii="Book Antiqua" w:hAnsi="Book Antiqua" w:eastAsia="Book Antiqua" w:cs="Book Antiqua"/>
          <w:color w:val="000000" w:themeColor="text1"/>
          <w14:textFill>
            <w14:solidFill>
              <w14:schemeClr w14:val="tx1"/>
            </w14:solidFill>
          </w14:textFill>
        </w:rPr>
        <w:t>. CTLA-4 is an intracellular protein often found on regulatory T cells, inhibiting CD8(+) T cell activity. Ipilimumab, approved by the FDA in 2011, targets CTLA-4</w:t>
      </w:r>
      <w:r>
        <w:rPr>
          <w:rFonts w:ascii="Book Antiqua" w:hAnsi="Book Antiqua" w:eastAsia="Book Antiqua" w:cs="Book Antiqua"/>
          <w:color w:val="000000" w:themeColor="text1"/>
          <w:szCs w:val="30"/>
          <w:vertAlign w:val="superscript"/>
          <w14:textFill>
            <w14:solidFill>
              <w14:schemeClr w14:val="tx1"/>
            </w14:solidFill>
          </w14:textFill>
        </w:rPr>
        <w:t>[54]</w:t>
      </w:r>
      <w:r>
        <w:rPr>
          <w:rFonts w:ascii="Book Antiqua" w:hAnsi="Book Antiqua" w:eastAsia="Book Antiqua" w:cs="Book Antiqua"/>
          <w:color w:val="000000" w:themeColor="text1"/>
          <w14:textFill>
            <w14:solidFill>
              <w14:schemeClr w14:val="tx1"/>
            </w14:solidFill>
          </w14:textFill>
        </w:rPr>
        <w:t>. PD-1 is a transmembrane protein upregulated by repeated stimulation of T cells. PD-1 has two ligands, PD-L1 and PD-L2, which are cell surface proteins expressed on tumor cells and some immune cells within the TME. When PD-1 binds to these ligands, T cell function is inhibited. Overexpression of PD-L1 is associated with tumor progression, as cancer cells exploit the PD-1/PD-L1 and PD-1/PD-L2 pathways to create an immunosuppressive environment</w:t>
      </w:r>
      <w:r>
        <w:rPr>
          <w:rFonts w:ascii="Book Antiqua" w:hAnsi="Book Antiqua" w:eastAsia="Book Antiqua" w:cs="Book Antiqua"/>
          <w:color w:val="000000" w:themeColor="text1"/>
          <w:szCs w:val="30"/>
          <w:vertAlign w:val="superscript"/>
          <w14:textFill>
            <w14:solidFill>
              <w14:schemeClr w14:val="tx1"/>
            </w14:solidFill>
          </w14:textFill>
        </w:rPr>
        <w:t>[55]</w:t>
      </w:r>
      <w:r>
        <w:rPr>
          <w:rFonts w:ascii="Book Antiqua" w:hAnsi="Book Antiqua" w:eastAsia="Book Antiqua" w:cs="Book Antiqua"/>
          <w:color w:val="000000" w:themeColor="text1"/>
          <w14:textFill>
            <w14:solidFill>
              <w14:schemeClr w14:val="tx1"/>
            </w14:solidFill>
          </w14:textFill>
        </w:rPr>
        <w:t xml:space="preserve">. Nivolumab and </w:t>
      </w:r>
      <w:r>
        <w:rPr>
          <w:rFonts w:hint="default" w:ascii="Book Antiqua" w:hAnsi="Book Antiqua" w:eastAsia="Book Antiqua" w:cs="Book Antiqua"/>
          <w:color w:val="000000" w:themeColor="text1"/>
          <w:lang w:val="en-US"/>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embrolizumab are ICIs that target the PD-1 molecule, both FDA</w:t>
      </w:r>
      <w:r>
        <w:rPr>
          <w:rFonts w:hint="eastAsia" w:ascii="Book Antiqua" w:hAnsi="Book Antiqua" w:eastAsia="宋体" w:cs="Book Antiqua"/>
          <w:color w:val="000000" w:themeColor="text1"/>
          <w:lang w:val="en-US"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approved in 2014. In 2018 and 2021, </w:t>
      </w:r>
      <w:r>
        <w:rPr>
          <w:rFonts w:hint="default" w:ascii="Book Antiqua" w:hAnsi="Book Antiqua" w:eastAsia="Book Antiqua" w:cs="Book Antiqua"/>
          <w:color w:val="000000" w:themeColor="text1"/>
          <w:lang w:val="en-US"/>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 xml:space="preserve">emiplimab and </w:t>
      </w:r>
      <w:r>
        <w:rPr>
          <w:rFonts w:hint="default" w:ascii="Book Antiqua" w:hAnsi="Book Antiqua" w:eastAsia="Book Antiqua" w:cs="Book Antiqua"/>
          <w:color w:val="000000" w:themeColor="text1"/>
          <w:lang w:val="en-US"/>
          <w14:textFill>
            <w14:solidFill>
              <w14:schemeClr w14:val="tx1"/>
            </w14:solidFill>
          </w14:textFill>
        </w:rPr>
        <w:t>D</w:t>
      </w:r>
      <w:r>
        <w:rPr>
          <w:rFonts w:ascii="Book Antiqua" w:hAnsi="Book Antiqua" w:eastAsia="Book Antiqua" w:cs="Book Antiqua"/>
          <w:color w:val="000000" w:themeColor="text1"/>
          <w14:textFill>
            <w14:solidFill>
              <w14:schemeClr w14:val="tx1"/>
            </w14:solidFill>
          </w14:textFill>
        </w:rPr>
        <w:t>ostarlimab were also approved, respectively</w:t>
      </w:r>
      <w:r>
        <w:rPr>
          <w:rFonts w:ascii="Book Antiqua" w:hAnsi="Book Antiqua" w:eastAsia="Book Antiqua" w:cs="Book Antiqua"/>
          <w:color w:val="000000" w:themeColor="text1"/>
          <w:szCs w:val="30"/>
          <w:vertAlign w:val="superscript"/>
          <w14:textFill>
            <w14:solidFill>
              <w14:schemeClr w14:val="tx1"/>
            </w14:solidFill>
          </w14:textFill>
        </w:rPr>
        <w:t>[56,57]</w:t>
      </w:r>
      <w:r>
        <w:rPr>
          <w:rFonts w:ascii="Book Antiqua" w:hAnsi="Book Antiqua" w:eastAsia="Book Antiqua" w:cs="Book Antiqua"/>
          <w:color w:val="000000" w:themeColor="text1"/>
          <w14:textFill>
            <w14:solidFill>
              <w14:schemeClr w14:val="tx1"/>
            </w14:solidFill>
          </w14:textFill>
        </w:rPr>
        <w:t xml:space="preserve">. Atezolizumab, </w:t>
      </w:r>
      <w:r>
        <w:rPr>
          <w:rFonts w:hint="default" w:ascii="Book Antiqua" w:hAnsi="Book Antiqua" w:eastAsia="Book Antiqua" w:cs="Book Antiqua"/>
          <w:color w:val="000000" w:themeColor="text1"/>
          <w:lang w:val="en-US"/>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 xml:space="preserve">velumab, and </w:t>
      </w:r>
      <w:r>
        <w:rPr>
          <w:rFonts w:hint="default" w:ascii="Book Antiqua" w:hAnsi="Book Antiqua" w:eastAsia="Book Antiqua" w:cs="Book Antiqua"/>
          <w:color w:val="000000" w:themeColor="text1"/>
          <w:lang w:val="en-US"/>
          <w14:textFill>
            <w14:solidFill>
              <w14:schemeClr w14:val="tx1"/>
            </w14:solidFill>
          </w14:textFill>
        </w:rPr>
        <w:t>D</w:t>
      </w:r>
      <w:r>
        <w:rPr>
          <w:rFonts w:ascii="Book Antiqua" w:hAnsi="Book Antiqua" w:eastAsia="Book Antiqua" w:cs="Book Antiqua"/>
          <w:color w:val="000000" w:themeColor="text1"/>
          <w14:textFill>
            <w14:solidFill>
              <w14:schemeClr w14:val="tx1"/>
            </w14:solidFill>
          </w14:textFill>
        </w:rPr>
        <w:t>urvalumab are FDA-approved PD-L1 inhibitors</w:t>
      </w:r>
      <w:r>
        <w:rPr>
          <w:rFonts w:ascii="Book Antiqua" w:hAnsi="Book Antiqua" w:eastAsia="Book Antiqua" w:cs="Book Antiqua"/>
          <w:color w:val="000000" w:themeColor="text1"/>
          <w:szCs w:val="30"/>
          <w:vertAlign w:val="superscript"/>
          <w14:textFill>
            <w14:solidFill>
              <w14:schemeClr w14:val="tx1"/>
            </w14:solidFill>
          </w14:textFill>
        </w:rPr>
        <w:t>[58-60]</w:t>
      </w:r>
      <w:r>
        <w:rPr>
          <w:rFonts w:ascii="Book Antiqua" w:hAnsi="Book Antiqua" w:eastAsia="Book Antiqua" w:cs="Book Antiqua"/>
          <w:color w:val="000000" w:themeColor="text1"/>
          <w14:textFill>
            <w14:solidFill>
              <w14:schemeClr w14:val="tx1"/>
            </w14:solidFill>
          </w14:textFill>
        </w:rPr>
        <w:t>. LAG-3 is a transmembrane receptor expressed on CD8(+) T cells, further upregulated by T cell activation. Relatlimab is the only FDA-approved LAG-3 inhibitor</w:t>
      </w:r>
      <w:r>
        <w:rPr>
          <w:rFonts w:ascii="Book Antiqua" w:hAnsi="Book Antiqua" w:eastAsia="Book Antiqua" w:cs="Book Antiqua"/>
          <w:color w:val="000000" w:themeColor="text1"/>
          <w:szCs w:val="30"/>
          <w:vertAlign w:val="superscript"/>
          <w14:textFill>
            <w14:solidFill>
              <w14:schemeClr w14:val="tx1"/>
            </w14:solidFill>
          </w14:textFill>
        </w:rPr>
        <w:t>[61]</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recent years, several domestic anti-PD-1 monoclonal antibodies have been approved as drugs for various tumors by the China National Medical Product Administration. Notably, </w:t>
      </w:r>
      <w:r>
        <w:rPr>
          <w:rFonts w:hint="default" w:ascii="Book Antiqua" w:hAnsi="Book Antiqua" w:eastAsia="Book Antiqua" w:cs="Book Antiqua"/>
          <w:color w:val="000000" w:themeColor="text1"/>
          <w:lang w:val="en-US"/>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 xml:space="preserve">amrelizumab, </w:t>
      </w:r>
      <w:r>
        <w:rPr>
          <w:rFonts w:hint="default" w:ascii="Book Antiqua" w:hAnsi="Book Antiqua" w:eastAsia="Book Antiqua" w:cs="Book Antiqua"/>
          <w:color w:val="000000" w:themeColor="text1"/>
          <w:lang w:val="en-US"/>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intilimab, </w:t>
      </w:r>
      <w:r>
        <w:rPr>
          <w:rFonts w:hint="default" w:ascii="Book Antiqua" w:hAnsi="Book Antiqua" w:eastAsia="Book Antiqua" w:cs="Book Antiqua"/>
          <w:color w:val="000000" w:themeColor="text1"/>
          <w:lang w:val="en-US"/>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oripalimab, and </w:t>
      </w:r>
      <w:r>
        <w:rPr>
          <w:rFonts w:hint="default" w:ascii="Book Antiqua" w:hAnsi="Book Antiqua" w:eastAsia="Book Antiqua" w:cs="Book Antiqua"/>
          <w:color w:val="000000" w:themeColor="text1"/>
          <w:lang w:val="en-US"/>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islelizumab are representative drugs that are currently undergoing in-depth research. Camrelizumab, a humanized anti-PD-1 monoclonal antibody developed in China, has shown promising activity and manageable toxicity when combined with </w:t>
      </w:r>
      <w:r>
        <w:rPr>
          <w:rFonts w:hint="default" w:ascii="Book Antiqua" w:hAnsi="Book Antiqua" w:eastAsia="Book Antiqua" w:cs="Book Antiqua"/>
          <w:color w:val="000000" w:themeColor="text1"/>
          <w:lang w:val="en-US"/>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patinib, an anti-angiogenic drug. This combination may serve as a potential second-line treatment option for patients with advanced ESCC</w:t>
      </w:r>
      <w:r>
        <w:rPr>
          <w:rFonts w:ascii="Book Antiqua" w:hAnsi="Book Antiqua" w:eastAsia="Book Antiqua" w:cs="Book Antiqua"/>
          <w:color w:val="000000" w:themeColor="text1"/>
          <w:szCs w:val="30"/>
          <w:vertAlign w:val="superscript"/>
          <w14:textFill>
            <w14:solidFill>
              <w14:schemeClr w14:val="tx1"/>
            </w14:solidFill>
          </w14:textFill>
        </w:rPr>
        <w:t>[62]</w:t>
      </w:r>
      <w:r>
        <w:rPr>
          <w:rFonts w:ascii="Book Antiqua" w:hAnsi="Book Antiqua" w:eastAsia="Book Antiqua" w:cs="Book Antiqua"/>
          <w:color w:val="000000" w:themeColor="text1"/>
          <w14:textFill>
            <w14:solidFill>
              <w14:schemeClr w14:val="tx1"/>
            </w14:solidFill>
          </w14:textFill>
        </w:rPr>
        <w:t xml:space="preserve"> or patients with recurrent or metastatic ESCC</w:t>
      </w:r>
      <w:r>
        <w:rPr>
          <w:rFonts w:ascii="Book Antiqua" w:hAnsi="Book Antiqua" w:eastAsia="Book Antiqua" w:cs="Book Antiqua"/>
          <w:color w:val="000000" w:themeColor="text1"/>
          <w:szCs w:val="30"/>
          <w:vertAlign w:val="superscript"/>
          <w14:textFill>
            <w14:solidFill>
              <w14:schemeClr w14:val="tx1"/>
            </w14:solidFill>
          </w14:textFill>
        </w:rPr>
        <w:t>[63]</w:t>
      </w:r>
      <w:r>
        <w:rPr>
          <w:rFonts w:ascii="Book Antiqua" w:hAnsi="Book Antiqua" w:eastAsia="Book Antiqua" w:cs="Book Antiqua"/>
          <w:color w:val="000000" w:themeColor="text1"/>
          <w14:textFill>
            <w14:solidFill>
              <w14:schemeClr w14:val="tx1"/>
            </w14:solidFill>
          </w14:textFill>
        </w:rPr>
        <w:t>.</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Neoadjuvant immunotherapy of ESCC</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As previously mentioned, ICI immunotherapy has demonstrated improved outcomes in terms of OS and disease-free survival (DFS) for both second-line and first-line treatments of ESCC. In the context of resectable</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locally advanced</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ESCC, there has been a growing interest in perioperative immunotherapy combined with chemotherapy or radiotherapy, representing a key research direction for this disease. Preoperative neoadjuvant immunotherapy aims to activate the patient's immune system, leading to the formation of immune memory cells, thereby enabling the immune system to assume an immune surveillance role</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[64,65]</w:t>
      </w:r>
      <w:r>
        <w:rPr>
          <w:rFonts w:ascii="Book Antiqua" w:hAnsi="Book Antiqua" w:eastAsia="Book Antiqua" w:cs="Book Antiqua"/>
          <w:color w:val="000000" w:themeColor="text1"/>
          <w:shd w:val="clear" w:color="auto" w:fill="FFFFFF"/>
          <w14:textFill>
            <w14:solidFill>
              <w14:schemeClr w14:val="tx1"/>
            </w14:solidFill>
          </w14:textFill>
        </w:rPr>
        <w:t>. This review will summarize the current status of neoadjuvant immunotherapy as a treatment for ESCC.</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i/>
          <w:iCs/>
          <w:color w:val="000000" w:themeColor="text1"/>
          <w:shd w:val="clear" w:color="auto" w:fill="FFFFFF"/>
          <w14:textFill>
            <w14:solidFill>
              <w14:schemeClr w14:val="tx1"/>
            </w14:solidFill>
          </w14:textFill>
        </w:rPr>
        <w:t>Completed and reported clinical studies of neoadjuvant immunotherapy</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Numerous clinical studies have investigated the efficacy and safety of immunotherapy for resectable ESCC in the neoadjuvant setting, as detailed in Table 1. Most neoadjuvant immunotherapy trials are conducted in conjunction with chemotherapy or CRT. Given the high incidence of this disease in China, numerous clinical trials on this subject are carried out in the country. Specifically, six ICIs targeting PD-1/PD-L1, namely</w:t>
      </w:r>
      <w:r>
        <w:rPr>
          <w:rFonts w:hint="eastAsia" w:ascii="Book Antiqua" w:hAnsi="Book Antiqua" w:eastAsia="宋体" w:cs="Book Antiqua"/>
          <w:color w:val="000000" w:themeColor="text1"/>
          <w:lang w:val="en-US"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hint="default" w:ascii="Book Antiqua" w:hAnsi="Book Antiqua" w:eastAsia="Book Antiqua" w:cs="Book Antiqua"/>
          <w:color w:val="000000" w:themeColor="text1"/>
          <w:lang w:val="en-US"/>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embrolizumab (4 studies), </w:t>
      </w:r>
      <w:r>
        <w:rPr>
          <w:rFonts w:hint="default" w:ascii="Book Antiqua" w:hAnsi="Book Antiqua" w:eastAsia="Book Antiqua" w:cs="Book Antiqua"/>
          <w:color w:val="000000" w:themeColor="text1"/>
          <w:lang w:val="en-US"/>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 xml:space="preserve">amrelizumab (10 studies), </w:t>
      </w:r>
      <w:r>
        <w:rPr>
          <w:rFonts w:hint="default" w:ascii="Book Antiqua" w:hAnsi="Book Antiqua" w:eastAsia="Book Antiqua" w:cs="Book Antiqua"/>
          <w:color w:val="000000" w:themeColor="text1"/>
          <w:lang w:val="en-US"/>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intilimab (4 studies), </w:t>
      </w:r>
      <w:r>
        <w:rPr>
          <w:rFonts w:hint="default" w:ascii="Book Antiqua" w:hAnsi="Book Antiqua" w:eastAsia="Book Antiqua" w:cs="Book Antiqua"/>
          <w:color w:val="000000" w:themeColor="text1"/>
          <w:lang w:val="en-US"/>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oripalimab (5 studies), and </w:t>
      </w:r>
      <w:r>
        <w:rPr>
          <w:rFonts w:hint="default" w:ascii="Book Antiqua" w:hAnsi="Book Antiqua" w:eastAsia="Book Antiqua" w:cs="Book Antiqua"/>
          <w:color w:val="000000" w:themeColor="text1"/>
          <w:lang w:val="en-US"/>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islelizumab (1 study), have been studied as neoadjuvant therapy. Additionally, there is an ongoing drug-based neoadjuvant therapy RCT involving </w:t>
      </w:r>
      <w:r>
        <w:rPr>
          <w:rFonts w:hint="default" w:ascii="Book Antiqua" w:hAnsi="Book Antiqua" w:eastAsia="Book Antiqua" w:cs="Book Antiqua"/>
          <w:color w:val="000000" w:themeColor="text1"/>
          <w:lang w:val="en-US"/>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ivolumab, the first ICI used in adjuvant immunotherapy in the CheckMate-577 study</w:t>
      </w:r>
      <w:r>
        <w:rPr>
          <w:rFonts w:ascii="Book Antiqua" w:hAnsi="Book Antiqua" w:eastAsia="Book Antiqua" w:cs="Book Antiqua"/>
          <w:color w:val="000000" w:themeColor="text1"/>
          <w:szCs w:val="30"/>
          <w:vertAlign w:val="superscript"/>
          <w14:textFill>
            <w14:solidFill>
              <w14:schemeClr w14:val="tx1"/>
            </w14:solidFill>
          </w14:textFill>
        </w:rPr>
        <w:t>[66]</w:t>
      </w:r>
      <w:r>
        <w:rPr>
          <w:rFonts w:ascii="Book Antiqua" w:hAnsi="Book Antiqua" w:eastAsia="Book Antiqua" w:cs="Book Antiqua"/>
          <w:color w:val="000000" w:themeColor="text1"/>
          <w14:textFill>
            <w14:solidFill>
              <w14:schemeClr w14:val="tx1"/>
            </w14:solidFill>
          </w14:textFill>
        </w:rPr>
        <w:t>. The results of this trial, known as the FRONTiER study (NCT03914443), are eagerly anticipated</w:t>
      </w:r>
      <w:r>
        <w:rPr>
          <w:rFonts w:ascii="Book Antiqua" w:hAnsi="Book Antiqua" w:eastAsia="Book Antiqua" w:cs="Book Antiqua"/>
          <w:color w:val="000000" w:themeColor="text1"/>
          <w:szCs w:val="30"/>
          <w:vertAlign w:val="superscript"/>
          <w14:textFill>
            <w14:solidFill>
              <w14:schemeClr w14:val="tx1"/>
            </w14:solidFill>
          </w14:textFill>
        </w:rPr>
        <w:t>[67]</w:t>
      </w:r>
      <w:r>
        <w:rPr>
          <w:rFonts w:ascii="Book Antiqua" w:hAnsi="Book Antiqua" w:eastAsia="Book Antiqua" w:cs="Book Antiqua"/>
          <w:color w:val="000000" w:themeColor="text1"/>
          <w14:textFill>
            <w14:solidFill>
              <w14:schemeClr w14:val="tx1"/>
            </w14:solidFill>
          </w14:textFill>
        </w:rPr>
        <w:t>. In Table 1, four reports were retrospective in nature, while the other 21 reports were prospective, with 20 of them being single-arm trials. Only three studies employed neoadjuvant immunotherapy in combination with concurrent CRT as an intervention. In studies involving neoadjuvant immunotherapy combined with chemotherapy, the chemotherapy drugs used included 5-fluorouracil (5-FU), cisplatin (DDP), carboplatin (CBP), nedaplatin (NDP), paclitaxel (PTX), docetaxel (DTX), albumin-bound paclitaxel (nab-PTX), and PTX liposomes. Over the past few years, the use and dosages of these chemotherapy drugs have demonstrated efficacy for ESCC treatment in clinical settings. Most surgeons have chosen an interval time of 4-6 wk from the end of neoadjuvant therapy to surgery. The primary outcomes of utmost concern to doctors are safety, feasibility, and pCR, while MPR and R0 resection rate are commonly selected as primary or secondary outcomes.</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Ensuring the safety of participants is of utmost importance in clinical trials, and the occurrence of trAEs is a key indicator in assessing the safety of neoadjuvant immunotherapy</w:t>
      </w:r>
      <w:r>
        <w:rPr>
          <w:rFonts w:ascii="Book Antiqua" w:hAnsi="Book Antiqua" w:eastAsia="Book Antiqua" w:cs="Book Antiqua"/>
          <w:color w:val="000000" w:themeColor="text1"/>
          <w:szCs w:val="30"/>
          <w:vertAlign w:val="superscript"/>
          <w14:textFill>
            <w14:solidFill>
              <w14:schemeClr w14:val="tx1"/>
            </w14:solidFill>
          </w14:textFill>
        </w:rPr>
        <w:t>[68]</w:t>
      </w:r>
      <w:r>
        <w:rPr>
          <w:rFonts w:ascii="Book Antiqua" w:hAnsi="Book Antiqua" w:eastAsia="Book Antiqua" w:cs="Book Antiqua"/>
          <w:color w:val="000000" w:themeColor="text1"/>
          <w14:textFill>
            <w14:solidFill>
              <w14:schemeClr w14:val="tx1"/>
            </w14:solidFill>
          </w14:textFill>
        </w:rPr>
        <w:t>. When ICIs are combined with other anti-cancer therapies, such as chemotherapy, immunotherapy, targeted therapy, or radiotherapy, the incidence of trAEs is significantly higher compared to the use of ICIs alone</w:t>
      </w:r>
      <w:r>
        <w:rPr>
          <w:rFonts w:ascii="Book Antiqua" w:hAnsi="Book Antiqua" w:eastAsia="Book Antiqua" w:cs="Book Antiqua"/>
          <w:color w:val="000000" w:themeColor="text1"/>
          <w:szCs w:val="30"/>
          <w:vertAlign w:val="superscript"/>
          <w14:textFill>
            <w14:solidFill>
              <w14:schemeClr w14:val="tx1"/>
            </w14:solidFill>
          </w14:textFill>
        </w:rPr>
        <w:t>[69]</w:t>
      </w:r>
      <w:r>
        <w:rPr>
          <w:rFonts w:ascii="Book Antiqua" w:hAnsi="Book Antiqua" w:eastAsia="Book Antiqua" w:cs="Book Antiqua"/>
          <w:color w:val="000000" w:themeColor="text1"/>
          <w14:textFill>
            <w14:solidFill>
              <w14:schemeClr w14:val="tx1"/>
            </w14:solidFill>
          </w14:textFill>
        </w:rPr>
        <w:t>. These trAEs can affect various organs, with the most common being endocrine (hypothyroidism and hyperthyroidism), gastrointestinal (diarrhea and colitis), pulmonary (pneumonitis), dermatological (rash and pruritus), and hepatic (elevated liver enzymes) complications</w:t>
      </w:r>
      <w:r>
        <w:rPr>
          <w:rFonts w:ascii="Book Antiqua" w:hAnsi="Book Antiqua" w:eastAsia="Book Antiqua" w:cs="Book Antiqua"/>
          <w:color w:val="000000" w:themeColor="text1"/>
          <w:szCs w:val="30"/>
          <w:vertAlign w:val="superscript"/>
          <w14:textFill>
            <w14:solidFill>
              <w14:schemeClr w14:val="tx1"/>
            </w14:solidFill>
          </w14:textFill>
        </w:rPr>
        <w:t>[70,71]</w:t>
      </w:r>
      <w:r>
        <w:rPr>
          <w:rFonts w:ascii="Book Antiqua" w:hAnsi="Book Antiqua" w:eastAsia="Book Antiqua" w:cs="Book Antiqua"/>
          <w:color w:val="000000" w:themeColor="text1"/>
          <w14:textFill>
            <w14:solidFill>
              <w14:schemeClr w14:val="tx1"/>
            </w14:solidFill>
          </w14:textFill>
        </w:rPr>
        <w:t>. The majority of trAEs (grades 1-2) are self-limiting or can be managed with immunosuppressive therapy, such as corticosteroids. However, persistent trAEs that do not respond to corticosteroids require close monitoring and appropriate treatment. Fatal trAEs are extremely rare for anti-PD-1 antibodies, with an incidence of less than 0.5% in a meta-analysis of ICI monotherapy studies across various cancer types, most commonly associated with pneumonitis</w:t>
      </w:r>
      <w:r>
        <w:rPr>
          <w:rFonts w:ascii="Book Antiqua" w:hAnsi="Book Antiqua" w:eastAsia="Book Antiqua" w:cs="Book Antiqua"/>
          <w:color w:val="000000" w:themeColor="text1"/>
          <w:szCs w:val="30"/>
          <w:vertAlign w:val="superscript"/>
          <w14:textFill>
            <w14:solidFill>
              <w14:schemeClr w14:val="tx1"/>
            </w14:solidFill>
          </w14:textFill>
        </w:rPr>
        <w:t>[71]</w:t>
      </w:r>
      <w:r>
        <w:rPr>
          <w:rFonts w:ascii="Book Antiqua" w:hAnsi="Book Antiqua" w:eastAsia="Book Antiqua" w:cs="Book Antiqua"/>
          <w:color w:val="000000" w:themeColor="text1"/>
          <w14:textFill>
            <w14:solidFill>
              <w14:schemeClr w14:val="tx1"/>
            </w14:solidFill>
          </w14:textFill>
        </w:rPr>
        <w:t xml:space="preserve">. The incidence of serious trAEs (grade ≥ 3) in neoadjuvant ICI plus chemotherapy ranged from 0% to 36.7% in the studies presented in Table 1. Notably, the combination of chemotherapy with </w:t>
      </w:r>
      <w:r>
        <w:rPr>
          <w:rFonts w:hint="default" w:ascii="Book Antiqua" w:hAnsi="Book Antiqua" w:eastAsia="Book Antiqua" w:cs="Book Antiqua"/>
          <w:color w:val="000000" w:themeColor="text1"/>
          <w:lang w:val="en-US"/>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 xml:space="preserve">amrelizumab and </w:t>
      </w:r>
      <w:r>
        <w:rPr>
          <w:rFonts w:hint="default" w:ascii="Book Antiqua" w:hAnsi="Book Antiqua" w:eastAsia="Book Antiqua" w:cs="Book Antiqua"/>
          <w:color w:val="000000" w:themeColor="text1"/>
          <w:lang w:val="en-US"/>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 xml:space="preserve">patinib resulted in the highest incidence of patients experiencing serious trAEs (36.7%). In another meta-analysis comparing the efficacy and safety of various ICIs for patients with advanced or metastatic ESCC, </w:t>
      </w:r>
      <w:r>
        <w:rPr>
          <w:rFonts w:hint="default" w:ascii="Book Antiqua" w:hAnsi="Book Antiqua" w:eastAsia="Book Antiqua" w:cs="Book Antiqua"/>
          <w:color w:val="000000" w:themeColor="text1"/>
          <w:lang w:val="en-US"/>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 xml:space="preserve">amrelizumab and </w:t>
      </w:r>
      <w:r>
        <w:rPr>
          <w:rFonts w:hint="default" w:ascii="Book Antiqua" w:hAnsi="Book Antiqua" w:eastAsia="Book Antiqua" w:cs="Book Antiqua"/>
          <w:color w:val="000000" w:themeColor="text1"/>
          <w:lang w:val="en-US"/>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ivolumab were found to have a lower incidence of serious trAEs in the first-line and refractory settings, respectively</w:t>
      </w:r>
      <w:r>
        <w:rPr>
          <w:rFonts w:ascii="Book Antiqua" w:hAnsi="Book Antiqua" w:eastAsia="Book Antiqua" w:cs="Book Antiqua"/>
          <w:color w:val="000000" w:themeColor="text1"/>
          <w:szCs w:val="30"/>
          <w:vertAlign w:val="superscript"/>
          <w14:textFill>
            <w14:solidFill>
              <w14:schemeClr w14:val="tx1"/>
            </w14:solidFill>
          </w14:textFill>
        </w:rPr>
        <w:t>[72]</w:t>
      </w:r>
      <w:r>
        <w:rPr>
          <w:rFonts w:ascii="Book Antiqua" w:hAnsi="Book Antiqua" w:eastAsia="Book Antiqua" w:cs="Book Antiqua"/>
          <w:color w:val="000000" w:themeColor="text1"/>
          <w14:textFill>
            <w14:solidFill>
              <w14:schemeClr w14:val="tx1"/>
            </w14:solidFill>
          </w14:textFill>
        </w:rPr>
        <w:t>. Close monitoring and early recognition of relevant symptoms and signs are essential to ensure appropriate management.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Feasibility can be assessed by comparing the completion rate of the trial. In </w:t>
      </w:r>
      <w:r>
        <w:rPr>
          <w:rFonts w:hint="eastAsia" w:ascii="Book Antiqua" w:hAnsi="Book Antiqua" w:eastAsia="宋体" w:cs="Book Antiqua"/>
          <w:color w:val="000000" w:themeColor="text1"/>
          <w:lang w:val="en-US" w:eastAsia="zh-CN"/>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 xml:space="preserve"> pooled analysis, the rates of completion of neoadjuvant therapy and surgery ranged from 49.4% (Camrelizumab + nab-PTX + NDP) to 100% (Sintilimab + PTX liposome, DDP, and S-1). Failures in the study were mainly attributed to trAEs</w:t>
      </w:r>
      <w:r>
        <w:rPr>
          <w:rFonts w:ascii="Book Antiqua" w:hAnsi="Book Antiqua" w:eastAsia="Book Antiqua" w:cs="Book Antiqua"/>
          <w:color w:val="000000" w:themeColor="text1"/>
          <w:szCs w:val="30"/>
          <w:vertAlign w:val="superscript"/>
          <w14:textFill>
            <w14:solidFill>
              <w14:schemeClr w14:val="tx1"/>
            </w14:solidFill>
          </w14:textFill>
        </w:rPr>
        <w:t>[73,74]</w:t>
      </w:r>
      <w:r>
        <w:rPr>
          <w:rFonts w:ascii="Book Antiqua" w:hAnsi="Book Antiqua" w:eastAsia="Book Antiqua" w:cs="Book Antiqua"/>
          <w:color w:val="000000" w:themeColor="text1"/>
          <w14:textFill>
            <w14:solidFill>
              <w14:schemeClr w14:val="tx1"/>
            </w14:solidFill>
          </w14:textFill>
        </w:rPr>
        <w:t>, patient decisions</w:t>
      </w:r>
      <w:r>
        <w:rPr>
          <w:rFonts w:ascii="Book Antiqua" w:hAnsi="Book Antiqua" w:eastAsia="Book Antiqua" w:cs="Book Antiqua"/>
          <w:color w:val="000000" w:themeColor="text1"/>
          <w:szCs w:val="30"/>
          <w:vertAlign w:val="superscript"/>
          <w14:textFill>
            <w14:solidFill>
              <w14:schemeClr w14:val="tx1"/>
            </w14:solidFill>
          </w14:textFill>
        </w:rPr>
        <w:t>[75-77]</w:t>
      </w:r>
      <w:r>
        <w:rPr>
          <w:rFonts w:ascii="Book Antiqua" w:hAnsi="Book Antiqua" w:eastAsia="Book Antiqua" w:cs="Book Antiqua"/>
          <w:color w:val="000000" w:themeColor="text1"/>
          <w14:textFill>
            <w14:solidFill>
              <w14:schemeClr w14:val="tx1"/>
            </w14:solidFill>
          </w14:textFill>
        </w:rPr>
        <w:t>, or disease progression</w:t>
      </w:r>
      <w:r>
        <w:rPr>
          <w:rFonts w:ascii="Book Antiqua" w:hAnsi="Book Antiqua" w:eastAsia="Book Antiqua" w:cs="Book Antiqua"/>
          <w:color w:val="000000" w:themeColor="text1"/>
          <w:szCs w:val="30"/>
          <w:vertAlign w:val="superscript"/>
          <w14:textFill>
            <w14:solidFill>
              <w14:schemeClr w14:val="tx1"/>
            </w14:solidFill>
          </w14:textFill>
        </w:rPr>
        <w:t>[78]</w:t>
      </w:r>
      <w:r>
        <w:rPr>
          <w:rFonts w:ascii="Book Antiqua" w:hAnsi="Book Antiqua" w:eastAsia="Book Antiqua" w:cs="Book Antiqua"/>
          <w:color w:val="000000" w:themeColor="text1"/>
          <w14:textFill>
            <w14:solidFill>
              <w14:schemeClr w14:val="tx1"/>
            </w14:solidFill>
          </w14:textFill>
        </w:rPr>
        <w:t>. As most trials achieved a treatment completion rate of over 60%, interpreting the data in the conference abstract (ChiCTR2000039170) is challenging.</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definition of pCR is the absence of any signs of cancer on a histological resection specimen. The pCR rate is a crucial efficacy-related parameter reported in all studies, with some studies choosing it as a secondary outcome. In a meta-analysis of </w:t>
      </w:r>
      <w:r>
        <w:rPr>
          <w:rFonts w:hint="eastAsia" w:ascii="Book Antiqua" w:hAnsi="Book Antiqua" w:eastAsia="宋体" w:cs="Book Antiqua"/>
          <w:color w:val="000000" w:themeColor="text1"/>
          <w:lang w:val="en-US" w:eastAsia="zh-CN"/>
          <w14:textFill>
            <w14:solidFill>
              <w14:schemeClr w14:val="tx1"/>
            </w14:solidFill>
          </w14:textFill>
        </w:rPr>
        <w:t>seven</w:t>
      </w:r>
      <w:r>
        <w:rPr>
          <w:rFonts w:ascii="Book Antiqua" w:hAnsi="Book Antiqua" w:eastAsia="Book Antiqua" w:cs="Book Antiqua"/>
          <w:color w:val="000000" w:themeColor="text1"/>
          <w14:textFill>
            <w14:solidFill>
              <w14:schemeClr w14:val="tx1"/>
            </w14:solidFill>
          </w14:textFill>
        </w:rPr>
        <w:t xml:space="preserve"> clinical trials involving 815 patients, the pooled pCR rate was 32.4% (95%</w:t>
      </w:r>
      <w:r>
        <w:rPr>
          <w:rFonts w:hint="eastAsia" w:ascii="Book Antiqua" w:hAnsi="Book Antiqua" w:eastAsia="宋体" w:cs="Book Antiqua"/>
          <w:color w:val="000000" w:themeColor="text1"/>
          <w:lang w:val="en-US" w:eastAsia="zh-CN"/>
          <w14:textFill>
            <w14:solidFill>
              <w14:schemeClr w14:val="tx1"/>
            </w14:solidFill>
          </w14:textFill>
        </w:rPr>
        <w:t xml:space="preserve"> confidence interval [</w:t>
      </w:r>
      <w:r>
        <w:rPr>
          <w:rFonts w:ascii="Book Antiqua" w:hAnsi="Book Antiqua" w:eastAsia="Book Antiqua" w:cs="Book Antiqua"/>
          <w:color w:val="000000" w:themeColor="text1"/>
          <w14:textFill>
            <w14:solidFill>
              <w14:schemeClr w14:val="tx1"/>
            </w14:solidFill>
          </w14:textFill>
        </w:rPr>
        <w:t>CI</w:t>
      </w:r>
      <w:r>
        <w:rPr>
          <w:rFonts w:hint="eastAsia" w:ascii="Book Antiqua" w:hAnsi="Book Antiqua" w:eastAsia="宋体" w:cs="Book Antiqua"/>
          <w:color w:val="000000" w:themeColor="text1"/>
          <w:lang w:val="en-US"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28.2%-36.8%)</w:t>
      </w:r>
      <w:r>
        <w:rPr>
          <w:rFonts w:ascii="Book Antiqua" w:hAnsi="Book Antiqua" w:eastAsia="Book Antiqua" w:cs="Book Antiqua"/>
          <w:color w:val="000000" w:themeColor="text1"/>
          <w:szCs w:val="30"/>
          <w:vertAlign w:val="superscript"/>
          <w14:textFill>
            <w14:solidFill>
              <w14:schemeClr w14:val="tx1"/>
            </w14:solidFill>
          </w14:textFill>
        </w:rPr>
        <w:t>[79]</w:t>
      </w:r>
      <w:r>
        <w:rPr>
          <w:rFonts w:ascii="Book Antiqua" w:hAnsi="Book Antiqua" w:eastAsia="Book Antiqua" w:cs="Book Antiqua"/>
          <w:color w:val="000000" w:themeColor="text1"/>
          <w14:textFill>
            <w14:solidFill>
              <w14:schemeClr w14:val="tx1"/>
            </w14:solidFill>
          </w14:textFill>
        </w:rPr>
        <w:t>. Data from Table 1 shows that the pCR rate ranges from 6.7% to 46.1%. The definition of MPR is the presence of less than 10% of the remaining viable tumor cells in the resected primary tumor. In the aforementioned meta-analysis, the pooled MPR rate was 49.4% (95%CI: 42.1%-56.7%)</w:t>
      </w:r>
      <w:r>
        <w:rPr>
          <w:rFonts w:ascii="Book Antiqua" w:hAnsi="Book Antiqua" w:eastAsia="Book Antiqua" w:cs="Book Antiqua"/>
          <w:color w:val="000000" w:themeColor="text1"/>
          <w:szCs w:val="30"/>
          <w:vertAlign w:val="superscript"/>
          <w14:textFill>
            <w14:solidFill>
              <w14:schemeClr w14:val="tx1"/>
            </w14:solidFill>
          </w14:textFill>
        </w:rPr>
        <w:t>[79]</w:t>
      </w:r>
      <w:r>
        <w:rPr>
          <w:rFonts w:ascii="Book Antiqua" w:hAnsi="Book Antiqua" w:eastAsia="Book Antiqua" w:cs="Book Antiqua"/>
          <w:color w:val="000000" w:themeColor="text1"/>
          <w14:textFill>
            <w14:solidFill>
              <w14:schemeClr w14:val="tx1"/>
            </w14:solidFill>
          </w14:textFill>
        </w:rPr>
        <w:t xml:space="preserve">. MPR rate was chosen as </w:t>
      </w:r>
      <w:r>
        <w:rPr>
          <w:rFonts w:hint="eastAsia" w:ascii="Book Antiqua" w:hAnsi="Book Antiqua" w:eastAsia="宋体" w:cs="Book Antiqua"/>
          <w:color w:val="000000" w:themeColor="text1"/>
          <w:lang w:val="en-US" w:eastAsia="zh-CN"/>
          <w14:textFill>
            <w14:solidFill>
              <w14:schemeClr w14:val="tx1"/>
            </w14:solidFill>
          </w14:textFill>
        </w:rPr>
        <w:t>the</w:t>
      </w:r>
      <w:r>
        <w:rPr>
          <w:rFonts w:ascii="Book Antiqua" w:hAnsi="Book Antiqua" w:eastAsia="Book Antiqua" w:cs="Book Antiqua"/>
          <w:color w:val="000000" w:themeColor="text1"/>
          <w14:textFill>
            <w14:solidFill>
              <w14:schemeClr w14:val="tx1"/>
            </w14:solidFill>
          </w14:textFill>
        </w:rPr>
        <w:t xml:space="preserve"> primary outcome in four studies and seemed to be a second primary outcome in the main studies verified in Table 1, with reported rates ranging from 42% to 72.3%</w:t>
      </w:r>
      <w:r>
        <w:rPr>
          <w:rFonts w:ascii="Book Antiqua" w:hAnsi="Book Antiqua" w:eastAsia="Book Antiqua" w:cs="Book Antiqua"/>
          <w:color w:val="000000" w:themeColor="text1"/>
          <w:szCs w:val="30"/>
          <w:vertAlign w:val="superscript"/>
          <w14:textFill>
            <w14:solidFill>
              <w14:schemeClr w14:val="tx1"/>
            </w14:solidFill>
          </w14:textFill>
        </w:rPr>
        <w:t>[73,76,77,80-83]</w:t>
      </w:r>
      <w:r>
        <w:rPr>
          <w:rFonts w:ascii="Book Antiqua" w:hAnsi="Book Antiqua" w:eastAsia="Book Antiqua" w:cs="Book Antiqua"/>
          <w:color w:val="000000" w:themeColor="text1"/>
          <w14:textFill>
            <w14:solidFill>
              <w14:schemeClr w14:val="tx1"/>
            </w14:solidFill>
          </w14:textFill>
        </w:rPr>
        <w:t>. The R0 resection rate is defined as a complete resection of the tumor with a negative microscopic edge, indicating no residual tumor. It is another crucial indicator to evaluate the effectiveness of neoadjuvant therapy. The R0 resection rate in Table 1 range</w:t>
      </w:r>
      <w:r>
        <w:rPr>
          <w:rFonts w:hint="eastAsia" w:ascii="Book Antiqua" w:hAnsi="Book Antiqua" w:eastAsia="宋体" w:cs="Book Antiqua"/>
          <w:color w:val="000000" w:themeColor="text1"/>
          <w:lang w:val="en-US"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from 80.4% to 100%, which indicates positive outcomes.</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i/>
          <w:iCs/>
          <w:color w:val="000000" w:themeColor="text1"/>
          <w:shd w:val="clear" w:color="auto" w:fill="FFFFFF"/>
          <w14:textFill>
            <w14:solidFill>
              <w14:schemeClr w14:val="tx1"/>
            </w14:solidFill>
          </w14:textFill>
        </w:rPr>
        <w:t>Ongoing clinical trials in neoadjuvant immunotherapy</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This period marks a surge in clinical trials focused on neoadjuvant immunotherapy, particularly for perioperative </w:t>
      </w:r>
      <w:r>
        <w:rPr>
          <w:rFonts w:hint="eastAsia" w:ascii="Book Antiqua" w:hAnsi="Book Antiqua" w:eastAsia="宋体" w:cs="Book Antiqua"/>
          <w:color w:val="000000" w:themeColor="text1"/>
          <w:lang w:val="en-US" w:eastAsia="zh-CN"/>
          <w14:textFill>
            <w14:solidFill>
              <w14:schemeClr w14:val="tx1"/>
            </w14:solidFill>
          </w14:textFill>
        </w:rPr>
        <w:t xml:space="preserve">treatment of </w:t>
      </w:r>
      <w:r>
        <w:rPr>
          <w:rFonts w:ascii="Book Antiqua" w:hAnsi="Book Antiqua" w:eastAsia="Book Antiqua" w:cs="Book Antiqua"/>
          <w:color w:val="000000" w:themeColor="text1"/>
          <w14:textFill>
            <w14:solidFill>
              <w14:schemeClr w14:val="tx1"/>
            </w14:solidFill>
          </w14:textFill>
        </w:rPr>
        <w:t xml:space="preserve">ESCC, with a significant number of ongoing RCTs, especially led by Chinese investigators (Table 2). Eight ICIs are currently under investigation, with dozens of trials in progress. PD-1 is the primary target in seven of these trials, while Adebrelimab targets PD-L1. Camrelizumab is the most extensively studied ICI, </w:t>
      </w:r>
      <w:r>
        <w:rPr>
          <w:rFonts w:hint="eastAsia" w:ascii="Book Antiqua" w:hAnsi="Book Antiqua" w:eastAsia="宋体" w:cs="Book Antiqua"/>
          <w:color w:val="000000" w:themeColor="text1"/>
          <w:lang w:val="en-US" w:eastAsia="zh-CN"/>
          <w14:textFill>
            <w14:solidFill>
              <w14:schemeClr w14:val="tx1"/>
            </w14:solidFill>
          </w14:textFill>
        </w:rPr>
        <w:t>involved</w:t>
      </w:r>
      <w:r>
        <w:rPr>
          <w:rFonts w:ascii="Book Antiqua" w:hAnsi="Book Antiqua" w:eastAsia="Book Antiqua" w:cs="Book Antiqua"/>
          <w:color w:val="000000" w:themeColor="text1"/>
          <w14:textFill>
            <w14:solidFill>
              <w14:schemeClr w14:val="tx1"/>
            </w14:solidFill>
          </w14:textFill>
        </w:rPr>
        <w:t xml:space="preserve"> in </w:t>
      </w:r>
      <w:r>
        <w:rPr>
          <w:rFonts w:hint="eastAsia" w:ascii="Book Antiqua" w:hAnsi="Book Antiqua" w:eastAsia="宋体" w:cs="Book Antiqua"/>
          <w:color w:val="000000" w:themeColor="text1"/>
          <w:lang w:val="en-US" w:eastAsia="zh-CN"/>
          <w14:textFill>
            <w14:solidFill>
              <w14:schemeClr w14:val="tx1"/>
            </w14:solidFill>
          </w14:textFill>
        </w:rPr>
        <w:t>ten</w:t>
      </w:r>
      <w:r>
        <w:rPr>
          <w:rFonts w:ascii="Book Antiqua" w:hAnsi="Book Antiqua" w:eastAsia="Book Antiqua" w:cs="Book Antiqua"/>
          <w:color w:val="000000" w:themeColor="text1"/>
          <w14:textFill>
            <w14:solidFill>
              <w14:schemeClr w14:val="tx1"/>
            </w14:solidFill>
          </w14:textFill>
        </w:rPr>
        <w:t xml:space="preserve"> clinical trials, followed by Toripalimab with seven trials. Among these trials, there are 23 single-arm studies, 11 two-arm studies, </w:t>
      </w:r>
      <w:r>
        <w:rPr>
          <w:rFonts w:hint="eastAsia" w:ascii="Book Antiqua" w:hAnsi="Book Antiqua" w:eastAsia="宋体" w:cs="Book Antiqua"/>
          <w:color w:val="000000" w:themeColor="text1"/>
          <w:lang w:val="en-US" w:eastAsia="zh-CN"/>
          <w14:textFill>
            <w14:solidFill>
              <w14:schemeClr w14:val="tx1"/>
            </w14:solidFill>
          </w14:textFill>
        </w:rPr>
        <w:t>two</w:t>
      </w:r>
      <w:r>
        <w:rPr>
          <w:rFonts w:ascii="Book Antiqua" w:hAnsi="Book Antiqua" w:eastAsia="Book Antiqua" w:cs="Book Antiqua"/>
          <w:color w:val="000000" w:themeColor="text1"/>
          <w14:textFill>
            <w14:solidFill>
              <w14:schemeClr w14:val="tx1"/>
            </w14:solidFill>
          </w14:textFill>
        </w:rPr>
        <w:t xml:space="preserve"> three-arm studies, and </w:t>
      </w:r>
      <w:r>
        <w:rPr>
          <w:rFonts w:hint="eastAsia" w:ascii="Book Antiqua" w:hAnsi="Book Antiqua" w:eastAsia="宋体" w:cs="Book Antiqua"/>
          <w:color w:val="000000" w:themeColor="text1"/>
          <w:lang w:val="en-US" w:eastAsia="zh-CN"/>
          <w14:textFill>
            <w14:solidFill>
              <w14:schemeClr w14:val="tx1"/>
            </w14:solidFill>
          </w14:textFill>
        </w:rPr>
        <w:t>one</w:t>
      </w:r>
      <w:r>
        <w:rPr>
          <w:rFonts w:ascii="Book Antiqua" w:hAnsi="Book Antiqua" w:eastAsia="Book Antiqua" w:cs="Book Antiqua"/>
          <w:color w:val="000000" w:themeColor="text1"/>
          <w14:textFill>
            <w14:solidFill>
              <w14:schemeClr w14:val="tx1"/>
            </w14:solidFill>
          </w14:textFill>
        </w:rPr>
        <w:t xml:space="preserve"> four-arm study.</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An array of combinations of new adjuvant therapies for ESCC are constantly emerging. Most ICIs are being utilized as neoadjuvant adjuncts, combined with chemotherapy in 13 trials or CRT in 18 trials. Adebrelimab, a PD-L1-targeting ICI, is used alone in one trial (NCT04215471), as is Nivolumab in another (NCT03987815). Camrelizumab, on the other hand, is being combined with radiotherapy (NCT05176002</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 xml:space="preserve"> and</w:t>
      </w:r>
      <w:r>
        <w:rPr>
          <w:rFonts w:ascii="Book Antiqua" w:hAnsi="Book Antiqua" w:eastAsia="Book Antiqua" w:cs="Book Antiqua"/>
          <w:color w:val="000000" w:themeColor="text1"/>
          <w:shd w:val="clear" w:color="auto" w:fill="FFFFFF"/>
          <w14:textFill>
            <w14:solidFill>
              <w14:schemeClr w14:val="tx1"/>
            </w14:solidFill>
          </w14:textFill>
        </w:rPr>
        <w:t xml:space="preserve"> NCT03200691), or paired with multitargeted small molecule inhibitors and CRT or chemotherapy (NCT04666090), or further combined with both CRT and an anti-EGFR antibody (NCT05355168).</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Several large medical centers are now conducting </w:t>
      </w:r>
      <w:r>
        <w:rPr>
          <w:rFonts w:hint="eastAsia" w:ascii="Book Antiqua" w:hAnsi="Book Antiqua" w:eastAsia="宋体" w:cs="Book Antiqua"/>
          <w:color w:val="000000" w:themeColor="text1"/>
          <w:lang w:val="en-US" w:eastAsia="zh-CN"/>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hase</w:t>
      </w:r>
      <w:r>
        <w:rPr>
          <w:rFonts w:hint="eastAsia" w:ascii="Book Antiqua" w:hAnsi="Book Antiqua" w:eastAsia="宋体" w:cs="Book Antiqua"/>
          <w:color w:val="000000" w:themeColor="text1"/>
          <w:lang w:val="en-US"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II and III clinical studies based on promising results from </w:t>
      </w:r>
      <w:r>
        <w:rPr>
          <w:rFonts w:hint="eastAsia" w:ascii="Book Antiqua" w:hAnsi="Book Antiqua" w:eastAsia="宋体" w:cs="Book Antiqua"/>
          <w:color w:val="000000" w:themeColor="text1"/>
          <w:lang w:val="en-US" w:eastAsia="zh-CN"/>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hase</w:t>
      </w:r>
      <w:r>
        <w:rPr>
          <w:rFonts w:hint="eastAsia" w:ascii="Book Antiqua" w:hAnsi="Book Antiqua" w:eastAsia="宋体" w:cs="Book Antiqua"/>
          <w:color w:val="000000" w:themeColor="text1"/>
          <w:lang w:val="en-US"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I and II studies. Examples include PALACE-2 (NCT04435197)</w:t>
      </w:r>
      <w:r>
        <w:rPr>
          <w:rFonts w:ascii="Book Antiqua" w:hAnsi="Book Antiqua" w:eastAsia="Book Antiqua" w:cs="Book Antiqua"/>
          <w:color w:val="000000" w:themeColor="text1"/>
          <w:szCs w:val="30"/>
          <w:vertAlign w:val="superscript"/>
          <w14:textFill>
            <w14:solidFill>
              <w14:schemeClr w14:val="tx1"/>
            </w14:solidFill>
          </w14:textFill>
        </w:rPr>
        <w:t>[84]</w:t>
      </w:r>
      <w:r>
        <w:rPr>
          <w:rFonts w:ascii="Book Antiqua" w:hAnsi="Book Antiqua" w:eastAsia="Book Antiqua" w:cs="Book Antiqua"/>
          <w:color w:val="000000" w:themeColor="text1"/>
          <w14:textFill>
            <w14:solidFill>
              <w14:schemeClr w14:val="tx1"/>
            </w14:solidFill>
          </w14:textFill>
        </w:rPr>
        <w:t>, an advancement of PALACE-1 (NCT03792347)</w:t>
      </w:r>
      <w:r>
        <w:rPr>
          <w:rFonts w:ascii="Book Antiqua" w:hAnsi="Book Antiqua" w:eastAsia="Book Antiqua" w:cs="Book Antiqua"/>
          <w:color w:val="000000" w:themeColor="text1"/>
          <w:szCs w:val="30"/>
          <w:vertAlign w:val="superscript"/>
          <w14:textFill>
            <w14:solidFill>
              <w14:schemeClr w14:val="tx1"/>
            </w14:solidFill>
          </w14:textFill>
        </w:rPr>
        <w:t>[85]</w:t>
      </w:r>
      <w:r>
        <w:rPr>
          <w:rFonts w:ascii="Book Antiqua" w:hAnsi="Book Antiqua" w:eastAsia="Book Antiqua" w:cs="Book Antiqua"/>
          <w:color w:val="000000" w:themeColor="text1"/>
          <w14:textFill>
            <w14:solidFill>
              <w14:schemeClr w14:val="tx1"/>
            </w14:solidFill>
          </w14:textFill>
        </w:rPr>
        <w:t>, and KEYSTONE-002 (NCT04807673)</w:t>
      </w:r>
      <w:r>
        <w:rPr>
          <w:rFonts w:ascii="Book Antiqua" w:hAnsi="Book Antiqua" w:eastAsia="Book Antiqua" w:cs="Book Antiqua"/>
          <w:color w:val="000000" w:themeColor="text1"/>
          <w:szCs w:val="30"/>
          <w:vertAlign w:val="superscript"/>
          <w14:textFill>
            <w14:solidFill>
              <w14:schemeClr w14:val="tx1"/>
            </w14:solidFill>
          </w14:textFill>
        </w:rPr>
        <w:t>[86]</w:t>
      </w:r>
      <w:r>
        <w:rPr>
          <w:rFonts w:ascii="Book Antiqua" w:hAnsi="Book Antiqua" w:eastAsia="Book Antiqua" w:cs="Book Antiqua"/>
          <w:color w:val="000000" w:themeColor="text1"/>
          <w14:textFill>
            <w14:solidFill>
              <w14:schemeClr w14:val="tx1"/>
            </w14:solidFill>
          </w14:textFill>
        </w:rPr>
        <w:t>, another advancement based on Keystone-001 (NCT04389177)</w:t>
      </w:r>
      <w:r>
        <w:rPr>
          <w:rFonts w:ascii="Book Antiqua" w:hAnsi="Book Antiqua" w:eastAsia="Book Antiqua" w:cs="Book Antiqua"/>
          <w:color w:val="000000" w:themeColor="text1"/>
          <w:szCs w:val="30"/>
          <w:vertAlign w:val="superscript"/>
          <w14:textFill>
            <w14:solidFill>
              <w14:schemeClr w14:val="tx1"/>
            </w14:solidFill>
          </w14:textFill>
        </w:rPr>
        <w:t>[80]</w:t>
      </w:r>
      <w:r>
        <w:rPr>
          <w:rFonts w:ascii="Book Antiqua" w:hAnsi="Book Antiqua" w:eastAsia="Book Antiqua" w:cs="Book Antiqua"/>
          <w:color w:val="000000" w:themeColor="text1"/>
          <w14:textFill>
            <w14:solidFill>
              <w14:schemeClr w14:val="tx1"/>
            </w14:solidFill>
          </w14:textFill>
        </w:rPr>
        <w:t>. Although Pembrolizumab is the ICI being studied in both series of trials, the PALACE trial</w:t>
      </w:r>
      <w:r>
        <w:rPr>
          <w:rFonts w:hint="eastAsia" w:ascii="Book Antiqua" w:hAnsi="Book Antiqua" w:eastAsia="宋体" w:cs="Book Antiqua"/>
          <w:color w:val="000000" w:themeColor="text1"/>
          <w:lang w:val="en-US" w:eastAsia="zh-CN"/>
          <w14:textFill>
            <w14:solidFill>
              <w14:schemeClr w14:val="tx1"/>
            </w14:solidFill>
          </w14:textFill>
        </w:rPr>
        <w:t xml:space="preserve"> was</w:t>
      </w:r>
      <w:r>
        <w:rPr>
          <w:rFonts w:ascii="Book Antiqua" w:hAnsi="Book Antiqua" w:eastAsia="Book Antiqua" w:cs="Book Antiqua"/>
          <w:color w:val="000000" w:themeColor="text1"/>
          <w14:textFill>
            <w14:solidFill>
              <w14:schemeClr w14:val="tx1"/>
            </w14:solidFill>
          </w14:textFill>
        </w:rPr>
        <w:t xml:space="preserve"> designed as neoadjuvant immunotherapy combined with chemotherapy, while the Keystone trial </w:t>
      </w:r>
      <w:r>
        <w:rPr>
          <w:rFonts w:hint="eastAsia" w:ascii="Book Antiqua" w:hAnsi="Book Antiqua" w:eastAsia="宋体" w:cs="Book Antiqua"/>
          <w:color w:val="000000" w:themeColor="text1"/>
          <w:lang w:val="en-US" w:eastAsia="zh-CN"/>
          <w14:textFill>
            <w14:solidFill>
              <w14:schemeClr w14:val="tx1"/>
            </w14:solidFill>
          </w14:textFill>
        </w:rPr>
        <w:t>was</w:t>
      </w:r>
      <w:r>
        <w:rPr>
          <w:rFonts w:ascii="Book Antiqua" w:hAnsi="Book Antiqua" w:eastAsia="Book Antiqua" w:cs="Book Antiqua"/>
          <w:color w:val="000000" w:themeColor="text1"/>
          <w14:textFill>
            <w14:solidFill>
              <w14:schemeClr w14:val="tx1"/>
            </w14:solidFill>
          </w14:textFill>
        </w:rPr>
        <w:t xml:space="preserve"> designed as neoadjuvant combined with chemotherapy and adjuvant immunotherapy. Most chemotherapy regimens include taxols and platinum, with 5-FU being chosen in only two trials. The mainstream radiotherapy method utilizes 41.4 GY divided into 23 fractions, and the interval between neoadjuvant therapy and surgery ranges from 2 to 12 wk, with 4-6 wk being the most common choice. The primary outcome sought by most ongoing trials is pCR.</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i/>
          <w:iCs/>
          <w:color w:val="000000" w:themeColor="text1"/>
          <w:shd w:val="clear" w:color="auto" w:fill="FFFFFF"/>
          <w14:textFill>
            <w14:solidFill>
              <w14:schemeClr w14:val="tx1"/>
            </w14:solidFill>
          </w14:textFill>
        </w:rPr>
        <w:t>Ongoing clinical trials of adjuvant immunotherapy</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Despite the benefits of neoadjuvant chemoradiation in improving survival compared to surgery alone, achieving a pCR remains challenging, with persistent disease in LN</w:t>
      </w:r>
      <w:r>
        <w:rPr>
          <w:rFonts w:hint="eastAsia" w:ascii="Book Antiqua" w:hAnsi="Book Antiqua" w:eastAsia="Book Antiqua" w:cs="Book Antiqua"/>
          <w:color w:val="000000" w:themeColor="text1"/>
          <w:shd w:val="clear" w:color="auto" w:fill="FFFFFF"/>
          <w:lang w:eastAsia="zh-CN"/>
          <w14:textFill>
            <w14:solidFill>
              <w14:schemeClr w14:val="tx1"/>
            </w14:solidFill>
          </w14:textFill>
        </w:rPr>
        <w:t>s</w:t>
      </w:r>
      <w:r>
        <w:rPr>
          <w:rFonts w:ascii="Book Antiqua" w:hAnsi="Book Antiqua" w:eastAsia="Book Antiqua" w:cs="Book Antiqua"/>
          <w:color w:val="000000" w:themeColor="text1"/>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leading to decreased survival</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[66]</w:t>
      </w:r>
      <w:r>
        <w:rPr>
          <w:rFonts w:ascii="Book Antiqua" w:hAnsi="Book Antiqua" w:eastAsia="Book Antiqua" w:cs="Book Antiqua"/>
          <w:color w:val="000000" w:themeColor="text1"/>
          <w:shd w:val="clear" w:color="auto" w:fill="FFFFFF"/>
          <w14:textFill>
            <w14:solidFill>
              <w14:schemeClr w14:val="tx1"/>
            </w14:solidFill>
          </w14:textFill>
        </w:rPr>
        <w:t>. An RCT involving 346 patients with ESCC compared preoperative and perioperative chemotherapy. Both groups received two cycles of paclitaxel, cisplatin, and 5-fluorouracil before surgery, but only half received two cycles after surgery. The group receiving adjuvant chemotherapy showed an estimated 16% improvement in 5-year survival</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[87]</w:t>
      </w:r>
      <w:r>
        <w:rPr>
          <w:rFonts w:ascii="Book Antiqua" w:hAnsi="Book Antiqua" w:eastAsia="Book Antiqua" w:cs="Book Antiqua"/>
          <w:color w:val="000000" w:themeColor="text1"/>
          <w:shd w:val="clear" w:color="auto" w:fill="FFFFFF"/>
          <w14:textFill>
            <w14:solidFill>
              <w14:schemeClr w14:val="tx1"/>
            </w14:solidFill>
          </w14:textFill>
        </w:rPr>
        <w: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 xml:space="preserve">In contrast to neoadjuvant methods, adjuvant immunotherapy has received relatively little attention. The global CheckMate-577 trial, a randomized, double-blind, placebo-controlled phase III trial, demonstrated the DFS benefit of Nivolumab for ESCC (29.7 </w:t>
      </w:r>
      <w:r>
        <w:rPr>
          <w:rFonts w:ascii="Book Antiqua" w:hAnsi="Book Antiqua" w:eastAsia="Book Antiqua" w:cs="Book Antiqua"/>
          <w:i/>
          <w:iCs/>
          <w:color w:val="000000" w:themeColor="text1"/>
          <w:shd w:val="clear" w:color="auto" w:fill="FFFFFF"/>
          <w14:textFill>
            <w14:solidFill>
              <w14:schemeClr w14:val="tx1"/>
            </w14:solidFill>
          </w14:textFill>
        </w:rPr>
        <w:t>vs</w:t>
      </w:r>
      <w:r>
        <w:rPr>
          <w:rFonts w:ascii="Book Antiqua" w:hAnsi="Book Antiqua" w:eastAsia="Book Antiqua" w:cs="Book Antiqua"/>
          <w:color w:val="000000" w:themeColor="text1"/>
          <w:shd w:val="clear" w:color="auto" w:fill="FFFFFF"/>
          <w14:textFill>
            <w14:solidFill>
              <w14:schemeClr w14:val="tx1"/>
            </w14:solidFill>
          </w14:textFill>
        </w:rPr>
        <w:t xml:space="preserve"> 11.0 mo)</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[66]</w:t>
      </w:r>
      <w:r>
        <w:rPr>
          <w:rFonts w:ascii="Book Antiqua" w:hAnsi="Book Antiqua" w:eastAsia="Book Antiqua" w:cs="Book Antiqua"/>
          <w:color w:val="000000" w:themeColor="text1"/>
          <w:shd w:val="clear" w:color="auto" w:fill="FFFFFF"/>
          <w14:textFill>
            <w14:solidFill>
              <w14:schemeClr w14:val="tx1"/>
            </w14:solidFill>
          </w14:textFill>
        </w:rPr>
        <w:t>. Despite the promising results of CheckMate-577 for adjuvant immunotherapy after surgery, there are currently only three ongoing trials in this area. One trial is investigating the effectiveness of Toripalimab (NCT04437212) in both neoadjuvant and adjuvant settings. The other two RCTs are assessing postoperative adjuvant therapy with Tislelizumab, with one in phase II as a single-arm study and the other in phase III with two-arm trials. The phase II trial involves adjuvant immunotherapy combined with CRT, while the phase III trial is adjuvant immunotherapy</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combined with chemotherapy (Table 3). Further details and results from these ongoing trials are eagerly awaited.</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aps/>
          <w:color w:val="000000" w:themeColor="text1"/>
          <w:u w:val="single" w:color="000000"/>
          <w:shd w:val="clear" w:color="auto" w:fill="FFFFFF"/>
          <w14:textFill>
            <w14:solidFill>
              <w14:schemeClr w14:val="tx1"/>
            </w14:solidFill>
          </w14:textFill>
        </w:rPr>
        <w:t>ISSUES SHOULD BE CONCERNED IN FUTURE</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The majority of neoadjuvant immunotherapy trials in ESCC are currently single-arm, phase II clinical trials. These trials explore various combinations of different drugs and different methods of other therapies, leading to a continuous emergence of new clinical trials in this field. However, it is important to acknowledge that progress in some cases has been slow or stagnant.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 xml:space="preserve">Ethical conduct should be a primary concern in the development of new therapies. As the development of immunotherapy is often driven by related industries, methodological, legal, and ethical frameworks can sometimes be overlooked. Currently, a significant portion of scientific research in immunotherapy is industry-driven, with various pharmaceutical companies involved in registering RCTs. Despite the existence of international research registries aimed at improving the transparency of medical research, there are still uncertainties and "not applicable" rules and regulations. Consequently, there may be a lack of control over data mining and publication bias. Even if there are significant differences between the research protocol and the reported results, most trial outcomes are still published. To ensure the reliability, quality, and expected clinical benefits of ongoing and future trials in this field, the medical community and relevant stakeholders should focus on curbing the significant increase in "feasibility" trials with unclear expected benefits. Emphasizing a few multi-center </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p</w:t>
      </w:r>
      <w:r>
        <w:rPr>
          <w:rFonts w:ascii="Book Antiqua" w:hAnsi="Book Antiqua" w:eastAsia="Book Antiqua" w:cs="Book Antiqua"/>
          <w:color w:val="000000" w:themeColor="text1"/>
          <w:shd w:val="clear" w:color="auto" w:fill="FFFFFF"/>
          <w14:textFill>
            <w14:solidFill>
              <w14:schemeClr w14:val="tx1"/>
            </w14:solidFill>
          </w14:textFill>
        </w:rPr>
        <w:t>hase III trials, conducted by leading centers in ESCC research, could be a crucial approach to prevent unclear or contradictory results and uphold the integrity of the research.</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second issue of concern in clinical trials is safety, which should be carefully considered throughout the perioperative treatment </w:t>
      </w:r>
      <w:r>
        <w:rPr>
          <w:rFonts w:hint="eastAsia" w:ascii="Book Antiqua" w:hAnsi="Book Antiqua" w:eastAsia="宋体" w:cs="Book Antiqua"/>
          <w:color w:val="000000" w:themeColor="text1"/>
          <w:lang w:val="en-US" w:eastAsia="zh-CN"/>
          <w14:textFill>
            <w14:solidFill>
              <w14:schemeClr w14:val="tx1"/>
            </w14:solidFill>
          </w14:textFill>
        </w:rPr>
        <w:t>of</w:t>
      </w:r>
      <w:r>
        <w:rPr>
          <w:rFonts w:ascii="Book Antiqua" w:hAnsi="Book Antiqua" w:eastAsia="Book Antiqua" w:cs="Book Antiqua"/>
          <w:color w:val="000000" w:themeColor="text1"/>
          <w14:textFill>
            <w14:solidFill>
              <w14:schemeClr w14:val="tx1"/>
            </w14:solidFill>
          </w14:textFill>
        </w:rPr>
        <w:t xml:space="preserve"> ESCC. One of the major safety risks is the occurrence of trAEs, especially immune-related adverse events. Perioperative immunotherapy trials for ESCC typically consist of three parts: </w:t>
      </w:r>
      <w:r>
        <w:rPr>
          <w:rFonts w:hint="eastAsia" w:ascii="Book Antiqua" w:hAnsi="Book Antiqua" w:eastAsia="宋体" w:cs="Book Antiqua"/>
          <w:color w:val="000000" w:themeColor="text1"/>
          <w:lang w:val="en-US" w:eastAsia="zh-CN"/>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reoperative neoadjuvant therapy, surgery, and postoperative adjuvant therapy. Different immunotherapy drugs are administered at varying intervals: Pembrolizumab, Tislelizumab, Atilizumab, Toripalimab, and Sintilimab are usually given at 3-wk intervals, while Nivolumab, Camrelizumab, and Durvalumab are given at 2-wk intervals. The treatment cycles generally involve 2-4 cycles, and multiple factors such as treatment efficacy, surgical timing, economic considerations, and patient compliance are taken into account. Since most RCTs in this field are single-arm or two-arm studies within phase I or II, the safety data obtained may be limited and not fully comprehensive. This might result in an underestimation of the occurrence and severity of trAEs, especially those of grade 3 or above. Additionally, the introduction of new emerging drugs into clinical trials adds uncertain factors that could impact the results. Therefore, researchers should be attentive to the incidence and severity of trAEs, even when they are below grade 2. In cases where the trAEs are</w:t>
      </w:r>
      <w:r>
        <w:rPr>
          <w:rFonts w:hint="eastAsia" w:ascii="Book Antiqua" w:hAnsi="Book Antiqua" w:eastAsia="宋体" w:cs="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grade 3 or higher in severity, special attention should be given to the subjects to avoid fatal consequences. Furthermore, if three or more anti-cancer therapies, including immunotherapy, are administered to a subject simultaneously, researchers should exercise caution due to the higher risk of trAEs for the patient. Vigilance and thorough monitoring are essential to ensure the safety of subjects throughout the course of treatment.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Neoadjuvant immunotherapy presents a dual challenge, aiming to achieve better treatment outcomes while minimizing harm to normal organs caused by immunotherapy. The impact of trAEs during preoperative therapy on surgery must be carefully considered. In the trial "KEEP-G 03"</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[88]</w:t>
      </w:r>
      <w:r>
        <w:rPr>
          <w:rFonts w:ascii="Book Antiqua" w:hAnsi="Book Antiqua" w:eastAsia="Book Antiqua" w:cs="Book Antiqua"/>
          <w:color w:val="000000" w:themeColor="text1"/>
          <w:shd w:val="clear" w:color="auto" w:fill="FFFFFF"/>
          <w14:textFill>
            <w14:solidFill>
              <w14:schemeClr w14:val="tx1"/>
            </w14:solidFill>
          </w14:textFill>
        </w:rPr>
        <w:t xml:space="preserve">, 36.7% (11/30) of patients experienced </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g</w:t>
      </w:r>
      <w:r>
        <w:rPr>
          <w:rFonts w:ascii="Book Antiqua" w:hAnsi="Book Antiqua" w:eastAsia="Book Antiqua" w:cs="Book Antiqua"/>
          <w:color w:val="000000" w:themeColor="text1"/>
          <w:shd w:val="clear" w:color="auto" w:fill="FFFFFF"/>
          <w14:textFill>
            <w14:solidFill>
              <w14:schemeClr w14:val="tx1"/>
            </w14:solidFill>
          </w14:textFill>
        </w:rPr>
        <w:t>rade</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s</w:t>
      </w:r>
      <w:r>
        <w:rPr>
          <w:rFonts w:ascii="Book Antiqua" w:hAnsi="Book Antiqua" w:eastAsia="Book Antiqua" w:cs="Book Antiqua"/>
          <w:color w:val="000000" w:themeColor="text1"/>
          <w:shd w:val="clear" w:color="auto" w:fill="FFFFFF"/>
          <w14:textFill>
            <w14:solidFill>
              <w14:schemeClr w14:val="tx1"/>
            </w14:solidFill>
          </w14:textFill>
        </w:rPr>
        <w:t xml:space="preserve"> 3-4 TRAEs, but fortunately, these did not result in any surgical delays. However, in another multicenter, single-arm, phase II trial using Camrelizumab and chemotherapy as neoadjuvant treatment for locally advanced ESCC</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[74]</w:t>
      </w:r>
      <w:r>
        <w:rPr>
          <w:rFonts w:ascii="Book Antiqua" w:hAnsi="Book Antiqua" w:eastAsia="Book Antiqua" w:cs="Book Antiqua"/>
          <w:color w:val="000000" w:themeColor="text1"/>
          <w:shd w:val="clear" w:color="auto" w:fill="FFFFFF"/>
          <w14:textFill>
            <w14:solidFill>
              <w14:schemeClr w14:val="tx1"/>
            </w14:solidFill>
          </w14:textFill>
        </w:rPr>
        <w:t xml:space="preserve">, 34 patients (56.7%) experienced adverse events of </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g</w:t>
      </w:r>
      <w:r>
        <w:rPr>
          <w:rFonts w:ascii="Book Antiqua" w:hAnsi="Book Antiqua" w:eastAsia="Book Antiqua" w:cs="Book Antiqua"/>
          <w:color w:val="000000" w:themeColor="text1"/>
          <w:shd w:val="clear" w:color="auto" w:fill="FFFFFF"/>
          <w14:textFill>
            <w14:solidFill>
              <w14:schemeClr w14:val="tx1"/>
            </w14:solidFill>
          </w14:textFill>
        </w:rPr>
        <w:t xml:space="preserve">rade 3 or worse, with one patient (1.7%) experiencing a fatal </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g</w:t>
      </w:r>
      <w:r>
        <w:rPr>
          <w:rFonts w:ascii="Book Antiqua" w:hAnsi="Book Antiqua" w:eastAsia="Book Antiqua" w:cs="Book Antiqua"/>
          <w:color w:val="000000" w:themeColor="text1"/>
          <w:shd w:val="clear" w:color="auto" w:fill="FFFFFF"/>
          <w14:textFill>
            <w14:solidFill>
              <w14:schemeClr w14:val="tx1"/>
            </w14:solidFill>
          </w14:textFill>
        </w:rPr>
        <w:t>rade 5 adverse event due to pneumonia and acute respiratory failure. The risk of increased surgical complications after immunotherapy is a concern, emphasizing the importance of forming a multidisciplinary team to address TRAEs and conduct comprehensive evaluations during immunotherapy. Early detection and management of TRAEs can minimize the impact on subsequent treatment and related complications. Additionally, exploring biomarkers related to TRAEs is crucial in the research field.</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Surgery itself poses another safety concern. ESCC radical resection is a complex procedure with a high incidence of complications, and surgical team experience significantly influences the rate of complications. Patients undergoing neoadjuvant treatment may face unexpected surgical challenges. High-volume medical units with stable and mature treatment processes, including neoadjuvant therapy and operations, generally have lower complication and mortality rates</w:t>
      </w:r>
      <w:r>
        <w:rPr>
          <w:rFonts w:ascii="Book Antiqua" w:hAnsi="Book Antiqua" w:eastAsia="Book Antiqua" w:cs="Book Antiqua"/>
          <w:color w:val="000000" w:themeColor="text1"/>
          <w:szCs w:val="30"/>
          <w:vertAlign w:val="superscript"/>
          <w14:textFill>
            <w14:solidFill>
              <w14:schemeClr w14:val="tx1"/>
            </w14:solidFill>
          </w14:textFill>
        </w:rPr>
        <w:t>[89]</w:t>
      </w:r>
      <w:r>
        <w:rPr>
          <w:rFonts w:ascii="Book Antiqua" w:hAnsi="Book Antiqua" w:eastAsia="Book Antiqua" w:cs="Book Antiqua"/>
          <w:color w:val="000000" w:themeColor="text1"/>
          <w14:textFill>
            <w14:solidFill>
              <w14:schemeClr w14:val="tx1"/>
            </w14:solidFill>
          </w14:textFill>
        </w:rPr>
        <w:t>. Therefore, RCTs involving neoadjuvant treatment should preferably be conducted in high-volume centers to reduce surgical risks and avoid any adverse impacts. Even in multi-center clinical trials, it is advisable to select larger surgical units or include surgeons with significant experience in performing over 100 operations on ESCC, both open and minimally invasive surgeries. Such measures ensure optimal surgical outcomes and minimize potential complications.</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The third issue pertains to how we can accurately assess the efficacy of chosen drugs or treatments. Imaging is a crucial tool for preoperative efficacy assessment. Circulating tumor DNA (ct-DNA) has shown promise as an effective predictive method</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[90]</w:t>
      </w:r>
      <w:r>
        <w:rPr>
          <w:rFonts w:ascii="Book Antiqua" w:hAnsi="Book Antiqua" w:eastAsia="Book Antiqua" w:cs="Book Antiqua"/>
          <w:color w:val="000000" w:themeColor="text1"/>
          <w:shd w:val="clear" w:color="auto" w:fill="FFFFFF"/>
          <w14:textFill>
            <w14:solidFill>
              <w14:schemeClr w14:val="tx1"/>
            </w14:solidFill>
          </w14:textFill>
        </w:rPr>
        <w:t>. Positron emission tomography (PET) also has reference value as an assessment method</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[91,92]</w:t>
      </w:r>
      <w:r>
        <w:rPr>
          <w:rFonts w:ascii="Book Antiqua" w:hAnsi="Book Antiqua" w:eastAsia="Book Antiqua" w:cs="Book Antiqua"/>
          <w:color w:val="000000" w:themeColor="text1"/>
          <w:shd w:val="clear" w:color="auto" w:fill="FFFFFF"/>
          <w14:textFill>
            <w14:solidFill>
              <w14:schemeClr w14:val="tx1"/>
            </w14:solidFill>
          </w14:textFill>
        </w:rPr>
        <w:t>. Typically, pCR and MPR rates are used to predict efficacy, based on the examination of residual tumor cells in postoperative pathology. However, this method has certain limitations</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[93,94]</w:t>
      </w:r>
      <w:r>
        <w:rPr>
          <w:rFonts w:ascii="Book Antiqua" w:hAnsi="Book Antiqua" w:eastAsia="Book Antiqua" w:cs="Book Antiqua"/>
          <w:color w:val="000000" w:themeColor="text1"/>
          <w:shd w:val="clear" w:color="auto" w:fill="FFFFFF"/>
          <w14:textFill>
            <w14:solidFill>
              <w14:schemeClr w14:val="tx1"/>
            </w14:solidFill>
          </w14:textFill>
        </w:rPr>
        <w:t>. First, accurately assessing the pathological conditions of ESCC before immunotherapy, especially in cases of LN metastasis, is challenging. Detection can only be done in resected specimens after neoadjuvant immunotherapy, leading to an inability to make accurate comparisons with pathological specimens before surgery. Second, there is currently no universal standard for evaluating pathological response in ESCC after neoadjuvant immunotherapy. Pathologists are relied upon for positioning, measuring, sampling, slicing, and labeling, introducing variability. The different patterns of resection after neoadjuvant treatment, involving thoracic surgeons and pathologists, may also impact ESCC prognosis</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[95]</w:t>
      </w:r>
      <w:r>
        <w:rPr>
          <w:rFonts w:ascii="Book Antiqua" w:hAnsi="Book Antiqua" w:eastAsia="Book Antiqua" w:cs="Book Antiqua"/>
          <w:color w:val="000000" w:themeColor="text1"/>
          <w:shd w:val="clear" w:color="auto" w:fill="FFFFFF"/>
          <w14:textFill>
            <w14:solidFill>
              <w14:schemeClr w14:val="tx1"/>
            </w14:solidFill>
          </w14:textFill>
        </w:rPr>
        <w:t>. Thus, there is a need for a highly sensitive, specific, and preferably repeatable, simple, and feasible biomarker to predict efficacy in clinical practice.</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PET is an integral part of the standard staging for ESCC. Its utility and acceptance in initial staging and recurrence detection have led to the hypothesis that PET could be used to differentiate responders from non-responders during neoadjuvant treatment. However, the precise PET parameters with the best predictive values are still a subject of debate. Several traditional PET parameters, such as the maximum and mean standardized uptake value (SUVmax and SUVmean), metabolic tumor volume (MTV), and total lesion glycolysis (TLG)</w:t>
      </w:r>
      <w:r>
        <w:rPr>
          <w:rFonts w:ascii="Book Antiqua" w:hAnsi="Book Antiqua" w:eastAsia="Book Antiqua" w:cs="Book Antiqua"/>
          <w:color w:val="000000" w:themeColor="text1"/>
          <w:szCs w:val="30"/>
          <w:vertAlign w:val="superscript"/>
          <w14:textFill>
            <w14:solidFill>
              <w14:schemeClr w14:val="tx1"/>
            </w14:solidFill>
          </w14:textFill>
        </w:rPr>
        <w:t>[96]</w:t>
      </w:r>
      <w:r>
        <w:rPr>
          <w:rFonts w:ascii="Book Antiqua" w:hAnsi="Book Antiqua" w:eastAsia="Book Antiqua" w:cs="Book Antiqua"/>
          <w:color w:val="000000" w:themeColor="text1"/>
          <w14:textFill>
            <w14:solidFill>
              <w14:schemeClr w14:val="tx1"/>
            </w14:solidFill>
          </w14:textFill>
        </w:rPr>
        <w:t>, have been studied to correlate with pathological response. In a study of 31 patients with resectable ESCC or EAC, PET was used prospectively during treatment with trimodality therapy, and it was found that baseline TLG and post-chemoradiotherapy TLG were associated with OS</w:t>
      </w:r>
      <w:r>
        <w:rPr>
          <w:rFonts w:ascii="Book Antiqua" w:hAnsi="Book Antiqua" w:eastAsia="Book Antiqua" w:cs="Book Antiqua"/>
          <w:color w:val="000000" w:themeColor="text1"/>
          <w:szCs w:val="30"/>
          <w:vertAlign w:val="superscript"/>
          <w14:textFill>
            <w14:solidFill>
              <w14:schemeClr w14:val="tx1"/>
            </w14:solidFill>
          </w14:textFill>
        </w:rPr>
        <w:t>[97]</w:t>
      </w:r>
      <w:r>
        <w:rPr>
          <w:rFonts w:ascii="Book Antiqua" w:hAnsi="Book Antiqua" w:eastAsia="Book Antiqua" w:cs="Book Antiqua"/>
          <w:color w:val="000000" w:themeColor="text1"/>
          <w14:textFill>
            <w14:solidFill>
              <w14:schemeClr w14:val="tx1"/>
            </w14:solidFill>
          </w14:textFill>
        </w:rPr>
        <w:t xml:space="preserve">. More recently, efforts have been made to develop radiomic signatures and more robust predictive models. </w:t>
      </w:r>
      <w:bookmarkStart w:id="25" w:name="OLE_LINK6705"/>
      <w:r>
        <w:rPr>
          <w:rFonts w:ascii="Book Antiqua" w:hAnsi="Book Antiqua" w:eastAsia="Book Antiqua" w:cs="Book Antiqua"/>
          <w:color w:val="000000" w:themeColor="text1"/>
          <w14:textFill>
            <w14:solidFill>
              <w14:schemeClr w14:val="tx1"/>
            </w14:solidFill>
          </w14:textFill>
        </w:rPr>
        <w:t>Simoni</w:t>
      </w:r>
      <w:bookmarkEnd w:id="25"/>
      <w:r>
        <w:rPr>
          <w:rFonts w:ascii="Book Antiqua" w:hAnsi="Book Antiqua" w:eastAsia="Book Antiqua" w:cs="Book Antiqua"/>
          <w:color w:val="000000" w:themeColor="text1"/>
          <w14:textFill>
            <w14:solidFill>
              <w14:schemeClr w14:val="tx1"/>
            </w14:solidFill>
          </w14:textFill>
        </w:rPr>
        <w:t xml:space="preserve"> </w:t>
      </w:r>
      <w:bookmarkStart w:id="26" w:name="OLE_LINK6872"/>
      <w:r>
        <w:rPr>
          <w:rFonts w:ascii="Book Antiqua" w:hAnsi="Book Antiqua" w:eastAsia="Book Antiqua" w:cs="Book Antiqua"/>
          <w:i/>
          <w:iCs/>
          <w:color w:val="000000" w:themeColor="text1"/>
          <w14:textFill>
            <w14:solidFill>
              <w14:schemeClr w14:val="tx1"/>
            </w14:solidFill>
          </w14:textFill>
        </w:rPr>
        <w:t>et al</w:t>
      </w:r>
      <w:bookmarkEnd w:id="26"/>
      <w:r>
        <w:rPr>
          <w:rFonts w:ascii="Book Antiqua" w:hAnsi="Book Antiqua" w:eastAsia="Book Antiqua" w:cs="Book Antiqua"/>
          <w:color w:val="000000" w:themeColor="text1"/>
          <w:szCs w:val="30"/>
          <w:vertAlign w:val="superscript"/>
          <w14:textFill>
            <w14:solidFill>
              <w14:schemeClr w14:val="tx1"/>
            </w14:solidFill>
          </w14:textFill>
        </w:rPr>
        <w:t>[98]</w:t>
      </w:r>
      <w:r>
        <w:rPr>
          <w:rFonts w:ascii="Book Antiqua" w:hAnsi="Book Antiqua" w:eastAsia="Book Antiqua" w:cs="Book Antiqua"/>
          <w:color w:val="000000" w:themeColor="text1"/>
          <w14:textFill>
            <w14:solidFill>
              <w14:schemeClr w14:val="tx1"/>
            </w14:solidFill>
          </w14:textFill>
        </w:rPr>
        <w:t xml:space="preserve"> investigated multiple traditional PET parameters and identified several radiomic features, as well as tumor regression grade, which correlated with pathological response in a retrospective analysis</w:t>
      </w:r>
      <w:bookmarkStart w:id="27" w:name="OLE_LINK6706"/>
      <w:r>
        <w:rPr>
          <w:rFonts w:ascii="Book Antiqua" w:hAnsi="Book Antiqua" w:eastAsia="Book Antiqua" w:cs="Book Antiqua"/>
          <w:color w:val="000000" w:themeColor="text1"/>
          <w:szCs w:val="30"/>
          <w:vertAlign w:val="superscript"/>
          <w14:textFill>
            <w14:solidFill>
              <w14:schemeClr w14:val="tx1"/>
            </w14:solidFill>
          </w14:textFill>
        </w:rPr>
        <w:t>[98]</w:t>
      </w:r>
      <w:bookmarkEnd w:id="27"/>
      <w:r>
        <w:rPr>
          <w:rFonts w:ascii="Book Antiqua" w:hAnsi="Book Antiqua" w:eastAsia="Book Antiqua" w:cs="Book Antiqua"/>
          <w:color w:val="000000" w:themeColor="text1"/>
          <w14:textFill>
            <w14:solidFill>
              <w14:schemeClr w14:val="tx1"/>
            </w14:solidFill>
          </w14:textFill>
        </w:rPr>
        <w:t>. However, further research is necessary to develop more reliable predictive models and to validate them in prospective randomized trials. The credibility of PET evaluations in the era of immunotherapy remains largely unknown. Although PET has shown promise in predicting efficacy, especially with regard to OS, its applicability to immunotherapy response assessment is not fully understood. If sufficient high-quality CT or PET data, correlating with pathological response in ESCC, can be obtained, machine learning and artificial intelligence (AI) may emerge as new methods for evaluating neoadjuvant immunotherapy in ESCC. Such advancements could potentially enhance our ability to predict treatment outcomes and optimize patient care.</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As of the current writing, specific biomarkers that can precisely determine the efficacy or predict perioperative surgery outcomes of ESCC have not been identified. However, several biomarkers have been explored mainly based on immunological and genetic criteria, including PD-L1 expression, intertumoral lymphoid infiltrates, dMMR/microsatellite instable (MSI), tumor mutation burden (TMB)/tumor neoantigen burden (TNB), and human leukocyte antigen (HLA)</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[99]</w:t>
      </w:r>
      <w:r>
        <w:rPr>
          <w:rFonts w:ascii="Book Antiqua" w:hAnsi="Book Antiqua" w:eastAsia="Book Antiqua" w:cs="Book Antiqua"/>
          <w:color w:val="000000" w:themeColor="text1"/>
          <w:shd w:val="clear" w:color="auto" w:fill="FFFFFF"/>
          <w14:textFill>
            <w14:solidFill>
              <w14:schemeClr w14:val="tx1"/>
            </w14:solidFill>
          </w14:textFill>
        </w:rPr>
        <w:t>. Among these biomarkers, PD-L1 expression is one of the best characterized for anti-PD-1/PD-L1 therapy. It is assessed using immunohistochemistry (IHC) staining and evaluated by the combined positive score (CPS) or tumor proportional score (TPS). CPS is determined by dividing the number of PD-L1-positive cells (tumor cells and other lymphocytes) by the total number of tumor cells</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[100]</w:t>
      </w:r>
      <w:r>
        <w:rPr>
          <w:rFonts w:ascii="Book Antiqua" w:hAnsi="Book Antiqua" w:eastAsia="Book Antiqua" w:cs="Book Antiqua"/>
          <w:color w:val="000000" w:themeColor="text1"/>
          <w:shd w:val="clear" w:color="auto" w:fill="FFFFFF"/>
          <w14:textFill>
            <w14:solidFill>
              <w14:schemeClr w14:val="tx1"/>
            </w14:solidFill>
          </w14:textFill>
        </w:rPr>
        <w:t>, while TPS is calculated by dividing the number of PD-L1-positive tumor cells by the total number of tumor cells. In general, high PD-L1 expression usually correlates with an improved objective response to anti-PD-1/PD-L1 therapy</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[101]</w:t>
      </w:r>
      <w:r>
        <w:rPr>
          <w:rFonts w:ascii="Book Antiqua" w:hAnsi="Book Antiqua" w:eastAsia="Book Antiqua" w:cs="Book Antiqua"/>
          <w:color w:val="000000" w:themeColor="text1"/>
          <w:shd w:val="clear" w:color="auto" w:fill="FFFFFF"/>
          <w14:textFill>
            <w14:solidFill>
              <w14:schemeClr w14:val="tx1"/>
            </w14:solidFill>
          </w14:textFill>
        </w:rPr>
        <w:t>. However, some clinical studies have failed to consistently demonstrate this correlation, showing that patients with tumors showing high PD-L1 expression do not always respond to PD-1/PD-L1 blockade</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[102]</w:t>
      </w:r>
      <w:r>
        <w:rPr>
          <w:rFonts w:ascii="Book Antiqua" w:hAnsi="Book Antiqua" w:eastAsia="Book Antiqua" w:cs="Book Antiqua"/>
          <w:color w:val="000000" w:themeColor="text1"/>
          <w:shd w:val="clear" w:color="auto" w:fill="FFFFFF"/>
          <w14:textFill>
            <w14:solidFill>
              <w14:schemeClr w14:val="tx1"/>
            </w14:solidFill>
          </w14:textFill>
        </w:rPr>
        <w:t>. The relationship between PD-L1 expression and clinical outcome in ESCC remains a topic of controversy</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[103]</w:t>
      </w:r>
      <w:r>
        <w:rPr>
          <w:rFonts w:ascii="Book Antiqua" w:hAnsi="Book Antiqua" w:eastAsia="Book Antiqua" w:cs="Book Antiqua"/>
          <w:color w:val="000000" w:themeColor="text1"/>
          <w:shd w:val="clear" w:color="auto" w:fill="FFFFFF"/>
          <w14:textFill>
            <w14:solidFill>
              <w14:schemeClr w14:val="tx1"/>
            </w14:solidFill>
          </w14:textFill>
        </w:rPr>
        <w:t>. While some studies have shown that PD-L1 overexpression is associated with poor clinical outcomes</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[104]</w:t>
      </w:r>
      <w:r>
        <w:rPr>
          <w:rFonts w:ascii="Book Antiqua" w:hAnsi="Book Antiqua" w:eastAsia="Book Antiqua" w:cs="Book Antiqua"/>
          <w:color w:val="000000" w:themeColor="text1"/>
          <w:shd w:val="clear" w:color="auto" w:fill="FFFFFF"/>
          <w14:textFill>
            <w14:solidFill>
              <w14:schemeClr w14:val="tx1"/>
            </w14:solidFill>
          </w14:textFill>
        </w:rPr>
        <w:t>, others have indicated a favorable prognosis</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[105]</w:t>
      </w:r>
      <w:r>
        <w:rPr>
          <w:rFonts w:ascii="Book Antiqua" w:hAnsi="Book Antiqua" w:eastAsia="Book Antiqua" w:cs="Book Antiqua"/>
          <w:color w:val="000000" w:themeColor="text1"/>
          <w:shd w:val="clear" w:color="auto" w:fill="FFFFFF"/>
          <w14:textFill>
            <w14:solidFill>
              <w14:schemeClr w14:val="tx1"/>
            </w14:solidFill>
          </w14:textFill>
        </w:rPr>
        <w: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Studies have also shown that circulating tumor cells (CTCs) and ct-DNA have a predictive role in evaluating the treatment efficacy of PD-1/PD-L1 inhibition</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[106,107]</w:t>
      </w:r>
      <w:r>
        <w:rPr>
          <w:rFonts w:ascii="Book Antiqua" w:hAnsi="Book Antiqua" w:eastAsia="Book Antiqua" w:cs="Book Antiqua"/>
          <w:color w:val="000000" w:themeColor="text1"/>
          <w:shd w:val="clear" w:color="auto" w:fill="FFFFFF"/>
          <w14:textFill>
            <w14:solidFill>
              <w14:schemeClr w14:val="tx1"/>
            </w14:solidFill>
          </w14:textFill>
        </w:rPr>
        <w:t>. CTCs have been found to be associated with a poor response</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to PD-L1 inhibitors in non-small cell lung cancer (NSCLC)</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[106]</w:t>
      </w:r>
      <w:r>
        <w:rPr>
          <w:rFonts w:ascii="Book Antiqua" w:hAnsi="Book Antiqua" w:eastAsia="Book Antiqua" w:cs="Book Antiqua"/>
          <w:color w:val="000000" w:themeColor="text1"/>
          <w:shd w:val="clear" w:color="auto" w:fill="FFFFFF"/>
          <w14:textFill>
            <w14:solidFill>
              <w14:schemeClr w14:val="tx1"/>
            </w14:solidFill>
          </w14:textFill>
        </w:rPr>
        <w:t>. Similarly, ct-DNA minimal residual disease (ct-DNA MRD) is an important indicator for monitoring the efficacy of treating NSCLC</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[108]</w:t>
      </w:r>
      <w:r>
        <w:rPr>
          <w:rFonts w:ascii="Book Antiqua" w:hAnsi="Book Antiqua" w:eastAsia="Book Antiqua" w:cs="Book Antiqua"/>
          <w:color w:val="000000" w:themeColor="text1"/>
          <w:shd w:val="clear" w:color="auto" w:fill="FFFFFF"/>
          <w14:textFill>
            <w14:solidFill>
              <w14:schemeClr w14:val="tx1"/>
            </w14:solidFill>
          </w14:textFill>
        </w:rPr>
        <w:t>. Therefore, it is worth exploring whether CTCs and ct-DNA can be introduced into the long-term follow-up of ESCC to help assess treatment response and predict patient outcomes. However, further research is needed to validate the predictive value of these biomarkers in ESCC and determine their potential role in guiding treatment decisions for patients undergoing perioperative immunotherapy.</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The fourth issue pertains to the long-term benefits of perioperative immunotherapy. Many clinical trials on perioperative immunotherapy have focused on short-term or mid-term outcomes, such as safety, feasibility, and pCR. However, the true primary outcomes that need to be concerned with are long-term OS and PFS, regardless of the type of immunological drugs selected or the combination with other anti-cancer therapies. For neoadjuvant anti-PD-1 therapy in resectable NSCLC, a trial with a median follow-up of 63 mo (NCT02259621) reported promising long-term outcomes. The 5-year recurrence-free survival (RFS) and OS rates were 60% and 80%, respectively</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[109]</w:t>
      </w:r>
      <w:r>
        <w:rPr>
          <w:rFonts w:ascii="Book Antiqua" w:hAnsi="Book Antiqua" w:eastAsia="Book Antiqua" w:cs="Book Antiqua"/>
          <w:color w:val="000000" w:themeColor="text1"/>
          <w:shd w:val="clear" w:color="auto" w:fill="FFFFFF"/>
          <w14:textFill>
            <w14:solidFill>
              <w14:schemeClr w14:val="tx1"/>
            </w14:solidFill>
          </w14:textFill>
        </w:rPr>
        <w:t>. Similarly, a study evaluating neoadjuvant anti-PD-1 treatment for localized dMMR colorectal cancer (CRC) also reported positive long-term follow-up data. Among patients who underwent surgery or achieved complete response, the 2-year tumor-specific disease-free and OS rates were both 100%</w:t>
      </w:r>
      <w:r>
        <w:rPr>
          <w:rFonts w:ascii="Book Antiqua" w:hAnsi="Book Antiqua" w:eastAsia="Book Antiqua" w:cs="Book Antiqua"/>
          <w:color w:val="000000" w:themeColor="text1"/>
          <w:szCs w:val="30"/>
          <w:shd w:val="clear" w:color="auto" w:fill="FFFFFF"/>
          <w:vertAlign w:val="superscript"/>
          <w14:textFill>
            <w14:solidFill>
              <w14:schemeClr w14:val="tx1"/>
            </w14:solidFill>
          </w14:textFill>
        </w:rPr>
        <w:t>[110]</w:t>
      </w:r>
      <w:r>
        <w:rPr>
          <w:rFonts w:ascii="Book Antiqua" w:hAnsi="Book Antiqua" w:eastAsia="Book Antiqua" w:cs="Book Antiqua"/>
          <w:color w:val="000000" w:themeColor="text1"/>
          <w:shd w:val="clear" w:color="auto" w:fill="FFFFFF"/>
          <w14:textFill>
            <w14:solidFill>
              <w14:schemeClr w14:val="tx1"/>
            </w14:solidFill>
          </w14:textFill>
        </w:rPr>
        <w:t>.</w:t>
      </w:r>
    </w:p>
    <w:p>
      <w:pPr>
        <w:spacing w:line="360" w:lineRule="auto"/>
        <w:ind w:firstLine="240" w:firstLineChars="100"/>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In the context of resectable</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locally advanced</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ESCC, neoadjuvant chemotherapy and nCRT remain the standard treatments before surgery. While immune checkpoint-based therapy shows promise, it currently benefits only a small proportion of ESCC patients. Therefore, perioperative immunotherapy should be strictly monitored with ethical confirmation and preferably conducted within clinical trials. Patients must be fully informed about the potential benefits and risks and give informed consent before participating. Accurate screening of target populations and appropriate choice of combination therapy will be crucial for future research in this field. The importance of monitoring and managing trAEs, especially when combining immunotherapies with other anti-cancer therapies, cannot be ignored. Robust predictive and prognostic biomarkers or comprehensive biomarkers need to be identified to optimize treatment strategies and ensure the most effective therapy for patients. The development of clinical consensus or guidelines based on research findings will also be necessary to ensure that patients receive the most applicable and effective immunotherapy treatments.</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shd w:val="clear" w:color="auto" w:fill="FFFFFF"/>
          <w14:textFill>
            <w14:solidFill>
              <w14:schemeClr w14:val="tx1"/>
            </w14:solidFill>
          </w14:textFill>
        </w:rPr>
        <w:t>The utilization of immunotherapy is progressively transitioning from a second-line approach for advanced or metastatic cases to a perioperative strategy for resectable</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locally</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advanced ESCC. Despite the current results lacking comprehensiveness and robustness, substantial advancements in perioperative immunotherapy for ESCC are evident. With the assurance derived from existing outcomes, numerous EC centers are now engaged in conducting multicenter, multi-arm RCTs. These RCTs hold the promise of providing further insights into the value of perioperative immunotherapy. It is plausible that in the near future, perioperative immunotherapy will emerge as a pivotal component of comprehensive treatment for resectable</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locally advanced</w:t>
      </w:r>
      <w:r>
        <w:rPr>
          <w:rFonts w:hint="eastAsia" w:ascii="Book Antiqua" w:hAnsi="Book Antiqua" w:eastAsia="宋体" w:cs="Book Antiqua"/>
          <w:color w:val="000000" w:themeColor="text1"/>
          <w:shd w:val="clear" w:color="auto" w:fill="FFFFFF"/>
          <w:lang w:val="en-US"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ESCC. However, the determination of the optimal drug or the most effective combination of therapies, as well as the potential role of AI as an assistant, will require further observation and investigation.</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spacing w:line="360" w:lineRule="auto"/>
        <w:jc w:val="both"/>
        <w:rPr>
          <w:rFonts w:ascii="Book Antiqua" w:hAnsi="Book Antiqua"/>
          <w:color w:val="000000" w:themeColor="text1"/>
          <w14:textFill>
            <w14:solidFill>
              <w14:schemeClr w14:val="tx1"/>
            </w14:solidFill>
          </w14:textFill>
        </w:rPr>
      </w:pPr>
      <w:bookmarkStart w:id="28" w:name="OLE_LINK6717"/>
      <w:bookmarkStart w:id="29" w:name="OLE_LINK6721"/>
      <w:bookmarkStart w:id="30" w:name="OLE_LINK6720"/>
      <w:bookmarkStart w:id="31" w:name="OLE_LINK6722"/>
      <w:bookmarkStart w:id="32" w:name="OLE_LINK6723"/>
      <w:bookmarkStart w:id="33" w:name="OLE_LINK6719"/>
      <w:bookmarkStart w:id="34" w:name="OLE_LINK6718"/>
      <w:r>
        <w:rPr>
          <w:rFonts w:ascii="Book Antiqua" w:hAnsi="Book Antiqua"/>
          <w:color w:val="000000" w:themeColor="text1"/>
          <w14:textFill>
            <w14:solidFill>
              <w14:schemeClr w14:val="tx1"/>
            </w14:solidFill>
          </w14:textFill>
        </w:rPr>
        <w:t xml:space="preserve">1 </w:t>
      </w:r>
      <w:r>
        <w:rPr>
          <w:rFonts w:ascii="Book Antiqua" w:hAnsi="Book Antiqua"/>
          <w:b/>
          <w:bCs/>
          <w:color w:val="000000" w:themeColor="text1"/>
          <w14:textFill>
            <w14:solidFill>
              <w14:schemeClr w14:val="tx1"/>
            </w14:solidFill>
          </w14:textFill>
        </w:rPr>
        <w:t>Sung H</w:t>
      </w:r>
      <w:r>
        <w:rPr>
          <w:rFonts w:ascii="Book Antiqua" w:hAnsi="Book Antiqua"/>
          <w:color w:val="000000" w:themeColor="text1"/>
          <w14:textFill>
            <w14:solidFill>
              <w14:schemeClr w14:val="tx1"/>
            </w14:solidFill>
          </w14:textFill>
        </w:rPr>
        <w:t xml:space="preserve">, Ferlay J, Siegel RL, Laversanne M, Soerjomataram I, Jemal A, Bray F. Global Cancer Statistics 2020: GLOBOCAN Estimates of Incidence and Mortality Worldwide for 36 Cancers in 185 Countries. </w:t>
      </w:r>
      <w:r>
        <w:rPr>
          <w:rFonts w:ascii="Book Antiqua" w:hAnsi="Book Antiqua"/>
          <w:i/>
          <w:iCs/>
          <w:color w:val="000000" w:themeColor="text1"/>
          <w14:textFill>
            <w14:solidFill>
              <w14:schemeClr w14:val="tx1"/>
            </w14:solidFill>
          </w14:textFill>
        </w:rPr>
        <w:t>CA Cancer J Clin</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71</w:t>
      </w:r>
      <w:r>
        <w:rPr>
          <w:rFonts w:ascii="Book Antiqua" w:hAnsi="Book Antiqua"/>
          <w:color w:val="000000" w:themeColor="text1"/>
          <w14:textFill>
            <w14:solidFill>
              <w14:schemeClr w14:val="tx1"/>
            </w14:solidFill>
          </w14:textFill>
        </w:rPr>
        <w:t>: 209-249 [PMID: 33538338 DOI: 10.3322/caac.21660]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 </w:t>
      </w:r>
      <w:r>
        <w:rPr>
          <w:rFonts w:ascii="Book Antiqua" w:hAnsi="Book Antiqua"/>
          <w:b/>
          <w:bCs/>
          <w:color w:val="000000" w:themeColor="text1"/>
          <w14:textFill>
            <w14:solidFill>
              <w14:schemeClr w14:val="tx1"/>
            </w14:solidFill>
          </w14:textFill>
        </w:rPr>
        <w:t>Rustgi AK</w:t>
      </w:r>
      <w:r>
        <w:rPr>
          <w:rFonts w:ascii="Book Antiqua" w:hAnsi="Book Antiqua"/>
          <w:color w:val="000000" w:themeColor="text1"/>
          <w14:textFill>
            <w14:solidFill>
              <w14:schemeClr w14:val="tx1"/>
            </w14:solidFill>
          </w14:textFill>
        </w:rPr>
        <w:t xml:space="preserve">, El-Serag HB. Esophageal carcinoma. </w:t>
      </w:r>
      <w:r>
        <w:rPr>
          <w:rFonts w:ascii="Book Antiqua" w:hAnsi="Book Antiqua"/>
          <w:i/>
          <w:iCs/>
          <w:color w:val="000000" w:themeColor="text1"/>
          <w14:textFill>
            <w14:solidFill>
              <w14:schemeClr w14:val="tx1"/>
            </w14:solidFill>
          </w14:textFill>
        </w:rPr>
        <w:t>N Engl J Med</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371</w:t>
      </w:r>
      <w:r>
        <w:rPr>
          <w:rFonts w:ascii="Book Antiqua" w:hAnsi="Book Antiqua"/>
          <w:color w:val="000000" w:themeColor="text1"/>
          <w14:textFill>
            <w14:solidFill>
              <w14:schemeClr w14:val="tx1"/>
            </w14:solidFill>
          </w14:textFill>
        </w:rPr>
        <w:t>: 2499-2509 [PMID: 25539106 DOI: 10.1056/NEJMra1314530]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 </w:t>
      </w:r>
      <w:r>
        <w:rPr>
          <w:rFonts w:ascii="Book Antiqua" w:hAnsi="Book Antiqua"/>
          <w:b/>
          <w:bCs/>
          <w:color w:val="000000" w:themeColor="text1"/>
          <w14:textFill>
            <w14:solidFill>
              <w14:schemeClr w14:val="tx1"/>
            </w14:solidFill>
          </w14:textFill>
        </w:rPr>
        <w:t>Yan Y</w:t>
      </w:r>
      <w:r>
        <w:rPr>
          <w:rFonts w:ascii="Book Antiqua" w:hAnsi="Book Antiqua"/>
          <w:color w:val="000000" w:themeColor="text1"/>
          <w14:textFill>
            <w14:solidFill>
              <w14:schemeClr w14:val="tx1"/>
            </w14:solidFill>
          </w14:textFill>
        </w:rPr>
        <w:t xml:space="preserve">, Feng X, Li C, Lerut T, Li H. Treatments for resectable esophageal cancer: from traditional systemic therapy to immunotherapy. </w:t>
      </w:r>
      <w:r>
        <w:rPr>
          <w:rFonts w:ascii="Book Antiqua" w:hAnsi="Book Antiqua"/>
          <w:i/>
          <w:iCs/>
          <w:color w:val="000000" w:themeColor="text1"/>
          <w14:textFill>
            <w14:solidFill>
              <w14:schemeClr w14:val="tx1"/>
            </w14:solidFill>
          </w14:textFill>
        </w:rPr>
        <w:t>Chin Med J (Engl)</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135</w:t>
      </w:r>
      <w:r>
        <w:rPr>
          <w:rFonts w:ascii="Book Antiqua" w:hAnsi="Book Antiqua"/>
          <w:color w:val="000000" w:themeColor="text1"/>
          <w14:textFill>
            <w14:solidFill>
              <w14:schemeClr w14:val="tx1"/>
            </w14:solidFill>
          </w14:textFill>
        </w:rPr>
        <w:t>: 2143-2156 [PMID: 36525602 DOI: 10.1097/CM9.0000000000002371]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 </w:t>
      </w:r>
      <w:r>
        <w:rPr>
          <w:rFonts w:ascii="Book Antiqua" w:hAnsi="Book Antiqua"/>
          <w:b/>
          <w:bCs/>
          <w:color w:val="000000" w:themeColor="text1"/>
          <w14:textFill>
            <w14:solidFill>
              <w14:schemeClr w14:val="tx1"/>
            </w14:solidFill>
          </w14:textFill>
        </w:rPr>
        <w:t>Plum PS</w:t>
      </w:r>
      <w:r>
        <w:rPr>
          <w:rFonts w:ascii="Book Antiqua" w:hAnsi="Book Antiqua"/>
          <w:color w:val="000000" w:themeColor="text1"/>
          <w14:textFill>
            <w14:solidFill>
              <w14:schemeClr w14:val="tx1"/>
            </w14:solidFill>
          </w14:textFill>
        </w:rPr>
        <w:t xml:space="preserve">, Hölscher AH, Pacheco Godoy K, Schmidt H, Berlth F, Chon SH, Alakus H, Bollschweiler E. Prognosis of patients with superficial T1 esophageal cancer who underwent endoscopic resection before esophagectomy-A propensity score-matched comparison. </w:t>
      </w:r>
      <w:r>
        <w:rPr>
          <w:rFonts w:ascii="Book Antiqua" w:hAnsi="Book Antiqua"/>
          <w:i/>
          <w:iCs/>
          <w:color w:val="000000" w:themeColor="text1"/>
          <w14:textFill>
            <w14:solidFill>
              <w14:schemeClr w14:val="tx1"/>
            </w14:solidFill>
          </w14:textFill>
        </w:rPr>
        <w:t>Surg Endosc</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32</w:t>
      </w:r>
      <w:r>
        <w:rPr>
          <w:rFonts w:ascii="Book Antiqua" w:hAnsi="Book Antiqua"/>
          <w:color w:val="000000" w:themeColor="text1"/>
          <w14:textFill>
            <w14:solidFill>
              <w14:schemeClr w14:val="tx1"/>
            </w14:solidFill>
          </w14:textFill>
        </w:rPr>
        <w:t>: 3972-3980 [PMID: 29536160 DOI: 10.1007/s00464-018-6139-7]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 </w:t>
      </w:r>
      <w:r>
        <w:rPr>
          <w:rFonts w:ascii="Book Antiqua" w:hAnsi="Book Antiqua"/>
          <w:b/>
          <w:bCs/>
          <w:color w:val="000000" w:themeColor="text1"/>
          <w14:textFill>
            <w14:solidFill>
              <w14:schemeClr w14:val="tx1"/>
            </w14:solidFill>
          </w14:textFill>
        </w:rPr>
        <w:t>Omloo JM</w:t>
      </w:r>
      <w:r>
        <w:rPr>
          <w:rFonts w:ascii="Book Antiqua" w:hAnsi="Book Antiqua"/>
          <w:color w:val="000000" w:themeColor="text1"/>
          <w14:textFill>
            <w14:solidFill>
              <w14:schemeClr w14:val="tx1"/>
            </w14:solidFill>
          </w14:textFill>
        </w:rPr>
        <w:t xml:space="preserve">, Lagarde SM, Hulscher JB, Reitsma JB, Fockens P, van Dekken H, Ten Kate FJ, Obertop H, Tilanus HW, van Lanschot JJ. Extended transthoracic resection compared with limited transhiatal resection for adenocarcinoma of the mid/distal esophagus: five-year survival of a randomized clinical trial. </w:t>
      </w:r>
      <w:r>
        <w:rPr>
          <w:rFonts w:ascii="Book Antiqua" w:hAnsi="Book Antiqua"/>
          <w:i/>
          <w:iCs/>
          <w:color w:val="000000" w:themeColor="text1"/>
          <w14:textFill>
            <w14:solidFill>
              <w14:schemeClr w14:val="tx1"/>
            </w14:solidFill>
          </w14:textFill>
        </w:rPr>
        <w:t>Ann Surg</w:t>
      </w:r>
      <w:r>
        <w:rPr>
          <w:rFonts w:ascii="Book Antiqua" w:hAnsi="Book Antiqua"/>
          <w:color w:val="000000" w:themeColor="text1"/>
          <w14:textFill>
            <w14:solidFill>
              <w14:schemeClr w14:val="tx1"/>
            </w14:solidFill>
          </w14:textFill>
        </w:rPr>
        <w:t xml:space="preserve"> 2007; </w:t>
      </w:r>
      <w:r>
        <w:rPr>
          <w:rFonts w:ascii="Book Antiqua" w:hAnsi="Book Antiqua"/>
          <w:b/>
          <w:bCs/>
          <w:color w:val="000000" w:themeColor="text1"/>
          <w14:textFill>
            <w14:solidFill>
              <w14:schemeClr w14:val="tx1"/>
            </w14:solidFill>
          </w14:textFill>
        </w:rPr>
        <w:t>246</w:t>
      </w:r>
      <w:r>
        <w:rPr>
          <w:rFonts w:ascii="Book Antiqua" w:hAnsi="Book Antiqua"/>
          <w:color w:val="000000" w:themeColor="text1"/>
          <w14:textFill>
            <w14:solidFill>
              <w14:schemeClr w14:val="tx1"/>
            </w14:solidFill>
          </w14:textFill>
        </w:rPr>
        <w:t>: 992-1000; discussion 1000-1 [PMID: 18043101 DOI: 10.1097/SLA.0b013e31815c4037]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 </w:t>
      </w:r>
      <w:r>
        <w:rPr>
          <w:rFonts w:ascii="Book Antiqua" w:hAnsi="Book Antiqua"/>
          <w:b/>
          <w:bCs/>
          <w:color w:val="000000" w:themeColor="text1"/>
          <w14:textFill>
            <w14:solidFill>
              <w14:schemeClr w14:val="tx1"/>
            </w14:solidFill>
          </w14:textFill>
        </w:rPr>
        <w:t>Oppedijk V</w:t>
      </w:r>
      <w:r>
        <w:rPr>
          <w:rFonts w:ascii="Book Antiqua" w:hAnsi="Book Antiqua"/>
          <w:color w:val="000000" w:themeColor="text1"/>
          <w14:textFill>
            <w14:solidFill>
              <w14:schemeClr w14:val="tx1"/>
            </w14:solidFill>
          </w14:textFill>
        </w:rPr>
        <w:t xml:space="preserve">, van der Gaast A, van Lanschot JJ, van Hagen P, van Os R, van Rij CM, van der Sangen MJ, Beukema JC, Rütten H, Spruit PH, Reinders JG, Richel DJ, van Berge Henegouwen MI, Hulshof MC. Patterns of recurrence after surgery alone versus preoperative chemoradiotherapy and surgery in the CROSS trials. </w:t>
      </w:r>
      <w:r>
        <w:rPr>
          <w:rFonts w:ascii="Book Antiqua" w:hAnsi="Book Antiqua"/>
          <w:i/>
          <w:iCs/>
          <w:color w:val="000000" w:themeColor="text1"/>
          <w14:textFill>
            <w14:solidFill>
              <w14:schemeClr w14:val="tx1"/>
            </w14:solidFill>
          </w14:textFill>
        </w:rPr>
        <w:t>J Clin Oncol</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32</w:t>
      </w:r>
      <w:r>
        <w:rPr>
          <w:rFonts w:ascii="Book Antiqua" w:hAnsi="Book Antiqua"/>
          <w:color w:val="000000" w:themeColor="text1"/>
          <w14:textFill>
            <w14:solidFill>
              <w14:schemeClr w14:val="tx1"/>
            </w14:solidFill>
          </w14:textFill>
        </w:rPr>
        <w:t>: 385-391 [PMID: 24419108 DOI: 10.1200/JCO.2013.51.2186]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 </w:t>
      </w:r>
      <w:r>
        <w:rPr>
          <w:rFonts w:ascii="Book Antiqua" w:hAnsi="Book Antiqua"/>
          <w:b/>
          <w:bCs/>
          <w:color w:val="000000" w:themeColor="text1"/>
          <w14:textFill>
            <w14:solidFill>
              <w14:schemeClr w14:val="tx1"/>
            </w14:solidFill>
          </w14:textFill>
        </w:rPr>
        <w:t>Chen G</w:t>
      </w:r>
      <w:r>
        <w:rPr>
          <w:rFonts w:ascii="Book Antiqua" w:hAnsi="Book Antiqua"/>
          <w:color w:val="000000" w:themeColor="text1"/>
          <w14:textFill>
            <w14:solidFill>
              <w14:schemeClr w14:val="tx1"/>
            </w14:solidFill>
          </w14:textFill>
        </w:rPr>
        <w:t xml:space="preserve">, Wang Z, Liu XY, Liu FY. Recurrence pattern of squamous cell carcinoma in the middle thoracic esophagus after modified Ivor-Lewis esophagectomy. </w:t>
      </w:r>
      <w:r>
        <w:rPr>
          <w:rFonts w:ascii="Book Antiqua" w:hAnsi="Book Antiqua"/>
          <w:i/>
          <w:iCs/>
          <w:color w:val="000000" w:themeColor="text1"/>
          <w14:textFill>
            <w14:solidFill>
              <w14:schemeClr w14:val="tx1"/>
            </w14:solidFill>
          </w14:textFill>
        </w:rPr>
        <w:t>World J Surg</w:t>
      </w:r>
      <w:r>
        <w:rPr>
          <w:rFonts w:ascii="Book Antiqua" w:hAnsi="Book Antiqua"/>
          <w:color w:val="000000" w:themeColor="text1"/>
          <w14:textFill>
            <w14:solidFill>
              <w14:schemeClr w14:val="tx1"/>
            </w14:solidFill>
          </w14:textFill>
        </w:rPr>
        <w:t xml:space="preserve"> 2007; </w:t>
      </w:r>
      <w:r>
        <w:rPr>
          <w:rFonts w:ascii="Book Antiqua" w:hAnsi="Book Antiqua"/>
          <w:b/>
          <w:bCs/>
          <w:color w:val="000000" w:themeColor="text1"/>
          <w14:textFill>
            <w14:solidFill>
              <w14:schemeClr w14:val="tx1"/>
            </w14:solidFill>
          </w14:textFill>
        </w:rPr>
        <w:t>31</w:t>
      </w:r>
      <w:r>
        <w:rPr>
          <w:rFonts w:ascii="Book Antiqua" w:hAnsi="Book Antiqua"/>
          <w:color w:val="000000" w:themeColor="text1"/>
          <w14:textFill>
            <w14:solidFill>
              <w14:schemeClr w14:val="tx1"/>
            </w14:solidFill>
          </w14:textFill>
        </w:rPr>
        <w:t>: 1107-1114 [PMID: 17426905 DOI: 10.1007/s00268-006-0551-1]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 </w:t>
      </w:r>
      <w:r>
        <w:rPr>
          <w:rFonts w:ascii="Book Antiqua" w:hAnsi="Book Antiqua"/>
          <w:b/>
          <w:bCs/>
          <w:color w:val="000000" w:themeColor="text1"/>
          <w14:textFill>
            <w14:solidFill>
              <w14:schemeClr w14:val="tx1"/>
            </w14:solidFill>
          </w14:textFill>
        </w:rPr>
        <w:t>Leng XF</w:t>
      </w:r>
      <w:r>
        <w:rPr>
          <w:rFonts w:ascii="Book Antiqua" w:hAnsi="Book Antiqua"/>
          <w:color w:val="000000" w:themeColor="text1"/>
          <w14:textFill>
            <w14:solidFill>
              <w14:schemeClr w14:val="tx1"/>
            </w14:solidFill>
          </w14:textFill>
        </w:rPr>
        <w:t xml:space="preserve">, Daiko H, Han YT, Mao YS. Optimal preoperative neoadjuvant therapy for resectable locally advanced esophageal squamous cell carcinoma. </w:t>
      </w:r>
      <w:r>
        <w:rPr>
          <w:rFonts w:ascii="Book Antiqua" w:hAnsi="Book Antiqua"/>
          <w:i/>
          <w:iCs/>
          <w:color w:val="000000" w:themeColor="text1"/>
          <w14:textFill>
            <w14:solidFill>
              <w14:schemeClr w14:val="tx1"/>
            </w14:solidFill>
          </w14:textFill>
        </w:rPr>
        <w:t>Ann N Y Acad Sci</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1482</w:t>
      </w:r>
      <w:r>
        <w:rPr>
          <w:rFonts w:ascii="Book Antiqua" w:hAnsi="Book Antiqua"/>
          <w:color w:val="000000" w:themeColor="text1"/>
          <w14:textFill>
            <w14:solidFill>
              <w14:schemeClr w14:val="tx1"/>
            </w14:solidFill>
          </w14:textFill>
        </w:rPr>
        <w:t>: 213-224 [PMID: 33067818 DOI: 10.1111/nyas.14508]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 </w:t>
      </w:r>
      <w:r>
        <w:rPr>
          <w:rFonts w:ascii="Book Antiqua" w:hAnsi="Book Antiqua"/>
          <w:b/>
          <w:bCs/>
          <w:color w:val="000000" w:themeColor="text1"/>
          <w14:textFill>
            <w14:solidFill>
              <w14:schemeClr w14:val="tx1"/>
            </w14:solidFill>
          </w14:textFill>
        </w:rPr>
        <w:t>Yang H</w:t>
      </w:r>
      <w:r>
        <w:rPr>
          <w:rFonts w:ascii="Book Antiqua" w:hAnsi="Book Antiqua"/>
          <w:color w:val="000000" w:themeColor="text1"/>
          <w14:textFill>
            <w14:solidFill>
              <w14:schemeClr w14:val="tx1"/>
            </w14:solidFill>
          </w14:textFill>
        </w:rPr>
        <w:t xml:space="preserve">, Liu H, Chen Y, Zhu C, Fang W, Yu Z, Mao W, Xiang J, Han Y, Chen Z, Yang H, Wang J, Pang Q, Zheng X, Yang H, Li T, Lordick F, D'Journo XB, Cerfolio RJ, Korst RJ, Novoa NM, Swanson SJ, Brunelli A, Ismail M, Fernando HC, Zhang X, Li Q, Wang G, Chen B, Mao T, Kong M, Guo X, Lin T, Liu M, Fu J; AME Thoracic Surgery Collaborative Group. Neoadjuvant Chemoradiotherapy Followed by Surgery Versus Surgery Alone for Locally Advanced Squamous Cell Carcinoma of the Esophagus (NEOCRTEC5010): A Phase III Multicenter, Randomized, Open-Label Clinical Trial. </w:t>
      </w:r>
      <w:r>
        <w:rPr>
          <w:rFonts w:ascii="Book Antiqua" w:hAnsi="Book Antiqua"/>
          <w:i/>
          <w:iCs/>
          <w:color w:val="000000" w:themeColor="text1"/>
          <w14:textFill>
            <w14:solidFill>
              <w14:schemeClr w14:val="tx1"/>
            </w14:solidFill>
          </w14:textFill>
        </w:rPr>
        <w:t>J Clin Oncol</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36</w:t>
      </w:r>
      <w:r>
        <w:rPr>
          <w:rFonts w:ascii="Book Antiqua" w:hAnsi="Book Antiqua"/>
          <w:color w:val="000000" w:themeColor="text1"/>
          <w14:textFill>
            <w14:solidFill>
              <w14:schemeClr w14:val="tx1"/>
            </w14:solidFill>
          </w14:textFill>
        </w:rPr>
        <w:t>: 2796-2803 [PMID: 30089078 DOI: 10.1200/JCO.2018.79.1483]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 </w:t>
      </w:r>
      <w:r>
        <w:rPr>
          <w:rFonts w:ascii="Book Antiqua" w:hAnsi="Book Antiqua"/>
          <w:b/>
          <w:bCs/>
          <w:color w:val="000000" w:themeColor="text1"/>
          <w14:textFill>
            <w14:solidFill>
              <w14:schemeClr w14:val="tx1"/>
            </w14:solidFill>
          </w14:textFill>
        </w:rPr>
        <w:t>Lewis S</w:t>
      </w:r>
      <w:r>
        <w:rPr>
          <w:rFonts w:ascii="Book Antiqua" w:hAnsi="Book Antiqua"/>
          <w:color w:val="000000" w:themeColor="text1"/>
          <w14:textFill>
            <w14:solidFill>
              <w14:schemeClr w14:val="tx1"/>
            </w14:solidFill>
          </w14:textFill>
        </w:rPr>
        <w:t xml:space="preserve">, Lukovic J. Neoadjuvant Therapy in Esophageal Cancer. </w:t>
      </w:r>
      <w:r>
        <w:rPr>
          <w:rFonts w:ascii="Book Antiqua" w:hAnsi="Book Antiqua"/>
          <w:i/>
          <w:iCs/>
          <w:color w:val="000000" w:themeColor="text1"/>
          <w14:textFill>
            <w14:solidFill>
              <w14:schemeClr w14:val="tx1"/>
            </w14:solidFill>
          </w14:textFill>
        </w:rPr>
        <w:t>Thorac Surg Clin</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32</w:t>
      </w:r>
      <w:r>
        <w:rPr>
          <w:rFonts w:ascii="Book Antiqua" w:hAnsi="Book Antiqua"/>
          <w:color w:val="000000" w:themeColor="text1"/>
          <w14:textFill>
            <w14:solidFill>
              <w14:schemeClr w14:val="tx1"/>
            </w14:solidFill>
          </w14:textFill>
        </w:rPr>
        <w:t>: 447-456 [PMID: 36266032 DOI: 10.1016/j.thorsurg.2022.06.003]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 </w:t>
      </w:r>
      <w:r>
        <w:rPr>
          <w:rFonts w:ascii="Book Antiqua" w:hAnsi="Book Antiqua"/>
          <w:b/>
          <w:bCs/>
          <w:color w:val="000000" w:themeColor="text1"/>
          <w14:textFill>
            <w14:solidFill>
              <w14:schemeClr w14:val="tx1"/>
            </w14:solidFill>
          </w14:textFill>
        </w:rPr>
        <w:t>Shah MA</w:t>
      </w:r>
      <w:r>
        <w:rPr>
          <w:rFonts w:ascii="Book Antiqua" w:hAnsi="Book Antiqua"/>
          <w:color w:val="000000" w:themeColor="text1"/>
          <w14:textFill>
            <w14:solidFill>
              <w14:schemeClr w14:val="tx1"/>
            </w14:solidFill>
          </w14:textFill>
        </w:rPr>
        <w:t xml:space="preserve">, Kennedy EB, Catenacci DV, Deighton DC, Goodman KA, Malhotra NK, Willett C, Stiles B, Sharma P, Tang L, Wijnhoven BPL, Hofstetter WL. Treatment of Locally Advanced Esophageal Carcinoma: ASCO Guideline. </w:t>
      </w:r>
      <w:r>
        <w:rPr>
          <w:rFonts w:ascii="Book Antiqua" w:hAnsi="Book Antiqua"/>
          <w:i/>
          <w:iCs/>
          <w:color w:val="000000" w:themeColor="text1"/>
          <w14:textFill>
            <w14:solidFill>
              <w14:schemeClr w14:val="tx1"/>
            </w14:solidFill>
          </w14:textFill>
        </w:rPr>
        <w:t>J Clin Oncol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38</w:t>
      </w:r>
      <w:r>
        <w:rPr>
          <w:rFonts w:ascii="Book Antiqua" w:hAnsi="Book Antiqua"/>
          <w:color w:val="000000" w:themeColor="text1"/>
          <w14:textFill>
            <w14:solidFill>
              <w14:schemeClr w14:val="tx1"/>
            </w14:solidFill>
          </w14:textFill>
        </w:rPr>
        <w:t>: 2677-2694 [PMID: 32568633 DOI: 10.1200/JCO.20.00866]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 </w:t>
      </w:r>
      <w:r>
        <w:rPr>
          <w:rFonts w:ascii="Book Antiqua" w:hAnsi="Book Antiqua"/>
          <w:b/>
          <w:bCs/>
          <w:color w:val="000000" w:themeColor="text1"/>
          <w14:textFill>
            <w14:solidFill>
              <w14:schemeClr w14:val="tx1"/>
            </w14:solidFill>
          </w14:textFill>
        </w:rPr>
        <w:t>Puetz K</w:t>
      </w:r>
      <w:r>
        <w:rPr>
          <w:rFonts w:ascii="Book Antiqua" w:hAnsi="Book Antiqua"/>
          <w:color w:val="000000" w:themeColor="text1"/>
          <w14:textFill>
            <w14:solidFill>
              <w14:schemeClr w14:val="tx1"/>
            </w14:solidFill>
          </w14:textFill>
        </w:rPr>
        <w:t xml:space="preserve">, Bollschweiler E, Semrau R, Mönig SP, Hölscher AH, Drebber U. Neoadjuvant chemoradiation for patients with advanced oesophageal cancer - which response grading system best impacts prognostic discrimination? </w:t>
      </w:r>
      <w:r>
        <w:rPr>
          <w:rFonts w:ascii="Book Antiqua" w:hAnsi="Book Antiqua"/>
          <w:i/>
          <w:iCs/>
          <w:color w:val="000000" w:themeColor="text1"/>
          <w14:textFill>
            <w14:solidFill>
              <w14:schemeClr w14:val="tx1"/>
            </w14:solidFill>
          </w14:textFill>
        </w:rPr>
        <w:t>Histopathology</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74</w:t>
      </w:r>
      <w:r>
        <w:rPr>
          <w:rFonts w:ascii="Book Antiqua" w:hAnsi="Book Antiqua"/>
          <w:color w:val="000000" w:themeColor="text1"/>
          <w14:textFill>
            <w14:solidFill>
              <w14:schemeClr w14:val="tx1"/>
            </w14:solidFill>
          </w14:textFill>
        </w:rPr>
        <w:t>: 731-743 [PMID: 30636069 DOI: 10.1111/his.13811]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13 </w:t>
      </w:r>
      <w:r>
        <w:rPr>
          <w:rFonts w:ascii="Book Antiqua" w:hAnsi="Book Antiqua"/>
          <w:b/>
          <w:bCs/>
          <w:color w:val="000000" w:themeColor="text1"/>
          <w14:textFill>
            <w14:solidFill>
              <w14:schemeClr w14:val="tx1"/>
            </w14:solidFill>
          </w14:textFill>
        </w:rPr>
        <w:t>Shapiro J</w:t>
      </w:r>
      <w:r>
        <w:rPr>
          <w:rFonts w:ascii="Book Antiqua" w:hAnsi="Book Antiqua"/>
          <w:color w:val="000000" w:themeColor="text1"/>
          <w14:textFill>
            <w14:solidFill>
              <w14:schemeClr w14:val="tx1"/>
            </w14:solidFill>
          </w14:textFill>
        </w:rPr>
        <w:t xml:space="preserve">, van Lanschot JJB, Hulshof MCCM, van Hagen P, van Berge Henegouwen MI, Wijnhoven BPL, van Laarhoven HWM, Nieuwenhuijzen GAP, Hospers GAP, Bonenkamp JJ, Cuesta MA, Blaisse RJB, Busch ORC, Ten Kate FJW, Creemers GM, Punt CJA, Plukker JTM, Verheul HMW, Bilgen EJS, van Dekken H, van der Sangen MJC, Rozema T, Biermann K, Beukema JC, Piet AHM, van Rij CM, Reinders JG, Tilanus HW, Steyerberg EW, van der Gaast A; CROSS study group. Neoadjuvant chemoradiotherapy plus surgery versus surgery alone for oesophageal or junctional cancer (CROSS): long-term results of a randomised controlled trial. </w:t>
      </w:r>
      <w:r>
        <w:rPr>
          <w:rFonts w:ascii="Book Antiqua" w:hAnsi="Book Antiqua"/>
          <w:i/>
          <w:iCs/>
          <w:color w:val="000000" w:themeColor="text1"/>
          <w14:textFill>
            <w14:solidFill>
              <w14:schemeClr w14:val="tx1"/>
            </w14:solidFill>
          </w14:textFill>
        </w:rPr>
        <w:t>Lancet Oncol</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16</w:t>
      </w:r>
      <w:r>
        <w:rPr>
          <w:rFonts w:ascii="Book Antiqua" w:hAnsi="Book Antiqua"/>
          <w:color w:val="000000" w:themeColor="text1"/>
          <w14:textFill>
            <w14:solidFill>
              <w14:schemeClr w14:val="tx1"/>
            </w14:solidFill>
          </w14:textFill>
        </w:rPr>
        <w:t>: 1090-1098 [PMID: 26254683 DOI: 10.1016/S1470-2045(15)00040-6]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14 </w:t>
      </w:r>
      <w:r>
        <w:rPr>
          <w:rFonts w:ascii="Book Antiqua" w:hAnsi="Book Antiqua"/>
          <w:b/>
          <w:bCs/>
          <w:color w:val="000000" w:themeColor="text1"/>
          <w14:textFill>
            <w14:solidFill>
              <w14:schemeClr w14:val="tx1"/>
            </w14:solidFill>
          </w14:textFill>
        </w:rPr>
        <w:t>Sun HB</w:t>
      </w:r>
      <w:r>
        <w:rPr>
          <w:rFonts w:ascii="Book Antiqua" w:hAnsi="Book Antiqua"/>
          <w:color w:val="000000" w:themeColor="text1"/>
          <w14:textFill>
            <w14:solidFill>
              <w14:schemeClr w14:val="tx1"/>
            </w14:solidFill>
          </w14:textFill>
        </w:rPr>
        <w:t xml:space="preserve">, Xing WQ, Liu XB, Zheng Y, Yang SJ, Wang ZF, Liu SL, Ba YF, Zhang RX, Liu BX, Fan CC, Chen PN, Liang GH, Yu YK, Liu Q, Wang HR, Li HM, Li ZX; written on Henan Cancer Hospital Thoracic Oncology Group (HCHTOG). Neoadjuvant chemotherapy versus neoadjuvant chemoradiotherapy for locally advanced oesophageal squamous cell carcinoma: a single-Centre, open-label, randomized, controlled, clinical trial (HCHTOG1903). </w:t>
      </w:r>
      <w:r>
        <w:rPr>
          <w:rFonts w:ascii="Book Antiqua" w:hAnsi="Book Antiqua"/>
          <w:i/>
          <w:iCs/>
          <w:color w:val="000000" w:themeColor="text1"/>
          <w14:textFill>
            <w14:solidFill>
              <w14:schemeClr w14:val="tx1"/>
            </w14:solidFill>
          </w14:textFill>
        </w:rPr>
        <w:t>BMC Cancer</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20</w:t>
      </w:r>
      <w:r>
        <w:rPr>
          <w:rFonts w:ascii="Book Antiqua" w:hAnsi="Book Antiqua"/>
          <w:color w:val="000000" w:themeColor="text1"/>
          <w14:textFill>
            <w14:solidFill>
              <w14:schemeClr w14:val="tx1"/>
            </w14:solidFill>
          </w14:textFill>
        </w:rPr>
        <w:t>: 303 [PMID: 32293362 DOI: 10.1186/s12885-020-06824-2]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15 </w:t>
      </w:r>
      <w:r>
        <w:rPr>
          <w:rFonts w:ascii="Book Antiqua" w:hAnsi="Book Antiqua"/>
          <w:b/>
          <w:bCs/>
          <w:color w:val="000000" w:themeColor="text1"/>
          <w14:textFill>
            <w14:solidFill>
              <w14:schemeClr w14:val="tx1"/>
            </w14:solidFill>
          </w14:textFill>
        </w:rPr>
        <w:t>Tepper J</w:t>
      </w:r>
      <w:r>
        <w:rPr>
          <w:rFonts w:ascii="Book Antiqua" w:hAnsi="Book Antiqua"/>
          <w:color w:val="000000" w:themeColor="text1"/>
          <w14:textFill>
            <w14:solidFill>
              <w14:schemeClr w14:val="tx1"/>
            </w14:solidFill>
          </w14:textFill>
        </w:rPr>
        <w:t xml:space="preserve">, Krasna MJ, Niedzwiecki D, Hollis D, Reed CE, Goldberg R, Kiel K, Willett C, Sugarbaker D, Mayer R. Phase III trial of trimodality therapy with cisplatin, fluorouracil, radiotherapy, and surgery compared with surgery alone for esophageal cancer: CALGB 9781. </w:t>
      </w:r>
      <w:r>
        <w:rPr>
          <w:rFonts w:ascii="Book Antiqua" w:hAnsi="Book Antiqua"/>
          <w:i/>
          <w:iCs/>
          <w:color w:val="000000" w:themeColor="text1"/>
          <w14:textFill>
            <w14:solidFill>
              <w14:schemeClr w14:val="tx1"/>
            </w14:solidFill>
          </w14:textFill>
        </w:rPr>
        <w:t>J Clin Oncol</w:t>
      </w:r>
      <w:r>
        <w:rPr>
          <w:rFonts w:ascii="Book Antiqua" w:hAnsi="Book Antiqua"/>
          <w:color w:val="000000" w:themeColor="text1"/>
          <w14:textFill>
            <w14:solidFill>
              <w14:schemeClr w14:val="tx1"/>
            </w14:solidFill>
          </w14:textFill>
        </w:rPr>
        <w:t xml:space="preserve"> 2008; </w:t>
      </w:r>
      <w:r>
        <w:rPr>
          <w:rFonts w:ascii="Book Antiqua" w:hAnsi="Book Antiqua"/>
          <w:b/>
          <w:bCs/>
          <w:color w:val="000000" w:themeColor="text1"/>
          <w14:textFill>
            <w14:solidFill>
              <w14:schemeClr w14:val="tx1"/>
            </w14:solidFill>
          </w14:textFill>
        </w:rPr>
        <w:t>26</w:t>
      </w:r>
      <w:r>
        <w:rPr>
          <w:rFonts w:ascii="Book Antiqua" w:hAnsi="Book Antiqua"/>
          <w:color w:val="000000" w:themeColor="text1"/>
          <w14:textFill>
            <w14:solidFill>
              <w14:schemeClr w14:val="tx1"/>
            </w14:solidFill>
          </w14:textFill>
        </w:rPr>
        <w:t>: 1086-1092 [PMID: 18309943 DOI: 10.1200/JCO.2007.12.9593]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16 </w:t>
      </w:r>
      <w:r>
        <w:rPr>
          <w:rFonts w:ascii="Book Antiqua" w:hAnsi="Book Antiqua"/>
          <w:b/>
          <w:bCs/>
          <w:color w:val="000000" w:themeColor="text1"/>
          <w14:textFill>
            <w14:solidFill>
              <w14:schemeClr w14:val="tx1"/>
            </w14:solidFill>
          </w14:textFill>
        </w:rPr>
        <w:t>van Hagen P</w:t>
      </w:r>
      <w:r>
        <w:rPr>
          <w:rFonts w:ascii="Book Antiqua" w:hAnsi="Book Antiqua"/>
          <w:color w:val="000000" w:themeColor="text1"/>
          <w14:textFill>
            <w14:solidFill>
              <w14:schemeClr w14:val="tx1"/>
            </w14:solidFill>
          </w14:textFill>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Preoperative chemoradiotherapy for esophageal or junctional cancer. </w:t>
      </w:r>
      <w:r>
        <w:rPr>
          <w:rFonts w:ascii="Book Antiqua" w:hAnsi="Book Antiqua"/>
          <w:i/>
          <w:iCs/>
          <w:color w:val="000000" w:themeColor="text1"/>
          <w14:textFill>
            <w14:solidFill>
              <w14:schemeClr w14:val="tx1"/>
            </w14:solidFill>
          </w14:textFill>
        </w:rPr>
        <w:t>N Engl J Med</w:t>
      </w:r>
      <w:r>
        <w:rPr>
          <w:rFonts w:ascii="Book Antiqua" w:hAnsi="Book Antiqua"/>
          <w:color w:val="000000" w:themeColor="text1"/>
          <w14:textFill>
            <w14:solidFill>
              <w14:schemeClr w14:val="tx1"/>
            </w14:solidFill>
          </w14:textFill>
        </w:rPr>
        <w:t xml:space="preserve"> 2012; </w:t>
      </w:r>
      <w:r>
        <w:rPr>
          <w:rFonts w:ascii="Book Antiqua" w:hAnsi="Book Antiqua"/>
          <w:b/>
          <w:bCs/>
          <w:color w:val="000000" w:themeColor="text1"/>
          <w14:textFill>
            <w14:solidFill>
              <w14:schemeClr w14:val="tx1"/>
            </w14:solidFill>
          </w14:textFill>
        </w:rPr>
        <w:t>366</w:t>
      </w:r>
      <w:r>
        <w:rPr>
          <w:rFonts w:ascii="Book Antiqua" w:hAnsi="Book Antiqua"/>
          <w:color w:val="000000" w:themeColor="text1"/>
          <w14:textFill>
            <w14:solidFill>
              <w14:schemeClr w14:val="tx1"/>
            </w14:solidFill>
          </w14:textFill>
        </w:rPr>
        <w:t>: 2074-2084 [PMID: 22646630 DOI: 10.1056/NEJMoa1112088]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17 </w:t>
      </w:r>
      <w:r>
        <w:rPr>
          <w:rFonts w:ascii="Book Antiqua" w:hAnsi="Book Antiqua"/>
          <w:b/>
          <w:bCs/>
          <w:color w:val="000000" w:themeColor="text1"/>
          <w14:textFill>
            <w14:solidFill>
              <w14:schemeClr w14:val="tx1"/>
            </w14:solidFill>
          </w14:textFill>
        </w:rPr>
        <w:t>Zhou HY</w:t>
      </w:r>
      <w:r>
        <w:rPr>
          <w:rFonts w:ascii="Book Antiqua" w:hAnsi="Book Antiqua"/>
          <w:color w:val="000000" w:themeColor="text1"/>
          <w14:textFill>
            <w14:solidFill>
              <w14:schemeClr w14:val="tx1"/>
            </w14:solidFill>
          </w14:textFill>
        </w:rPr>
        <w:t xml:space="preserve">, Zheng SP, Li AL, Gao QL, Ou QY, Chen YJ, Wu ST, Lin DG, Liu SB, Huang LY, Li FS, Zhu HY, Qiao GB, Lanuti M, Yao HR, Yu YF. Clinical evidence for association of neoadjuvant chemotherapy or chemoradiotherapy with efficacy and safety in patients with resectable esophageal carcinoma (NewEC study). </w:t>
      </w:r>
      <w:r>
        <w:rPr>
          <w:rFonts w:ascii="Book Antiqua" w:hAnsi="Book Antiqua"/>
          <w:i/>
          <w:iCs/>
          <w:color w:val="000000" w:themeColor="text1"/>
          <w14:textFill>
            <w14:solidFill>
              <w14:schemeClr w14:val="tx1"/>
            </w14:solidFill>
          </w14:textFill>
        </w:rPr>
        <w:t>EClinicalMedicine</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24</w:t>
      </w:r>
      <w:r>
        <w:rPr>
          <w:rFonts w:ascii="Book Antiqua" w:hAnsi="Book Antiqua"/>
          <w:color w:val="000000" w:themeColor="text1"/>
          <w14:textFill>
            <w14:solidFill>
              <w14:schemeClr w14:val="tx1"/>
            </w14:solidFill>
          </w14:textFill>
        </w:rPr>
        <w:t>: 100422 [PMID: 32637899 DOI: 10.1016/j.eclinm.2020.100422]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18 </w:t>
      </w:r>
      <w:r>
        <w:rPr>
          <w:rFonts w:ascii="Book Antiqua" w:hAnsi="Book Antiqua"/>
          <w:b/>
          <w:bCs/>
          <w:color w:val="000000" w:themeColor="text1"/>
          <w14:textFill>
            <w14:solidFill>
              <w14:schemeClr w14:val="tx1"/>
            </w14:solidFill>
          </w14:textFill>
        </w:rPr>
        <w:t>Chan KKW</w:t>
      </w:r>
      <w:r>
        <w:rPr>
          <w:rFonts w:ascii="Book Antiqua" w:hAnsi="Book Antiqua"/>
          <w:color w:val="000000" w:themeColor="text1"/>
          <w14:textFill>
            <w14:solidFill>
              <w14:schemeClr w14:val="tx1"/>
            </w14:solidFill>
          </w14:textFill>
        </w:rPr>
        <w:t xml:space="preserve">, Saluja R, Delos Santos K, Lien K, Shah K, Cramarossa G, Zhu X, Wong RKS. Neoadjuvant treatments for locally advanced, resectable esophageal cancer: A network meta-analysis. </w:t>
      </w:r>
      <w:r>
        <w:rPr>
          <w:rFonts w:ascii="Book Antiqua" w:hAnsi="Book Antiqua"/>
          <w:i/>
          <w:iCs/>
          <w:color w:val="000000" w:themeColor="text1"/>
          <w14:textFill>
            <w14:solidFill>
              <w14:schemeClr w14:val="tx1"/>
            </w14:solidFill>
          </w14:textFill>
        </w:rPr>
        <w:t>Int J Cancer</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143</w:t>
      </w:r>
      <w:r>
        <w:rPr>
          <w:rFonts w:ascii="Book Antiqua" w:hAnsi="Book Antiqua"/>
          <w:color w:val="000000" w:themeColor="text1"/>
          <w14:textFill>
            <w14:solidFill>
              <w14:schemeClr w14:val="tx1"/>
            </w14:solidFill>
          </w14:textFill>
        </w:rPr>
        <w:t>: 430-437 [PMID: 29441562 DOI: 10.1002/ijc.31312]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19 </w:t>
      </w:r>
      <w:r>
        <w:rPr>
          <w:rFonts w:ascii="Book Antiqua" w:hAnsi="Book Antiqua"/>
          <w:b/>
          <w:bCs/>
          <w:color w:val="000000" w:themeColor="text1"/>
          <w14:textFill>
            <w14:solidFill>
              <w14:schemeClr w14:val="tx1"/>
            </w14:solidFill>
          </w14:textFill>
        </w:rPr>
        <w:t>Pasquali S</w:t>
      </w:r>
      <w:r>
        <w:rPr>
          <w:rFonts w:ascii="Book Antiqua" w:hAnsi="Book Antiqua"/>
          <w:color w:val="000000" w:themeColor="text1"/>
          <w14:textFill>
            <w14:solidFill>
              <w14:schemeClr w14:val="tx1"/>
            </w14:solidFill>
          </w14:textFill>
        </w:rPr>
        <w:t xml:space="preserve">, Yim G, Vohra RS, Mocellin S, Nyanhongo D, Marriott P, Geh JI, Griffiths EA. Survival After Neoadjuvant and Adjuvant Treatments Compared to Surgery Alone for Resectable Esophageal Carcinoma: A Network Meta-analysis. </w:t>
      </w:r>
      <w:r>
        <w:rPr>
          <w:rFonts w:ascii="Book Antiqua" w:hAnsi="Book Antiqua"/>
          <w:i/>
          <w:iCs/>
          <w:color w:val="000000" w:themeColor="text1"/>
          <w14:textFill>
            <w14:solidFill>
              <w14:schemeClr w14:val="tx1"/>
            </w14:solidFill>
          </w14:textFill>
        </w:rPr>
        <w:t>Ann Surg</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265</w:t>
      </w:r>
      <w:r>
        <w:rPr>
          <w:rFonts w:ascii="Book Antiqua" w:hAnsi="Book Antiqua"/>
          <w:color w:val="000000" w:themeColor="text1"/>
          <w14:textFill>
            <w14:solidFill>
              <w14:schemeClr w14:val="tx1"/>
            </w14:solidFill>
          </w14:textFill>
        </w:rPr>
        <w:t>: 481-491 [PMID: 27429017 DOI: 10.1097/SLA.0000000000001905]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20 </w:t>
      </w:r>
      <w:r>
        <w:rPr>
          <w:rFonts w:ascii="Book Antiqua" w:hAnsi="Book Antiqua"/>
          <w:b/>
          <w:bCs/>
          <w:color w:val="000000" w:themeColor="text1"/>
          <w14:textFill>
            <w14:solidFill>
              <w14:schemeClr w14:val="tx1"/>
            </w14:solidFill>
          </w14:textFill>
        </w:rPr>
        <w:t>Mariette C</w:t>
      </w:r>
      <w:r>
        <w:rPr>
          <w:rFonts w:ascii="Book Antiqua" w:hAnsi="Book Antiqua"/>
          <w:color w:val="000000" w:themeColor="text1"/>
          <w14:textFill>
            <w14:solidFill>
              <w14:schemeClr w14:val="tx1"/>
            </w14:solidFill>
          </w14:textFill>
        </w:rPr>
        <w:t xml:space="preserve">, Dahan L, Mornex F, Maillard E, Thomas PA, Meunier B, Boige V, Pezet D, Robb WB, Le Brun-Ly V, Bosset JF, Mabrut JY, Triboulet JP, Bedenne L, Seitz JF. Surgery alone versus chemoradiotherapy followed by surgery for stage I and II esophageal cancer: final analysis of randomized controlled phase III trial FFCD 9901. </w:t>
      </w:r>
      <w:r>
        <w:rPr>
          <w:rFonts w:ascii="Book Antiqua" w:hAnsi="Book Antiqua"/>
          <w:i/>
          <w:iCs/>
          <w:color w:val="000000" w:themeColor="text1"/>
          <w14:textFill>
            <w14:solidFill>
              <w14:schemeClr w14:val="tx1"/>
            </w14:solidFill>
          </w14:textFill>
        </w:rPr>
        <w:t>J Clin Oncol</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32</w:t>
      </w:r>
      <w:r>
        <w:rPr>
          <w:rFonts w:ascii="Book Antiqua" w:hAnsi="Book Antiqua"/>
          <w:color w:val="000000" w:themeColor="text1"/>
          <w14:textFill>
            <w14:solidFill>
              <w14:schemeClr w14:val="tx1"/>
            </w14:solidFill>
          </w14:textFill>
        </w:rPr>
        <w:t>: 2416-2422 [PMID: 24982463 DOI: 10.1200/JCO.2013.53.6532]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21 </w:t>
      </w:r>
      <w:r>
        <w:rPr>
          <w:rFonts w:ascii="Book Antiqua" w:hAnsi="Book Antiqua"/>
          <w:b/>
          <w:bCs/>
          <w:color w:val="000000" w:themeColor="text1"/>
          <w14:textFill>
            <w14:solidFill>
              <w14:schemeClr w14:val="tx1"/>
            </w14:solidFill>
          </w14:textFill>
        </w:rPr>
        <w:t>Murakami Y</w:t>
      </w:r>
      <w:r>
        <w:rPr>
          <w:rFonts w:ascii="Book Antiqua" w:hAnsi="Book Antiqua"/>
          <w:color w:val="000000" w:themeColor="text1"/>
          <w14:textFill>
            <w14:solidFill>
              <w14:schemeClr w14:val="tx1"/>
            </w14:solidFill>
          </w14:textFill>
        </w:rPr>
        <w:t xml:space="preserve">, Hamai Y, Emi M, Hihara J, Imano N, Takeuchi Y, Takahashi I, Nishibuchi I, Kimura T, Okada M, Nagata Y. Long-term results of neoadjuvant chemoradiotherapy using cisplatin and 5-fluorouracil followed by esophagectomy for resectable, locally advanced esophageal squamous cell carcinoma. </w:t>
      </w:r>
      <w:r>
        <w:rPr>
          <w:rFonts w:ascii="Book Antiqua" w:hAnsi="Book Antiqua"/>
          <w:i/>
          <w:iCs/>
          <w:color w:val="000000" w:themeColor="text1"/>
          <w14:textFill>
            <w14:solidFill>
              <w14:schemeClr w14:val="tx1"/>
            </w14:solidFill>
          </w14:textFill>
        </w:rPr>
        <w:t>J Radiat Res</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59</w:t>
      </w:r>
      <w:r>
        <w:rPr>
          <w:rFonts w:ascii="Book Antiqua" w:hAnsi="Book Antiqua"/>
          <w:color w:val="000000" w:themeColor="text1"/>
          <w14:textFill>
            <w14:solidFill>
              <w14:schemeClr w14:val="tx1"/>
            </w14:solidFill>
          </w14:textFill>
        </w:rPr>
        <w:t>: 616-624 [PMID: 29939306 DOI: 10.1093/jrr/rry047]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22 </w:t>
      </w:r>
      <w:r>
        <w:rPr>
          <w:rFonts w:ascii="Book Antiqua" w:hAnsi="Book Antiqua"/>
          <w:b/>
          <w:bCs/>
          <w:color w:val="000000" w:themeColor="text1"/>
          <w14:textFill>
            <w14:solidFill>
              <w14:schemeClr w14:val="tx1"/>
            </w14:solidFill>
          </w14:textFill>
        </w:rPr>
        <w:t>Ajani JA</w:t>
      </w:r>
      <w:r>
        <w:rPr>
          <w:rFonts w:ascii="Book Antiqua" w:hAnsi="Book Antiqua"/>
          <w:color w:val="000000" w:themeColor="text1"/>
          <w14:textFill>
            <w14:solidFill>
              <w14:schemeClr w14:val="tx1"/>
            </w14:solidFill>
          </w14:textFill>
        </w:rPr>
        <w:t xml:space="preserve">, D'Amico TA, Bentrem DJ, Chao J, Corvera C, Das P, Denlinger CS, Enzinger PC, Fanta P, Farjah F, Gerdes H, Gibson M, Glasgow RE, Hayman JA, Hochwald S, Hofstetter WL, Ilson DH, Jaroszewski D, Johung KL, Keswani RN, Kleinberg LR, Leong S, Ly QP, Matkowskyj KA, McNamara M, Mulcahy MF, Paluri RK, Park H, Perry KA, Pimiento J, Poultsides GA, Roses R, Strong VE, Wiesner G, Willett CG, Wright CD, McMillian NR, Pluchino LA. Esophageal and Esophagogastric Junction Cancers, Version 2.2019, NCCN Clinical Practice Guidelines in Oncology. </w:t>
      </w:r>
      <w:r>
        <w:rPr>
          <w:rFonts w:ascii="Book Antiqua" w:hAnsi="Book Antiqua"/>
          <w:i/>
          <w:iCs/>
          <w:color w:val="000000" w:themeColor="text1"/>
          <w14:textFill>
            <w14:solidFill>
              <w14:schemeClr w14:val="tx1"/>
            </w14:solidFill>
          </w14:textFill>
        </w:rPr>
        <w:t>J Natl Compr Canc Netw</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17</w:t>
      </w:r>
      <w:r>
        <w:rPr>
          <w:rFonts w:ascii="Book Antiqua" w:hAnsi="Book Antiqua"/>
          <w:color w:val="000000" w:themeColor="text1"/>
          <w14:textFill>
            <w14:solidFill>
              <w14:schemeClr w14:val="tx1"/>
            </w14:solidFill>
          </w14:textFill>
        </w:rPr>
        <w:t>: 855-883 [PMID: 31319389 DOI: 10.6004/jnccn.2019.0033]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23 </w:t>
      </w:r>
      <w:r>
        <w:rPr>
          <w:rFonts w:ascii="Book Antiqua" w:hAnsi="Book Antiqua"/>
          <w:b/>
          <w:bCs/>
          <w:color w:val="000000" w:themeColor="text1"/>
          <w14:textFill>
            <w14:solidFill>
              <w14:schemeClr w14:val="tx1"/>
            </w14:solidFill>
          </w14:textFill>
        </w:rPr>
        <w:t>Ajani JA</w:t>
      </w:r>
      <w:r>
        <w:rPr>
          <w:rFonts w:ascii="Book Antiqua" w:hAnsi="Book Antiqua"/>
          <w:color w:val="000000" w:themeColor="text1"/>
          <w14:textFill>
            <w14:solidFill>
              <w14:schemeClr w14:val="tx1"/>
            </w14:solidFill>
          </w14:textFill>
        </w:rPr>
        <w:t xml:space="preserve">, D'Amico TA, Bentrem DJ, Cooke D, Corvera C, Das P, Enzinger PC, Enzler T, Farjah F, Gerdes H, Gibson M, Grierson P, Hofstetter WL, Ilson DH, Jalal S, Keswani RN, Kim S, Kleinberg LR, Klempner S, Lacy J, Licciardi F, Ly QP, Matkowskyj KA, McNamara M, Miller A, Mukherjee S, Mulcahy MF, Outlaw D, Perry KA, Pimiento J, Poultsides GA, Reznik S, Roses RE, Strong VE, Su S, Wang HL, Wiesner G, Willett CG, Yakoub D, Yoon H, McMillian NR, Pluchino LA. Esophageal and Esophagogastric Junction Cancers, Version 2.2023, NCCN Clinical Practice Guidelines in Oncology. </w:t>
      </w:r>
      <w:r>
        <w:rPr>
          <w:rFonts w:ascii="Book Antiqua" w:hAnsi="Book Antiqua"/>
          <w:i/>
          <w:iCs/>
          <w:color w:val="000000" w:themeColor="text1"/>
          <w14:textFill>
            <w14:solidFill>
              <w14:schemeClr w14:val="tx1"/>
            </w14:solidFill>
          </w14:textFill>
        </w:rPr>
        <w:t>J Natl Compr Canc Netw</w:t>
      </w:r>
      <w:r>
        <w:rPr>
          <w:rFonts w:ascii="Book Antiqua" w:hAnsi="Book Antiqua"/>
          <w:color w:val="000000" w:themeColor="text1"/>
          <w14:textFill>
            <w14:solidFill>
              <w14:schemeClr w14:val="tx1"/>
            </w14:solidFill>
          </w14:textFill>
        </w:rPr>
        <w:t xml:space="preserve"> 2023; </w:t>
      </w:r>
      <w:r>
        <w:rPr>
          <w:rFonts w:ascii="Book Antiqua" w:hAnsi="Book Antiqua"/>
          <w:b/>
          <w:bCs/>
          <w:color w:val="000000" w:themeColor="text1"/>
          <w14:textFill>
            <w14:solidFill>
              <w14:schemeClr w14:val="tx1"/>
            </w14:solidFill>
          </w14:textFill>
        </w:rPr>
        <w:t>21</w:t>
      </w:r>
      <w:r>
        <w:rPr>
          <w:rFonts w:ascii="Book Antiqua" w:hAnsi="Book Antiqua"/>
          <w:color w:val="000000" w:themeColor="text1"/>
          <w14:textFill>
            <w14:solidFill>
              <w14:schemeClr w14:val="tx1"/>
            </w14:solidFill>
          </w14:textFill>
        </w:rPr>
        <w:t>: 393-422 [PMID: 37015332 DOI: 10.6004/jnccn.2023.0019]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24 </w:t>
      </w:r>
      <w:r>
        <w:rPr>
          <w:rFonts w:ascii="Book Antiqua" w:hAnsi="Book Antiqua"/>
          <w:b/>
          <w:bCs/>
          <w:color w:val="000000" w:themeColor="text1"/>
          <w14:textFill>
            <w14:solidFill>
              <w14:schemeClr w14:val="tx1"/>
            </w14:solidFill>
          </w14:textFill>
        </w:rPr>
        <w:t>Muro K</w:t>
      </w:r>
      <w:r>
        <w:rPr>
          <w:rFonts w:ascii="Book Antiqua" w:hAnsi="Book Antiqua"/>
          <w:color w:val="000000" w:themeColor="text1"/>
          <w14:textFill>
            <w14:solidFill>
              <w14:schemeClr w14:val="tx1"/>
            </w14:solidFill>
          </w14:textFill>
        </w:rPr>
        <w:t xml:space="preserve">, Lordick F, Tsushima T, Pentheroudakis G, Baba E, Lu Z, Cho BC, Nor IM, Ng M, Chen LT, Kato K, Li J, Ryu MH, Zamaniah WIW, Yong WP, Yeh KH, Nakajima TE, Shitara K, Kawakami H, Narita Y, Yoshino T, Van Cutsem E, Martinelli E, Smyth EC, Arnold D, Minami H, Tabernero J, Douillard JY. Pan-Asian adapted ESMO Clinical Practice Guidelines for the management of patients with metastatic oesophageal cancer: a JSMO-ESMO initiative endorsed by CSCO, KSMO, MOS, SSO and TOS. </w:t>
      </w:r>
      <w:r>
        <w:rPr>
          <w:rFonts w:ascii="Book Antiqua" w:hAnsi="Book Antiqua"/>
          <w:i/>
          <w:iCs/>
          <w:color w:val="000000" w:themeColor="text1"/>
          <w14:textFill>
            <w14:solidFill>
              <w14:schemeClr w14:val="tx1"/>
            </w14:solidFill>
          </w14:textFill>
        </w:rPr>
        <w:t>Ann Oncol</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30</w:t>
      </w:r>
      <w:r>
        <w:rPr>
          <w:rFonts w:ascii="Book Antiqua" w:hAnsi="Book Antiqua"/>
          <w:color w:val="000000" w:themeColor="text1"/>
          <w14:textFill>
            <w14:solidFill>
              <w14:schemeClr w14:val="tx1"/>
            </w14:solidFill>
          </w14:textFill>
        </w:rPr>
        <w:t>: 34-43 [PMID: 30475943 DOI: 10.1093/annonc/mdy498]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25 </w:t>
      </w:r>
      <w:r>
        <w:rPr>
          <w:rFonts w:ascii="Book Antiqua" w:hAnsi="Book Antiqua"/>
          <w:b/>
          <w:bCs/>
          <w:color w:val="000000" w:themeColor="text1"/>
          <w14:textFill>
            <w14:solidFill>
              <w14:schemeClr w14:val="tx1"/>
            </w14:solidFill>
          </w14:textFill>
        </w:rPr>
        <w:t>Zhang W</w:t>
      </w:r>
      <w:r>
        <w:rPr>
          <w:rFonts w:ascii="Book Antiqua" w:hAnsi="Book Antiqua"/>
          <w:color w:val="000000" w:themeColor="text1"/>
          <w14:textFill>
            <w14:solidFill>
              <w14:schemeClr w14:val="tx1"/>
            </w14:solidFill>
          </w14:textFill>
        </w:rPr>
        <w:t xml:space="preserve">, Wang P, Pang Q. Immune checkpoint inhibitors for esophageal squamous cell carcinoma: a narrative review. </w:t>
      </w:r>
      <w:r>
        <w:rPr>
          <w:rFonts w:ascii="Book Antiqua" w:hAnsi="Book Antiqua"/>
          <w:i/>
          <w:iCs/>
          <w:color w:val="000000" w:themeColor="text1"/>
          <w14:textFill>
            <w14:solidFill>
              <w14:schemeClr w14:val="tx1"/>
            </w14:solidFill>
          </w14:textFill>
        </w:rPr>
        <w:t>Ann Transl Med</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8</w:t>
      </w:r>
      <w:r>
        <w:rPr>
          <w:rFonts w:ascii="Book Antiqua" w:hAnsi="Book Antiqua"/>
          <w:color w:val="000000" w:themeColor="text1"/>
          <w14:textFill>
            <w14:solidFill>
              <w14:schemeClr w14:val="tx1"/>
            </w14:solidFill>
          </w14:textFill>
        </w:rPr>
        <w:t>: 1193 [PMID: 33241042 DOI: 10.21037/atm-20-4625]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26 </w:t>
      </w:r>
      <w:r>
        <w:rPr>
          <w:rFonts w:ascii="Book Antiqua" w:hAnsi="Book Antiqua"/>
          <w:b/>
          <w:bCs/>
          <w:color w:val="000000" w:themeColor="text1"/>
          <w14:textFill>
            <w14:solidFill>
              <w14:schemeClr w14:val="tx1"/>
            </w14:solidFill>
          </w14:textFill>
        </w:rPr>
        <w:t>Eyck BM</w:t>
      </w:r>
      <w:r>
        <w:rPr>
          <w:rFonts w:ascii="Book Antiqua" w:hAnsi="Book Antiqua"/>
          <w:color w:val="000000" w:themeColor="text1"/>
          <w14:textFill>
            <w14:solidFill>
              <w14:schemeClr w14:val="tx1"/>
            </w14:solidFill>
          </w14:textFill>
        </w:rPr>
        <w:t xml:space="preserve">, van Lanschot JJB, Hulshof MCCM, van der Wilk BJ, Shapiro J, van Hagen P, van Berge Henegouwen MI, Wijnhoven BPL, van Laarhoven HWM, Nieuwenhuijzen GAP, Hospers GAP, Bonenkamp JJ, Cuesta MA, Blaisse RJB, Busch OR, Creemers GM, Punt CJA, Plukker JTM, Verheul HMW, Spillenaar Bilgen EJ, van der Sangen MJC, Rozema T, Ten Kate FJW, Beukema JC, Piet AHM, van Rij CM, Reinders JG, Tilanus HW, Steyerberg EW, van der Gaast A; CROSS Study Group. Ten-Year Outcome of Neoadjuvant Chemoradiotherapy Plus Surgery for Esophageal Cancer: The Randomized Controlled CROSS Trial. </w:t>
      </w:r>
      <w:r>
        <w:rPr>
          <w:rFonts w:ascii="Book Antiqua" w:hAnsi="Book Antiqua"/>
          <w:i/>
          <w:iCs/>
          <w:color w:val="000000" w:themeColor="text1"/>
          <w14:textFill>
            <w14:solidFill>
              <w14:schemeClr w14:val="tx1"/>
            </w14:solidFill>
          </w14:textFill>
        </w:rPr>
        <w:t>J Clin Oncol</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39</w:t>
      </w:r>
      <w:r>
        <w:rPr>
          <w:rFonts w:ascii="Book Antiqua" w:hAnsi="Book Antiqua"/>
          <w:color w:val="000000" w:themeColor="text1"/>
          <w14:textFill>
            <w14:solidFill>
              <w14:schemeClr w14:val="tx1"/>
            </w14:solidFill>
          </w14:textFill>
        </w:rPr>
        <w:t>: 1995-2004 [PMID: 33891478 DOI: 10.1200/JCO.20.03614]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27 </w:t>
      </w:r>
      <w:r>
        <w:rPr>
          <w:rFonts w:ascii="Book Antiqua" w:hAnsi="Book Antiqua"/>
          <w:b/>
          <w:bCs/>
          <w:color w:val="000000" w:themeColor="text1"/>
          <w14:textFill>
            <w14:solidFill>
              <w14:schemeClr w14:val="tx1"/>
            </w14:solidFill>
          </w14:textFill>
        </w:rPr>
        <w:t>Groom JR</w:t>
      </w:r>
      <w:r>
        <w:rPr>
          <w:rFonts w:ascii="Book Antiqua" w:hAnsi="Book Antiqua"/>
          <w:color w:val="000000" w:themeColor="text1"/>
          <w14:textFill>
            <w14:solidFill>
              <w14:schemeClr w14:val="tx1"/>
            </w14:solidFill>
          </w14:textFill>
        </w:rPr>
        <w:t xml:space="preserve">. Regulators of T-cell fate: Integration of cell migration, differentiation and function. </w:t>
      </w:r>
      <w:r>
        <w:rPr>
          <w:rFonts w:ascii="Book Antiqua" w:hAnsi="Book Antiqua"/>
          <w:i/>
          <w:iCs/>
          <w:color w:val="000000" w:themeColor="text1"/>
          <w14:textFill>
            <w14:solidFill>
              <w14:schemeClr w14:val="tx1"/>
            </w14:solidFill>
          </w14:textFill>
        </w:rPr>
        <w:t>Immunol Rev</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289</w:t>
      </w:r>
      <w:r>
        <w:rPr>
          <w:rFonts w:ascii="Book Antiqua" w:hAnsi="Book Antiqua"/>
          <w:color w:val="000000" w:themeColor="text1"/>
          <w14:textFill>
            <w14:solidFill>
              <w14:schemeClr w14:val="tx1"/>
            </w14:solidFill>
          </w14:textFill>
        </w:rPr>
        <w:t>: 101-114 [PMID: 30977199 DOI: 10.1111/imr.12742]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28 </w:t>
      </w:r>
      <w:r>
        <w:rPr>
          <w:rFonts w:ascii="Book Antiqua" w:hAnsi="Book Antiqua"/>
          <w:b/>
          <w:bCs/>
          <w:color w:val="000000" w:themeColor="text1"/>
          <w14:textFill>
            <w14:solidFill>
              <w14:schemeClr w14:val="tx1"/>
            </w14:solidFill>
          </w14:textFill>
        </w:rPr>
        <w:t>Masopust D</w:t>
      </w:r>
      <w:r>
        <w:rPr>
          <w:rFonts w:ascii="Book Antiqua" w:hAnsi="Book Antiqua"/>
          <w:color w:val="000000" w:themeColor="text1"/>
          <w14:textFill>
            <w14:solidFill>
              <w14:schemeClr w14:val="tx1"/>
            </w14:solidFill>
          </w14:textFill>
        </w:rPr>
        <w:t xml:space="preserve">, Schenkel JM. The integration of T cell migration, differentiation and function. </w:t>
      </w:r>
      <w:r>
        <w:rPr>
          <w:rFonts w:ascii="Book Antiqua" w:hAnsi="Book Antiqua"/>
          <w:i/>
          <w:iCs/>
          <w:color w:val="000000" w:themeColor="text1"/>
          <w14:textFill>
            <w14:solidFill>
              <w14:schemeClr w14:val="tx1"/>
            </w14:solidFill>
          </w14:textFill>
        </w:rPr>
        <w:t>Nat Rev Immunol</w:t>
      </w:r>
      <w:r>
        <w:rPr>
          <w:rFonts w:ascii="Book Antiqua" w:hAnsi="Book Antiqua"/>
          <w:color w:val="000000" w:themeColor="text1"/>
          <w14:textFill>
            <w14:solidFill>
              <w14:schemeClr w14:val="tx1"/>
            </w14:solidFill>
          </w14:textFill>
        </w:rPr>
        <w:t xml:space="preserve"> 2013; </w:t>
      </w:r>
      <w:r>
        <w:rPr>
          <w:rFonts w:ascii="Book Antiqua" w:hAnsi="Book Antiqua"/>
          <w:b/>
          <w:bCs/>
          <w:color w:val="000000" w:themeColor="text1"/>
          <w14:textFill>
            <w14:solidFill>
              <w14:schemeClr w14:val="tx1"/>
            </w14:solidFill>
          </w14:textFill>
        </w:rPr>
        <w:t>13</w:t>
      </w:r>
      <w:r>
        <w:rPr>
          <w:rFonts w:ascii="Book Antiqua" w:hAnsi="Book Antiqua"/>
          <w:color w:val="000000" w:themeColor="text1"/>
          <w14:textFill>
            <w14:solidFill>
              <w14:schemeClr w14:val="tx1"/>
            </w14:solidFill>
          </w14:textFill>
        </w:rPr>
        <w:t>: 309-320 [PMID: 23598650 DOI: 10.1038/nri3442]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29 </w:t>
      </w:r>
      <w:r>
        <w:rPr>
          <w:rFonts w:ascii="Book Antiqua" w:hAnsi="Book Antiqua"/>
          <w:b/>
          <w:bCs/>
          <w:color w:val="000000" w:themeColor="text1"/>
          <w14:textFill>
            <w14:solidFill>
              <w14:schemeClr w14:val="tx1"/>
            </w14:solidFill>
          </w14:textFill>
        </w:rPr>
        <w:t>Baba Y</w:t>
      </w:r>
      <w:r>
        <w:rPr>
          <w:rFonts w:ascii="Book Antiqua" w:hAnsi="Book Antiqua"/>
          <w:color w:val="000000" w:themeColor="text1"/>
          <w14:textFill>
            <w14:solidFill>
              <w14:schemeClr w14:val="tx1"/>
            </w14:solidFill>
          </w14:textFill>
        </w:rPr>
        <w:t xml:space="preserve">, Nomoto D, Okadome K, Ishimoto T, Iwatsuki M, Miyamoto Y, Yoshida N, Baba H. Tumor immune microenvironment and immune checkpoint inhibitors in esophageal squamous cell carcinoma. </w:t>
      </w:r>
      <w:r>
        <w:rPr>
          <w:rFonts w:ascii="Book Antiqua" w:hAnsi="Book Antiqua"/>
          <w:i/>
          <w:iCs/>
          <w:color w:val="000000" w:themeColor="text1"/>
          <w14:textFill>
            <w14:solidFill>
              <w14:schemeClr w14:val="tx1"/>
            </w14:solidFill>
          </w14:textFill>
        </w:rPr>
        <w:t>Cancer Sci</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111</w:t>
      </w:r>
      <w:r>
        <w:rPr>
          <w:rFonts w:ascii="Book Antiqua" w:hAnsi="Book Antiqua"/>
          <w:color w:val="000000" w:themeColor="text1"/>
          <w14:textFill>
            <w14:solidFill>
              <w14:schemeClr w14:val="tx1"/>
            </w14:solidFill>
          </w14:textFill>
        </w:rPr>
        <w:t>: 3132-3141 [PMID: 32579769 DOI: 10.1111/cas.14541]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30 </w:t>
      </w:r>
      <w:r>
        <w:rPr>
          <w:rFonts w:ascii="Book Antiqua" w:hAnsi="Book Antiqua"/>
          <w:b/>
          <w:bCs/>
          <w:color w:val="000000" w:themeColor="text1"/>
          <w14:textFill>
            <w14:solidFill>
              <w14:schemeClr w14:val="tx1"/>
            </w14:solidFill>
          </w14:textFill>
        </w:rPr>
        <w:t>Janjigian YY</w:t>
      </w:r>
      <w:r>
        <w:rPr>
          <w:rFonts w:ascii="Book Antiqua" w:hAnsi="Book Antiqua"/>
          <w:color w:val="000000" w:themeColor="text1"/>
          <w14:textFill>
            <w14:solidFill>
              <w14:schemeClr w14:val="tx1"/>
            </w14:solidFill>
          </w14:textFill>
        </w:rPr>
        <w:t xml:space="preserve">, Bendell J, Calvo E, Kim JW, Ascierto PA, Sharma P, Ott PA, Peltola K, Jaeger D, Evans J, de Braud F, Chau I, Harbison CT, Dorange C, Tschaika M, Le DT. CheckMate-032 Study: Efficacy and Safety of Nivolumab and Nivolumab Plus Ipilimumab in Patients With Metastatic Esophagogastric Cancer. </w:t>
      </w:r>
      <w:r>
        <w:rPr>
          <w:rFonts w:ascii="Book Antiqua" w:hAnsi="Book Antiqua"/>
          <w:i/>
          <w:iCs/>
          <w:color w:val="000000" w:themeColor="text1"/>
          <w14:textFill>
            <w14:solidFill>
              <w14:schemeClr w14:val="tx1"/>
            </w14:solidFill>
          </w14:textFill>
        </w:rPr>
        <w:t>J Clin Oncol</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36</w:t>
      </w:r>
      <w:r>
        <w:rPr>
          <w:rFonts w:ascii="Book Antiqua" w:hAnsi="Book Antiqua"/>
          <w:color w:val="000000" w:themeColor="text1"/>
          <w14:textFill>
            <w14:solidFill>
              <w14:schemeClr w14:val="tx1"/>
            </w14:solidFill>
          </w14:textFill>
        </w:rPr>
        <w:t>: 2836-2844 [PMID: 30110194 DOI: 10.1200/JCO.2017.76.6212]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31 </w:t>
      </w:r>
      <w:r>
        <w:rPr>
          <w:rFonts w:ascii="Book Antiqua" w:hAnsi="Book Antiqua"/>
          <w:b/>
          <w:bCs/>
          <w:color w:val="000000" w:themeColor="text1"/>
          <w14:textFill>
            <w14:solidFill>
              <w14:schemeClr w14:val="tx1"/>
            </w14:solidFill>
          </w14:textFill>
        </w:rPr>
        <w:t>Kudo T</w:t>
      </w:r>
      <w:r>
        <w:rPr>
          <w:rFonts w:ascii="Book Antiqua" w:hAnsi="Book Antiqua"/>
          <w:color w:val="000000" w:themeColor="text1"/>
          <w14:textFill>
            <w14:solidFill>
              <w14:schemeClr w14:val="tx1"/>
            </w14:solidFill>
          </w14:textFill>
        </w:rPr>
        <w:t xml:space="preserve">, Hamamoto Y, Kato K, Ura T, Kojima T, Tsushima T, Hironaka S, Hara H, Satoh T, Iwasa S, Muro K, Yasui H, Minashi K, Yamaguchi K, Ohtsu A, Doki Y, Kitagawa Y. Nivolumab treatment for oesophageal squamous-cell carcinoma: an open-label, multicentre, phase 2 trial. </w:t>
      </w:r>
      <w:r>
        <w:rPr>
          <w:rFonts w:ascii="Book Antiqua" w:hAnsi="Book Antiqua"/>
          <w:i/>
          <w:iCs/>
          <w:color w:val="000000" w:themeColor="text1"/>
          <w14:textFill>
            <w14:solidFill>
              <w14:schemeClr w14:val="tx1"/>
            </w14:solidFill>
          </w14:textFill>
        </w:rPr>
        <w:t>Lancet Oncol</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18</w:t>
      </w:r>
      <w:r>
        <w:rPr>
          <w:rFonts w:ascii="Book Antiqua" w:hAnsi="Book Antiqua"/>
          <w:color w:val="000000" w:themeColor="text1"/>
          <w14:textFill>
            <w14:solidFill>
              <w14:schemeClr w14:val="tx1"/>
            </w14:solidFill>
          </w14:textFill>
        </w:rPr>
        <w:t>: 631-639 [PMID: 28314688 DOI: 10.1016/S1470-2045(17)30181-X]</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32 </w:t>
      </w:r>
      <w:r>
        <w:rPr>
          <w:rFonts w:ascii="Book Antiqua" w:hAnsi="Book Antiqua"/>
          <w:b/>
          <w:bCs/>
          <w:color w:val="000000" w:themeColor="text1"/>
          <w14:textFill>
            <w14:solidFill>
              <w14:schemeClr w14:val="tx1"/>
            </w14:solidFill>
          </w14:textFill>
        </w:rPr>
        <w:t>Kojima T</w:t>
      </w:r>
      <w:r>
        <w:rPr>
          <w:rFonts w:ascii="Book Antiqua" w:hAnsi="Book Antiqua"/>
          <w:color w:val="000000" w:themeColor="text1"/>
          <w14:textFill>
            <w14:solidFill>
              <w14:schemeClr w14:val="tx1"/>
            </w14:solidFill>
          </w14:textFill>
        </w:rPr>
        <w:t xml:space="preserve">, Shah MA, Muro K, Francois E, Adenis A, Hsu CH, Doi T, Moriwaki T, Kim SB, Lee SH, Bennouna J, Kato K, Shen L, Enzinger P, Qin SK, Ferreira P, Chen J, Girotto G, de la Fouchardiere C, Senellart H, Al-Rajabi R, Lordick F, Wang R, Suryawanshi S, Bhagia P, Kang SP, Metges JP; KEYNOTE-181 Investigators. Randomized Phase III KEYNOTE-181 Study of Pembrolizumab Versus Chemotherapy in Advanced Esophageal Cancer. </w:t>
      </w:r>
      <w:r>
        <w:rPr>
          <w:rFonts w:ascii="Book Antiqua" w:hAnsi="Book Antiqua"/>
          <w:i/>
          <w:iCs/>
          <w:color w:val="000000" w:themeColor="text1"/>
          <w14:textFill>
            <w14:solidFill>
              <w14:schemeClr w14:val="tx1"/>
            </w14:solidFill>
          </w14:textFill>
        </w:rPr>
        <w:t>J Clin Oncol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38</w:t>
      </w:r>
      <w:r>
        <w:rPr>
          <w:rFonts w:ascii="Book Antiqua" w:hAnsi="Book Antiqua"/>
          <w:color w:val="000000" w:themeColor="text1"/>
          <w14:textFill>
            <w14:solidFill>
              <w14:schemeClr w14:val="tx1"/>
            </w14:solidFill>
          </w14:textFill>
        </w:rPr>
        <w:t>: 4138-4148 [PMID: 33026938 DOI: 10.1200/JCO.20.01888]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33 </w:t>
      </w:r>
      <w:r>
        <w:rPr>
          <w:rFonts w:ascii="Book Antiqua" w:hAnsi="Book Antiqua"/>
          <w:b/>
          <w:bCs/>
          <w:color w:val="000000" w:themeColor="text1"/>
          <w14:textFill>
            <w14:solidFill>
              <w14:schemeClr w14:val="tx1"/>
            </w14:solidFill>
          </w14:textFill>
        </w:rPr>
        <w:t>Shen L</w:t>
      </w:r>
      <w:r>
        <w:rPr>
          <w:rFonts w:ascii="Book Antiqua" w:hAnsi="Book Antiqua"/>
          <w:color w:val="000000" w:themeColor="text1"/>
          <w14:textFill>
            <w14:solidFill>
              <w14:schemeClr w14:val="tx1"/>
            </w14:solidFill>
          </w14:textFill>
        </w:rPr>
        <w:t xml:space="preserve">, Kato K, Kim SB, Ajani JA, Zhao K, He Z, Yu X, Shu Y, Luo Q, Wang J, Chen Z, Niu Z, Zhang L, Yi T, Sun JM, Chen J, Yu G, Lin CY, Hara H, Bi Q, Satoh T, Pazo-Cid R, Arkenau HT, Borg C, Lordick F, Li L, Ding N, Tao A, Shi J, Van Cutsem E; RATIONALE-302 Investigators. Tislelizumab Versus Chemotherapy as Second-Line Treatment for Advanced or Metastatic Esophageal Squamous Cell Carcinoma (RATIONALE-302): A Randomized Phase III Study. </w:t>
      </w:r>
      <w:r>
        <w:rPr>
          <w:rFonts w:ascii="Book Antiqua" w:hAnsi="Book Antiqua"/>
          <w:i/>
          <w:iCs/>
          <w:color w:val="000000" w:themeColor="text1"/>
          <w14:textFill>
            <w14:solidFill>
              <w14:schemeClr w14:val="tx1"/>
            </w14:solidFill>
          </w14:textFill>
        </w:rPr>
        <w:t>J Clin Oncol</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40</w:t>
      </w:r>
      <w:r>
        <w:rPr>
          <w:rFonts w:ascii="Book Antiqua" w:hAnsi="Book Antiqua"/>
          <w:color w:val="000000" w:themeColor="text1"/>
          <w14:textFill>
            <w14:solidFill>
              <w14:schemeClr w14:val="tx1"/>
            </w14:solidFill>
          </w14:textFill>
        </w:rPr>
        <w:t>: 3065-3076 [PMID: 35442766 DOI: 10.1200/JCO.21.01926]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34 </w:t>
      </w:r>
      <w:r>
        <w:rPr>
          <w:rFonts w:ascii="Book Antiqua" w:hAnsi="Book Antiqua"/>
          <w:b/>
          <w:bCs/>
          <w:color w:val="000000" w:themeColor="text1"/>
          <w14:textFill>
            <w14:solidFill>
              <w14:schemeClr w14:val="tx1"/>
            </w14:solidFill>
          </w14:textFill>
        </w:rPr>
        <w:t>Kato K</w:t>
      </w:r>
      <w:r>
        <w:rPr>
          <w:rFonts w:ascii="Book Antiqua" w:hAnsi="Book Antiqua"/>
          <w:color w:val="000000" w:themeColor="text1"/>
          <w14:textFill>
            <w14:solidFill>
              <w14:schemeClr w14:val="tx1"/>
            </w14:solidFill>
          </w14:textFill>
        </w:rPr>
        <w:t xml:space="preserve">, Cho BC, Takahashi M, Okada M, Lin CY, Chin K, Kadowaki S, Ahn MJ, Hamamoto Y, Doki Y, Yen CC, Kubota Y, Kim SB, Hsu CH, Holtved E, Xynos I, Kodani M, Kitagawa Y. Nivolumab versus chemotherapy in patients with advanced oesophageal squamous cell carcinoma refractory or intolerant to previous chemotherapy (ATTRACTION-3): a multicentre, randomised, open-label, phase 3 trial. </w:t>
      </w:r>
      <w:r>
        <w:rPr>
          <w:rFonts w:ascii="Book Antiqua" w:hAnsi="Book Antiqua"/>
          <w:i/>
          <w:iCs/>
          <w:color w:val="000000" w:themeColor="text1"/>
          <w14:textFill>
            <w14:solidFill>
              <w14:schemeClr w14:val="tx1"/>
            </w14:solidFill>
          </w14:textFill>
        </w:rPr>
        <w:t>Lancet Oncol</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20</w:t>
      </w:r>
      <w:r>
        <w:rPr>
          <w:rFonts w:ascii="Book Antiqua" w:hAnsi="Book Antiqua"/>
          <w:color w:val="000000" w:themeColor="text1"/>
          <w14:textFill>
            <w14:solidFill>
              <w14:schemeClr w14:val="tx1"/>
            </w14:solidFill>
          </w14:textFill>
        </w:rPr>
        <w:t>: 1506-1517 [PMID: 31582355 DOI: 10.1016/S1470-2045(19)30626-6]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35 </w:t>
      </w:r>
      <w:r>
        <w:rPr>
          <w:rFonts w:ascii="Book Antiqua" w:hAnsi="Book Antiqua"/>
          <w:b/>
          <w:bCs/>
          <w:color w:val="000000" w:themeColor="text1"/>
          <w14:textFill>
            <w14:solidFill>
              <w14:schemeClr w14:val="tx1"/>
            </w14:solidFill>
          </w14:textFill>
        </w:rPr>
        <w:t>Huang J</w:t>
      </w:r>
      <w:r>
        <w:rPr>
          <w:rFonts w:ascii="Book Antiqua" w:hAnsi="Book Antiqua"/>
          <w:color w:val="000000" w:themeColor="text1"/>
          <w14:textFill>
            <w14:solidFill>
              <w14:schemeClr w14:val="tx1"/>
            </w14:solidFill>
          </w14:textFill>
        </w:rPr>
        <w:t xml:space="preserve">, Xu J, Chen Y, Zhuang W, Zhang Y, Chen Z, Chen J, Zhang H, Niu Z, Fan Q, Lin L, Gu K, Liu Y, Ba Y, Miao Z, Jiang X, Zeng M, Chen J, Fu Z, Gan L, Wang J, Zhan X, Liu T, Li Z, Shen L, Shu Y, Zhang T, Yang Q, Zou J; ESCORT Study Group. Camrelizumab versus investigator's choice of chemotherapy as second-line therapy for advanced or metastatic oesophageal squamous cell carcinoma (ESCORT): a multicentre, randomised, open-label, phase 3 study. </w:t>
      </w:r>
      <w:r>
        <w:rPr>
          <w:rFonts w:ascii="Book Antiqua" w:hAnsi="Book Antiqua"/>
          <w:i/>
          <w:iCs/>
          <w:color w:val="000000" w:themeColor="text1"/>
          <w14:textFill>
            <w14:solidFill>
              <w14:schemeClr w14:val="tx1"/>
            </w14:solidFill>
          </w14:textFill>
        </w:rPr>
        <w:t>Lancet Oncol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21</w:t>
      </w:r>
      <w:r>
        <w:rPr>
          <w:rFonts w:ascii="Book Antiqua" w:hAnsi="Book Antiqua"/>
          <w:color w:val="000000" w:themeColor="text1"/>
          <w14:textFill>
            <w14:solidFill>
              <w14:schemeClr w14:val="tx1"/>
            </w14:solidFill>
          </w14:textFill>
        </w:rPr>
        <w:t>: 832-842 [PMID: 32416073 DOI: 10.1016/S1470-2045(20)30110-8]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36 </w:t>
      </w:r>
      <w:r>
        <w:rPr>
          <w:rFonts w:ascii="Book Antiqua" w:hAnsi="Book Antiqua"/>
          <w:b/>
          <w:bCs/>
          <w:color w:val="000000" w:themeColor="text1"/>
          <w14:textFill>
            <w14:solidFill>
              <w14:schemeClr w14:val="tx1"/>
            </w14:solidFill>
          </w14:textFill>
        </w:rPr>
        <w:t>Wang ZX</w:t>
      </w:r>
      <w:r>
        <w:rPr>
          <w:rFonts w:ascii="Book Antiqua" w:hAnsi="Book Antiqua"/>
          <w:color w:val="000000" w:themeColor="text1"/>
          <w14:textFill>
            <w14:solidFill>
              <w14:schemeClr w14:val="tx1"/>
            </w14:solidFill>
          </w14:textFill>
        </w:rPr>
        <w:t xml:space="preserve">, Cui C, Yao J, Zhang Y, Li M, Feng J, Yang S, Fan Y, Shi J, Zhang X, Shen L, Shu Y, Wang C, Dai T, Mao T, Chen L, Guo Z, Liu B, Pan H, Cang S, Jiang Y, Wang J, Ye M, Chen Z, Jiang D, Lin Q, Ren W, Wang J, Wu L, Xu Y, Miao Z, Sun M, Xie C, Liu Y, Wang Q, Zhao L, Li Q, Huang C, Jiang K, Yang K, Li D, Liu Y, Zhu Z, Chen R, Jia L, Li W, Liao W, Liu HX, Ma D, Ma J, Qin Y, Shi Z, Wei Q, Xiao K, Zhang Y, Zhang Y, Chen X, Dai G, He J, Li J, Li G, Liu Y, Liu Z, Yuan X, Zhang J, Fu Z, He Y, Ju F, Liu Z, Tang P, Wang T, Wang W, Zhang J, Luo X, Tang X, May R, Feng H, Yao S, Keegan P, Xu RH, Wang F. Toripalimab plus chemotherapy in treatment-naïve, advanced esophageal squamous cell carcinoma (JUPITER-06): A multi-center phase 3 trial. </w:t>
      </w:r>
      <w:r>
        <w:rPr>
          <w:rFonts w:ascii="Book Antiqua" w:hAnsi="Book Antiqua"/>
          <w:i/>
          <w:iCs/>
          <w:color w:val="000000" w:themeColor="text1"/>
          <w14:textFill>
            <w14:solidFill>
              <w14:schemeClr w14:val="tx1"/>
            </w14:solidFill>
          </w14:textFill>
        </w:rPr>
        <w:t>Cancer Cell</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40</w:t>
      </w:r>
      <w:r>
        <w:rPr>
          <w:rFonts w:ascii="Book Antiqua" w:hAnsi="Book Antiqua"/>
          <w:color w:val="000000" w:themeColor="text1"/>
          <w14:textFill>
            <w14:solidFill>
              <w14:schemeClr w14:val="tx1"/>
            </w14:solidFill>
          </w14:textFill>
        </w:rPr>
        <w:t>: 277-288.e3 [PMID: 35245446 DOI: 10.1016/j.ccell.2022.02.007]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37 </w:t>
      </w:r>
      <w:r>
        <w:rPr>
          <w:rFonts w:ascii="Book Antiqua" w:hAnsi="Book Antiqua"/>
          <w:b/>
          <w:bCs/>
          <w:color w:val="000000" w:themeColor="text1"/>
          <w14:textFill>
            <w14:solidFill>
              <w14:schemeClr w14:val="tx1"/>
            </w14:solidFill>
          </w14:textFill>
        </w:rPr>
        <w:t>Doki Y</w:t>
      </w:r>
      <w:r>
        <w:rPr>
          <w:rFonts w:ascii="Book Antiqua" w:hAnsi="Book Antiqua"/>
          <w:color w:val="000000" w:themeColor="text1"/>
          <w14:textFill>
            <w14:solidFill>
              <w14:schemeClr w14:val="tx1"/>
            </w14:solidFill>
          </w14:textFill>
        </w:rPr>
        <w:t xml:space="preserve">, Ajani JA, Kato K, Xu J, Wyrwicz L, Motoyama S, Ogata T, Kawakami H, Hsu CH, Adenis A, El Hajbi F, Di Bartolomeo M, Braghiroli MI, Holtved E, Ostoich SA, Kim HR, Ueno M, Mansoor W, Yang WC, Liu T, Bridgewater J, Makino T, Xynos I, Liu X, Lei M, Kondo K, Patel A, Gricar J, Chau I, Kitagawa Y; CheckMate 648 Trial Investigators. Nivolumab Combination Therapy in Advanced Esophageal Squamous-Cell Carcinoma. </w:t>
      </w:r>
      <w:r>
        <w:rPr>
          <w:rFonts w:ascii="Book Antiqua" w:hAnsi="Book Antiqua"/>
          <w:i/>
          <w:iCs/>
          <w:color w:val="000000" w:themeColor="text1"/>
          <w14:textFill>
            <w14:solidFill>
              <w14:schemeClr w14:val="tx1"/>
            </w14:solidFill>
          </w14:textFill>
        </w:rPr>
        <w:t>N Engl J Med</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386</w:t>
      </w:r>
      <w:r>
        <w:rPr>
          <w:rFonts w:ascii="Book Antiqua" w:hAnsi="Book Antiqua"/>
          <w:color w:val="000000" w:themeColor="text1"/>
          <w14:textFill>
            <w14:solidFill>
              <w14:schemeClr w14:val="tx1"/>
            </w14:solidFill>
          </w14:textFill>
        </w:rPr>
        <w:t>: 449-462 [PMID: 35108470 DOI: 10.1056/NEJMoa2111380]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38 </w:t>
      </w:r>
      <w:r>
        <w:rPr>
          <w:rFonts w:ascii="Book Antiqua" w:hAnsi="Book Antiqua"/>
          <w:b/>
          <w:bCs/>
          <w:color w:val="000000" w:themeColor="text1"/>
          <w14:textFill>
            <w14:solidFill>
              <w14:schemeClr w14:val="tx1"/>
            </w14:solidFill>
          </w14:textFill>
        </w:rPr>
        <w:t>Lu Z</w:t>
      </w:r>
      <w:r>
        <w:rPr>
          <w:rFonts w:ascii="Book Antiqua" w:hAnsi="Book Antiqua"/>
          <w:color w:val="000000" w:themeColor="text1"/>
          <w14:textFill>
            <w14:solidFill>
              <w14:schemeClr w14:val="tx1"/>
            </w14:solidFill>
          </w14:textFill>
        </w:rPr>
        <w:t xml:space="preserve">, Wang J, Shu Y, Liu L, Kong L, Yang L, Wang B, Sun G, Ji Y, Cao G, Liu H, Cui T, Li N, Qiu W, Li G, Hou X, Luo H, Xue L, Zhang Y, Yue W, Liu Z, Wang X, Gao S, Pan Y, Galais MP, Zaanan A, Ma Z, Li H, Wang Y, Shen L; ORIENT-15 study group. Sintilimab versus placebo in combination with chemotherapy as first line treatment for locally advanced or metastatic oesophageal squamous cell carcinoma (ORIENT-15): multicentre, randomised, double blind, phase 3 trial. </w:t>
      </w:r>
      <w:r>
        <w:rPr>
          <w:rFonts w:ascii="Book Antiqua" w:hAnsi="Book Antiqua"/>
          <w:i/>
          <w:iCs/>
          <w:color w:val="000000" w:themeColor="text1"/>
          <w14:textFill>
            <w14:solidFill>
              <w14:schemeClr w14:val="tx1"/>
            </w14:solidFill>
          </w14:textFill>
        </w:rPr>
        <w:t>BMJ</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377</w:t>
      </w:r>
      <w:r>
        <w:rPr>
          <w:rFonts w:ascii="Book Antiqua" w:hAnsi="Book Antiqua"/>
          <w:color w:val="000000" w:themeColor="text1"/>
          <w14:textFill>
            <w14:solidFill>
              <w14:schemeClr w14:val="tx1"/>
            </w14:solidFill>
          </w14:textFill>
        </w:rPr>
        <w:t>: e068714 [PMID: 35440464 DOI: 10.1136/bmj-2021-068714]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39 </w:t>
      </w:r>
      <w:r>
        <w:rPr>
          <w:rFonts w:ascii="Book Antiqua" w:hAnsi="Book Antiqua"/>
          <w:b/>
          <w:bCs/>
          <w:color w:val="000000" w:themeColor="text1"/>
          <w14:textFill>
            <w14:solidFill>
              <w14:schemeClr w14:val="tx1"/>
            </w14:solidFill>
          </w14:textFill>
        </w:rPr>
        <w:t>Luo H</w:t>
      </w:r>
      <w:r>
        <w:rPr>
          <w:rFonts w:ascii="Book Antiqua" w:hAnsi="Book Antiqua"/>
          <w:color w:val="000000" w:themeColor="text1"/>
          <w14:textFill>
            <w14:solidFill>
              <w14:schemeClr w14:val="tx1"/>
            </w14:solidFill>
          </w14:textFill>
        </w:rPr>
        <w:t xml:space="preserve">, Lu J, Bai Y, Mao T, Wang J, Fan Q, Zhang Y, Zhao K, Chen Z, Gao S, Li J, Fu Z, Gu K, Liu Z, Wu L, Zhang X, Feng J, Niu Z, Ba Y, Zhang H, Liu Y, Zhang L, Min X, Huang J, Cheng Y, Wang D, Shen Y, Yang Q, Zou J, Xu RH; ESCORT-1st Investigators. Effect of Camrelizumab vs Placebo Added to Chemotherapy on Survival and Progression-Free Survival in Patients With Advanced or Metastatic Esophageal Squamous Cell Carcinoma: The ESCORT-1st Randomized Clinical Trial. </w:t>
      </w:r>
      <w:r>
        <w:rPr>
          <w:rFonts w:ascii="Book Antiqua" w:hAnsi="Book Antiqua"/>
          <w:i/>
          <w:iCs/>
          <w:color w:val="000000" w:themeColor="text1"/>
          <w14:textFill>
            <w14:solidFill>
              <w14:schemeClr w14:val="tx1"/>
            </w14:solidFill>
          </w14:textFill>
        </w:rPr>
        <w:t>JAMA</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326</w:t>
      </w:r>
      <w:r>
        <w:rPr>
          <w:rFonts w:ascii="Book Antiqua" w:hAnsi="Book Antiqua"/>
          <w:color w:val="000000" w:themeColor="text1"/>
          <w14:textFill>
            <w14:solidFill>
              <w14:schemeClr w14:val="tx1"/>
            </w14:solidFill>
          </w14:textFill>
        </w:rPr>
        <w:t>: 916-925 [PMID: 34519801 DOI: 10.1001/jama.2021.12836]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40 </w:t>
      </w:r>
      <w:r>
        <w:rPr>
          <w:rFonts w:ascii="Book Antiqua" w:hAnsi="Book Antiqua"/>
          <w:b/>
          <w:bCs/>
          <w:color w:val="000000" w:themeColor="text1"/>
          <w14:textFill>
            <w14:solidFill>
              <w14:schemeClr w14:val="tx1"/>
            </w14:solidFill>
          </w14:textFill>
        </w:rPr>
        <w:t>Sun JM</w:t>
      </w:r>
      <w:r>
        <w:rPr>
          <w:rFonts w:ascii="Book Antiqua" w:hAnsi="Book Antiqua"/>
          <w:color w:val="000000" w:themeColor="text1"/>
          <w14:textFill>
            <w14:solidFill>
              <w14:schemeClr w14:val="tx1"/>
            </w14:solidFill>
          </w14:textFill>
        </w:rPr>
        <w:t xml:space="preserve">, Shen L, Shah MA, Enzinger P, Adenis A, Doi T, Kojima T, Metges JP, Li Z, Kim SB, Cho BC, Mansoor W, Li SH, Sunpaweravong P, Maqueda MA, Goekkurt E, Hara H, Antunes L, Fountzilas C, Tsuji A, Oliden VC, Liu Q, Shah S, Bhagia P, Kato K; KEYNOTE-590 Investigators. Pembrolizumab plus chemotherapy versus chemotherapy alone for first-line treatment of advanced oesophageal cancer (KEYNOTE-590): a randomised, placebo-controlled, phase 3 study. </w:t>
      </w:r>
      <w:r>
        <w:rPr>
          <w:rFonts w:ascii="Book Antiqua" w:hAnsi="Book Antiqua"/>
          <w:i/>
          <w:iCs/>
          <w:color w:val="000000" w:themeColor="text1"/>
          <w14:textFill>
            <w14:solidFill>
              <w14:schemeClr w14:val="tx1"/>
            </w14:solidFill>
          </w14:textFill>
        </w:rPr>
        <w:t>Lancet</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398</w:t>
      </w:r>
      <w:r>
        <w:rPr>
          <w:rFonts w:ascii="Book Antiqua" w:hAnsi="Book Antiqua"/>
          <w:color w:val="000000" w:themeColor="text1"/>
          <w14:textFill>
            <w14:solidFill>
              <w14:schemeClr w14:val="tx1"/>
            </w14:solidFill>
          </w14:textFill>
        </w:rPr>
        <w:t>: 759-771 [PMID: 34454674 DOI: 10.1016/S0140-6736(21)01234-4]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41 </w:t>
      </w:r>
      <w:r>
        <w:rPr>
          <w:rFonts w:ascii="Book Antiqua" w:hAnsi="Book Antiqua"/>
          <w:b/>
          <w:bCs/>
          <w:color w:val="000000" w:themeColor="text1"/>
          <w14:textFill>
            <w14:solidFill>
              <w14:schemeClr w14:val="tx1"/>
            </w14:solidFill>
          </w14:textFill>
        </w:rPr>
        <w:t>Forde PM</w:t>
      </w:r>
      <w:r>
        <w:rPr>
          <w:rFonts w:ascii="Book Antiqua" w:hAnsi="Book Antiqua"/>
          <w:color w:val="000000" w:themeColor="text1"/>
          <w14:textFill>
            <w14:solidFill>
              <w14:schemeClr w14:val="tx1"/>
            </w14:solidFill>
          </w14:textFill>
        </w:rPr>
        <w:t xml:space="preserve">, Chaft JE, Smith KN, Anagnostou V, Cottrell TR, Hellmann MD, Zahurak M, Yang SC, Jones DR, Broderick S, Battafarano RJ, Velez MJ, Rekhtman N, Olah Z, Naidoo J, Marrone KA, Verde F, Guo H, Zhang J, Caushi JX, Chan HY, Sidhom JW, Scharpf RB, White J, Gabrielson E, Wang H, Rosner GL, Rusch V, Wolchok JD, Merghoub T, Taube JM, Velculescu VE, Topalian SL, Brahmer JR, Pardoll DM. Neoadjuvant PD-1 Blockade in Resectable Lung Cancer. </w:t>
      </w:r>
      <w:r>
        <w:rPr>
          <w:rFonts w:ascii="Book Antiqua" w:hAnsi="Book Antiqua"/>
          <w:i/>
          <w:iCs/>
          <w:color w:val="000000" w:themeColor="text1"/>
          <w14:textFill>
            <w14:solidFill>
              <w14:schemeClr w14:val="tx1"/>
            </w14:solidFill>
          </w14:textFill>
        </w:rPr>
        <w:t>N Engl J Med</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378</w:t>
      </w:r>
      <w:r>
        <w:rPr>
          <w:rFonts w:ascii="Book Antiqua" w:hAnsi="Book Antiqua"/>
          <w:color w:val="000000" w:themeColor="text1"/>
          <w14:textFill>
            <w14:solidFill>
              <w14:schemeClr w14:val="tx1"/>
            </w14:solidFill>
          </w14:textFill>
        </w:rPr>
        <w:t>: 1976-1986 [PMID: 29658848 DOI: 10.1056/NEJMoa1716078]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42 </w:t>
      </w:r>
      <w:r>
        <w:rPr>
          <w:rFonts w:ascii="Book Antiqua" w:hAnsi="Book Antiqua"/>
          <w:b/>
          <w:bCs/>
          <w:color w:val="000000" w:themeColor="text1"/>
          <w14:textFill>
            <w14:solidFill>
              <w14:schemeClr w14:val="tx1"/>
            </w14:solidFill>
          </w14:textFill>
        </w:rPr>
        <w:t>Provencio M</w:t>
      </w:r>
      <w:r>
        <w:rPr>
          <w:rFonts w:ascii="Book Antiqua" w:hAnsi="Book Antiqua"/>
          <w:color w:val="000000" w:themeColor="text1"/>
          <w14:textFill>
            <w14:solidFill>
              <w14:schemeClr w14:val="tx1"/>
            </w14:solidFill>
          </w14:textFill>
        </w:rPr>
        <w:t xml:space="preserve">, Nadal E, Insa A, García-Campelo MR, Casal-Rubio J, Dómine M, Majem M, Rodríguez-Abreu D, Martínez-Martí A, De Castro Carpeño J, Cobo M, López Vivanco G, Del Barco E, Bernabé Caro R, Viñolas N, Barneto Aranda I, Viteri S, Pereira E, Royuela A, Casarrubios M, Salas Antón C, Parra ER, Wistuba I, Calvo V, Laza-Briviesca R, Romero A, Massuti B, Cruz-Bermúdez A. Neoadjuvant chemotherapy and nivolumab in resectable non-small-cell lung cancer (NADIM): an open-label, multicentre, single-arm, phase 2 trial. </w:t>
      </w:r>
      <w:r>
        <w:rPr>
          <w:rFonts w:ascii="Book Antiqua" w:hAnsi="Book Antiqua"/>
          <w:i/>
          <w:iCs/>
          <w:color w:val="000000" w:themeColor="text1"/>
          <w14:textFill>
            <w14:solidFill>
              <w14:schemeClr w14:val="tx1"/>
            </w14:solidFill>
          </w14:textFill>
        </w:rPr>
        <w:t>Lancet Oncol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21</w:t>
      </w:r>
      <w:r>
        <w:rPr>
          <w:rFonts w:ascii="Book Antiqua" w:hAnsi="Book Antiqua"/>
          <w:color w:val="000000" w:themeColor="text1"/>
          <w14:textFill>
            <w14:solidFill>
              <w14:schemeClr w14:val="tx1"/>
            </w14:solidFill>
          </w14:textFill>
        </w:rPr>
        <w:t>: 1413-1422 [PMID: 32979984 DOI: 10.1016/S1470-2045(20)30453-8]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43 </w:t>
      </w:r>
      <w:r>
        <w:rPr>
          <w:rFonts w:ascii="Book Antiqua" w:hAnsi="Book Antiqua"/>
          <w:b/>
          <w:bCs/>
          <w:color w:val="000000" w:themeColor="text1"/>
          <w14:textFill>
            <w14:solidFill>
              <w14:schemeClr w14:val="tx1"/>
            </w14:solidFill>
          </w14:textFill>
        </w:rPr>
        <w:t>Huang AC</w:t>
      </w:r>
      <w:r>
        <w:rPr>
          <w:rFonts w:ascii="Book Antiqua" w:hAnsi="Book Antiqua"/>
          <w:color w:val="000000" w:themeColor="text1"/>
          <w14:textFill>
            <w14:solidFill>
              <w14:schemeClr w14:val="tx1"/>
            </w14:solidFill>
          </w14:textFill>
        </w:rPr>
        <w:t xml:space="preserve">, Orlowski RJ, Xu X, Mick R, George SM, Yan PK, Manne S, Kraya AA, Wubbenhorst B, Dorfman L, D'Andrea K, Wenz BM, Liu S, Chilukuri L, Kozlov A, Carberry M, Giles L, Kier MW, Quagliarello F, McGettigan S, Kreider K, Annamalai L, Zhao Q, Mogg R, Xu W, Blumenschein WM, Yearley JH, Linette GP, Amaravadi RK, Schuchter LM, Herati RS, Bengsch B, Nathanson KL, Farwell MD, Karakousis GC, Wherry EJ, Mitchell TC. A single dose of neoadjuvant PD-1 blockade predicts clinical outcomes in resectable melanoma. </w:t>
      </w:r>
      <w:r>
        <w:rPr>
          <w:rFonts w:ascii="Book Antiqua" w:hAnsi="Book Antiqua"/>
          <w:i/>
          <w:iCs/>
          <w:color w:val="000000" w:themeColor="text1"/>
          <w14:textFill>
            <w14:solidFill>
              <w14:schemeClr w14:val="tx1"/>
            </w14:solidFill>
          </w14:textFill>
        </w:rPr>
        <w:t>Nat Med</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25</w:t>
      </w:r>
      <w:r>
        <w:rPr>
          <w:rFonts w:ascii="Book Antiqua" w:hAnsi="Book Antiqua"/>
          <w:color w:val="000000" w:themeColor="text1"/>
          <w14:textFill>
            <w14:solidFill>
              <w14:schemeClr w14:val="tx1"/>
            </w14:solidFill>
          </w14:textFill>
        </w:rPr>
        <w:t>: 454-461 [PMID: 30804515 DOI: 10.1038/s41591-019-0357-y]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44 </w:t>
      </w:r>
      <w:r>
        <w:rPr>
          <w:rFonts w:ascii="Book Antiqua" w:hAnsi="Book Antiqua"/>
          <w:b/>
          <w:bCs/>
          <w:color w:val="000000" w:themeColor="text1"/>
          <w14:textFill>
            <w14:solidFill>
              <w14:schemeClr w14:val="tx1"/>
            </w14:solidFill>
          </w14:textFill>
        </w:rPr>
        <w:t>Powles T</w:t>
      </w:r>
      <w:r>
        <w:rPr>
          <w:rFonts w:ascii="Book Antiqua" w:hAnsi="Book Antiqua"/>
          <w:color w:val="000000" w:themeColor="text1"/>
          <w14:textFill>
            <w14:solidFill>
              <w14:schemeClr w14:val="tx1"/>
            </w14:solidFill>
          </w14:textFill>
        </w:rPr>
        <w:t xml:space="preserve">, Kockx M, Rodriguez-Vida A, Duran I, Crabb SJ, Van Der Heijden MS, Szabados B, Pous AF, Gravis G, Herranz UA, Protheroe A, Ravaud A, Maillet D, Mendez MJ, Suarez C, Linch M, Prendergast A, van Dam PJ, Stanoeva D, Daelemans S, Mariathasan S, Tea JS, Mousa K, Banchereau R, Castellano D. Clinical efficacy and biomarker analysis of neoadjuvant atezolizumab in operable urothelial carcinoma in the ABACUS trial. </w:t>
      </w:r>
      <w:r>
        <w:rPr>
          <w:rFonts w:ascii="Book Antiqua" w:hAnsi="Book Antiqua"/>
          <w:i/>
          <w:iCs/>
          <w:color w:val="000000" w:themeColor="text1"/>
          <w14:textFill>
            <w14:solidFill>
              <w14:schemeClr w14:val="tx1"/>
            </w14:solidFill>
          </w14:textFill>
        </w:rPr>
        <w:t>Nat Med</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25</w:t>
      </w:r>
      <w:r>
        <w:rPr>
          <w:rFonts w:ascii="Book Antiqua" w:hAnsi="Book Antiqua"/>
          <w:color w:val="000000" w:themeColor="text1"/>
          <w14:textFill>
            <w14:solidFill>
              <w14:schemeClr w14:val="tx1"/>
            </w14:solidFill>
          </w14:textFill>
        </w:rPr>
        <w:t>: 1706-1714 [PMID: 31686036 DOI: 10.1038/s41591-019-0628-7]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45 </w:t>
      </w:r>
      <w:r>
        <w:rPr>
          <w:rFonts w:ascii="Book Antiqua" w:hAnsi="Book Antiqua"/>
          <w:b/>
          <w:bCs/>
          <w:color w:val="000000" w:themeColor="text1"/>
          <w14:textFill>
            <w14:solidFill>
              <w14:schemeClr w14:val="tx1"/>
            </w14:solidFill>
          </w14:textFill>
        </w:rPr>
        <w:t>Chalabi M</w:t>
      </w:r>
      <w:r>
        <w:rPr>
          <w:rFonts w:ascii="Book Antiqua" w:hAnsi="Book Antiqua"/>
          <w:color w:val="000000" w:themeColor="text1"/>
          <w14:textFill>
            <w14:solidFill>
              <w14:schemeClr w14:val="tx1"/>
            </w14:solidFill>
          </w14:textFill>
        </w:rPr>
        <w:t xml:space="preserve">, Fanchi LF, Dijkstra KK, Van den Berg JG, Aalbers AG, Sikorska K, Lopez-Yurda M, Grootscholten C, Beets GL, Snaebjornsson P, Maas M, Mertz M, Veninga V, Bounova G, Broeks A, Beets-Tan RG, de Wijkerslooth TR, van Lent AU, Marsman HA, Nuijten E, Kok NF, Kuiper M, Verbeek WH, Kok M, Van Leerdam ME, Schumacher TN, Voest EE, Haanen JB. Neoadjuvant immunotherapy leads to pathological responses in MMR-proficient and MMR-deficient early-stage colon cancers. </w:t>
      </w:r>
      <w:r>
        <w:rPr>
          <w:rFonts w:ascii="Book Antiqua" w:hAnsi="Book Antiqua"/>
          <w:i/>
          <w:iCs/>
          <w:color w:val="000000" w:themeColor="text1"/>
          <w14:textFill>
            <w14:solidFill>
              <w14:schemeClr w14:val="tx1"/>
            </w14:solidFill>
          </w14:textFill>
        </w:rPr>
        <w:t>Nat Med</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26</w:t>
      </w:r>
      <w:r>
        <w:rPr>
          <w:rFonts w:ascii="Book Antiqua" w:hAnsi="Book Antiqua"/>
          <w:color w:val="000000" w:themeColor="text1"/>
          <w14:textFill>
            <w14:solidFill>
              <w14:schemeClr w14:val="tx1"/>
            </w14:solidFill>
          </w14:textFill>
        </w:rPr>
        <w:t>: 566-576 [PMID: 32251400 DOI: 10.1038/s41591-020-0805-8]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46 </w:t>
      </w:r>
      <w:r>
        <w:rPr>
          <w:rFonts w:ascii="Book Antiqua" w:hAnsi="Book Antiqua"/>
          <w:b/>
          <w:bCs/>
          <w:color w:val="000000" w:themeColor="text1"/>
          <w14:textFill>
            <w14:solidFill>
              <w14:schemeClr w14:val="tx1"/>
            </w14:solidFill>
          </w14:textFill>
        </w:rPr>
        <w:t>Schalper KA</w:t>
      </w:r>
      <w:r>
        <w:rPr>
          <w:rFonts w:ascii="Book Antiqua" w:hAnsi="Book Antiqua"/>
          <w:color w:val="000000" w:themeColor="text1"/>
          <w14:textFill>
            <w14:solidFill>
              <w14:schemeClr w14:val="tx1"/>
            </w14:solidFill>
          </w14:textFill>
        </w:rPr>
        <w:t xml:space="preserve">, Rodriguez-Ruiz ME, Diez-Valle R, López-Janeiro A, Porciuncula A, Idoate MA, Inogés S, de Andrea C, López-Diaz de Cerio A, Tejada S, Berraondo P, Villarroel-Espindola F, Choi J, Gúrpide A, Giraldez M, Goicoechea I, Gallego Perez-Larraya J, Sanmamed MF, Perez-Gracia JL, Melero I. Neoadjuvant nivolumab modifies the tumor immune microenvironment in resectable glioblastoma. </w:t>
      </w:r>
      <w:r>
        <w:rPr>
          <w:rFonts w:ascii="Book Antiqua" w:hAnsi="Book Antiqua"/>
          <w:i/>
          <w:iCs/>
          <w:color w:val="000000" w:themeColor="text1"/>
          <w14:textFill>
            <w14:solidFill>
              <w14:schemeClr w14:val="tx1"/>
            </w14:solidFill>
          </w14:textFill>
        </w:rPr>
        <w:t>Nat Med</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25</w:t>
      </w:r>
      <w:r>
        <w:rPr>
          <w:rFonts w:ascii="Book Antiqua" w:hAnsi="Book Antiqua"/>
          <w:color w:val="000000" w:themeColor="text1"/>
          <w14:textFill>
            <w14:solidFill>
              <w14:schemeClr w14:val="tx1"/>
            </w14:solidFill>
          </w14:textFill>
        </w:rPr>
        <w:t>: 470-476 [PMID: 30742120 DOI: 10.1038/s41591-018-0339-5]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47 </w:t>
      </w:r>
      <w:r>
        <w:rPr>
          <w:rFonts w:ascii="Book Antiqua" w:hAnsi="Book Antiqua"/>
          <w:b/>
          <w:bCs/>
          <w:color w:val="000000" w:themeColor="text1"/>
          <w14:textFill>
            <w14:solidFill>
              <w14:schemeClr w14:val="tx1"/>
            </w14:solidFill>
          </w14:textFill>
        </w:rPr>
        <w:t>Whiteside TL</w:t>
      </w:r>
      <w:r>
        <w:rPr>
          <w:rFonts w:ascii="Book Antiqua" w:hAnsi="Book Antiqua"/>
          <w:color w:val="000000" w:themeColor="text1"/>
          <w14:textFill>
            <w14:solidFill>
              <w14:schemeClr w14:val="tx1"/>
            </w14:solidFill>
          </w14:textFill>
        </w:rPr>
        <w:t xml:space="preserve">. The tumor microenvironment and its role in promoting tumor growth. </w:t>
      </w:r>
      <w:r>
        <w:rPr>
          <w:rFonts w:ascii="Book Antiqua" w:hAnsi="Book Antiqua"/>
          <w:i/>
          <w:iCs/>
          <w:color w:val="000000" w:themeColor="text1"/>
          <w14:textFill>
            <w14:solidFill>
              <w14:schemeClr w14:val="tx1"/>
            </w14:solidFill>
          </w14:textFill>
        </w:rPr>
        <w:t>Oncogene</w:t>
      </w:r>
      <w:r>
        <w:rPr>
          <w:rFonts w:ascii="Book Antiqua" w:hAnsi="Book Antiqua"/>
          <w:color w:val="000000" w:themeColor="text1"/>
          <w14:textFill>
            <w14:solidFill>
              <w14:schemeClr w14:val="tx1"/>
            </w14:solidFill>
          </w14:textFill>
        </w:rPr>
        <w:t xml:space="preserve"> 2008; </w:t>
      </w:r>
      <w:r>
        <w:rPr>
          <w:rFonts w:ascii="Book Antiqua" w:hAnsi="Book Antiqua"/>
          <w:b/>
          <w:bCs/>
          <w:color w:val="000000" w:themeColor="text1"/>
          <w14:textFill>
            <w14:solidFill>
              <w14:schemeClr w14:val="tx1"/>
            </w14:solidFill>
          </w14:textFill>
        </w:rPr>
        <w:t>27</w:t>
      </w:r>
      <w:r>
        <w:rPr>
          <w:rFonts w:ascii="Book Antiqua" w:hAnsi="Book Antiqua"/>
          <w:color w:val="000000" w:themeColor="text1"/>
          <w14:textFill>
            <w14:solidFill>
              <w14:schemeClr w14:val="tx1"/>
            </w14:solidFill>
          </w14:textFill>
        </w:rPr>
        <w:t>: 5904-5912 [PMID: 18836471 DOI: 10.1038/onc.2008.271]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48 </w:t>
      </w:r>
      <w:r>
        <w:rPr>
          <w:rFonts w:ascii="Book Antiqua" w:hAnsi="Book Antiqua"/>
          <w:b/>
          <w:bCs/>
          <w:color w:val="000000" w:themeColor="text1"/>
          <w14:textFill>
            <w14:solidFill>
              <w14:schemeClr w14:val="tx1"/>
            </w14:solidFill>
          </w14:textFill>
        </w:rPr>
        <w:t>Blessin NC</w:t>
      </w:r>
      <w:r>
        <w:rPr>
          <w:rFonts w:ascii="Book Antiqua" w:hAnsi="Book Antiqua"/>
          <w:color w:val="000000" w:themeColor="text1"/>
          <w14:textFill>
            <w14:solidFill>
              <w14:schemeClr w14:val="tx1"/>
            </w14:solidFill>
          </w14:textFill>
        </w:rPr>
        <w:t xml:space="preserve">, Li W, Mandelkow T, Jansen HL, Yang C, Raedler JB, Simon R, Büscheck F, Dum D, Luebke AM, Hinsch A, Möller K, Menz A, Bernreuther C, Lebok P, Clauditz T, Sauter G, Marx A, Uhlig R, Wilczak W, Minner S, Krech T, Fraune C, Höflmayer D, Burandt E, Steurer S. Prognostic role of proliferating CD8(+) cytotoxic Tcells in human cancers. </w:t>
      </w:r>
      <w:r>
        <w:rPr>
          <w:rFonts w:ascii="Book Antiqua" w:hAnsi="Book Antiqua"/>
          <w:i/>
          <w:iCs/>
          <w:color w:val="000000" w:themeColor="text1"/>
          <w14:textFill>
            <w14:solidFill>
              <w14:schemeClr w14:val="tx1"/>
            </w14:solidFill>
          </w14:textFill>
        </w:rPr>
        <w:t>Cell Oncol (Dordr)</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44</w:t>
      </w:r>
      <w:r>
        <w:rPr>
          <w:rFonts w:ascii="Book Antiqua" w:hAnsi="Book Antiqua"/>
          <w:color w:val="000000" w:themeColor="text1"/>
          <w14:textFill>
            <w14:solidFill>
              <w14:schemeClr w14:val="tx1"/>
            </w14:solidFill>
          </w14:textFill>
        </w:rPr>
        <w:t>: 793-803 [PMID: 33864611 DOI: 10.1007/s13402-021-00601-4]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49 </w:t>
      </w:r>
      <w:r>
        <w:rPr>
          <w:rFonts w:ascii="Book Antiqua" w:hAnsi="Book Antiqua"/>
          <w:b/>
          <w:bCs/>
          <w:color w:val="000000" w:themeColor="text1"/>
          <w14:textFill>
            <w14:solidFill>
              <w14:schemeClr w14:val="tx1"/>
            </w14:solidFill>
          </w14:textFill>
        </w:rPr>
        <w:t>Zhang N</w:t>
      </w:r>
      <w:r>
        <w:rPr>
          <w:rFonts w:ascii="Book Antiqua" w:hAnsi="Book Antiqua"/>
          <w:color w:val="000000" w:themeColor="text1"/>
          <w14:textFill>
            <w14:solidFill>
              <w14:schemeClr w14:val="tx1"/>
            </w14:solidFill>
          </w14:textFill>
        </w:rPr>
        <w:t xml:space="preserve">, Bevan MJ. CD8(+) T cells: foot soldiers of the immune system. </w:t>
      </w:r>
      <w:r>
        <w:rPr>
          <w:rFonts w:ascii="Book Antiqua" w:hAnsi="Book Antiqua"/>
          <w:i/>
          <w:iCs/>
          <w:color w:val="000000" w:themeColor="text1"/>
          <w14:textFill>
            <w14:solidFill>
              <w14:schemeClr w14:val="tx1"/>
            </w14:solidFill>
          </w14:textFill>
        </w:rPr>
        <w:t>Immunity</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35</w:t>
      </w:r>
      <w:r>
        <w:rPr>
          <w:rFonts w:ascii="Book Antiqua" w:hAnsi="Book Antiqua"/>
          <w:color w:val="000000" w:themeColor="text1"/>
          <w14:textFill>
            <w14:solidFill>
              <w14:schemeClr w14:val="tx1"/>
            </w14:solidFill>
          </w14:textFill>
        </w:rPr>
        <w:t>: 161-168 [PMID: 21867926 DOI: 10.1016/j.immuni.2011.07.010]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50 </w:t>
      </w:r>
      <w:r>
        <w:rPr>
          <w:rFonts w:ascii="Book Antiqua" w:hAnsi="Book Antiqua"/>
          <w:b/>
          <w:bCs/>
          <w:color w:val="000000" w:themeColor="text1"/>
          <w14:textFill>
            <w14:solidFill>
              <w14:schemeClr w14:val="tx1"/>
            </w14:solidFill>
          </w14:textFill>
        </w:rPr>
        <w:t>Nurieva RI</w:t>
      </w:r>
      <w:r>
        <w:rPr>
          <w:rFonts w:ascii="Book Antiqua" w:hAnsi="Book Antiqua"/>
          <w:color w:val="000000" w:themeColor="text1"/>
          <w14:textFill>
            <w14:solidFill>
              <w14:schemeClr w14:val="tx1"/>
            </w14:solidFill>
          </w14:textFill>
        </w:rPr>
        <w:t xml:space="preserve">, Liu X, Dong C. Yin-Yang of costimulation: crucial controls of immune tolerance and function. </w:t>
      </w:r>
      <w:r>
        <w:rPr>
          <w:rFonts w:ascii="Book Antiqua" w:hAnsi="Book Antiqua"/>
          <w:i/>
          <w:iCs/>
          <w:color w:val="000000" w:themeColor="text1"/>
          <w14:textFill>
            <w14:solidFill>
              <w14:schemeClr w14:val="tx1"/>
            </w14:solidFill>
          </w14:textFill>
        </w:rPr>
        <w:t>Immunol Rev</w:t>
      </w:r>
      <w:r>
        <w:rPr>
          <w:rFonts w:ascii="Book Antiqua" w:hAnsi="Book Antiqua"/>
          <w:color w:val="000000" w:themeColor="text1"/>
          <w14:textFill>
            <w14:solidFill>
              <w14:schemeClr w14:val="tx1"/>
            </w14:solidFill>
          </w14:textFill>
        </w:rPr>
        <w:t xml:space="preserve"> 2009; </w:t>
      </w:r>
      <w:r>
        <w:rPr>
          <w:rFonts w:ascii="Book Antiqua" w:hAnsi="Book Antiqua"/>
          <w:b/>
          <w:bCs/>
          <w:color w:val="000000" w:themeColor="text1"/>
          <w14:textFill>
            <w14:solidFill>
              <w14:schemeClr w14:val="tx1"/>
            </w14:solidFill>
          </w14:textFill>
        </w:rPr>
        <w:t>229</w:t>
      </w:r>
      <w:r>
        <w:rPr>
          <w:rFonts w:ascii="Book Antiqua" w:hAnsi="Book Antiqua"/>
          <w:color w:val="000000" w:themeColor="text1"/>
          <w14:textFill>
            <w14:solidFill>
              <w14:schemeClr w14:val="tx1"/>
            </w14:solidFill>
          </w14:textFill>
        </w:rPr>
        <w:t>: 88-100 [PMID: 19426216 DOI: 10.1111/j.1600-065X.2009.00769.x]</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51 </w:t>
      </w:r>
      <w:r>
        <w:rPr>
          <w:rFonts w:ascii="Book Antiqua" w:hAnsi="Book Antiqua"/>
          <w:b/>
          <w:bCs/>
          <w:color w:val="000000" w:themeColor="text1"/>
          <w14:textFill>
            <w14:solidFill>
              <w14:schemeClr w14:val="tx1"/>
            </w14:solidFill>
          </w14:textFill>
        </w:rPr>
        <w:t>Vinay DS</w:t>
      </w:r>
      <w:r>
        <w:rPr>
          <w:rFonts w:ascii="Book Antiqua" w:hAnsi="Book Antiqua"/>
          <w:color w:val="000000" w:themeColor="text1"/>
          <w14:textFill>
            <w14:solidFill>
              <w14:schemeClr w14:val="tx1"/>
            </w14:solidFill>
          </w14:textFill>
        </w:rPr>
        <w:t xml:space="preserve">, Ryan EP, Pawelec G, Talib WH, Stagg J, Elkord E, Lichtor T, Decker WK, Whelan RL, Kumara HMCS, Signori E, Honoki K, Georgakilas AG, Amin A, Helferich WG, Boosani CS, Guha G, Ciriolo MR, Chen S, Mohammed SI, Azmi AS, Keith WN, Bilsland A, Bhakta D, Halicka D, Fujii H, Aquilano K, Ashraf SS, Nowsheen S, Yang X, Choi BK, Kwon BS. Immune evasion in cancer: Mechanistic basis and therapeutic strategies. </w:t>
      </w:r>
      <w:r>
        <w:rPr>
          <w:rFonts w:ascii="Book Antiqua" w:hAnsi="Book Antiqua"/>
          <w:i/>
          <w:iCs/>
          <w:color w:val="000000" w:themeColor="text1"/>
          <w14:textFill>
            <w14:solidFill>
              <w14:schemeClr w14:val="tx1"/>
            </w14:solidFill>
          </w14:textFill>
        </w:rPr>
        <w:t>Semin Cancer Biol</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 xml:space="preserve">35 </w:t>
      </w:r>
      <w:bookmarkStart w:id="35" w:name="OLE_LINK6755"/>
      <w:bookmarkStart w:id="36" w:name="OLE_LINK6754"/>
      <w:r>
        <w:rPr>
          <w:rFonts w:ascii="Book Antiqua" w:hAnsi="Book Antiqua"/>
          <w:color w:val="000000" w:themeColor="text1"/>
          <w14:textFill>
            <w14:solidFill>
              <w14:schemeClr w14:val="tx1"/>
            </w14:solidFill>
          </w14:textFill>
        </w:rPr>
        <w:t>Supp</w:t>
      </w:r>
      <w:bookmarkEnd w:id="35"/>
      <w:r>
        <w:rPr>
          <w:rFonts w:ascii="Book Antiqua" w:hAnsi="Book Antiqua"/>
          <w:color w:val="000000" w:themeColor="text1"/>
          <w14:textFill>
            <w14:solidFill>
              <w14:schemeClr w14:val="tx1"/>
            </w14:solidFill>
          </w14:textFill>
        </w:rPr>
        <w:t>l</w:t>
      </w:r>
      <w:bookmarkEnd w:id="36"/>
      <w:r>
        <w:rPr>
          <w:rFonts w:ascii="Book Antiqua" w:hAnsi="Book Antiqua"/>
          <w:color w:val="000000" w:themeColor="text1"/>
          <w14:textFill>
            <w14:solidFill>
              <w14:schemeClr w14:val="tx1"/>
            </w14:solidFill>
          </w14:textFill>
        </w:rPr>
        <w:t>: S185-S198 [PMID: 25818339 DOI: 10.1016/j.semcancer.2015.03.004]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52 </w:t>
      </w:r>
      <w:r>
        <w:rPr>
          <w:rFonts w:ascii="Book Antiqua" w:hAnsi="Book Antiqua"/>
          <w:b/>
          <w:bCs/>
          <w:color w:val="000000" w:themeColor="text1"/>
          <w14:textFill>
            <w14:solidFill>
              <w14:schemeClr w14:val="tx1"/>
            </w14:solidFill>
          </w14:textFill>
        </w:rPr>
        <w:t>Baldwin XL</w:t>
      </w:r>
      <w:r>
        <w:rPr>
          <w:rFonts w:ascii="Book Antiqua" w:hAnsi="Book Antiqua"/>
          <w:color w:val="000000" w:themeColor="text1"/>
          <w14:textFill>
            <w14:solidFill>
              <w14:schemeClr w14:val="tx1"/>
            </w14:solidFill>
          </w14:textFill>
        </w:rPr>
        <w:t xml:space="preserve">, Spanheimer PM, Downs-Canner S. A Review of Immune Checkpoint Blockade for the General Surgeon. </w:t>
      </w:r>
      <w:r>
        <w:rPr>
          <w:rFonts w:ascii="Book Antiqua" w:hAnsi="Book Antiqua"/>
          <w:i/>
          <w:iCs/>
          <w:color w:val="000000" w:themeColor="text1"/>
          <w14:textFill>
            <w14:solidFill>
              <w14:schemeClr w14:val="tx1"/>
            </w14:solidFill>
          </w14:textFill>
        </w:rPr>
        <w:t>J Surg Res</w:t>
      </w:r>
      <w:r>
        <w:rPr>
          <w:rFonts w:ascii="Book Antiqua" w:hAnsi="Book Antiqua"/>
          <w:color w:val="000000" w:themeColor="text1"/>
          <w14:textFill>
            <w14:solidFill>
              <w14:schemeClr w14:val="tx1"/>
            </w14:solidFill>
          </w14:textFill>
        </w:rPr>
        <w:t xml:space="preserve"> 2023; </w:t>
      </w:r>
      <w:r>
        <w:rPr>
          <w:rFonts w:ascii="Book Antiqua" w:hAnsi="Book Antiqua"/>
          <w:b/>
          <w:bCs/>
          <w:color w:val="000000" w:themeColor="text1"/>
          <w14:textFill>
            <w14:solidFill>
              <w14:schemeClr w14:val="tx1"/>
            </w14:solidFill>
          </w14:textFill>
        </w:rPr>
        <w:t>281</w:t>
      </w:r>
      <w:r>
        <w:rPr>
          <w:rFonts w:ascii="Book Antiqua" w:hAnsi="Book Antiqua"/>
          <w:color w:val="000000" w:themeColor="text1"/>
          <w14:textFill>
            <w14:solidFill>
              <w14:schemeClr w14:val="tx1"/>
            </w14:solidFill>
          </w14:textFill>
        </w:rPr>
        <w:t>: 289-298 [PMID: 36228339 DOI: 10.1016/j.jss.2022.08.040]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53 </w:t>
      </w:r>
      <w:r>
        <w:rPr>
          <w:rFonts w:ascii="Book Antiqua" w:hAnsi="Book Antiqua"/>
          <w:b/>
          <w:bCs/>
          <w:color w:val="000000" w:themeColor="text1"/>
          <w14:textFill>
            <w14:solidFill>
              <w14:schemeClr w14:val="tx1"/>
            </w14:solidFill>
          </w14:textFill>
        </w:rPr>
        <w:t>Buchbinder EI</w:t>
      </w:r>
      <w:r>
        <w:rPr>
          <w:rFonts w:ascii="Book Antiqua" w:hAnsi="Book Antiqua"/>
          <w:color w:val="000000" w:themeColor="text1"/>
          <w14:textFill>
            <w14:solidFill>
              <w14:schemeClr w14:val="tx1"/>
            </w14:solidFill>
          </w14:textFill>
        </w:rPr>
        <w:t xml:space="preserve">, Desai A. CTLA-4 and PD-1 Pathways: Similarities, Differences, and Implications of Their Inhibition. </w:t>
      </w:r>
      <w:r>
        <w:rPr>
          <w:rFonts w:ascii="Book Antiqua" w:hAnsi="Book Antiqua"/>
          <w:i/>
          <w:iCs/>
          <w:color w:val="000000" w:themeColor="text1"/>
          <w14:textFill>
            <w14:solidFill>
              <w14:schemeClr w14:val="tx1"/>
            </w14:solidFill>
          </w14:textFill>
        </w:rPr>
        <w:t>Am J Clin Oncol</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39</w:t>
      </w:r>
      <w:r>
        <w:rPr>
          <w:rFonts w:ascii="Book Antiqua" w:hAnsi="Book Antiqua"/>
          <w:color w:val="000000" w:themeColor="text1"/>
          <w14:textFill>
            <w14:solidFill>
              <w14:schemeClr w14:val="tx1"/>
            </w14:solidFill>
          </w14:textFill>
        </w:rPr>
        <w:t>: 98-106 [PMID: 26558876 DOI: 10.1097/COC.0000000000000239]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54 </w:t>
      </w:r>
      <w:r>
        <w:rPr>
          <w:rFonts w:ascii="Book Antiqua" w:hAnsi="Book Antiqua"/>
          <w:b/>
          <w:bCs/>
          <w:color w:val="000000" w:themeColor="text1"/>
          <w14:textFill>
            <w14:solidFill>
              <w14:schemeClr w14:val="tx1"/>
            </w14:solidFill>
          </w14:textFill>
        </w:rPr>
        <w:t>Ribas A</w:t>
      </w:r>
      <w:r>
        <w:rPr>
          <w:rFonts w:ascii="Book Antiqua" w:hAnsi="Book Antiqua"/>
          <w:color w:val="000000" w:themeColor="text1"/>
          <w14:textFill>
            <w14:solidFill>
              <w14:schemeClr w14:val="tx1"/>
            </w14:solidFill>
          </w14:textFill>
        </w:rPr>
        <w:t xml:space="preserve">, Wolchok JD. Cancer immunotherapy using checkpoint blockade. </w:t>
      </w:r>
      <w:r>
        <w:rPr>
          <w:rFonts w:ascii="Book Antiqua" w:hAnsi="Book Antiqua"/>
          <w:i/>
          <w:iCs/>
          <w:color w:val="000000" w:themeColor="text1"/>
          <w14:textFill>
            <w14:solidFill>
              <w14:schemeClr w14:val="tx1"/>
            </w14:solidFill>
          </w14:textFill>
        </w:rPr>
        <w:t>Science</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359</w:t>
      </w:r>
      <w:r>
        <w:rPr>
          <w:rFonts w:ascii="Book Antiqua" w:hAnsi="Book Antiqua"/>
          <w:color w:val="000000" w:themeColor="text1"/>
          <w14:textFill>
            <w14:solidFill>
              <w14:schemeClr w14:val="tx1"/>
            </w14:solidFill>
          </w14:textFill>
        </w:rPr>
        <w:t>: 1350-1355 [PMID: 29567705 DOI: 10.1126/science.aar4060]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55 </w:t>
      </w:r>
      <w:r>
        <w:rPr>
          <w:rFonts w:ascii="Book Antiqua" w:hAnsi="Book Antiqua"/>
          <w:b/>
          <w:bCs/>
          <w:color w:val="000000" w:themeColor="text1"/>
          <w14:textFill>
            <w14:solidFill>
              <w14:schemeClr w14:val="tx1"/>
            </w14:solidFill>
          </w14:textFill>
        </w:rPr>
        <w:t>Sharpe AH</w:t>
      </w:r>
      <w:r>
        <w:rPr>
          <w:rFonts w:ascii="Book Antiqua" w:hAnsi="Book Antiqua"/>
          <w:color w:val="000000" w:themeColor="text1"/>
          <w14:textFill>
            <w14:solidFill>
              <w14:schemeClr w14:val="tx1"/>
            </w14:solidFill>
          </w14:textFill>
        </w:rPr>
        <w:t xml:space="preserve">, Pauken KE. The diverse functions of the PD1 inhibitory pathway. </w:t>
      </w:r>
      <w:r>
        <w:rPr>
          <w:rFonts w:ascii="Book Antiqua" w:hAnsi="Book Antiqua"/>
          <w:i/>
          <w:iCs/>
          <w:color w:val="000000" w:themeColor="text1"/>
          <w14:textFill>
            <w14:solidFill>
              <w14:schemeClr w14:val="tx1"/>
            </w14:solidFill>
          </w14:textFill>
        </w:rPr>
        <w:t>Nat Rev Immunol</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18</w:t>
      </w:r>
      <w:r>
        <w:rPr>
          <w:rFonts w:ascii="Book Antiqua" w:hAnsi="Book Antiqua"/>
          <w:color w:val="000000" w:themeColor="text1"/>
          <w14:textFill>
            <w14:solidFill>
              <w14:schemeClr w14:val="tx1"/>
            </w14:solidFill>
          </w14:textFill>
        </w:rPr>
        <w:t>: 153-167 [PMID: 28990585 DOI: 10.1038/nri.2017.108]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56 </w:t>
      </w:r>
      <w:r>
        <w:rPr>
          <w:rFonts w:ascii="Book Antiqua" w:hAnsi="Book Antiqua"/>
          <w:b/>
          <w:bCs/>
          <w:color w:val="000000" w:themeColor="text1"/>
          <w14:textFill>
            <w14:solidFill>
              <w14:schemeClr w14:val="tx1"/>
            </w14:solidFill>
          </w14:textFill>
        </w:rPr>
        <w:t>Geng Q</w:t>
      </w:r>
      <w:r>
        <w:rPr>
          <w:rFonts w:ascii="Book Antiqua" w:hAnsi="Book Antiqua"/>
          <w:color w:val="000000" w:themeColor="text1"/>
          <w14:textFill>
            <w14:solidFill>
              <w14:schemeClr w14:val="tx1"/>
            </w14:solidFill>
          </w14:textFill>
        </w:rPr>
        <w:t xml:space="preserve">, Rohondia SO, Khan HJ, Jiao P, Dou QP. Small molecules as antagonists of co-inhibitory pathways for cancer immunotherapy: a patent review (2018-2019). </w:t>
      </w:r>
      <w:r>
        <w:rPr>
          <w:rFonts w:ascii="Book Antiqua" w:hAnsi="Book Antiqua"/>
          <w:i/>
          <w:iCs/>
          <w:color w:val="000000" w:themeColor="text1"/>
          <w14:textFill>
            <w14:solidFill>
              <w14:schemeClr w14:val="tx1"/>
            </w14:solidFill>
          </w14:textFill>
        </w:rPr>
        <w:t>Expert Opin Ther Pat</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30</w:t>
      </w:r>
      <w:r>
        <w:rPr>
          <w:rFonts w:ascii="Book Antiqua" w:hAnsi="Book Antiqua"/>
          <w:color w:val="000000" w:themeColor="text1"/>
          <w14:textFill>
            <w14:solidFill>
              <w14:schemeClr w14:val="tx1"/>
            </w14:solidFill>
          </w14:textFill>
        </w:rPr>
        <w:t>: 677-694 [PMID: 32715813 DOI: 10.1080/13543776.2020.1801640]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57 </w:t>
      </w:r>
      <w:r>
        <w:rPr>
          <w:rFonts w:ascii="Book Antiqua" w:hAnsi="Book Antiqua"/>
          <w:b/>
          <w:bCs/>
          <w:color w:val="000000" w:themeColor="text1"/>
          <w14:textFill>
            <w14:solidFill>
              <w14:schemeClr w14:val="tx1"/>
            </w14:solidFill>
          </w14:textFill>
        </w:rPr>
        <w:t>Baumeister SH</w:t>
      </w:r>
      <w:r>
        <w:rPr>
          <w:rFonts w:ascii="Book Antiqua" w:hAnsi="Book Antiqua"/>
          <w:color w:val="000000" w:themeColor="text1"/>
          <w14:textFill>
            <w14:solidFill>
              <w14:schemeClr w14:val="tx1"/>
            </w14:solidFill>
          </w14:textFill>
        </w:rPr>
        <w:t xml:space="preserve">, Freeman GJ, Dranoff G, Sharpe AH. Coinhibitory Pathways in Immunotherapy for Cancer. </w:t>
      </w:r>
      <w:r>
        <w:rPr>
          <w:rFonts w:ascii="Book Antiqua" w:hAnsi="Book Antiqua"/>
          <w:i/>
          <w:iCs/>
          <w:color w:val="000000" w:themeColor="text1"/>
          <w14:textFill>
            <w14:solidFill>
              <w14:schemeClr w14:val="tx1"/>
            </w14:solidFill>
          </w14:textFill>
        </w:rPr>
        <w:t>Annu Rev Immunol</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34</w:t>
      </w:r>
      <w:r>
        <w:rPr>
          <w:rFonts w:ascii="Book Antiqua" w:hAnsi="Book Antiqua"/>
          <w:color w:val="000000" w:themeColor="text1"/>
          <w14:textFill>
            <w14:solidFill>
              <w14:schemeClr w14:val="tx1"/>
            </w14:solidFill>
          </w14:textFill>
        </w:rPr>
        <w:t>: 539-573 [PMID: 26927206 DOI: 10.1146/annurev-immunol-032414-112049]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58 </w:t>
      </w:r>
      <w:r>
        <w:rPr>
          <w:rFonts w:ascii="Book Antiqua" w:hAnsi="Book Antiqua"/>
          <w:b/>
          <w:bCs/>
          <w:color w:val="000000" w:themeColor="text1"/>
          <w14:textFill>
            <w14:solidFill>
              <w14:schemeClr w14:val="tx1"/>
            </w14:solidFill>
          </w14:textFill>
        </w:rPr>
        <w:t>Yi M</w:t>
      </w:r>
      <w:r>
        <w:rPr>
          <w:rFonts w:ascii="Book Antiqua" w:hAnsi="Book Antiqua"/>
          <w:color w:val="000000" w:themeColor="text1"/>
          <w14:textFill>
            <w14:solidFill>
              <w14:schemeClr w14:val="tx1"/>
            </w14:solidFill>
          </w14:textFill>
        </w:rPr>
        <w:t xml:space="preserve">, Zheng X, Niu M, Zhu S, Ge H, Wu K. Combination strategies with PD-1/PD-L1 blockade: current advances and future directions. </w:t>
      </w:r>
      <w:r>
        <w:rPr>
          <w:rFonts w:ascii="Book Antiqua" w:hAnsi="Book Antiqua"/>
          <w:i/>
          <w:iCs/>
          <w:color w:val="000000" w:themeColor="text1"/>
          <w14:textFill>
            <w14:solidFill>
              <w14:schemeClr w14:val="tx1"/>
            </w14:solidFill>
          </w14:textFill>
        </w:rPr>
        <w:t>Mol Cancer</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21</w:t>
      </w:r>
      <w:r>
        <w:rPr>
          <w:rFonts w:ascii="Book Antiqua" w:hAnsi="Book Antiqua"/>
          <w:color w:val="000000" w:themeColor="text1"/>
          <w14:textFill>
            <w14:solidFill>
              <w14:schemeClr w14:val="tx1"/>
            </w14:solidFill>
          </w14:textFill>
        </w:rPr>
        <w:t>: 28 [PMID: 35062949 DOI: 10.1186/s12943-021-01489-2]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59 </w:t>
      </w:r>
      <w:r>
        <w:rPr>
          <w:rFonts w:ascii="Book Antiqua" w:hAnsi="Book Antiqua"/>
          <w:b/>
          <w:bCs/>
          <w:color w:val="000000" w:themeColor="text1"/>
          <w14:textFill>
            <w14:solidFill>
              <w14:schemeClr w14:val="tx1"/>
            </w14:solidFill>
          </w14:textFill>
        </w:rPr>
        <w:t>Awadasseid A</w:t>
      </w:r>
      <w:r>
        <w:rPr>
          <w:rFonts w:ascii="Book Antiqua" w:hAnsi="Book Antiqua"/>
          <w:color w:val="000000" w:themeColor="text1"/>
          <w14:textFill>
            <w14:solidFill>
              <w14:schemeClr w14:val="tx1"/>
            </w14:solidFill>
          </w14:textFill>
        </w:rPr>
        <w:t xml:space="preserve">, Wu Y, Zhang W. Advance investigation on synthetic small-molecule inhibitors targeting PD-1/PD-L1 signaling pathway. </w:t>
      </w:r>
      <w:r>
        <w:rPr>
          <w:rFonts w:ascii="Book Antiqua" w:hAnsi="Book Antiqua"/>
          <w:i/>
          <w:iCs/>
          <w:color w:val="000000" w:themeColor="text1"/>
          <w14:textFill>
            <w14:solidFill>
              <w14:schemeClr w14:val="tx1"/>
            </w14:solidFill>
          </w14:textFill>
        </w:rPr>
        <w:t>Life Sci</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282</w:t>
      </w:r>
      <w:r>
        <w:rPr>
          <w:rFonts w:ascii="Book Antiqua" w:hAnsi="Book Antiqua"/>
          <w:color w:val="000000" w:themeColor="text1"/>
          <w14:textFill>
            <w14:solidFill>
              <w14:schemeClr w14:val="tx1"/>
            </w14:solidFill>
          </w14:textFill>
        </w:rPr>
        <w:t>: 119813 [PMID: 34256042 DOI: 10.1016/j.lfs.2021.119813]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60 </w:t>
      </w:r>
      <w:r>
        <w:rPr>
          <w:rFonts w:ascii="Book Antiqua" w:hAnsi="Book Antiqua"/>
          <w:b/>
          <w:bCs/>
          <w:color w:val="000000" w:themeColor="text1"/>
          <w14:textFill>
            <w14:solidFill>
              <w14:schemeClr w14:val="tx1"/>
            </w14:solidFill>
          </w14:textFill>
        </w:rPr>
        <w:t>Wu Q</w:t>
      </w:r>
      <w:r>
        <w:rPr>
          <w:rFonts w:ascii="Book Antiqua" w:hAnsi="Book Antiqua"/>
          <w:color w:val="000000" w:themeColor="text1"/>
          <w14:textFill>
            <w14:solidFill>
              <w14:schemeClr w14:val="tx1"/>
            </w14:solidFill>
          </w14:textFill>
        </w:rPr>
        <w:t xml:space="preserve">, Jiang L, Li SC, He QJ, Yang B, Cao J. Small molecule inhibitors targeting the PD-1/PD-L1 signaling pathway. </w:t>
      </w:r>
      <w:r>
        <w:rPr>
          <w:rFonts w:ascii="Book Antiqua" w:hAnsi="Book Antiqua"/>
          <w:i/>
          <w:iCs/>
          <w:color w:val="000000" w:themeColor="text1"/>
          <w14:textFill>
            <w14:solidFill>
              <w14:schemeClr w14:val="tx1"/>
            </w14:solidFill>
          </w14:textFill>
        </w:rPr>
        <w:t>Acta Pharmacol Sin</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42</w:t>
      </w:r>
      <w:r>
        <w:rPr>
          <w:rFonts w:ascii="Book Antiqua" w:hAnsi="Book Antiqua"/>
          <w:color w:val="000000" w:themeColor="text1"/>
          <w14:textFill>
            <w14:solidFill>
              <w14:schemeClr w14:val="tx1"/>
            </w14:solidFill>
          </w14:textFill>
        </w:rPr>
        <w:t>: 1-9 [PMID: 32152439 DOI: 10.1038/s41401-020-0366-x]</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61 </w:t>
      </w:r>
      <w:r>
        <w:rPr>
          <w:rFonts w:ascii="Book Antiqua" w:hAnsi="Book Antiqua"/>
          <w:b/>
          <w:bCs/>
          <w:color w:val="000000" w:themeColor="text1"/>
          <w14:textFill>
            <w14:solidFill>
              <w14:schemeClr w14:val="tx1"/>
            </w14:solidFill>
          </w14:textFill>
        </w:rPr>
        <w:t>Maruhashi T</w:t>
      </w:r>
      <w:r>
        <w:rPr>
          <w:rFonts w:ascii="Book Antiqua" w:hAnsi="Book Antiqua"/>
          <w:color w:val="000000" w:themeColor="text1"/>
          <w14:textFill>
            <w14:solidFill>
              <w14:schemeClr w14:val="tx1"/>
            </w14:solidFill>
          </w14:textFill>
        </w:rPr>
        <w:t xml:space="preserve">, Sugiura D, Okazaki IM, Okazaki T. LAG-3: from molecular functions to clinical applications. </w:t>
      </w:r>
      <w:r>
        <w:rPr>
          <w:rFonts w:ascii="Book Antiqua" w:hAnsi="Book Antiqua"/>
          <w:i/>
          <w:iCs/>
          <w:color w:val="000000" w:themeColor="text1"/>
          <w14:textFill>
            <w14:solidFill>
              <w14:schemeClr w14:val="tx1"/>
            </w14:solidFill>
          </w14:textFill>
        </w:rPr>
        <w:t>J Immunother Cancer</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8</w:t>
      </w:r>
      <w:r>
        <w:rPr>
          <w:rFonts w:ascii="Book Antiqua" w:hAnsi="Book Antiqua"/>
          <w:color w:val="000000" w:themeColor="text1"/>
          <w14:textFill>
            <w14:solidFill>
              <w14:schemeClr w14:val="tx1"/>
            </w14:solidFill>
          </w14:textFill>
        </w:rPr>
        <w:t xml:space="preserve"> [PMID: 32929051 DOI: 10.1136/jitc-2020-001014]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62 </w:t>
      </w:r>
      <w:r>
        <w:rPr>
          <w:rFonts w:ascii="Book Antiqua" w:hAnsi="Book Antiqua"/>
          <w:b/>
          <w:bCs/>
          <w:color w:val="000000" w:themeColor="text1"/>
          <w14:textFill>
            <w14:solidFill>
              <w14:schemeClr w14:val="tx1"/>
            </w14:solidFill>
          </w14:textFill>
        </w:rPr>
        <w:t>Meng X</w:t>
      </w:r>
      <w:r>
        <w:rPr>
          <w:rFonts w:ascii="Book Antiqua" w:hAnsi="Book Antiqua"/>
          <w:color w:val="000000" w:themeColor="text1"/>
          <w14:textFill>
            <w14:solidFill>
              <w14:schemeClr w14:val="tx1"/>
            </w14:solidFill>
          </w14:textFill>
        </w:rPr>
        <w:t xml:space="preserve">, Wu T, Hong Y, Fan Q, Ren Z, Guo Y, Yang X, Shi P, Yang J, Yin X, Luo Z, Xia J, Zhou Y, Xu M, Liu E, Jiang G, Li S, Zhao F, Ma C, Ma C, Hou Z, Li J, Wang J, Wang F. Camrelizumab plus apatinib as second-line treatment for advanced oesophageal squamous cell carcinoma (CAP 02): a single-arm, open-label, phase 2 trial. </w:t>
      </w:r>
      <w:r>
        <w:rPr>
          <w:rFonts w:ascii="Book Antiqua" w:hAnsi="Book Antiqua"/>
          <w:i/>
          <w:iCs/>
          <w:color w:val="000000" w:themeColor="text1"/>
          <w14:textFill>
            <w14:solidFill>
              <w14:schemeClr w14:val="tx1"/>
            </w14:solidFill>
          </w14:textFill>
        </w:rPr>
        <w:t>Lancet Gastroenterol Hepatol</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245-253 [PMID: 34998471 DOI: 10.1016/S2468-1253(21)00378-2]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63 </w:t>
      </w:r>
      <w:r>
        <w:rPr>
          <w:rFonts w:ascii="Book Antiqua" w:hAnsi="Book Antiqua"/>
          <w:b/>
          <w:bCs/>
          <w:color w:val="000000" w:themeColor="text1"/>
          <w14:textFill>
            <w14:solidFill>
              <w14:schemeClr w14:val="tx1"/>
            </w14:solidFill>
          </w14:textFill>
        </w:rPr>
        <w:t>Huang J</w:t>
      </w:r>
      <w:r>
        <w:rPr>
          <w:rFonts w:ascii="Book Antiqua" w:hAnsi="Book Antiqua"/>
          <w:color w:val="000000" w:themeColor="text1"/>
          <w14:textFill>
            <w14:solidFill>
              <w14:schemeClr w14:val="tx1"/>
            </w14:solidFill>
          </w14:textFill>
        </w:rPr>
        <w:t xml:space="preserve">, Xu B, Mo H, Zhang W, Chen X, Wu D, Qu D, Wang X, Lan B, Yang B, Wang P, Zhang H, Yang Q, Jiao Y. Safety, Activity, and Biomarkers of SHR-1210, an Anti-PD-1 Antibody, for Patients with Advanced Esophageal Carcinoma. </w:t>
      </w:r>
      <w:r>
        <w:rPr>
          <w:rFonts w:ascii="Book Antiqua" w:hAnsi="Book Antiqua"/>
          <w:i/>
          <w:iCs/>
          <w:color w:val="000000" w:themeColor="text1"/>
          <w14:textFill>
            <w14:solidFill>
              <w14:schemeClr w14:val="tx1"/>
            </w14:solidFill>
          </w14:textFill>
        </w:rPr>
        <w:t>Clin Cancer Res</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24</w:t>
      </w:r>
      <w:r>
        <w:rPr>
          <w:rFonts w:ascii="Book Antiqua" w:hAnsi="Book Antiqua"/>
          <w:color w:val="000000" w:themeColor="text1"/>
          <w14:textFill>
            <w14:solidFill>
              <w14:schemeClr w14:val="tx1"/>
            </w14:solidFill>
          </w14:textFill>
        </w:rPr>
        <w:t>: 1296-1304 [PMID: 29358502 DOI: 10.1158/1078-0432.CCR-17-2439]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64 </w:t>
      </w:r>
      <w:r>
        <w:rPr>
          <w:rFonts w:ascii="Book Antiqua" w:hAnsi="Book Antiqua"/>
          <w:b/>
          <w:bCs/>
          <w:color w:val="000000" w:themeColor="text1"/>
          <w14:textFill>
            <w14:solidFill>
              <w14:schemeClr w14:val="tx1"/>
            </w14:solidFill>
          </w14:textFill>
        </w:rPr>
        <w:t>O'Donnell JS</w:t>
      </w:r>
      <w:r>
        <w:rPr>
          <w:rFonts w:ascii="Book Antiqua" w:hAnsi="Book Antiqua"/>
          <w:color w:val="000000" w:themeColor="text1"/>
          <w14:textFill>
            <w14:solidFill>
              <w14:schemeClr w14:val="tx1"/>
            </w14:solidFill>
          </w14:textFill>
        </w:rPr>
        <w:t xml:space="preserve">, Hoefsmit EP, Smyth MJ, Blank CU, Teng MWL. The Promise of Neoadjuvant Immunotherapy and Surgery for Cancer Treatment. </w:t>
      </w:r>
      <w:r>
        <w:rPr>
          <w:rFonts w:ascii="Book Antiqua" w:hAnsi="Book Antiqua"/>
          <w:i/>
          <w:iCs/>
          <w:color w:val="000000" w:themeColor="text1"/>
          <w14:textFill>
            <w14:solidFill>
              <w14:schemeClr w14:val="tx1"/>
            </w14:solidFill>
          </w14:textFill>
        </w:rPr>
        <w:t>Clin Cancer Res</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25</w:t>
      </w:r>
      <w:r>
        <w:rPr>
          <w:rFonts w:ascii="Book Antiqua" w:hAnsi="Book Antiqua"/>
          <w:color w:val="000000" w:themeColor="text1"/>
          <w14:textFill>
            <w14:solidFill>
              <w14:schemeClr w14:val="tx1"/>
            </w14:solidFill>
          </w14:textFill>
        </w:rPr>
        <w:t>: 5743-5751 [PMID: 31040150 DOI: 10.1158/1078-0432.CCR-18-2641]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65 </w:t>
      </w:r>
      <w:r>
        <w:rPr>
          <w:rFonts w:ascii="Book Antiqua" w:hAnsi="Book Antiqua"/>
          <w:b/>
          <w:bCs/>
          <w:color w:val="000000" w:themeColor="text1"/>
          <w14:textFill>
            <w14:solidFill>
              <w14:schemeClr w14:val="tx1"/>
            </w14:solidFill>
          </w14:textFill>
        </w:rPr>
        <w:t>Topalian SL</w:t>
      </w:r>
      <w:r>
        <w:rPr>
          <w:rFonts w:ascii="Book Antiqua" w:hAnsi="Book Antiqua"/>
          <w:color w:val="000000" w:themeColor="text1"/>
          <w14:textFill>
            <w14:solidFill>
              <w14:schemeClr w14:val="tx1"/>
            </w14:solidFill>
          </w14:textFill>
        </w:rPr>
        <w:t xml:space="preserve">, Taube JM, Pardoll DM. Neoadjuvant checkpoint blockade for cancer immunotherapy. </w:t>
      </w:r>
      <w:r>
        <w:rPr>
          <w:rFonts w:ascii="Book Antiqua" w:hAnsi="Book Antiqua"/>
          <w:i/>
          <w:iCs/>
          <w:color w:val="000000" w:themeColor="text1"/>
          <w14:textFill>
            <w14:solidFill>
              <w14:schemeClr w14:val="tx1"/>
            </w14:solidFill>
          </w14:textFill>
        </w:rPr>
        <w:t>Science</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367</w:t>
      </w:r>
      <w:r>
        <w:rPr>
          <w:rFonts w:ascii="Book Antiqua" w:hAnsi="Book Antiqua"/>
          <w:color w:val="000000" w:themeColor="text1"/>
          <w14:textFill>
            <w14:solidFill>
              <w14:schemeClr w14:val="tx1"/>
            </w14:solidFill>
          </w14:textFill>
        </w:rPr>
        <w:t xml:space="preserve"> [PMID: 32001626 DOI: 10.1126/science.aax0182]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66 </w:t>
      </w:r>
      <w:r>
        <w:rPr>
          <w:rFonts w:ascii="Book Antiqua" w:hAnsi="Book Antiqua"/>
          <w:b/>
          <w:bCs/>
          <w:color w:val="000000" w:themeColor="text1"/>
          <w14:textFill>
            <w14:solidFill>
              <w14:schemeClr w14:val="tx1"/>
            </w14:solidFill>
          </w14:textFill>
        </w:rPr>
        <w:t>Kelly RJ</w:t>
      </w:r>
      <w:r>
        <w:rPr>
          <w:rFonts w:ascii="Book Antiqua" w:hAnsi="Book Antiqua"/>
          <w:color w:val="000000" w:themeColor="text1"/>
          <w14:textFill>
            <w14:solidFill>
              <w14:schemeClr w14:val="tx1"/>
            </w14:solidFill>
          </w14:textFill>
        </w:rPr>
        <w:t xml:space="preserve">, Ajani JA, Kuzdzal J, Zander T, Van Cutsem E, Piessen G, Mendez G, Feliciano J, Motoyama S, Lièvre A, Uronis H, Elimova E, Grootscholten C, Geboes K, Zafar S, Snow S, Ko AH, Feeney K, Schenker M, Kocon P, Zhang J, Zhu L, Lei M, Singh P, Kondo K, Cleary JM, Moehler M; CheckMate 577 Investigators. Adjuvant Nivolumab in Resected Esophageal or Gastroesophageal Junction Cancer. </w:t>
      </w:r>
      <w:r>
        <w:rPr>
          <w:rFonts w:ascii="Book Antiqua" w:hAnsi="Book Antiqua"/>
          <w:i/>
          <w:iCs/>
          <w:color w:val="000000" w:themeColor="text1"/>
          <w14:textFill>
            <w14:solidFill>
              <w14:schemeClr w14:val="tx1"/>
            </w14:solidFill>
          </w14:textFill>
        </w:rPr>
        <w:t>N Engl J Med</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384</w:t>
      </w:r>
      <w:r>
        <w:rPr>
          <w:rFonts w:ascii="Book Antiqua" w:hAnsi="Book Antiqua"/>
          <w:color w:val="000000" w:themeColor="text1"/>
          <w14:textFill>
            <w14:solidFill>
              <w14:schemeClr w14:val="tx1"/>
            </w14:solidFill>
          </w14:textFill>
        </w:rPr>
        <w:t>: 1191-1203 [PMID: 33789008 DOI: 10.1056/NEJMoa2032125]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67 </w:t>
      </w:r>
      <w:r>
        <w:rPr>
          <w:rFonts w:ascii="Book Antiqua" w:hAnsi="Book Antiqua"/>
          <w:b/>
          <w:bCs/>
          <w:color w:val="000000" w:themeColor="text1"/>
          <w14:textFill>
            <w14:solidFill>
              <w14:schemeClr w14:val="tx1"/>
            </w14:solidFill>
          </w14:textFill>
        </w:rPr>
        <w:t>Yamamoto S</w:t>
      </w:r>
      <w:r>
        <w:rPr>
          <w:rFonts w:ascii="Book Antiqua" w:hAnsi="Book Antiqua"/>
          <w:color w:val="000000" w:themeColor="text1"/>
          <w14:textFill>
            <w14:solidFill>
              <w14:schemeClr w14:val="tx1"/>
            </w14:solidFill>
          </w14:textFill>
        </w:rPr>
        <w:t xml:space="preserve">, Kato K, Daiko H, Kojima T, Hara H, Abe T, Tsubosa Y, Nagashima K, Aoki K, Mizoguchi Y, Kitano S, Yachida S, Shiba S, Kitagawa Y. Feasibility study of nivolumab as neoadjuvant chemotherapy for locally esophageal carcinoma: FRONTiER (JCOG1804E). </w:t>
      </w:r>
      <w:r>
        <w:rPr>
          <w:rFonts w:ascii="Book Antiqua" w:hAnsi="Book Antiqua"/>
          <w:i/>
          <w:iCs/>
          <w:color w:val="000000" w:themeColor="text1"/>
          <w14:textFill>
            <w14:solidFill>
              <w14:schemeClr w14:val="tx1"/>
            </w14:solidFill>
          </w14:textFill>
        </w:rPr>
        <w:t>Future Oncol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16</w:t>
      </w:r>
      <w:r>
        <w:rPr>
          <w:rFonts w:ascii="Book Antiqua" w:hAnsi="Book Antiqua"/>
          <w:color w:val="000000" w:themeColor="text1"/>
          <w14:textFill>
            <w14:solidFill>
              <w14:schemeClr w14:val="tx1"/>
            </w14:solidFill>
          </w14:textFill>
        </w:rPr>
        <w:t>: 1351-1357 [PMID: 32396014 DOI: 10.2217/fon-2020-0189]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68 </w:t>
      </w:r>
      <w:r>
        <w:rPr>
          <w:rFonts w:ascii="Book Antiqua" w:hAnsi="Book Antiqua"/>
          <w:b/>
          <w:bCs/>
          <w:color w:val="000000" w:themeColor="text1"/>
          <w14:textFill>
            <w14:solidFill>
              <w14:schemeClr w14:val="tx1"/>
            </w14:solidFill>
          </w14:textFill>
        </w:rPr>
        <w:t>Jia XH</w:t>
      </w:r>
      <w:r>
        <w:rPr>
          <w:rFonts w:ascii="Book Antiqua" w:hAnsi="Book Antiqua"/>
          <w:color w:val="000000" w:themeColor="text1"/>
          <w14:textFill>
            <w14:solidFill>
              <w14:schemeClr w14:val="tx1"/>
            </w14:solidFill>
          </w14:textFill>
        </w:rPr>
        <w:t xml:space="preserve">, Xu H, Geng LY, Jiao M, Wang WJ, Jiang LL, Guo H. Efficacy and safety of neoadjuvant immunotherapy in resectable nonsmall cell lung cancer: A meta-analysis. </w:t>
      </w:r>
      <w:r>
        <w:rPr>
          <w:rFonts w:ascii="Book Antiqua" w:hAnsi="Book Antiqua"/>
          <w:i/>
          <w:iCs/>
          <w:color w:val="000000" w:themeColor="text1"/>
          <w14:textFill>
            <w14:solidFill>
              <w14:schemeClr w14:val="tx1"/>
            </w14:solidFill>
          </w14:textFill>
        </w:rPr>
        <w:t>Lung Cancer</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147</w:t>
      </w:r>
      <w:r>
        <w:rPr>
          <w:rFonts w:ascii="Book Antiqua" w:hAnsi="Book Antiqua"/>
          <w:color w:val="000000" w:themeColor="text1"/>
          <w14:textFill>
            <w14:solidFill>
              <w14:schemeClr w14:val="tx1"/>
            </w14:solidFill>
          </w14:textFill>
        </w:rPr>
        <w:t>: 143-153 [PMID: 32717571 DOI: 10.1016/j.lungcan.2020.07.001]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69 </w:t>
      </w:r>
      <w:r>
        <w:rPr>
          <w:rFonts w:ascii="Book Antiqua" w:hAnsi="Book Antiqua"/>
          <w:b/>
          <w:bCs/>
          <w:color w:val="000000" w:themeColor="text1"/>
          <w14:textFill>
            <w14:solidFill>
              <w14:schemeClr w14:val="tx1"/>
            </w14:solidFill>
          </w14:textFill>
        </w:rPr>
        <w:t>Zhou X</w:t>
      </w:r>
      <w:r>
        <w:rPr>
          <w:rFonts w:ascii="Book Antiqua" w:hAnsi="Book Antiqua"/>
          <w:color w:val="000000" w:themeColor="text1"/>
          <w14:textFill>
            <w14:solidFill>
              <w14:schemeClr w14:val="tx1"/>
            </w14:solidFill>
          </w14:textFill>
        </w:rPr>
        <w:t xml:space="preserve">, Yao Z, Bai H, Duan J, Wang Z, Wang X, Zhang X, Xu J, Fei K, Zhang Z, Tan F, Xue Q, Gao S, Gao Y, Wang J, He J. Treatment-related adverse events of PD-1 and PD-L1 inhibitor-based combination therapies in clinical trials: a systematic review and meta-analysis. </w:t>
      </w:r>
      <w:r>
        <w:rPr>
          <w:rFonts w:ascii="Book Antiqua" w:hAnsi="Book Antiqua"/>
          <w:i/>
          <w:iCs/>
          <w:color w:val="000000" w:themeColor="text1"/>
          <w14:textFill>
            <w14:solidFill>
              <w14:schemeClr w14:val="tx1"/>
            </w14:solidFill>
          </w14:textFill>
        </w:rPr>
        <w:t>Lancet Oncol</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22</w:t>
      </w:r>
      <w:r>
        <w:rPr>
          <w:rFonts w:ascii="Book Antiqua" w:hAnsi="Book Antiqua"/>
          <w:color w:val="000000" w:themeColor="text1"/>
          <w14:textFill>
            <w14:solidFill>
              <w14:schemeClr w14:val="tx1"/>
            </w14:solidFill>
          </w14:textFill>
        </w:rPr>
        <w:t>: 1265-1274 [PMID: 34391508 DOI: 10.1016/S1470-2045(21)00333-8]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70 </w:t>
      </w:r>
      <w:r>
        <w:rPr>
          <w:rFonts w:ascii="Book Antiqua" w:hAnsi="Book Antiqua"/>
          <w:b/>
          <w:bCs/>
          <w:color w:val="000000" w:themeColor="text1"/>
          <w14:textFill>
            <w14:solidFill>
              <w14:schemeClr w14:val="tx1"/>
            </w14:solidFill>
          </w14:textFill>
        </w:rPr>
        <w:t>Wang Y</w:t>
      </w:r>
      <w:r>
        <w:rPr>
          <w:rFonts w:ascii="Book Antiqua" w:hAnsi="Book Antiqua"/>
          <w:color w:val="000000" w:themeColor="text1"/>
          <w14:textFill>
            <w14:solidFill>
              <w14:schemeClr w14:val="tx1"/>
            </w14:solidFill>
          </w14:textFill>
        </w:rPr>
        <w:t xml:space="preserve">, Zhou S, Yang F, Qi X, Wang X, Guan X, Shen C, Duma N, Vera Aguilera J, Chintakuntlawar A, Price KA, Molina JR, Pagliaro LC, Halfdanarson TR, Grothey A, Markovic SN, Nowakowski GS, Ansell SM, Wang ML. Treatment-Related Adverse Events of PD-1 and PD-L1 Inhibitors in Clinical Trials: A Systematic Review and Meta-analysis. </w:t>
      </w:r>
      <w:r>
        <w:rPr>
          <w:rFonts w:ascii="Book Antiqua" w:hAnsi="Book Antiqua"/>
          <w:i/>
          <w:iCs/>
          <w:color w:val="000000" w:themeColor="text1"/>
          <w14:textFill>
            <w14:solidFill>
              <w14:schemeClr w14:val="tx1"/>
            </w14:solidFill>
          </w14:textFill>
        </w:rPr>
        <w:t>JAMA Oncol</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5</w:t>
      </w:r>
      <w:r>
        <w:rPr>
          <w:rFonts w:ascii="Book Antiqua" w:hAnsi="Book Antiqua"/>
          <w:color w:val="000000" w:themeColor="text1"/>
          <w14:textFill>
            <w14:solidFill>
              <w14:schemeClr w14:val="tx1"/>
            </w14:solidFill>
          </w14:textFill>
        </w:rPr>
        <w:t>: 1008-1019 [PMID: 31021376 DOI: 10.1001/jamaoncol.2019.0393]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71 </w:t>
      </w:r>
      <w:r>
        <w:rPr>
          <w:rFonts w:ascii="Book Antiqua" w:hAnsi="Book Antiqua"/>
          <w:b/>
          <w:bCs/>
          <w:color w:val="000000" w:themeColor="text1"/>
          <w14:textFill>
            <w14:solidFill>
              <w14:schemeClr w14:val="tx1"/>
            </w14:solidFill>
          </w14:textFill>
        </w:rPr>
        <w:t>Khoja L</w:t>
      </w:r>
      <w:r>
        <w:rPr>
          <w:rFonts w:ascii="Book Antiqua" w:hAnsi="Book Antiqua"/>
          <w:color w:val="000000" w:themeColor="text1"/>
          <w14:textFill>
            <w14:solidFill>
              <w14:schemeClr w14:val="tx1"/>
            </w14:solidFill>
          </w14:textFill>
        </w:rPr>
        <w:t xml:space="preserve">, Day D, Wei-Wu Chen T, Siu LL, Hansen AR. Tumour- and class-specific patterns of immune-related adverse events of immune checkpoint inhibitors: a systematic review. </w:t>
      </w:r>
      <w:r>
        <w:rPr>
          <w:rFonts w:ascii="Book Antiqua" w:hAnsi="Book Antiqua"/>
          <w:i/>
          <w:iCs/>
          <w:color w:val="000000" w:themeColor="text1"/>
          <w14:textFill>
            <w14:solidFill>
              <w14:schemeClr w14:val="tx1"/>
            </w14:solidFill>
          </w14:textFill>
        </w:rPr>
        <w:t>Ann Oncol</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28</w:t>
      </w:r>
      <w:r>
        <w:rPr>
          <w:rFonts w:ascii="Book Antiqua" w:hAnsi="Book Antiqua"/>
          <w:color w:val="000000" w:themeColor="text1"/>
          <w14:textFill>
            <w14:solidFill>
              <w14:schemeClr w14:val="tx1"/>
            </w14:solidFill>
          </w14:textFill>
        </w:rPr>
        <w:t>: 2377-2385 [PMID: 28945858 DOI: 10.1093/annonc/mdx286]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72 </w:t>
      </w:r>
      <w:r>
        <w:rPr>
          <w:rFonts w:ascii="Book Antiqua" w:hAnsi="Book Antiqua"/>
          <w:b/>
          <w:bCs/>
          <w:color w:val="000000" w:themeColor="text1"/>
          <w14:textFill>
            <w14:solidFill>
              <w14:schemeClr w14:val="tx1"/>
            </w14:solidFill>
          </w14:textFill>
        </w:rPr>
        <w:t>Gao TT</w:t>
      </w:r>
      <w:r>
        <w:rPr>
          <w:rFonts w:ascii="Book Antiqua" w:hAnsi="Book Antiqua"/>
          <w:color w:val="000000" w:themeColor="text1"/>
          <w14:textFill>
            <w14:solidFill>
              <w14:schemeClr w14:val="tx1"/>
            </w14:solidFill>
          </w14:textFill>
        </w:rPr>
        <w:t xml:space="preserve">, Shan JH, Yang YX, Zhang ZW, Liu SL, Xi M, Liu MZ, Zhao L. Comparative efficacy and safety of immunotherapy for patients with advanced or metastatic esophageal squamous cell carcinoma: a systematic review and network Meta-analysis. </w:t>
      </w:r>
      <w:r>
        <w:rPr>
          <w:rFonts w:ascii="Book Antiqua" w:hAnsi="Book Antiqua"/>
          <w:i/>
          <w:iCs/>
          <w:color w:val="000000" w:themeColor="text1"/>
          <w14:textFill>
            <w14:solidFill>
              <w14:schemeClr w14:val="tx1"/>
            </w14:solidFill>
          </w14:textFill>
        </w:rPr>
        <w:t>BMC Cancer</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22</w:t>
      </w:r>
      <w:r>
        <w:rPr>
          <w:rFonts w:ascii="Book Antiqua" w:hAnsi="Book Antiqua"/>
          <w:color w:val="000000" w:themeColor="text1"/>
          <w14:textFill>
            <w14:solidFill>
              <w14:schemeClr w14:val="tx1"/>
            </w14:solidFill>
          </w14:textFill>
        </w:rPr>
        <w:t>: 992 [PMID: 36115960 DOI: 10.1186/s12885-022-10086-5]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73 </w:t>
      </w:r>
      <w:r>
        <w:rPr>
          <w:rFonts w:ascii="Book Antiqua" w:hAnsi="Book Antiqua"/>
          <w:b/>
          <w:bCs/>
          <w:color w:val="000000" w:themeColor="text1"/>
          <w14:textFill>
            <w14:solidFill>
              <w14:schemeClr w14:val="tx1"/>
            </w14:solidFill>
          </w14:textFill>
        </w:rPr>
        <w:t>Zhang Z</w:t>
      </w:r>
      <w:r>
        <w:rPr>
          <w:rFonts w:ascii="Book Antiqua" w:hAnsi="Book Antiqua"/>
          <w:color w:val="000000" w:themeColor="text1"/>
          <w14:textFill>
            <w14:solidFill>
              <w14:schemeClr w14:val="tx1"/>
            </w14:solidFill>
          </w14:textFill>
        </w:rPr>
        <w:t xml:space="preserve">, Hong ZN, Xie S, Lin W, Lin Y, Zhu J, Yang X, Lin Z, Lin J, Kang M. Neoadjuvant sintilimab plus chemotherapy for locally advanced esophageal squamous cell carcinoma: a single-arm, single-center, phase 2 trial (ESONICT-1). </w:t>
      </w:r>
      <w:r>
        <w:rPr>
          <w:rFonts w:ascii="Book Antiqua" w:hAnsi="Book Antiqua"/>
          <w:i/>
          <w:iCs/>
          <w:color w:val="000000" w:themeColor="text1"/>
          <w14:textFill>
            <w14:solidFill>
              <w14:schemeClr w14:val="tx1"/>
            </w14:solidFill>
          </w14:textFill>
        </w:rPr>
        <w:t>Ann Transl Med</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1623 [PMID: 34926667 DOI: 10.21037/atm-21-5381]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74 </w:t>
      </w:r>
      <w:r>
        <w:rPr>
          <w:rFonts w:ascii="Book Antiqua" w:hAnsi="Book Antiqua"/>
          <w:b/>
          <w:bCs/>
          <w:color w:val="000000" w:themeColor="text1"/>
          <w14:textFill>
            <w14:solidFill>
              <w14:schemeClr w14:val="tx1"/>
            </w14:solidFill>
          </w14:textFill>
        </w:rPr>
        <w:t>Liu J</w:t>
      </w:r>
      <w:r>
        <w:rPr>
          <w:rFonts w:ascii="Book Antiqua" w:hAnsi="Book Antiqua"/>
          <w:color w:val="000000" w:themeColor="text1"/>
          <w14:textFill>
            <w14:solidFill>
              <w14:schemeClr w14:val="tx1"/>
            </w14:solidFill>
          </w14:textFill>
        </w:rPr>
        <w:t xml:space="preserve">, Yang Y, Liu Z, Fu X, Cai X, Li H, Zhu L, Shen Y, Zhang H, Sun Y, Chen H, Yu B, Zhang R, Shao J, Zhang M, Li Z. Multicenter, single-arm, phase II trial of camrelizumab and chemotherapy as neoadjuvant treatment for locally advanced esophageal squamous cell carcinoma. </w:t>
      </w:r>
      <w:r>
        <w:rPr>
          <w:rFonts w:ascii="Book Antiqua" w:hAnsi="Book Antiqua"/>
          <w:i/>
          <w:iCs/>
          <w:color w:val="000000" w:themeColor="text1"/>
          <w14:textFill>
            <w14:solidFill>
              <w14:schemeClr w14:val="tx1"/>
            </w14:solidFill>
          </w14:textFill>
        </w:rPr>
        <w:t>J Immunother Cancer</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xml:space="preserve"> [PMID: 35338088 DOI: 10.1136/jitc-2021-004291]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75 </w:t>
      </w:r>
      <w:r>
        <w:rPr>
          <w:rFonts w:ascii="Book Antiqua" w:hAnsi="Book Antiqua"/>
          <w:b/>
          <w:bCs/>
          <w:color w:val="000000" w:themeColor="text1"/>
          <w14:textFill>
            <w14:solidFill>
              <w14:schemeClr w14:val="tx1"/>
            </w14:solidFill>
          </w14:textFill>
        </w:rPr>
        <w:t>Liu J</w:t>
      </w:r>
      <w:r>
        <w:rPr>
          <w:rFonts w:ascii="Book Antiqua" w:hAnsi="Book Antiqua"/>
          <w:color w:val="000000" w:themeColor="text1"/>
          <w14:textFill>
            <w14:solidFill>
              <w14:schemeClr w14:val="tx1"/>
            </w14:solidFill>
          </w14:textFill>
        </w:rPr>
        <w:t xml:space="preserve">, Li J, Lin W, Shao D, Depypere L, Zhang Z, Li Z, Cui F, Du Z, Zeng Y, Jiang S, He P, Gu X, Chen H, Zhang H, Lin X, Huang H, Lv W, Cai W, Liang W, Liang H, Jiang W, Wang W, Xu K, Cai W, Wu K, Lerut T, Fu J, He J. Neoadjuvant camrelizumab plus chemotherapy for resectable, locally advanced esophageal squamous cell carcinoma (NIC-ESCC2019): A multicenter, phase 2 study. </w:t>
      </w:r>
      <w:r>
        <w:rPr>
          <w:rFonts w:ascii="Book Antiqua" w:hAnsi="Book Antiqua"/>
          <w:i/>
          <w:iCs/>
          <w:color w:val="000000" w:themeColor="text1"/>
          <w14:textFill>
            <w14:solidFill>
              <w14:schemeClr w14:val="tx1"/>
            </w14:solidFill>
          </w14:textFill>
        </w:rPr>
        <w:t>Int J Cancer</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151</w:t>
      </w:r>
      <w:r>
        <w:rPr>
          <w:rFonts w:ascii="Book Antiqua" w:hAnsi="Book Antiqua"/>
          <w:color w:val="000000" w:themeColor="text1"/>
          <w14:textFill>
            <w14:solidFill>
              <w14:schemeClr w14:val="tx1"/>
            </w14:solidFill>
          </w14:textFill>
        </w:rPr>
        <w:t>: 128-137 [PMID: 35188268 DOI: 10.1002/ijc.33976]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76 </w:t>
      </w:r>
      <w:r>
        <w:rPr>
          <w:rFonts w:ascii="Book Antiqua" w:hAnsi="Book Antiqua"/>
          <w:b/>
          <w:bCs/>
          <w:color w:val="000000" w:themeColor="text1"/>
          <w14:textFill>
            <w14:solidFill>
              <w14:schemeClr w14:val="tx1"/>
            </w14:solidFill>
          </w14:textFill>
        </w:rPr>
        <w:t>Yan X</w:t>
      </w:r>
      <w:r>
        <w:rPr>
          <w:rFonts w:ascii="Book Antiqua" w:hAnsi="Book Antiqua"/>
          <w:color w:val="000000" w:themeColor="text1"/>
          <w14:textFill>
            <w14:solidFill>
              <w14:schemeClr w14:val="tx1"/>
            </w14:solidFill>
          </w14:textFill>
        </w:rPr>
        <w:t xml:space="preserve">, Duan H, Ni Y, Zhou Y, Wang X, Qi H, Gong L, Liu H, Tian F, Lu Q, Sun J, Yang E, Zhong D, Wang T, Huang L, Wang J, Chaoyang Wang, Wang Y, Wan Z, Lei J, Zhao J, Jiang T. Tislelizumab combined with chemotherapy as neoadjuvant therapy for surgically resectable esophageal cancer: A prospective, single-arm, phase II study (TD-NICE). </w:t>
      </w:r>
      <w:r>
        <w:rPr>
          <w:rFonts w:ascii="Book Antiqua" w:hAnsi="Book Antiqua"/>
          <w:i/>
          <w:iCs/>
          <w:color w:val="000000" w:themeColor="text1"/>
          <w14:textFill>
            <w14:solidFill>
              <w14:schemeClr w14:val="tx1"/>
            </w14:solidFill>
          </w14:textFill>
        </w:rPr>
        <w:t>Int J Surg</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103</w:t>
      </w:r>
      <w:r>
        <w:rPr>
          <w:rFonts w:ascii="Book Antiqua" w:hAnsi="Book Antiqua"/>
          <w:color w:val="000000" w:themeColor="text1"/>
          <w14:textFill>
            <w14:solidFill>
              <w14:schemeClr w14:val="tx1"/>
            </w14:solidFill>
          </w14:textFill>
        </w:rPr>
        <w:t>: 106680 [PMID: 35595021 DOI: 10.1016/j.ijsu.2022.106680]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77 </w:t>
      </w:r>
      <w:r>
        <w:rPr>
          <w:rFonts w:ascii="Book Antiqua" w:hAnsi="Book Antiqua"/>
          <w:b/>
          <w:bCs/>
          <w:color w:val="000000" w:themeColor="text1"/>
          <w14:textFill>
            <w14:solidFill>
              <w14:schemeClr w14:val="tx1"/>
            </w14:solidFill>
          </w14:textFill>
        </w:rPr>
        <w:t>He W</w:t>
      </w:r>
      <w:r>
        <w:rPr>
          <w:rFonts w:ascii="Book Antiqua" w:hAnsi="Book Antiqua"/>
          <w:color w:val="000000" w:themeColor="text1"/>
          <w14:textFill>
            <w14:solidFill>
              <w14:schemeClr w14:val="tx1"/>
            </w14:solidFill>
          </w14:textFill>
        </w:rPr>
        <w:t xml:space="preserve">, Leng X, Mao T, Luo X, Zhou L, Yan J, Peng L, Fang Q, Liu G, Wei X, Wang K, Wang C, Zhang S, Zhang X, Shen X, Huang D, Yi H, Bei T, She X, Xiao W, Han Y. Toripalimab Plus Paclitaxel and Carboplatin as Neoadjuvant Therapy in Locally Advanced Resectable Esophageal Squamous Cell Carcinoma. </w:t>
      </w:r>
      <w:r>
        <w:rPr>
          <w:rFonts w:ascii="Book Antiqua" w:hAnsi="Book Antiqua"/>
          <w:i/>
          <w:iCs/>
          <w:color w:val="000000" w:themeColor="text1"/>
          <w14:textFill>
            <w14:solidFill>
              <w14:schemeClr w14:val="tx1"/>
            </w14:solidFill>
          </w14:textFill>
        </w:rPr>
        <w:t>Oncologist</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27</w:t>
      </w:r>
      <w:r>
        <w:rPr>
          <w:rFonts w:ascii="Book Antiqua" w:hAnsi="Book Antiqua"/>
          <w:color w:val="000000" w:themeColor="text1"/>
          <w14:textFill>
            <w14:solidFill>
              <w14:schemeClr w14:val="tx1"/>
            </w14:solidFill>
          </w14:textFill>
        </w:rPr>
        <w:t>: e18-e28 [PMID: 35305102 DOI: 10.1093/oncolo/oyab011]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78 </w:t>
      </w:r>
      <w:r>
        <w:rPr>
          <w:rFonts w:ascii="Book Antiqua" w:hAnsi="Book Antiqua"/>
          <w:b/>
          <w:bCs/>
          <w:color w:val="000000" w:themeColor="text1"/>
          <w14:textFill>
            <w14:solidFill>
              <w14:schemeClr w14:val="tx1"/>
            </w14:solidFill>
          </w14:textFill>
        </w:rPr>
        <w:t>van den Ende T</w:t>
      </w:r>
      <w:r>
        <w:rPr>
          <w:rFonts w:ascii="Book Antiqua" w:hAnsi="Book Antiqua"/>
          <w:color w:val="000000" w:themeColor="text1"/>
          <w14:textFill>
            <w14:solidFill>
              <w14:schemeClr w14:val="tx1"/>
            </w14:solidFill>
          </w14:textFill>
        </w:rPr>
        <w:t xml:space="preserve">, de Clercq NC, van Berge Henegouwen MI, Gisbertz SS, Geijsen ED, Verhoeven RHA, Meijer SL, Schokker S, Dings MPG, Bergman JJGHM, Haj Mohammad N, Ruurda JP, van Hillegersberg R, Mook S, Nieuwdorp M, de Gruijl TD, Soeratram TTD, Ylstra B, van Grieken NCT, Bijlsma MF, Hulshof MCCM, van Laarhoven HWM. Neoadjuvant Chemoradiotherapy Combined with Atezolizumab for Resectable Esophageal Adenocarcinoma: A Single-arm Phase II Feasibility Trial (PERFECT). </w:t>
      </w:r>
      <w:r>
        <w:rPr>
          <w:rFonts w:ascii="Book Antiqua" w:hAnsi="Book Antiqua"/>
          <w:i/>
          <w:iCs/>
          <w:color w:val="000000" w:themeColor="text1"/>
          <w14:textFill>
            <w14:solidFill>
              <w14:schemeClr w14:val="tx1"/>
            </w14:solidFill>
          </w14:textFill>
        </w:rPr>
        <w:t>Clin Cancer Res</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27</w:t>
      </w:r>
      <w:r>
        <w:rPr>
          <w:rFonts w:ascii="Book Antiqua" w:hAnsi="Book Antiqua"/>
          <w:color w:val="000000" w:themeColor="text1"/>
          <w14:textFill>
            <w14:solidFill>
              <w14:schemeClr w14:val="tx1"/>
            </w14:solidFill>
          </w14:textFill>
        </w:rPr>
        <w:t>: 3351-3359 [PMID: 33504550 DOI: 10.1158/1078-0432.CCR-20-4443]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79 </w:t>
      </w:r>
      <w:r>
        <w:rPr>
          <w:rFonts w:ascii="Book Antiqua" w:hAnsi="Book Antiqua"/>
          <w:b/>
          <w:bCs/>
          <w:color w:val="000000" w:themeColor="text1"/>
          <w14:textFill>
            <w14:solidFill>
              <w14:schemeClr w14:val="tx1"/>
            </w14:solidFill>
          </w14:textFill>
        </w:rPr>
        <w:t>Ge F</w:t>
      </w:r>
      <w:r>
        <w:rPr>
          <w:rFonts w:ascii="Book Antiqua" w:hAnsi="Book Antiqua"/>
          <w:color w:val="000000" w:themeColor="text1"/>
          <w14:textFill>
            <w14:solidFill>
              <w14:schemeClr w14:val="tx1"/>
            </w14:solidFill>
          </w14:textFill>
        </w:rPr>
        <w:t xml:space="preserve">, Huo Z, Cai X, Hu Q, Chen W, Lin G, Zhong R, You Z, Wang R, Lu Y, Wang R, Huang Q, Zhang H, Song A, Li C, Wen Y, Jiang Y, Liang H, He J, Liang W, Liu J. Evaluation of Clinical and Safety Outcomes of Neoadjuvant Immunotherapy Combined With Chemotherapy for Patients With Resectable Esophageal Cancer: A Systematic Review and Meta-analysis. </w:t>
      </w:r>
      <w:r>
        <w:rPr>
          <w:rFonts w:ascii="Book Antiqua" w:hAnsi="Book Antiqua"/>
          <w:i/>
          <w:iCs/>
          <w:color w:val="000000" w:themeColor="text1"/>
          <w14:textFill>
            <w14:solidFill>
              <w14:schemeClr w14:val="tx1"/>
            </w14:solidFill>
          </w14:textFill>
        </w:rPr>
        <w:t>JAMA Netw Open</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5</w:t>
      </w:r>
      <w:r>
        <w:rPr>
          <w:rFonts w:ascii="Book Antiqua" w:hAnsi="Book Antiqua"/>
          <w:color w:val="000000" w:themeColor="text1"/>
          <w14:textFill>
            <w14:solidFill>
              <w14:schemeClr w14:val="tx1"/>
            </w14:solidFill>
          </w14:textFill>
        </w:rPr>
        <w:t>: e2239778 [PMID: 36322089 DOI: 10.1001/jamanetworkopen.2022.39778]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80 </w:t>
      </w:r>
      <w:r>
        <w:rPr>
          <w:rFonts w:ascii="Book Antiqua" w:hAnsi="Book Antiqua"/>
          <w:b/>
          <w:bCs/>
          <w:color w:val="000000" w:themeColor="text1"/>
          <w14:textFill>
            <w14:solidFill>
              <w14:schemeClr w14:val="tx1"/>
            </w14:solidFill>
          </w14:textFill>
        </w:rPr>
        <w:t>Shang X</w:t>
      </w:r>
      <w:r>
        <w:rPr>
          <w:rFonts w:ascii="Book Antiqua" w:hAnsi="Book Antiqua"/>
          <w:color w:val="000000" w:themeColor="text1"/>
          <w14:textFill>
            <w14:solidFill>
              <w14:schemeClr w14:val="tx1"/>
            </w14:solidFill>
          </w14:textFill>
        </w:rPr>
        <w:t xml:space="preserve">, Zhao G, Liang F, Zhang C, Zhang W, Liu L, Li R, Duan X, Ma Z, Yue J, Chen C, Meng B, Ren X, Jiang H. Safety and effectiveness of pembrolizumab combined with paclitaxel and cisplatin as neoadjuvant therapy followed by surgery for locally advanced resectable (stage III) esophageal squamous cell carcinoma: a study protocol for a prospective, single-arm, single-center, open-label, phase-II trial (Keystone-001). </w:t>
      </w:r>
      <w:r>
        <w:rPr>
          <w:rFonts w:ascii="Book Antiqua" w:hAnsi="Book Antiqua"/>
          <w:i/>
          <w:iCs/>
          <w:color w:val="000000" w:themeColor="text1"/>
          <w14:textFill>
            <w14:solidFill>
              <w14:schemeClr w14:val="tx1"/>
            </w14:solidFill>
          </w14:textFill>
        </w:rPr>
        <w:t>Ann Transl Med</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229 [PMID: 35280363 DOI: 10.21037/atm-22-513]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81 </w:t>
      </w:r>
      <w:r>
        <w:rPr>
          <w:rFonts w:ascii="Book Antiqua" w:hAnsi="Book Antiqua"/>
          <w:b/>
          <w:bCs/>
          <w:color w:val="000000" w:themeColor="text1"/>
          <w14:textFill>
            <w14:solidFill>
              <w14:schemeClr w14:val="tx1"/>
            </w14:solidFill>
          </w14:textFill>
        </w:rPr>
        <w:t>Duan H</w:t>
      </w:r>
      <w:r>
        <w:rPr>
          <w:rFonts w:ascii="Book Antiqua" w:hAnsi="Book Antiqua"/>
          <w:color w:val="000000" w:themeColor="text1"/>
          <w14:textFill>
            <w14:solidFill>
              <w14:schemeClr w14:val="tx1"/>
            </w14:solidFill>
          </w14:textFill>
        </w:rPr>
        <w:t xml:space="preserve">, Wang T, Luo Z, Wang X, Liu H, Tong L, Dong X, Zhang Y, Valmasoni M, Kidane B, Almhanna K, Wiesel O, Pang S, Ma J, Yan X. A multicenter single-arm trial of sintilimab in combination with chemotherapy for neoadjuvant treatment of resectable esophageal cancer (SIN-ICE study). </w:t>
      </w:r>
      <w:r>
        <w:rPr>
          <w:rFonts w:ascii="Book Antiqua" w:hAnsi="Book Antiqua"/>
          <w:i/>
          <w:iCs/>
          <w:color w:val="000000" w:themeColor="text1"/>
          <w14:textFill>
            <w14:solidFill>
              <w14:schemeClr w14:val="tx1"/>
            </w14:solidFill>
          </w14:textFill>
        </w:rPr>
        <w:t>Ann Transl Med</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1700 [PMID: 34988209 DOI: 10.21037/atm-21-6102]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82 </w:t>
      </w:r>
      <w:r>
        <w:rPr>
          <w:rFonts w:ascii="Book Antiqua" w:hAnsi="Book Antiqua"/>
          <w:b/>
          <w:bCs/>
          <w:color w:val="000000" w:themeColor="text1"/>
          <w14:textFill>
            <w14:solidFill>
              <w14:schemeClr w14:val="tx1"/>
            </w14:solidFill>
          </w14:textFill>
        </w:rPr>
        <w:t>Yang W</w:t>
      </w:r>
      <w:r>
        <w:rPr>
          <w:rFonts w:ascii="Book Antiqua" w:hAnsi="Book Antiqua"/>
          <w:color w:val="000000" w:themeColor="text1"/>
          <w14:textFill>
            <w14:solidFill>
              <w14:schemeClr w14:val="tx1"/>
            </w14:solidFill>
          </w14:textFill>
        </w:rPr>
        <w:t xml:space="preserve">, Xing X, Yeung SJ, Wang S, Chen W, Bao Y, Wang F, Feng S, Peng F, Wang X, Chen S, He M, Zhang N, Wang H, Zeng B, Liu Z, Kidane B, Seder CW, Koyanagi K, Shargall Y, Luo H, Peng S, Cheng C. Neoadjuvant programmed cell death 1 blockade combined with chemotherapy for resectable esophageal squamous cell carcinoma. </w:t>
      </w:r>
      <w:r>
        <w:rPr>
          <w:rFonts w:ascii="Book Antiqua" w:hAnsi="Book Antiqua"/>
          <w:i/>
          <w:iCs/>
          <w:color w:val="000000" w:themeColor="text1"/>
          <w14:textFill>
            <w14:solidFill>
              <w14:schemeClr w14:val="tx1"/>
            </w14:solidFill>
          </w14:textFill>
        </w:rPr>
        <w:t>J Immunother Cancer</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xml:space="preserve"> [PMID: 35022193 DOI: 10.1136/jitc-2021-003497]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83 </w:t>
      </w:r>
      <w:r>
        <w:rPr>
          <w:rFonts w:ascii="Book Antiqua" w:hAnsi="Book Antiqua"/>
          <w:b/>
          <w:bCs/>
          <w:color w:val="000000" w:themeColor="text1"/>
          <w14:textFill>
            <w14:solidFill>
              <w14:schemeClr w14:val="tx1"/>
            </w14:solidFill>
          </w14:textFill>
        </w:rPr>
        <w:t>Duan H</w:t>
      </w:r>
      <w:r>
        <w:rPr>
          <w:rFonts w:ascii="Book Antiqua" w:hAnsi="Book Antiqua"/>
          <w:color w:val="000000" w:themeColor="text1"/>
          <w14:textFill>
            <w14:solidFill>
              <w14:schemeClr w14:val="tx1"/>
            </w14:solidFill>
          </w14:textFill>
        </w:rPr>
        <w:t xml:space="preserve">, Shao C, Pan M, Liu H, Dong X, Zhang Y, Tong L, Feng Y, Wang Y, Wang L, Newman NB, Sarkaria IS, Reynolds JV, De Cobelli F, Ma Z, Jiang T, Yan X. Neoadjuvant Pembrolizumab and Chemotherapy in Resectable Esophageal Cancer: An Open-Label, Single-Arm Study (PEN-ICE). </w:t>
      </w:r>
      <w:r>
        <w:rPr>
          <w:rFonts w:ascii="Book Antiqua" w:hAnsi="Book Antiqua"/>
          <w:i/>
          <w:iCs/>
          <w:color w:val="000000" w:themeColor="text1"/>
          <w14:textFill>
            <w14:solidFill>
              <w14:schemeClr w14:val="tx1"/>
            </w14:solidFill>
          </w14:textFill>
        </w:rPr>
        <w:t>Front Immunol</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13</w:t>
      </w:r>
      <w:r>
        <w:rPr>
          <w:rFonts w:ascii="Book Antiqua" w:hAnsi="Book Antiqua"/>
          <w:color w:val="000000" w:themeColor="text1"/>
          <w14:textFill>
            <w14:solidFill>
              <w14:schemeClr w14:val="tx1"/>
            </w14:solidFill>
          </w14:textFill>
        </w:rPr>
        <w:t>: 849984 [PMID: 35720388 DOI: 10.3389/fimmu.2022.849984]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84 </w:t>
      </w:r>
      <w:r>
        <w:rPr>
          <w:rFonts w:ascii="Book Antiqua" w:hAnsi="Book Antiqua"/>
          <w:b/>
          <w:bCs/>
          <w:color w:val="000000" w:themeColor="text1"/>
          <w14:textFill>
            <w14:solidFill>
              <w14:schemeClr w14:val="tx1"/>
            </w14:solidFill>
          </w14:textFill>
        </w:rPr>
        <w:t>Zheng Y</w:t>
      </w:r>
      <w:r>
        <w:rPr>
          <w:rFonts w:ascii="Book Antiqua" w:hAnsi="Book Antiqua"/>
          <w:color w:val="000000" w:themeColor="text1"/>
          <w14:textFill>
            <w14:solidFill>
              <w14:schemeClr w14:val="tx1"/>
            </w14:solidFill>
          </w14:textFill>
        </w:rPr>
        <w:t xml:space="preserve">, Li C, Yu B, Zhao S, Li J, Chen X, Li H. Preoperative pembrolizumab combined with chemoradiotherapy for esophageal squamous cell carcinoma: Trial design. </w:t>
      </w:r>
      <w:r>
        <w:rPr>
          <w:rFonts w:ascii="Book Antiqua" w:hAnsi="Book Antiqua"/>
          <w:i/>
          <w:iCs/>
          <w:color w:val="000000" w:themeColor="text1"/>
          <w14:textFill>
            <w14:solidFill>
              <w14:schemeClr w14:val="tx1"/>
            </w14:solidFill>
          </w14:textFill>
        </w:rPr>
        <w:t>JTCVS Open</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293-299 [PMID: 36003437 DOI: 10.1016/j.xjon.2021.11.003]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85 </w:t>
      </w:r>
      <w:r>
        <w:rPr>
          <w:rFonts w:ascii="Book Antiqua" w:hAnsi="Book Antiqua"/>
          <w:b/>
          <w:bCs/>
          <w:color w:val="000000" w:themeColor="text1"/>
          <w14:textFill>
            <w14:solidFill>
              <w14:schemeClr w14:val="tx1"/>
            </w14:solidFill>
          </w14:textFill>
        </w:rPr>
        <w:t>Li C</w:t>
      </w:r>
      <w:r>
        <w:rPr>
          <w:rFonts w:ascii="Book Antiqua" w:hAnsi="Book Antiqua"/>
          <w:color w:val="000000" w:themeColor="text1"/>
          <w14:textFill>
            <w14:solidFill>
              <w14:schemeClr w14:val="tx1"/>
            </w14:solidFill>
          </w14:textFill>
        </w:rPr>
        <w:t xml:space="preserve">, Zhao S, Zheng Y, Han Y, Chen X, Cheng Z, Wu Y, Feng X, Qi W, Chen K, Xiang J, Li J, Lerut T, Li H. Preoperative pembrolizumab combined with chemoradiotherapy for oesophageal squamous cell carcinoma (PALACE-1). </w:t>
      </w:r>
      <w:r>
        <w:rPr>
          <w:rFonts w:ascii="Book Antiqua" w:hAnsi="Book Antiqua"/>
          <w:i/>
          <w:iCs/>
          <w:color w:val="000000" w:themeColor="text1"/>
          <w14:textFill>
            <w14:solidFill>
              <w14:schemeClr w14:val="tx1"/>
            </w14:solidFill>
          </w14:textFill>
        </w:rPr>
        <w:t>Eur J Cancer</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144</w:t>
      </w:r>
      <w:r>
        <w:rPr>
          <w:rFonts w:ascii="Book Antiqua" w:hAnsi="Book Antiqua"/>
          <w:color w:val="000000" w:themeColor="text1"/>
          <w14:textFill>
            <w14:solidFill>
              <w14:schemeClr w14:val="tx1"/>
            </w14:solidFill>
          </w14:textFill>
        </w:rPr>
        <w:t>: 232-241 [PMID: 33373868 DOI: 10.1016/j.ejca.2020.11.039]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86 </w:t>
      </w:r>
      <w:r>
        <w:rPr>
          <w:rFonts w:ascii="Book Antiqua" w:hAnsi="Book Antiqua"/>
          <w:b/>
          <w:bCs/>
          <w:color w:val="000000" w:themeColor="text1"/>
          <w14:textFill>
            <w14:solidFill>
              <w14:schemeClr w14:val="tx1"/>
            </w14:solidFill>
          </w14:textFill>
        </w:rPr>
        <w:t>Shang X</w:t>
      </w:r>
      <w:r>
        <w:rPr>
          <w:rFonts w:ascii="Book Antiqua" w:hAnsi="Book Antiqua"/>
          <w:color w:val="000000" w:themeColor="text1"/>
          <w14:textFill>
            <w14:solidFill>
              <w14:schemeClr w14:val="tx1"/>
            </w14:solidFill>
          </w14:textFill>
        </w:rPr>
        <w:t xml:space="preserve">, Zhang W, Zhao G, Liang F, Zhang C, Yue J, Duan X, Ma Z, Chen C, Pang Q, Zhang W, Liu L, Ren X, Meng B, Zhang P, Ma Y, Zhang L, Li H, Kang X, Li Y, Jiang H. Pembrolizumab Combined With Neoadjuvant Chemotherapy Versus Neoadjuvant Chemoradiotherapy Followed by Surgery for Locally Advanced Oesophageal Squamous Cell Carcinoma: Protocol for a Multicentre, Prospective, Randomized-Controlled, Phase III Clinical Study (Keystone-002). </w:t>
      </w:r>
      <w:r>
        <w:rPr>
          <w:rFonts w:ascii="Book Antiqua" w:hAnsi="Book Antiqua"/>
          <w:i/>
          <w:iCs/>
          <w:color w:val="000000" w:themeColor="text1"/>
          <w14:textFill>
            <w14:solidFill>
              <w14:schemeClr w14:val="tx1"/>
            </w14:solidFill>
          </w14:textFill>
        </w:rPr>
        <w:t>Front Oncol</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12</w:t>
      </w:r>
      <w:r>
        <w:rPr>
          <w:rFonts w:ascii="Book Antiqua" w:hAnsi="Book Antiqua"/>
          <w:color w:val="000000" w:themeColor="text1"/>
          <w14:textFill>
            <w14:solidFill>
              <w14:schemeClr w14:val="tx1"/>
            </w14:solidFill>
          </w14:textFill>
        </w:rPr>
        <w:t>: 831345 [PMID: 35433421 DOI: 10.3389/fonc.2022.831345]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87 </w:t>
      </w:r>
      <w:r>
        <w:rPr>
          <w:rFonts w:ascii="Book Antiqua" w:hAnsi="Book Antiqua"/>
          <w:b/>
          <w:bCs/>
          <w:color w:val="000000" w:themeColor="text1"/>
          <w14:textFill>
            <w14:solidFill>
              <w14:schemeClr w14:val="tx1"/>
            </w14:solidFill>
          </w14:textFill>
        </w:rPr>
        <w:t>Zhao Y</w:t>
      </w:r>
      <w:r>
        <w:rPr>
          <w:rFonts w:ascii="Book Antiqua" w:hAnsi="Book Antiqua"/>
          <w:color w:val="000000" w:themeColor="text1"/>
          <w14:textFill>
            <w14:solidFill>
              <w14:schemeClr w14:val="tx1"/>
            </w14:solidFill>
          </w14:textFill>
        </w:rPr>
        <w:t xml:space="preserve">, Dai Z, Min W, Sui X, Kang H, Zhang Y, Ren H, Wang XJ. Perioperative versus Preoperative Chemotherapy with Surgery in Patients with Resectable Squamous Cell Carcinoma of Esophagus: A Phase III Randomized Trial. </w:t>
      </w:r>
      <w:r>
        <w:rPr>
          <w:rFonts w:ascii="Book Antiqua" w:hAnsi="Book Antiqua"/>
          <w:i/>
          <w:iCs/>
          <w:color w:val="000000" w:themeColor="text1"/>
          <w14:textFill>
            <w14:solidFill>
              <w14:schemeClr w14:val="tx1"/>
            </w14:solidFill>
          </w14:textFill>
        </w:rPr>
        <w:t>J Thorac Oncol</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1349-1356 [PMID: 26287319 DOI: 10.1097/JTO.0000000000000612]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88 </w:t>
      </w:r>
      <w:r>
        <w:rPr>
          <w:rFonts w:ascii="Book Antiqua" w:hAnsi="Book Antiqua"/>
          <w:b/>
          <w:bCs/>
          <w:color w:val="000000" w:themeColor="text1"/>
          <w14:textFill>
            <w14:solidFill>
              <w14:schemeClr w14:val="tx1"/>
            </w14:solidFill>
          </w14:textFill>
        </w:rPr>
        <w:t>Chen X</w:t>
      </w:r>
      <w:r>
        <w:rPr>
          <w:rFonts w:ascii="Book Antiqua" w:hAnsi="Book Antiqua"/>
          <w:color w:val="000000" w:themeColor="text1"/>
          <w14:textFill>
            <w14:solidFill>
              <w14:schemeClr w14:val="tx1"/>
            </w14:solidFill>
          </w14:textFill>
        </w:rPr>
        <w:t xml:space="preserve">, Xu X, Wang D, Liu J, Sun J, Lu M, Wang R, Hui B, Li X, Zhou C, Wang M, Qiu T, Cui S, Sun N, Li Y, Wang F, Liu C, Shao Y, Luo J, Gu Y. Neoadjuvant sintilimab and chemotherapy in patients with potentially resectable esophageal squamous cell carcinoma (KEEP-G 03): an open-label, single-arm, phase 2 trial. </w:t>
      </w:r>
      <w:r>
        <w:rPr>
          <w:rFonts w:ascii="Book Antiqua" w:hAnsi="Book Antiqua"/>
          <w:i/>
          <w:iCs/>
          <w:color w:val="000000" w:themeColor="text1"/>
          <w14:textFill>
            <w14:solidFill>
              <w14:schemeClr w14:val="tx1"/>
            </w14:solidFill>
          </w14:textFill>
        </w:rPr>
        <w:t>J Immunother Cancer</w:t>
      </w:r>
      <w:r>
        <w:rPr>
          <w:rFonts w:ascii="Book Antiqua" w:hAnsi="Book Antiqua"/>
          <w:color w:val="000000" w:themeColor="text1"/>
          <w14:textFill>
            <w14:solidFill>
              <w14:schemeClr w14:val="tx1"/>
            </w14:solidFill>
          </w14:textFill>
        </w:rPr>
        <w:t xml:space="preserve"> 2023; </w:t>
      </w:r>
      <w:r>
        <w:rPr>
          <w:rFonts w:ascii="Book Antiqua" w:hAnsi="Book Antiqua"/>
          <w:b/>
          <w:bCs/>
          <w:color w:val="000000" w:themeColor="text1"/>
          <w14:textFill>
            <w14:solidFill>
              <w14:schemeClr w14:val="tx1"/>
            </w14:solidFill>
          </w14:textFill>
        </w:rPr>
        <w:t>11</w:t>
      </w:r>
      <w:r>
        <w:rPr>
          <w:rFonts w:ascii="Book Antiqua" w:hAnsi="Book Antiqua"/>
          <w:color w:val="000000" w:themeColor="text1"/>
          <w14:textFill>
            <w14:solidFill>
              <w14:schemeClr w14:val="tx1"/>
            </w14:solidFill>
          </w14:textFill>
        </w:rPr>
        <w:t xml:space="preserve"> [PMID: 36759013 DOI: 10.1136/jitc-2022-005830]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89 </w:t>
      </w:r>
      <w:r>
        <w:rPr>
          <w:rFonts w:ascii="Book Antiqua" w:hAnsi="Book Antiqua"/>
          <w:b/>
          <w:bCs/>
          <w:color w:val="000000" w:themeColor="text1"/>
          <w14:textFill>
            <w14:solidFill>
              <w14:schemeClr w14:val="tx1"/>
            </w14:solidFill>
          </w14:textFill>
        </w:rPr>
        <w:t>Feo CV</w:t>
      </w:r>
      <w:r>
        <w:rPr>
          <w:rFonts w:ascii="Book Antiqua" w:hAnsi="Book Antiqua"/>
          <w:color w:val="000000" w:themeColor="text1"/>
          <w14:textFill>
            <w14:solidFill>
              <w14:schemeClr w14:val="tx1"/>
            </w14:solidFill>
          </w14:textFill>
        </w:rPr>
        <w:t xml:space="preserve">, Villaflor VM, Patti MG. Should esophageal resections for cancer be performed in high-volume centers only? </w:t>
      </w:r>
      <w:r>
        <w:rPr>
          <w:rFonts w:ascii="Book Antiqua" w:hAnsi="Book Antiqua"/>
          <w:i/>
          <w:iCs/>
          <w:color w:val="000000" w:themeColor="text1"/>
          <w14:textFill>
            <w14:solidFill>
              <w14:schemeClr w14:val="tx1"/>
            </w14:solidFill>
          </w14:textFill>
        </w:rPr>
        <w:t>Updates Surg</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63</w:t>
      </w:r>
      <w:r>
        <w:rPr>
          <w:rFonts w:ascii="Book Antiqua" w:hAnsi="Book Antiqua"/>
          <w:color w:val="000000" w:themeColor="text1"/>
          <w14:textFill>
            <w14:solidFill>
              <w14:schemeClr w14:val="tx1"/>
            </w14:solidFill>
          </w14:textFill>
        </w:rPr>
        <w:t>: 147-150 [PMID: 21695513 DOI: 10.1007/s13304-011-0090-7]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90 </w:t>
      </w:r>
      <w:r>
        <w:rPr>
          <w:rFonts w:ascii="Book Antiqua" w:hAnsi="Book Antiqua"/>
          <w:b/>
          <w:bCs/>
          <w:color w:val="000000" w:themeColor="text1"/>
          <w14:textFill>
            <w14:solidFill>
              <w14:schemeClr w14:val="tx1"/>
            </w14:solidFill>
          </w14:textFill>
        </w:rPr>
        <w:t>Forschner A</w:t>
      </w:r>
      <w:r>
        <w:rPr>
          <w:rFonts w:ascii="Book Antiqua" w:hAnsi="Book Antiqua"/>
          <w:color w:val="000000" w:themeColor="text1"/>
          <w14:textFill>
            <w14:solidFill>
              <w14:schemeClr w14:val="tx1"/>
            </w14:solidFill>
          </w14:textFill>
        </w:rPr>
        <w:t xml:space="preserve">, Battke F, Hadaschik D, Schulze M, Weißgraeber S, Han CT, Kopp M, Frick M, Klumpp B, Tietze N, Amaral T, Martus P, Sinnberg T, Eigentler T, Keim U, Garbe C, Döcker D, Biskup S. Tumor mutation burden and circulating tumor DNA in combined CTLA-4 and PD-1 antibody therapy in metastatic melanoma - results of a prospective biomarker study. </w:t>
      </w:r>
      <w:r>
        <w:rPr>
          <w:rFonts w:ascii="Book Antiqua" w:hAnsi="Book Antiqua"/>
          <w:i/>
          <w:iCs/>
          <w:color w:val="000000" w:themeColor="text1"/>
          <w14:textFill>
            <w14:solidFill>
              <w14:schemeClr w14:val="tx1"/>
            </w14:solidFill>
          </w14:textFill>
        </w:rPr>
        <w:t>J Immunother Cancer</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180 [PMID: 31300034 DOI: 10.1186/s40425-019-0659-0]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91 </w:t>
      </w:r>
      <w:r>
        <w:rPr>
          <w:rFonts w:ascii="Book Antiqua" w:hAnsi="Book Antiqua"/>
          <w:b/>
          <w:bCs/>
          <w:color w:val="000000" w:themeColor="text1"/>
          <w14:textFill>
            <w14:solidFill>
              <w14:schemeClr w14:val="tx1"/>
            </w14:solidFill>
          </w14:textFill>
        </w:rPr>
        <w:t>Jreige M</w:t>
      </w:r>
      <w:r>
        <w:rPr>
          <w:rFonts w:ascii="Book Antiqua" w:hAnsi="Book Antiqua"/>
          <w:color w:val="000000" w:themeColor="text1"/>
          <w14:textFill>
            <w14:solidFill>
              <w14:schemeClr w14:val="tx1"/>
            </w14:solidFill>
          </w14:textFill>
        </w:rPr>
        <w:t xml:space="preserve">, Letovanec I, Chaba K, Renaud S, Rusakiewicz S, Cristina V, Peters S, Krueger T, de Leval L, Kandalaft LE, Nicod-Lalonde M, Romero P, Prior JO, Coukos G, Schaefer N. (18)F-FDG PET metabolic-to-morphological volume ratio predicts PD-L1 tumour expression and response to PD-1 blockade in non-small-cell lung cancer. </w:t>
      </w:r>
      <w:r>
        <w:rPr>
          <w:rFonts w:ascii="Book Antiqua" w:hAnsi="Book Antiqua"/>
          <w:i/>
          <w:iCs/>
          <w:color w:val="000000" w:themeColor="text1"/>
          <w14:textFill>
            <w14:solidFill>
              <w14:schemeClr w14:val="tx1"/>
            </w14:solidFill>
          </w14:textFill>
        </w:rPr>
        <w:t>Eur J Nucl Med Mol Imaging</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46</w:t>
      </w:r>
      <w:r>
        <w:rPr>
          <w:rFonts w:ascii="Book Antiqua" w:hAnsi="Book Antiqua"/>
          <w:color w:val="000000" w:themeColor="text1"/>
          <w14:textFill>
            <w14:solidFill>
              <w14:schemeClr w14:val="tx1"/>
            </w14:solidFill>
          </w14:textFill>
        </w:rPr>
        <w:t>: 1859-1868 [PMID: 31214790 DOI: 10.1007/s00259-019-04348-x]</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92 </w:t>
      </w:r>
      <w:r>
        <w:rPr>
          <w:rFonts w:ascii="Book Antiqua" w:hAnsi="Book Antiqua"/>
          <w:b/>
          <w:bCs/>
          <w:color w:val="000000" w:themeColor="text1"/>
          <w14:textFill>
            <w14:solidFill>
              <w14:schemeClr w14:val="tx1"/>
            </w14:solidFill>
          </w14:textFill>
        </w:rPr>
        <w:t>Lv G</w:t>
      </w:r>
      <w:r>
        <w:rPr>
          <w:rFonts w:ascii="Book Antiqua" w:hAnsi="Book Antiqua"/>
          <w:color w:val="000000" w:themeColor="text1"/>
          <w14:textFill>
            <w14:solidFill>
              <w14:schemeClr w14:val="tx1"/>
            </w14:solidFill>
          </w14:textFill>
        </w:rPr>
        <w:t xml:space="preserve">, Sun X, Qiu L, Sun Y, Li K, Liu Q, Zhao Q, Qin S, Lin J. PET Imaging of Tumor PD-L1 Expression with a Highly Specific Nonblocking Single-Domain Antibody. </w:t>
      </w:r>
      <w:r>
        <w:rPr>
          <w:rFonts w:ascii="Book Antiqua" w:hAnsi="Book Antiqua"/>
          <w:i/>
          <w:iCs/>
          <w:color w:val="000000" w:themeColor="text1"/>
          <w14:textFill>
            <w14:solidFill>
              <w14:schemeClr w14:val="tx1"/>
            </w14:solidFill>
          </w14:textFill>
        </w:rPr>
        <w:t>J Nucl Med</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61</w:t>
      </w:r>
      <w:r>
        <w:rPr>
          <w:rFonts w:ascii="Book Antiqua" w:hAnsi="Book Antiqua"/>
          <w:color w:val="000000" w:themeColor="text1"/>
          <w14:textFill>
            <w14:solidFill>
              <w14:schemeClr w14:val="tx1"/>
            </w14:solidFill>
          </w14:textFill>
        </w:rPr>
        <w:t>: 117-122 [PMID: 31253743 DOI: 10.2967/jnumed.119.226712]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93 </w:t>
      </w:r>
      <w:r>
        <w:rPr>
          <w:rFonts w:ascii="Book Antiqua" w:hAnsi="Book Antiqua"/>
          <w:b/>
          <w:bCs/>
          <w:color w:val="000000" w:themeColor="text1"/>
          <w14:textFill>
            <w14:solidFill>
              <w14:schemeClr w14:val="tx1"/>
            </w14:solidFill>
          </w14:textFill>
        </w:rPr>
        <w:t>Sholl LM</w:t>
      </w:r>
      <w:r>
        <w:rPr>
          <w:rFonts w:ascii="Book Antiqua" w:hAnsi="Book Antiqua"/>
          <w:color w:val="000000" w:themeColor="text1"/>
          <w14:textFill>
            <w14:solidFill>
              <w14:schemeClr w14:val="tx1"/>
            </w14:solidFill>
          </w14:textFill>
        </w:rPr>
        <w:t xml:space="preserve">. Understanding patterns of pathologic response following neoadjuvant immunotherapy for solid tumors. </w:t>
      </w:r>
      <w:r>
        <w:rPr>
          <w:rFonts w:ascii="Book Antiqua" w:hAnsi="Book Antiqua"/>
          <w:i/>
          <w:iCs/>
          <w:color w:val="000000" w:themeColor="text1"/>
          <w14:textFill>
            <w14:solidFill>
              <w14:schemeClr w14:val="tx1"/>
            </w14:solidFill>
          </w14:textFill>
        </w:rPr>
        <w:t>Ann Oncol</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29</w:t>
      </w:r>
      <w:r>
        <w:rPr>
          <w:rFonts w:ascii="Book Antiqua" w:hAnsi="Book Antiqua"/>
          <w:color w:val="000000" w:themeColor="text1"/>
          <w14:textFill>
            <w14:solidFill>
              <w14:schemeClr w14:val="tx1"/>
            </w14:solidFill>
          </w14:textFill>
        </w:rPr>
        <w:t>: 1630-1632 [PMID: 30052725 DOI: 10.1093/annonc/mdy227]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94 </w:t>
      </w:r>
      <w:r>
        <w:rPr>
          <w:rFonts w:ascii="Book Antiqua" w:hAnsi="Book Antiqua"/>
          <w:b/>
          <w:bCs/>
          <w:color w:val="000000" w:themeColor="text1"/>
          <w14:textFill>
            <w14:solidFill>
              <w14:schemeClr w14:val="tx1"/>
            </w14:solidFill>
          </w14:textFill>
        </w:rPr>
        <w:t>Cottrell TR</w:t>
      </w:r>
      <w:r>
        <w:rPr>
          <w:rFonts w:ascii="Book Antiqua" w:hAnsi="Book Antiqua"/>
          <w:color w:val="000000" w:themeColor="text1"/>
          <w14:textFill>
            <w14:solidFill>
              <w14:schemeClr w14:val="tx1"/>
            </w14:solidFill>
          </w14:textFill>
        </w:rPr>
        <w:t xml:space="preserve">, Thompson ED, Forde PM, Stein JE, Duffield AS, Anagnostou V, Rekhtman N, Anders RA, Cuda JD, Illei PB, Gabrielson E, Askin FB, Niknafs N, Smith KN, Velez MJ, Sauter JL, Isbell JM, Jones DR, Battafarano RJ, Yang SC, Danilova L, Wolchok JD, Topalian SL, Velculescu VE, Pardoll DM, Brahmer JR, Hellmann MD, Chaft JE, Cimino-Mathews A, Taube JM. Pathologic features of response to neoadjuvant anti-PD-1 in resected non-small-cell lung carcinoma: a proposal for quantitative immune-related pathologic response criteria (irPRC). </w:t>
      </w:r>
      <w:r>
        <w:rPr>
          <w:rFonts w:ascii="Book Antiqua" w:hAnsi="Book Antiqua"/>
          <w:i/>
          <w:iCs/>
          <w:color w:val="000000" w:themeColor="text1"/>
          <w14:textFill>
            <w14:solidFill>
              <w14:schemeClr w14:val="tx1"/>
            </w14:solidFill>
          </w14:textFill>
        </w:rPr>
        <w:t>Ann Oncol</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29</w:t>
      </w:r>
      <w:r>
        <w:rPr>
          <w:rFonts w:ascii="Book Antiqua" w:hAnsi="Book Antiqua"/>
          <w:color w:val="000000" w:themeColor="text1"/>
          <w14:textFill>
            <w14:solidFill>
              <w14:schemeClr w14:val="tx1"/>
            </w14:solidFill>
          </w14:textFill>
        </w:rPr>
        <w:t>: 1853-1860 [PMID: 29982279 DOI: 10.1093/annonc/mdy218]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95 </w:t>
      </w:r>
      <w:r>
        <w:rPr>
          <w:rFonts w:ascii="Book Antiqua" w:hAnsi="Book Antiqua"/>
          <w:b/>
          <w:bCs/>
          <w:color w:val="000000" w:themeColor="text1"/>
          <w14:textFill>
            <w14:solidFill>
              <w14:schemeClr w14:val="tx1"/>
            </w14:solidFill>
          </w14:textFill>
        </w:rPr>
        <w:t>Tang H</w:t>
      </w:r>
      <w:r>
        <w:rPr>
          <w:rFonts w:ascii="Book Antiqua" w:hAnsi="Book Antiqua"/>
          <w:color w:val="000000" w:themeColor="text1"/>
          <w14:textFill>
            <w14:solidFill>
              <w14:schemeClr w14:val="tx1"/>
            </w14:solidFill>
          </w14:textFill>
        </w:rPr>
        <w:t xml:space="preserve">, Jiang D, Zhang S, Zeng Z, Tan L, Hou Y, Wang Q; Zhongshan NCRT-EC working group, Wang H, Zhu J, Shen Y, Yin J, Ge D. Residual tumor characteristics of esophageal squamous cell carcinoma after neoadjuvant chemoradiotherapy. </w:t>
      </w:r>
      <w:r>
        <w:rPr>
          <w:rFonts w:ascii="Book Antiqua" w:hAnsi="Book Antiqua"/>
          <w:i/>
          <w:iCs/>
          <w:color w:val="000000" w:themeColor="text1"/>
          <w14:textFill>
            <w14:solidFill>
              <w14:schemeClr w14:val="tx1"/>
            </w14:solidFill>
          </w14:textFill>
        </w:rPr>
        <w:t>J Thorac Cardiovasc Surg</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162</w:t>
      </w:r>
      <w:r>
        <w:rPr>
          <w:rFonts w:ascii="Book Antiqua" w:hAnsi="Book Antiqua"/>
          <w:color w:val="000000" w:themeColor="text1"/>
          <w14:textFill>
            <w14:solidFill>
              <w14:schemeClr w14:val="tx1"/>
            </w14:solidFill>
          </w14:textFill>
        </w:rPr>
        <w:t>: 1632-1641 [PMID: 33268125 DOI: 10.1016/j.jtcvs.2020.09.042]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96 </w:t>
      </w:r>
      <w:r>
        <w:rPr>
          <w:rFonts w:ascii="Book Antiqua" w:hAnsi="Book Antiqua"/>
          <w:b/>
          <w:bCs/>
          <w:color w:val="000000" w:themeColor="text1"/>
          <w14:textFill>
            <w14:solidFill>
              <w14:schemeClr w14:val="tx1"/>
            </w14:solidFill>
          </w14:textFill>
        </w:rPr>
        <w:t>van Rossum PSN</w:t>
      </w:r>
      <w:r>
        <w:rPr>
          <w:rFonts w:ascii="Book Antiqua" w:hAnsi="Book Antiqua"/>
          <w:color w:val="000000" w:themeColor="text1"/>
          <w14:textFill>
            <w14:solidFill>
              <w14:schemeClr w14:val="tx1"/>
            </w14:solidFill>
          </w14:textFill>
        </w:rPr>
        <w:t xml:space="preserve">, Fried DV, Zhang L, Hofstetter WL, Ho L, Meijer GJ, Carter BW, Court LE, Lin SH. The value of (18)F-FDG PET before and after induction chemotherapy for the early prediction of a poor pathologic response to subsequent preoperative chemoradiotherapy in oesophageal adenocarcinoma. </w:t>
      </w:r>
      <w:r>
        <w:rPr>
          <w:rFonts w:ascii="Book Antiqua" w:hAnsi="Book Antiqua"/>
          <w:i/>
          <w:iCs/>
          <w:color w:val="000000" w:themeColor="text1"/>
          <w14:textFill>
            <w14:solidFill>
              <w14:schemeClr w14:val="tx1"/>
            </w14:solidFill>
          </w14:textFill>
        </w:rPr>
        <w:t>Eur J Nucl Med Mol Imaging</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44</w:t>
      </w:r>
      <w:r>
        <w:rPr>
          <w:rFonts w:ascii="Book Antiqua" w:hAnsi="Book Antiqua"/>
          <w:color w:val="000000" w:themeColor="text1"/>
          <w14:textFill>
            <w14:solidFill>
              <w14:schemeClr w14:val="tx1"/>
            </w14:solidFill>
          </w14:textFill>
        </w:rPr>
        <w:t>: 71-80 [PMID: 27511188 DOI: 10.1007/s00259-016-3478-2]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97 </w:t>
      </w:r>
      <w:r>
        <w:rPr>
          <w:rFonts w:ascii="Book Antiqua" w:hAnsi="Book Antiqua"/>
          <w:b/>
          <w:bCs/>
          <w:color w:val="000000" w:themeColor="text1"/>
          <w14:textFill>
            <w14:solidFill>
              <w14:schemeClr w14:val="tx1"/>
            </w14:solidFill>
          </w14:textFill>
        </w:rPr>
        <w:t>Elimova E</w:t>
      </w:r>
      <w:r>
        <w:rPr>
          <w:rFonts w:ascii="Book Antiqua" w:hAnsi="Book Antiqua"/>
          <w:color w:val="000000" w:themeColor="text1"/>
          <w14:textFill>
            <w14:solidFill>
              <w14:schemeClr w14:val="tx1"/>
            </w14:solidFill>
          </w14:textFill>
        </w:rPr>
        <w:t xml:space="preserve">, Wang X, Etchebehere E, Shiozaki H, Shimodaira Y, Wadhwa R, Planjery V, Charalampakis N, Blum MA, Hofstetter W, Lee JH, Weston BR, Bhutani MS, Rogers JE, Maru D, Skinner HD, Macapinlac HA, Ajani JA. 18-fluorodeoxy-glucose positron emission computed tomography as predictive of response after chemoradiation in oesophageal cancer patients. </w:t>
      </w:r>
      <w:r>
        <w:rPr>
          <w:rFonts w:ascii="Book Antiqua" w:hAnsi="Book Antiqua"/>
          <w:i/>
          <w:iCs/>
          <w:color w:val="000000" w:themeColor="text1"/>
          <w14:textFill>
            <w14:solidFill>
              <w14:schemeClr w14:val="tx1"/>
            </w14:solidFill>
          </w14:textFill>
        </w:rPr>
        <w:t>Eur J Cancer</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51</w:t>
      </w:r>
      <w:r>
        <w:rPr>
          <w:rFonts w:ascii="Book Antiqua" w:hAnsi="Book Antiqua"/>
          <w:color w:val="000000" w:themeColor="text1"/>
          <w14:textFill>
            <w14:solidFill>
              <w14:schemeClr w14:val="tx1"/>
            </w14:solidFill>
          </w14:textFill>
        </w:rPr>
        <w:t>: 2545-2552 [PMID: 26321501 DOI: 10.1016/j.ejca.2015.07.044]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98 </w:t>
      </w:r>
      <w:r>
        <w:rPr>
          <w:rFonts w:ascii="Book Antiqua" w:hAnsi="Book Antiqua"/>
          <w:b/>
          <w:bCs/>
          <w:color w:val="000000" w:themeColor="text1"/>
          <w14:textFill>
            <w14:solidFill>
              <w14:schemeClr w14:val="tx1"/>
            </w14:solidFill>
          </w14:textFill>
        </w:rPr>
        <w:t>Simoni N</w:t>
      </w:r>
      <w:r>
        <w:rPr>
          <w:rFonts w:ascii="Book Antiqua" w:hAnsi="Book Antiqua"/>
          <w:color w:val="000000" w:themeColor="text1"/>
          <w14:textFill>
            <w14:solidFill>
              <w14:schemeClr w14:val="tx1"/>
            </w14:solidFill>
          </w14:textFill>
        </w:rPr>
        <w:t xml:space="preserve">, Rossi G, Benetti G, Zuffante M, Micera R, Pavarana M, Guariglia S, Zivelonghi E, Mengardo V, Weindelmayer J, Giacopuzzi S, de Manzoni G, Cavedon C, Mazzarotto R. (18)F-FDG PET/CT Metrics Are Correlated to the Pathological Response in Esophageal Cancer Patients Treated With Induction Chemotherapy Followed by Neoadjuvant Chemo-Radiotherapy. </w:t>
      </w:r>
      <w:r>
        <w:rPr>
          <w:rFonts w:ascii="Book Antiqua" w:hAnsi="Book Antiqua"/>
          <w:i/>
          <w:iCs/>
          <w:color w:val="000000" w:themeColor="text1"/>
          <w14:textFill>
            <w14:solidFill>
              <w14:schemeClr w14:val="tx1"/>
            </w14:solidFill>
          </w14:textFill>
        </w:rPr>
        <w:t>Front Oncol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599907 [PMID: 33330097 DOI: 10.3389/fonc.2020.599907]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99 </w:t>
      </w:r>
      <w:r>
        <w:rPr>
          <w:rFonts w:ascii="Book Antiqua" w:hAnsi="Book Antiqua"/>
          <w:b/>
          <w:bCs/>
          <w:color w:val="000000" w:themeColor="text1"/>
          <w14:textFill>
            <w14:solidFill>
              <w14:schemeClr w14:val="tx1"/>
            </w14:solidFill>
          </w14:textFill>
        </w:rPr>
        <w:t>Fan J</w:t>
      </w:r>
      <w:r>
        <w:rPr>
          <w:rFonts w:ascii="Book Antiqua" w:hAnsi="Book Antiqua"/>
          <w:color w:val="000000" w:themeColor="text1"/>
          <w14:textFill>
            <w14:solidFill>
              <w14:schemeClr w14:val="tx1"/>
            </w14:solidFill>
          </w14:textFill>
        </w:rPr>
        <w:t xml:space="preserve">, Shen X, Wang Y, Zhou HL, Liu G, Li YL, Xu ZX. Biomarkers for immune checkpoint therapy targeting programmed death 1 and programmed death ligand 1. </w:t>
      </w:r>
      <w:r>
        <w:rPr>
          <w:rFonts w:ascii="Book Antiqua" w:hAnsi="Book Antiqua"/>
          <w:i/>
          <w:iCs/>
          <w:color w:val="000000" w:themeColor="text1"/>
          <w14:textFill>
            <w14:solidFill>
              <w14:schemeClr w14:val="tx1"/>
            </w14:solidFill>
          </w14:textFill>
        </w:rPr>
        <w:t>Biomed Pharmacother</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130</w:t>
      </w:r>
      <w:r>
        <w:rPr>
          <w:rFonts w:ascii="Book Antiqua" w:hAnsi="Book Antiqua"/>
          <w:color w:val="000000" w:themeColor="text1"/>
          <w14:textFill>
            <w14:solidFill>
              <w14:schemeClr w14:val="tx1"/>
            </w14:solidFill>
          </w14:textFill>
        </w:rPr>
        <w:t>: 110621 [PMID: 34321165 DOI: 10.1016/j.biopha.2020.110621]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100 </w:t>
      </w:r>
      <w:r>
        <w:rPr>
          <w:rFonts w:ascii="Book Antiqua" w:hAnsi="Book Antiqua"/>
          <w:b/>
          <w:bCs/>
          <w:color w:val="000000" w:themeColor="text1"/>
          <w14:textFill>
            <w14:solidFill>
              <w14:schemeClr w14:val="tx1"/>
            </w14:solidFill>
          </w14:textFill>
        </w:rPr>
        <w:t>Shah MA</w:t>
      </w:r>
      <w:r>
        <w:rPr>
          <w:rFonts w:ascii="Book Antiqua" w:hAnsi="Book Antiqua"/>
          <w:color w:val="000000" w:themeColor="text1"/>
          <w14:textFill>
            <w14:solidFill>
              <w14:schemeClr w14:val="tx1"/>
            </w14:solidFill>
          </w14:textFill>
        </w:rPr>
        <w:t xml:space="preserve">, Kojima T, Hochhauser D, Enzinger P, Raimbourg J, Hollebecque A, Lordick F, Kim SB, Tajika M, Kim HT, Lockhart AC, Arkenau HT, El-Hajbi F, Gupta M, Pfeiffer P, Liu Q, Lunceford J, Kang SP, Bhagia P, Kato K. Efficacy and Safety of Pembrolizumab for Heavily Pretreated Patients With Advanced, Metastatic Adenocarcinoma or Squamous Cell Carcinoma of the Esophagus: The Phase 2 KEYNOTE-180 Study. </w:t>
      </w:r>
      <w:r>
        <w:rPr>
          <w:rFonts w:ascii="Book Antiqua" w:hAnsi="Book Antiqua"/>
          <w:i/>
          <w:iCs/>
          <w:color w:val="000000" w:themeColor="text1"/>
          <w14:textFill>
            <w14:solidFill>
              <w14:schemeClr w14:val="tx1"/>
            </w14:solidFill>
          </w14:textFill>
        </w:rPr>
        <w:t>JAMA Oncol</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5</w:t>
      </w:r>
      <w:r>
        <w:rPr>
          <w:rFonts w:ascii="Book Antiqua" w:hAnsi="Book Antiqua"/>
          <w:color w:val="000000" w:themeColor="text1"/>
          <w14:textFill>
            <w14:solidFill>
              <w14:schemeClr w14:val="tx1"/>
            </w14:solidFill>
          </w14:textFill>
        </w:rPr>
        <w:t>: 546-550 [PMID: 30570649 DOI: 10.1001/jamaoncol.2018.5441]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101 </w:t>
      </w:r>
      <w:r>
        <w:rPr>
          <w:rFonts w:ascii="Book Antiqua" w:hAnsi="Book Antiqua"/>
          <w:b/>
          <w:bCs/>
          <w:color w:val="000000" w:themeColor="text1"/>
          <w14:textFill>
            <w14:solidFill>
              <w14:schemeClr w14:val="tx1"/>
            </w14:solidFill>
          </w14:textFill>
        </w:rPr>
        <w:t>Aguiar PN Jr</w:t>
      </w:r>
      <w:r>
        <w:rPr>
          <w:rFonts w:ascii="Book Antiqua" w:hAnsi="Book Antiqua"/>
          <w:color w:val="000000" w:themeColor="text1"/>
          <w14:textFill>
            <w14:solidFill>
              <w14:schemeClr w14:val="tx1"/>
            </w14:solidFill>
          </w14:textFill>
        </w:rPr>
        <w:t xml:space="preserve">, De Mello RA, Hall P, Tadokoro H, Lima Lopes G. PD-L1 expression as a predictive biomarker in advanced non-small-cell lung cancer: updated survival data. </w:t>
      </w:r>
      <w:r>
        <w:rPr>
          <w:rFonts w:ascii="Book Antiqua" w:hAnsi="Book Antiqua"/>
          <w:i/>
          <w:iCs/>
          <w:color w:val="000000" w:themeColor="text1"/>
          <w14:textFill>
            <w14:solidFill>
              <w14:schemeClr w14:val="tx1"/>
            </w14:solidFill>
          </w14:textFill>
        </w:rPr>
        <w:t>Immunotherapy</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499-506 [PMID: 28472902 DOI: 10.2217/imt-2016-0150]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102 </w:t>
      </w:r>
      <w:r>
        <w:rPr>
          <w:rFonts w:ascii="Book Antiqua" w:hAnsi="Book Antiqua"/>
          <w:b/>
          <w:bCs/>
          <w:color w:val="000000" w:themeColor="text1"/>
          <w14:textFill>
            <w14:solidFill>
              <w14:schemeClr w14:val="tx1"/>
            </w14:solidFill>
          </w14:textFill>
        </w:rPr>
        <w:t>Paz-Ares L</w:t>
      </w:r>
      <w:r>
        <w:rPr>
          <w:rFonts w:ascii="Book Antiqua" w:hAnsi="Book Antiqua"/>
          <w:color w:val="000000" w:themeColor="text1"/>
          <w14:textFill>
            <w14:solidFill>
              <w14:schemeClr w14:val="tx1"/>
            </w14:solidFill>
          </w14:textFill>
        </w:rPr>
        <w:t xml:space="preserve">, Spira A, Raben D, Planchard D, Cho BC, Özgüroğlu M, Daniel D, Villegas A, Vicente D, Hui R, Murakami S, Spigel D, Senan S, Langer CJ, Perez BA, Boothman AM, Broadhurst H, Wadsworth C, Dennis PA, Antonia SJ, Faivre-Finn C. Outcomes with durvalumab by tumour PD-L1 expression in unresectable, stage III non-small-cell lung cancer in the PACIFIC trial. </w:t>
      </w:r>
      <w:r>
        <w:rPr>
          <w:rFonts w:ascii="Book Antiqua" w:hAnsi="Book Antiqua"/>
          <w:i/>
          <w:iCs/>
          <w:color w:val="000000" w:themeColor="text1"/>
          <w14:textFill>
            <w14:solidFill>
              <w14:schemeClr w14:val="tx1"/>
            </w14:solidFill>
          </w14:textFill>
        </w:rPr>
        <w:t>Ann Oncol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31</w:t>
      </w:r>
      <w:r>
        <w:rPr>
          <w:rFonts w:ascii="Book Antiqua" w:hAnsi="Book Antiqua"/>
          <w:color w:val="000000" w:themeColor="text1"/>
          <w14:textFill>
            <w14:solidFill>
              <w14:schemeClr w14:val="tx1"/>
            </w14:solidFill>
          </w14:textFill>
        </w:rPr>
        <w:t>: 798-806 [PMID: 32209338 DOI: 10.1016/j.annonc.2020.03.287]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103 </w:t>
      </w:r>
      <w:r>
        <w:rPr>
          <w:rFonts w:ascii="Book Antiqua" w:hAnsi="Book Antiqua"/>
          <w:b/>
          <w:bCs/>
          <w:color w:val="000000" w:themeColor="text1"/>
          <w14:textFill>
            <w14:solidFill>
              <w14:schemeClr w14:val="tx1"/>
            </w14:solidFill>
          </w14:textFill>
        </w:rPr>
        <w:t>Doroshow DB</w:t>
      </w:r>
      <w:r>
        <w:rPr>
          <w:rFonts w:ascii="Book Antiqua" w:hAnsi="Book Antiqua"/>
          <w:color w:val="000000" w:themeColor="text1"/>
          <w14:textFill>
            <w14:solidFill>
              <w14:schemeClr w14:val="tx1"/>
            </w14:solidFill>
          </w14:textFill>
        </w:rPr>
        <w:t xml:space="preserve">, Bhalla S, Beasley MB, Sholl LM, Kerr KM, Gnjatic S, Wistuba II, Rimm DL, Tsao MS, Hirsch FR. PD-L1 as a biomarker of response to immune-checkpoint inhibitors. </w:t>
      </w:r>
      <w:r>
        <w:rPr>
          <w:rFonts w:ascii="Book Antiqua" w:hAnsi="Book Antiqua"/>
          <w:i/>
          <w:iCs/>
          <w:color w:val="000000" w:themeColor="text1"/>
          <w14:textFill>
            <w14:solidFill>
              <w14:schemeClr w14:val="tx1"/>
            </w14:solidFill>
          </w14:textFill>
        </w:rPr>
        <w:t>Nat Rev Clin Oncol</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18</w:t>
      </w:r>
      <w:r>
        <w:rPr>
          <w:rFonts w:ascii="Book Antiqua" w:hAnsi="Book Antiqua"/>
          <w:color w:val="000000" w:themeColor="text1"/>
          <w14:textFill>
            <w14:solidFill>
              <w14:schemeClr w14:val="tx1"/>
            </w14:solidFill>
          </w14:textFill>
        </w:rPr>
        <w:t>: 345-362 [PMID: 33580222 DOI: 10.1038/s41571-021-00473-5]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104 </w:t>
      </w:r>
      <w:r>
        <w:rPr>
          <w:rFonts w:ascii="Book Antiqua" w:hAnsi="Book Antiqua"/>
          <w:b/>
          <w:bCs/>
          <w:color w:val="000000" w:themeColor="text1"/>
          <w14:textFill>
            <w14:solidFill>
              <w14:schemeClr w14:val="tx1"/>
            </w14:solidFill>
          </w14:textFill>
        </w:rPr>
        <w:t>Yagi T</w:t>
      </w:r>
      <w:r>
        <w:rPr>
          <w:rFonts w:ascii="Book Antiqua" w:hAnsi="Book Antiqua"/>
          <w:color w:val="000000" w:themeColor="text1"/>
          <w14:textFill>
            <w14:solidFill>
              <w14:schemeClr w14:val="tx1"/>
            </w14:solidFill>
          </w14:textFill>
        </w:rPr>
        <w:t xml:space="preserve">, Baba Y, Ishimoto T, Iwatsuki M, Miyamoto Y, Yoshida N, Watanabe M, Baba H. PD-L1 Expression, Tumor-infiltrating Lymphocytes, and Clinical Outcome in Patients With Surgically Resected Esophageal Cancer. </w:t>
      </w:r>
      <w:r>
        <w:rPr>
          <w:rFonts w:ascii="Book Antiqua" w:hAnsi="Book Antiqua"/>
          <w:i/>
          <w:iCs/>
          <w:color w:val="000000" w:themeColor="text1"/>
          <w14:textFill>
            <w14:solidFill>
              <w14:schemeClr w14:val="tx1"/>
            </w14:solidFill>
          </w14:textFill>
        </w:rPr>
        <w:t>Ann Surg</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269</w:t>
      </w:r>
      <w:r>
        <w:rPr>
          <w:rFonts w:ascii="Book Antiqua" w:hAnsi="Book Antiqua"/>
          <w:color w:val="000000" w:themeColor="text1"/>
          <w14:textFill>
            <w14:solidFill>
              <w14:schemeClr w14:val="tx1"/>
            </w14:solidFill>
          </w14:textFill>
        </w:rPr>
        <w:t>: 471-478 [PMID: 29206673 DOI: 10.1097/SLA.0000000000002616]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105 </w:t>
      </w:r>
      <w:r>
        <w:rPr>
          <w:rFonts w:ascii="Book Antiqua" w:hAnsi="Book Antiqua"/>
          <w:b/>
          <w:bCs/>
          <w:color w:val="000000" w:themeColor="text1"/>
          <w14:textFill>
            <w14:solidFill>
              <w14:schemeClr w14:val="tx1"/>
            </w14:solidFill>
          </w14:textFill>
        </w:rPr>
        <w:t>Wakita A</w:t>
      </w:r>
      <w:r>
        <w:rPr>
          <w:rFonts w:ascii="Book Antiqua" w:hAnsi="Book Antiqua"/>
          <w:color w:val="000000" w:themeColor="text1"/>
          <w14:textFill>
            <w14:solidFill>
              <w14:schemeClr w14:val="tx1"/>
            </w14:solidFill>
          </w14:textFill>
        </w:rPr>
        <w:t xml:space="preserve">, Motoyama S, Nanjo H, Sato Y, Yoshino K, Sasaki T, Kawakita Y, Liu J, Imai K, Saito H, Minamiya Y. PD-L1 Expression Is a Prognostic Factor in Patients with Thoracic Esophageal Cancer Treated Without Adjuvant Chemotherapy. </w:t>
      </w:r>
      <w:r>
        <w:rPr>
          <w:rFonts w:ascii="Book Antiqua" w:hAnsi="Book Antiqua"/>
          <w:i/>
          <w:iCs/>
          <w:color w:val="000000" w:themeColor="text1"/>
          <w14:textFill>
            <w14:solidFill>
              <w14:schemeClr w14:val="tx1"/>
            </w14:solidFill>
          </w14:textFill>
        </w:rPr>
        <w:t>Anticancer Res</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37</w:t>
      </w:r>
      <w:r>
        <w:rPr>
          <w:rFonts w:ascii="Book Antiqua" w:hAnsi="Book Antiqua"/>
          <w:color w:val="000000" w:themeColor="text1"/>
          <w14:textFill>
            <w14:solidFill>
              <w14:schemeClr w14:val="tx1"/>
            </w14:solidFill>
          </w14:textFill>
        </w:rPr>
        <w:t>: 1433-1441 [PMID: 28314315 DOI: 10.21873/anticanres.11467]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106 </w:t>
      </w:r>
      <w:r>
        <w:rPr>
          <w:rFonts w:ascii="Book Antiqua" w:hAnsi="Book Antiqua"/>
          <w:b/>
          <w:bCs/>
          <w:color w:val="000000" w:themeColor="text1"/>
          <w14:textFill>
            <w14:solidFill>
              <w14:schemeClr w14:val="tx1"/>
            </w14:solidFill>
          </w14:textFill>
        </w:rPr>
        <w:t>Tamminga M</w:t>
      </w:r>
      <w:r>
        <w:rPr>
          <w:rFonts w:ascii="Book Antiqua" w:hAnsi="Book Antiqua"/>
          <w:color w:val="000000" w:themeColor="text1"/>
          <w14:textFill>
            <w14:solidFill>
              <w14:schemeClr w14:val="tx1"/>
            </w14:solidFill>
          </w14:textFill>
        </w:rPr>
        <w:t xml:space="preserve">, de Wit S, Hiltermann TJN, Timens W, Schuuring E, Terstappen LWMM, Groen HJM. Circulating tumor cells in advanced non-small cell lung cancer patients are associated with worse tumor response to checkpoint inhibitors. </w:t>
      </w:r>
      <w:r>
        <w:rPr>
          <w:rFonts w:ascii="Book Antiqua" w:hAnsi="Book Antiqua"/>
          <w:i/>
          <w:iCs/>
          <w:color w:val="000000" w:themeColor="text1"/>
          <w14:textFill>
            <w14:solidFill>
              <w14:schemeClr w14:val="tx1"/>
            </w14:solidFill>
          </w14:textFill>
        </w:rPr>
        <w:t>J Immunother Cancer</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173 [PMID: 31291995 DOI: 10.1186/s40425-019-0649-2]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107 </w:t>
      </w:r>
      <w:r>
        <w:rPr>
          <w:rFonts w:ascii="Book Antiqua" w:hAnsi="Book Antiqua"/>
          <w:b/>
          <w:bCs/>
          <w:color w:val="000000" w:themeColor="text1"/>
          <w14:textFill>
            <w14:solidFill>
              <w14:schemeClr w14:val="tx1"/>
            </w14:solidFill>
          </w14:textFill>
        </w:rPr>
        <w:t>Lipson EJ</w:t>
      </w:r>
      <w:r>
        <w:rPr>
          <w:rFonts w:ascii="Book Antiqua" w:hAnsi="Book Antiqua"/>
          <w:color w:val="000000" w:themeColor="text1"/>
          <w14:textFill>
            <w14:solidFill>
              <w14:schemeClr w14:val="tx1"/>
            </w14:solidFill>
          </w14:textFill>
        </w:rPr>
        <w:t xml:space="preserve">, Velculescu VE, Pritchard TS, Sausen M, Pardoll DM, Topalian SL, Diaz LA Jr. Circulating tumor DNA analysis as a real-time method for monitoring tumor burden in melanoma patients undergoing treatment with immune checkpoint blockade. </w:t>
      </w:r>
      <w:r>
        <w:rPr>
          <w:rFonts w:ascii="Book Antiqua" w:hAnsi="Book Antiqua"/>
          <w:i/>
          <w:iCs/>
          <w:color w:val="000000" w:themeColor="text1"/>
          <w14:textFill>
            <w14:solidFill>
              <w14:schemeClr w14:val="tx1"/>
            </w14:solidFill>
          </w14:textFill>
        </w:rPr>
        <w:t>J Immunother Cancer</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2</w:t>
      </w:r>
      <w:r>
        <w:rPr>
          <w:rFonts w:ascii="Book Antiqua" w:hAnsi="Book Antiqua"/>
          <w:color w:val="000000" w:themeColor="text1"/>
          <w14:textFill>
            <w14:solidFill>
              <w14:schemeClr w14:val="tx1"/>
            </w14:solidFill>
          </w14:textFill>
        </w:rPr>
        <w:t>: 42 [PMID: 25516806 DOI: 10.1186/s40425-014-0042-0]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108 </w:t>
      </w:r>
      <w:r>
        <w:rPr>
          <w:rFonts w:ascii="Book Antiqua" w:hAnsi="Book Antiqua"/>
          <w:b/>
          <w:bCs/>
          <w:color w:val="000000" w:themeColor="text1"/>
          <w14:textFill>
            <w14:solidFill>
              <w14:schemeClr w14:val="tx1"/>
            </w14:solidFill>
          </w14:textFill>
        </w:rPr>
        <w:t>Pellini B</w:t>
      </w:r>
      <w:r>
        <w:rPr>
          <w:rFonts w:ascii="Book Antiqua" w:hAnsi="Book Antiqua"/>
          <w:color w:val="000000" w:themeColor="text1"/>
          <w14:textFill>
            <w14:solidFill>
              <w14:schemeClr w14:val="tx1"/>
            </w14:solidFill>
          </w14:textFill>
        </w:rPr>
        <w:t xml:space="preserve">, Chaudhuri AA. Circulating Tumor DNA Minimal Residual Disease Detection of Non-Small-Cell Lung Cancer Treated With Curative Intent. </w:t>
      </w:r>
      <w:r>
        <w:rPr>
          <w:rFonts w:ascii="Book Antiqua" w:hAnsi="Book Antiqua"/>
          <w:i/>
          <w:iCs/>
          <w:color w:val="000000" w:themeColor="text1"/>
          <w14:textFill>
            <w14:solidFill>
              <w14:schemeClr w14:val="tx1"/>
            </w14:solidFill>
          </w14:textFill>
        </w:rPr>
        <w:t>J Clin Oncol</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40</w:t>
      </w:r>
      <w:r>
        <w:rPr>
          <w:rFonts w:ascii="Book Antiqua" w:hAnsi="Book Antiqua"/>
          <w:color w:val="000000" w:themeColor="text1"/>
          <w14:textFill>
            <w14:solidFill>
              <w14:schemeClr w14:val="tx1"/>
            </w14:solidFill>
          </w14:textFill>
        </w:rPr>
        <w:t>: 567-575 [PMID: 34985936 DOI: 10.1200/JCO.21.01929]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109 </w:t>
      </w:r>
      <w:r>
        <w:rPr>
          <w:rFonts w:ascii="Book Antiqua" w:hAnsi="Book Antiqua"/>
          <w:b/>
          <w:bCs/>
          <w:color w:val="000000" w:themeColor="text1"/>
          <w14:textFill>
            <w14:solidFill>
              <w14:schemeClr w14:val="tx1"/>
            </w14:solidFill>
          </w14:textFill>
        </w:rPr>
        <w:t>Rosner S</w:t>
      </w:r>
      <w:r>
        <w:rPr>
          <w:rFonts w:ascii="Book Antiqua" w:hAnsi="Book Antiqua"/>
          <w:color w:val="000000" w:themeColor="text1"/>
          <w14:textFill>
            <w14:solidFill>
              <w14:schemeClr w14:val="tx1"/>
            </w14:solidFill>
          </w14:textFill>
        </w:rPr>
        <w:t xml:space="preserve">, Reuss JE, Zahurak M, Zhang J, Zeng Z, Taube J, Anagnostou V, Smith KN, Riemer J, Illei PB, Broderick SR, Jones DR, Topalian SL, Pardoll DM, Brahmer JR, Chaft JE, Forde PM. Five-Year Clinical Outcomes after Neoadjuvant Nivolumab in Resectable Non-Small Cell Lung Cancer. </w:t>
      </w:r>
      <w:r>
        <w:rPr>
          <w:rFonts w:ascii="Book Antiqua" w:hAnsi="Book Antiqua"/>
          <w:i/>
          <w:iCs/>
          <w:color w:val="000000" w:themeColor="text1"/>
          <w14:textFill>
            <w14:solidFill>
              <w14:schemeClr w14:val="tx1"/>
            </w14:solidFill>
          </w14:textFill>
        </w:rPr>
        <w:t>Clin Cancer Res</w:t>
      </w:r>
      <w:r>
        <w:rPr>
          <w:rFonts w:ascii="Book Antiqua" w:hAnsi="Book Antiqua"/>
          <w:color w:val="000000" w:themeColor="text1"/>
          <w14:textFill>
            <w14:solidFill>
              <w14:schemeClr w14:val="tx1"/>
            </w14:solidFill>
          </w14:textFill>
        </w:rPr>
        <w:t xml:space="preserve"> 2023; </w:t>
      </w:r>
      <w:r>
        <w:rPr>
          <w:rFonts w:ascii="Book Antiqua" w:hAnsi="Book Antiqua"/>
          <w:b/>
          <w:bCs/>
          <w:color w:val="000000" w:themeColor="text1"/>
          <w14:textFill>
            <w14:solidFill>
              <w14:schemeClr w14:val="tx1"/>
            </w14:solidFill>
          </w14:textFill>
        </w:rPr>
        <w:t>29</w:t>
      </w:r>
      <w:r>
        <w:rPr>
          <w:rFonts w:ascii="Book Antiqua" w:hAnsi="Book Antiqua"/>
          <w:color w:val="000000" w:themeColor="text1"/>
          <w14:textFill>
            <w14:solidFill>
              <w14:schemeClr w14:val="tx1"/>
            </w14:solidFill>
          </w14:textFill>
        </w:rPr>
        <w:t>: 705-710 [PMID: 36794455 DOI: 10.1158/1078-0432.CCR-22-2994]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110 </w:t>
      </w:r>
      <w:r>
        <w:rPr>
          <w:rFonts w:ascii="Book Antiqua" w:hAnsi="Book Antiqua"/>
          <w:b/>
          <w:bCs/>
          <w:color w:val="000000" w:themeColor="text1"/>
          <w14:textFill>
            <w14:solidFill>
              <w14:schemeClr w14:val="tx1"/>
            </w14:solidFill>
          </w14:textFill>
        </w:rPr>
        <w:t>Xiao BY</w:t>
      </w:r>
      <w:r>
        <w:rPr>
          <w:rFonts w:ascii="Book Antiqua" w:hAnsi="Book Antiqua"/>
          <w:color w:val="000000" w:themeColor="text1"/>
          <w14:textFill>
            <w14:solidFill>
              <w14:schemeClr w14:val="tx1"/>
            </w14:solidFill>
          </w14:textFill>
        </w:rPr>
        <w:t xml:space="preserve">, Zhang X, Cao TY, Li DD, Jiang W, Kong LH, Tang JH, Han K, Zhang CZ, Mei WJ, Xiao J, Pan ZZ, Li YF, Zhang XS, Ding PR. Neoadjuvant Immunotherapy Leads to Major Response and Low Recurrence in Localized Mismatch Repair-Deficient Colorectal Cancer. </w:t>
      </w:r>
      <w:r>
        <w:rPr>
          <w:rFonts w:ascii="Book Antiqua" w:hAnsi="Book Antiqua"/>
          <w:i/>
          <w:iCs/>
          <w:color w:val="000000" w:themeColor="text1"/>
          <w14:textFill>
            <w14:solidFill>
              <w14:schemeClr w14:val="tx1"/>
            </w14:solidFill>
          </w14:textFill>
        </w:rPr>
        <w:t>J Natl Compr Canc Netw</w:t>
      </w:r>
      <w:r>
        <w:rPr>
          <w:rFonts w:ascii="Book Antiqua" w:hAnsi="Book Antiqua"/>
          <w:color w:val="000000" w:themeColor="text1"/>
          <w14:textFill>
            <w14:solidFill>
              <w14:schemeClr w14:val="tx1"/>
            </w14:solidFill>
          </w14:textFill>
        </w:rPr>
        <w:t xml:space="preserve"> 2023; </w:t>
      </w:r>
      <w:r>
        <w:rPr>
          <w:rFonts w:ascii="Book Antiqua" w:hAnsi="Book Antiqua"/>
          <w:b/>
          <w:bCs/>
          <w:color w:val="000000" w:themeColor="text1"/>
          <w14:textFill>
            <w14:solidFill>
              <w14:schemeClr w14:val="tx1"/>
            </w14:solidFill>
          </w14:textFill>
        </w:rPr>
        <w:t>21</w:t>
      </w:r>
      <w:r>
        <w:rPr>
          <w:rFonts w:ascii="Book Antiqua" w:hAnsi="Book Antiqua"/>
          <w:color w:val="000000" w:themeColor="text1"/>
          <w14:textFill>
            <w14:solidFill>
              <w14:schemeClr w14:val="tx1"/>
            </w14:solidFill>
          </w14:textFill>
        </w:rPr>
        <w:t>: 60-66.e5 [PMID: 36630898 DOI: 10.6004/jnccn.2022.7060]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111 </w:t>
      </w:r>
      <w:r>
        <w:rPr>
          <w:rFonts w:ascii="Book Antiqua" w:hAnsi="Book Antiqua"/>
          <w:b/>
          <w:bCs/>
          <w:color w:val="000000" w:themeColor="text1"/>
          <w14:textFill>
            <w14:solidFill>
              <w14:schemeClr w14:val="tx1"/>
            </w14:solidFill>
          </w14:textFill>
        </w:rPr>
        <w:t>Park SY</w:t>
      </w:r>
      <w:r>
        <w:rPr>
          <w:rFonts w:ascii="Book Antiqua" w:hAnsi="Book Antiqua"/>
          <w:color w:val="000000" w:themeColor="text1"/>
          <w14:textFill>
            <w14:solidFill>
              <w14:schemeClr w14:val="tx1"/>
            </w14:solidFill>
          </w14:textFill>
        </w:rPr>
        <w:t xml:space="preserve">, Hong MH, Kim HR, Lee CG, Cho JH, Cho BC, Kim DJ. The feasibility and safety of radical esophagectomy in patients receiving neoadjuvant chemoradiotherapy with pembrolizumab for esophageal squamous cell carcinoma. </w:t>
      </w:r>
      <w:r>
        <w:rPr>
          <w:rFonts w:ascii="Book Antiqua" w:hAnsi="Book Antiqua"/>
          <w:i/>
          <w:iCs/>
          <w:color w:val="000000" w:themeColor="text1"/>
          <w14:textFill>
            <w14:solidFill>
              <w14:schemeClr w14:val="tx1"/>
            </w14:solidFill>
          </w14:textFill>
        </w:rPr>
        <w:t>J Thorac Dis</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12</w:t>
      </w:r>
      <w:r>
        <w:rPr>
          <w:rFonts w:ascii="Book Antiqua" w:hAnsi="Book Antiqua"/>
          <w:color w:val="000000" w:themeColor="text1"/>
          <w14:textFill>
            <w14:solidFill>
              <w14:schemeClr w14:val="tx1"/>
            </w14:solidFill>
          </w14:textFill>
        </w:rPr>
        <w:t>: 6426-6434 [PMID: 33282345 DOI: 10.21037/jtd-20-1088]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112 </w:t>
      </w:r>
      <w:r>
        <w:rPr>
          <w:rFonts w:ascii="Book Antiqua" w:hAnsi="Book Antiqua"/>
          <w:b/>
          <w:bCs/>
          <w:color w:val="000000" w:themeColor="text1"/>
          <w14:textFill>
            <w14:solidFill>
              <w14:schemeClr w14:val="tx1"/>
            </w14:solidFill>
          </w14:textFill>
        </w:rPr>
        <w:t>Huang B</w:t>
      </w:r>
      <w:r>
        <w:rPr>
          <w:rFonts w:ascii="Book Antiqua" w:hAnsi="Book Antiqua"/>
          <w:color w:val="000000" w:themeColor="text1"/>
          <w14:textFill>
            <w14:solidFill>
              <w14:schemeClr w14:val="tx1"/>
            </w14:solidFill>
          </w14:textFill>
        </w:rPr>
        <w:t xml:space="preserve">, Shi H, Gong X, Yu J, Xiao C, Zhou B, Liang Z, Li X. Comparison of efficacy and safety between pembrolizumab combined with chemotherapy and simple chemotherapy in neoadjuvant therapy for esophageal squamous cell carcinoma. </w:t>
      </w:r>
      <w:r>
        <w:rPr>
          <w:rFonts w:ascii="Book Antiqua" w:hAnsi="Book Antiqua"/>
          <w:i/>
          <w:iCs/>
          <w:color w:val="000000" w:themeColor="text1"/>
          <w14:textFill>
            <w14:solidFill>
              <w14:schemeClr w14:val="tx1"/>
            </w14:solidFill>
          </w14:textFill>
        </w:rPr>
        <w:t>J Gastrointest Oncol</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12</w:t>
      </w:r>
      <w:r>
        <w:rPr>
          <w:rFonts w:ascii="Book Antiqua" w:hAnsi="Book Antiqua"/>
          <w:color w:val="000000" w:themeColor="text1"/>
          <w14:textFill>
            <w14:solidFill>
              <w14:schemeClr w14:val="tx1"/>
            </w14:solidFill>
          </w14:textFill>
        </w:rPr>
        <w:t>: 2013-2021 [PMID: 34790369 DOI: 10.21037/jgo-21-610]</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 xml:space="preserve">113 </w:t>
      </w:r>
      <w:r>
        <w:rPr>
          <w:rFonts w:ascii="Book Antiqua" w:hAnsi="Book Antiqua"/>
          <w:b/>
          <w:bCs/>
          <w:color w:val="000000" w:themeColor="text1"/>
          <w14:textFill>
            <w14:solidFill>
              <w14:schemeClr w14:val="tx1"/>
            </w14:solidFill>
          </w14:textFill>
        </w:rPr>
        <w:t>Lee S</w:t>
      </w:r>
      <w:bookmarkStart w:id="37" w:name="OLE_LINK6750"/>
      <w:r>
        <w:rPr>
          <w:rFonts w:ascii="Book Antiqua" w:hAnsi="Book Antiqua"/>
          <w:color w:val="000000" w:themeColor="text1"/>
          <w14:textFill>
            <w14:solidFill>
              <w14:schemeClr w14:val="tx1"/>
            </w14:solidFill>
          </w14:textFill>
        </w:rPr>
        <w:t>,</w:t>
      </w:r>
      <w:bookmarkEnd w:id="37"/>
      <w:r>
        <w:rPr>
          <w:rFonts w:ascii="Book Antiqua" w:hAnsi="Book Antiqua"/>
          <w:color w:val="000000" w:themeColor="text1"/>
          <w14:textFill>
            <w14:solidFill>
              <w14:schemeClr w14:val="tx1"/>
            </w14:solidFill>
          </w14:textFill>
        </w:rPr>
        <w:t xml:space="preserve"> Ahn BC, Park SY, Kim DJ, Lee CG, Cho J, Kim JH, K</w:t>
      </w:r>
      <w:r>
        <w:rPr>
          <w:rFonts w:hint="eastAsia" w:ascii="Book Antiqua" w:hAnsi="Book Antiqua"/>
          <w:color w:val="000000" w:themeColor="text1"/>
          <w:lang w:eastAsia="zh-CN"/>
          <w14:textFill>
            <w14:solidFill>
              <w14:schemeClr w14:val="tx1"/>
            </w14:solidFill>
          </w14:textFill>
        </w:rPr>
        <w:t>im</w:t>
      </w:r>
      <w:r>
        <w:rPr>
          <w:rFonts w:ascii="Book Antiqua" w:hAnsi="Book Antiqua"/>
          <w:color w:val="000000" w:themeColor="text1"/>
          <w:lang w:eastAsia="zh-CN"/>
          <w14:textFill>
            <w14:solidFill>
              <w14:schemeClr w14:val="tx1"/>
            </w14:solidFill>
          </w14:textFill>
        </w:rPr>
        <w:t xml:space="preserve"> HR, K</w:t>
      </w:r>
      <w:r>
        <w:rPr>
          <w:rFonts w:hint="eastAsia" w:ascii="Book Antiqua" w:hAnsi="Book Antiqua"/>
          <w:color w:val="000000" w:themeColor="text1"/>
          <w:lang w:eastAsia="zh-CN"/>
          <w14:textFill>
            <w14:solidFill>
              <w14:schemeClr w14:val="tx1"/>
            </w14:solidFill>
          </w14:textFill>
        </w:rPr>
        <w:t>i</w:t>
      </w:r>
      <w:r>
        <w:rPr>
          <w:rFonts w:ascii="Book Antiqua" w:hAnsi="Book Antiqua"/>
          <w:color w:val="000000" w:themeColor="text1"/>
          <w:lang w:eastAsia="zh-CN"/>
          <w14:textFill>
            <w14:solidFill>
              <w14:schemeClr w14:val="tx1"/>
            </w14:solidFill>
          </w14:textFill>
        </w:rPr>
        <w:t>m YH, P</w:t>
      </w:r>
      <w:r>
        <w:rPr>
          <w:rFonts w:hint="eastAsia" w:ascii="Book Antiqua" w:hAnsi="Book Antiqua"/>
          <w:color w:val="000000" w:themeColor="text1"/>
          <w:lang w:eastAsia="zh-CN"/>
          <w14:textFill>
            <w14:solidFill>
              <w14:schemeClr w14:val="tx1"/>
            </w14:solidFill>
          </w14:textFill>
        </w:rPr>
        <w:t>a</w:t>
      </w:r>
      <w:r>
        <w:rPr>
          <w:rFonts w:ascii="Book Antiqua" w:hAnsi="Book Antiqua"/>
          <w:color w:val="000000" w:themeColor="text1"/>
          <w:lang w:eastAsia="zh-CN"/>
          <w14:textFill>
            <w14:solidFill>
              <w14:schemeClr w14:val="tx1"/>
            </w14:solidFill>
          </w14:textFill>
        </w:rPr>
        <w:t>rk SR, C</w:t>
      </w:r>
      <w:r>
        <w:rPr>
          <w:rFonts w:hint="eastAsia" w:ascii="Book Antiqua" w:hAnsi="Book Antiqua"/>
          <w:color w:val="000000" w:themeColor="text1"/>
          <w:lang w:eastAsia="zh-CN"/>
          <w14:textFill>
            <w14:solidFill>
              <w14:schemeClr w14:val="tx1"/>
            </w14:solidFill>
          </w14:textFill>
        </w:rPr>
        <w:t>h</w:t>
      </w:r>
      <w:r>
        <w:rPr>
          <w:rFonts w:ascii="Book Antiqua" w:hAnsi="Book Antiqua"/>
          <w:color w:val="000000" w:themeColor="text1"/>
          <w:lang w:eastAsia="zh-CN"/>
          <w14:textFill>
            <w14:solidFill>
              <w14:schemeClr w14:val="tx1"/>
            </w14:solidFill>
          </w14:textFill>
        </w:rPr>
        <w:t>un YJ, H</w:t>
      </w:r>
      <w:r>
        <w:rPr>
          <w:rFonts w:hint="eastAsia" w:ascii="Book Antiqua" w:hAnsi="Book Antiqua"/>
          <w:color w:val="000000" w:themeColor="text1"/>
          <w:lang w:eastAsia="zh-CN"/>
          <w14:textFill>
            <w14:solidFill>
              <w14:schemeClr w14:val="tx1"/>
            </w14:solidFill>
          </w14:textFill>
        </w:rPr>
        <w:t>ong</w:t>
      </w:r>
      <w:r>
        <w:rPr>
          <w:rFonts w:ascii="Book Antiqua" w:hAnsi="Book Antiqua"/>
          <w:color w:val="000000" w:themeColor="text1"/>
          <w:lang w:eastAsia="zh-CN"/>
          <w14:textFill>
            <w14:solidFill>
              <w14:schemeClr w14:val="tx1"/>
            </w14:solidFill>
          </w14:textFill>
        </w:rPr>
        <w:t xml:space="preserve"> MH, K</w:t>
      </w:r>
      <w:r>
        <w:rPr>
          <w:rFonts w:hint="eastAsia" w:ascii="Book Antiqua" w:hAnsi="Book Antiqua"/>
          <w:color w:val="000000" w:themeColor="text1"/>
          <w:lang w:eastAsia="zh-CN"/>
          <w14:textFill>
            <w14:solidFill>
              <w14:schemeClr w14:val="tx1"/>
            </w14:solidFill>
          </w14:textFill>
        </w:rPr>
        <w:t>i</w:t>
      </w:r>
      <w:r>
        <w:rPr>
          <w:rFonts w:ascii="Book Antiqua" w:hAnsi="Book Antiqua"/>
          <w:color w:val="000000" w:themeColor="text1"/>
          <w:lang w:eastAsia="zh-CN"/>
          <w14:textFill>
            <w14:solidFill>
              <w14:schemeClr w14:val="tx1"/>
            </w14:solidFill>
          </w14:textFill>
        </w:rPr>
        <w:t>m HR, C</w:t>
      </w:r>
      <w:r>
        <w:rPr>
          <w:rFonts w:hint="eastAsia" w:ascii="Book Antiqua" w:hAnsi="Book Antiqua"/>
          <w:color w:val="000000" w:themeColor="text1"/>
          <w:lang w:eastAsia="zh-CN"/>
          <w14:textFill>
            <w14:solidFill>
              <w14:schemeClr w14:val="tx1"/>
            </w14:solidFill>
          </w14:textFill>
        </w:rPr>
        <w:t>h</w:t>
      </w:r>
      <w:r>
        <w:rPr>
          <w:rFonts w:ascii="Book Antiqua" w:hAnsi="Book Antiqua"/>
          <w:color w:val="000000" w:themeColor="text1"/>
          <w:lang w:eastAsia="zh-CN"/>
          <w14:textFill>
            <w14:solidFill>
              <w14:schemeClr w14:val="tx1"/>
            </w14:solidFill>
          </w14:textFill>
        </w:rPr>
        <w:t>o B.</w:t>
      </w:r>
      <w:r>
        <w:rPr>
          <w:rFonts w:ascii="Book Antiqua" w:hAnsi="Book Antiqua"/>
          <w:color w:val="000000" w:themeColor="text1"/>
          <w14:textFill>
            <w14:solidFill>
              <w14:schemeClr w14:val="tx1"/>
            </w14:solidFill>
          </w14:textFill>
        </w:rPr>
        <w:t xml:space="preserve"> </w:t>
      </w:r>
      <w:bookmarkStart w:id="38" w:name="OLE_LINK6749"/>
      <w:r>
        <w:rPr>
          <w:rFonts w:ascii="Book Antiqua" w:hAnsi="Book Antiqua"/>
          <w:color w:val="000000" w:themeColor="text1"/>
          <w14:textFill>
            <w14:solidFill>
              <w14:schemeClr w14:val="tx1"/>
            </w14:solidFill>
          </w14:textFill>
        </w:rPr>
        <w:t>A phase II trial of preoperative chemoradiotherapy and pembrolizumab for locally advanced esophageal squamous cell carcinoma (ESCC)</w:t>
      </w:r>
      <w:bookmarkEnd w:id="38"/>
      <w:r>
        <w:rPr>
          <w:rFonts w:ascii="Book Antiqua" w:hAnsi="Book Antiqua"/>
          <w:color w:val="000000" w:themeColor="text1"/>
          <w14:textFill>
            <w14:solidFill>
              <w14:schemeClr w14:val="tx1"/>
            </w14:solidFill>
          </w14:textFill>
        </w:rPr>
        <w:t xml:space="preserve">. </w:t>
      </w:r>
      <w:bookmarkStart w:id="39" w:name="OLE_LINK6751"/>
      <w:r>
        <w:rPr>
          <w:rFonts w:ascii="Book Antiqua" w:hAnsi="Book Antiqua"/>
          <w:i/>
          <w:iCs/>
          <w:color w:val="000000" w:themeColor="text1"/>
          <w14:textFill>
            <w14:solidFill>
              <w14:schemeClr w14:val="tx1"/>
            </w14:solidFill>
          </w14:textFill>
        </w:rPr>
        <w:t>Ann Oncol</w:t>
      </w:r>
      <w:bookmarkEnd w:id="39"/>
      <w:r>
        <w:rPr>
          <w:rFonts w:ascii="Book Antiqua" w:hAnsi="Book Antiqua"/>
          <w:color w:val="000000" w:themeColor="text1"/>
          <w14:textFill>
            <w14:solidFill>
              <w14:schemeClr w14:val="tx1"/>
            </w14:solidFill>
          </w14:textFill>
        </w:rPr>
        <w:t xml:space="preserve"> 2019; </w:t>
      </w:r>
      <w:bookmarkStart w:id="40" w:name="OLE_LINK6752"/>
      <w:bookmarkStart w:id="41" w:name="OLE_LINK6753"/>
      <w:r>
        <w:rPr>
          <w:rFonts w:ascii="Book Antiqua" w:hAnsi="Book Antiqua"/>
          <w:b/>
          <w:bCs/>
          <w:color w:val="000000" w:themeColor="text1"/>
          <w14:textFill>
            <w14:solidFill>
              <w14:schemeClr w14:val="tx1"/>
            </w14:solidFill>
          </w14:textFill>
        </w:rPr>
        <w:t>3</w:t>
      </w:r>
      <w:bookmarkEnd w:id="40"/>
      <w:r>
        <w:rPr>
          <w:rFonts w:ascii="Book Antiqua" w:hAnsi="Book Antiqua"/>
          <w:b/>
          <w:bCs/>
          <w:color w:val="000000" w:themeColor="text1"/>
          <w14:textFill>
            <w14:solidFill>
              <w14:schemeClr w14:val="tx1"/>
            </w14:solidFill>
          </w14:textFill>
        </w:rPr>
        <w:t>0</w:t>
      </w:r>
      <w:bookmarkEnd w:id="41"/>
      <w:r>
        <w:rPr>
          <w:rFonts w:ascii="Book Antiqua" w:hAnsi="Book Antiqua"/>
          <w:color w:val="000000" w:themeColor="text1"/>
          <w14:textFill>
            <w14:solidFill>
              <w14:schemeClr w14:val="tx1"/>
            </w14:solidFill>
          </w14:textFill>
        </w:rPr>
        <w:t>: 754 [DOI: 10.1093/annonc/mdz266.018]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114 </w:t>
      </w:r>
      <w:r>
        <w:rPr>
          <w:rFonts w:ascii="Book Antiqua" w:hAnsi="Book Antiqua"/>
          <w:b/>
          <w:bCs/>
          <w:color w:val="000000" w:themeColor="text1"/>
          <w14:textFill>
            <w14:solidFill>
              <w14:schemeClr w14:val="tx1"/>
            </w14:solidFill>
          </w14:textFill>
        </w:rPr>
        <w:t>Qiao Y</w:t>
      </w:r>
      <w:r>
        <w:rPr>
          <w:rFonts w:ascii="Book Antiqua" w:hAnsi="Book Antiqua"/>
          <w:color w:val="000000" w:themeColor="text1"/>
          <w14:textFill>
            <w14:solidFill>
              <w14:schemeClr w14:val="tx1"/>
            </w14:solidFill>
          </w14:textFill>
        </w:rPr>
        <w:t xml:space="preserve">, Zhao C, Li X, Zhao J, Huang Q, Ding Z, Zhang Y, Jiao J, Zhang G, Zhao S. Efficacy and safety of camrelizumab in combination with neoadjuvant chemotherapy for ESCC and its impact on esophagectomy. </w:t>
      </w:r>
      <w:r>
        <w:rPr>
          <w:rFonts w:ascii="Book Antiqua" w:hAnsi="Book Antiqua"/>
          <w:i/>
          <w:iCs/>
          <w:color w:val="000000" w:themeColor="text1"/>
          <w14:textFill>
            <w14:solidFill>
              <w14:schemeClr w14:val="tx1"/>
            </w14:solidFill>
          </w14:textFill>
        </w:rPr>
        <w:t>Front Immunol</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13</w:t>
      </w:r>
      <w:r>
        <w:rPr>
          <w:rFonts w:ascii="Book Antiqua" w:hAnsi="Book Antiqua"/>
          <w:color w:val="000000" w:themeColor="text1"/>
          <w14:textFill>
            <w14:solidFill>
              <w14:schemeClr w14:val="tx1"/>
            </w14:solidFill>
          </w14:textFill>
        </w:rPr>
        <w:t>: 953229 [PMID: 35911723 DOI: 10.3389/fimmu.2022.953229]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115 </w:t>
      </w:r>
      <w:r>
        <w:rPr>
          <w:rFonts w:ascii="Book Antiqua" w:hAnsi="Book Antiqua"/>
          <w:b/>
          <w:bCs/>
          <w:color w:val="000000" w:themeColor="text1"/>
          <w14:textFill>
            <w14:solidFill>
              <w14:schemeClr w14:val="tx1"/>
            </w14:solidFill>
          </w14:textFill>
        </w:rPr>
        <w:t>Xu WL</w:t>
      </w:r>
      <w:r>
        <w:rPr>
          <w:rFonts w:ascii="Book Antiqua" w:hAnsi="Book Antiqua"/>
          <w:color w:val="000000" w:themeColor="text1"/>
          <w14:textFill>
            <w14:solidFill>
              <w14:schemeClr w14:val="tx1"/>
            </w14:solidFill>
          </w14:textFill>
        </w:rPr>
        <w:t>, Jiang YH, Wang CC, Wu J, Li JQ, Hu YQ, Lu WS, S</w:t>
      </w:r>
      <w:r>
        <w:rPr>
          <w:rFonts w:hint="eastAsia" w:ascii="Book Antiqua" w:hAnsi="Book Antiqua"/>
          <w:color w:val="000000" w:themeColor="text1"/>
          <w:lang w:eastAsia="zh-CN"/>
          <w14:textFill>
            <w14:solidFill>
              <w14:schemeClr w14:val="tx1"/>
            </w14:solidFill>
          </w14:textFill>
        </w:rPr>
        <w:t>he</w:t>
      </w:r>
      <w:r>
        <w:rPr>
          <w:rFonts w:ascii="Book Antiqua" w:hAnsi="Book Antiqua"/>
          <w:color w:val="000000" w:themeColor="text1"/>
          <w:lang w:eastAsia="zh-CN"/>
          <w14:textFill>
            <w14:solidFill>
              <w14:schemeClr w14:val="tx1"/>
            </w14:solidFill>
          </w14:textFill>
        </w:rPr>
        <w:t>n DJ, W</w:t>
      </w:r>
      <w:r>
        <w:rPr>
          <w:rFonts w:hint="eastAsia" w:ascii="Book Antiqua" w:hAnsi="Book Antiqua"/>
          <w:color w:val="000000" w:themeColor="text1"/>
          <w:lang w:eastAsia="zh-CN"/>
          <w14:textFill>
            <w14:solidFill>
              <w14:schemeClr w14:val="tx1"/>
            </w14:solidFill>
          </w14:textFill>
        </w:rPr>
        <w:t>ang</w:t>
      </w:r>
      <w:r>
        <w:rPr>
          <w:rFonts w:ascii="Book Antiqua" w:hAnsi="Book Antiqua"/>
          <w:color w:val="000000" w:themeColor="text1"/>
          <w:lang w:eastAsia="zh-CN"/>
          <w14:textFill>
            <w14:solidFill>
              <w14:schemeClr w14:val="tx1"/>
            </w14:solidFill>
          </w14:textFill>
        </w:rPr>
        <w:t xml:space="preserve"> YJ, C</w:t>
      </w:r>
      <w:r>
        <w:rPr>
          <w:rFonts w:hint="eastAsia" w:ascii="Book Antiqua" w:hAnsi="Book Antiqua"/>
          <w:color w:val="000000" w:themeColor="text1"/>
          <w:lang w:eastAsia="zh-CN"/>
          <w14:textFill>
            <w14:solidFill>
              <w14:schemeClr w14:val="tx1"/>
            </w14:solidFill>
          </w14:textFill>
        </w:rPr>
        <w:t>he</w:t>
      </w:r>
      <w:r>
        <w:rPr>
          <w:rFonts w:ascii="Book Antiqua" w:hAnsi="Book Antiqua"/>
          <w:color w:val="000000" w:themeColor="text1"/>
          <w:lang w:eastAsia="zh-CN"/>
          <w14:textFill>
            <w14:solidFill>
              <w14:schemeClr w14:val="tx1"/>
            </w14:solidFill>
          </w14:textFill>
        </w:rPr>
        <w:t xml:space="preserve">n QX. </w:t>
      </w:r>
      <w:bookmarkStart w:id="42" w:name="OLE_LINK6724"/>
      <w:r>
        <w:rPr>
          <w:rFonts w:ascii="Book Antiqua" w:hAnsi="Book Antiqua"/>
          <w:color w:val="000000" w:themeColor="text1"/>
          <w14:textFill>
            <w14:solidFill>
              <w14:schemeClr w14:val="tx1"/>
            </w14:solidFill>
          </w14:textFill>
        </w:rPr>
        <w:t>The efficacy and safety of neoadjuvant camrelizumab and chemotherapy for locally advanced thoracic esophageal squamous cell carcinoma</w:t>
      </w:r>
      <w:bookmarkEnd w:id="42"/>
      <w:r>
        <w:rPr>
          <w:rFonts w:ascii="Book Antiqua" w:hAnsi="Book Antiqua"/>
          <w:color w:val="000000" w:themeColor="text1"/>
          <w14:textFill>
            <w14:solidFill>
              <w14:schemeClr w14:val="tx1"/>
            </w14:solidFill>
          </w14:textFill>
        </w:rPr>
        <w:t xml:space="preserve">. </w:t>
      </w:r>
      <w:bookmarkStart w:id="43" w:name="OLE_LINK6725"/>
      <w:r>
        <w:rPr>
          <w:rFonts w:ascii="Book Antiqua" w:hAnsi="Book Antiqua"/>
          <w:i/>
          <w:iCs/>
          <w:color w:val="000000" w:themeColor="text1"/>
          <w14:textFill>
            <w14:solidFill>
              <w14:schemeClr w14:val="tx1"/>
            </w14:solidFill>
          </w14:textFill>
        </w:rPr>
        <w:t xml:space="preserve">J Clin Oncol </w:t>
      </w:r>
      <w:bookmarkEnd w:id="43"/>
      <w:r>
        <w:rPr>
          <w:rFonts w:ascii="Book Antiqua" w:hAnsi="Book Antiqua"/>
          <w:color w:val="000000" w:themeColor="text1"/>
          <w14:textFill>
            <w14:solidFill>
              <w14:schemeClr w14:val="tx1"/>
            </w14:solidFill>
          </w14:textFill>
        </w:rPr>
        <w:t xml:space="preserve">2022; </w:t>
      </w:r>
      <w:r>
        <w:rPr>
          <w:rFonts w:ascii="Book Antiqua" w:hAnsi="Book Antiqua"/>
          <w:b/>
          <w:bCs/>
          <w:color w:val="000000" w:themeColor="text1"/>
          <w14:textFill>
            <w14:solidFill>
              <w14:schemeClr w14:val="tx1"/>
            </w14:solidFill>
          </w14:textFill>
        </w:rPr>
        <w:t>40</w:t>
      </w:r>
      <w:r>
        <w:rPr>
          <w:rFonts w:ascii="Book Antiqua" w:hAnsi="Book Antiqua"/>
          <w:color w:val="000000" w:themeColor="text1"/>
          <w14:textFill>
            <w14:solidFill>
              <w14:schemeClr w14:val="tx1"/>
            </w14:solidFill>
          </w14:textFill>
        </w:rPr>
        <w:t>: 278 [DOI: 10.1200/JCO.2022.40.4_suppl.278]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116 </w:t>
      </w:r>
      <w:r>
        <w:rPr>
          <w:rFonts w:ascii="Book Antiqua" w:hAnsi="Book Antiqua"/>
          <w:b/>
          <w:bCs/>
          <w:color w:val="000000" w:themeColor="text1"/>
          <w14:textFill>
            <w14:solidFill>
              <w14:schemeClr w14:val="tx1"/>
            </w14:solidFill>
          </w14:textFill>
        </w:rPr>
        <w:t>Yang G</w:t>
      </w:r>
      <w:r>
        <w:rPr>
          <w:rFonts w:ascii="Book Antiqua" w:hAnsi="Book Antiqua"/>
          <w:color w:val="000000" w:themeColor="text1"/>
          <w14:textFill>
            <w14:solidFill>
              <w14:schemeClr w14:val="tx1"/>
            </w14:solidFill>
          </w14:textFill>
        </w:rPr>
        <w:t xml:space="preserve">, Su X, Yang H, Luo G, Gao C, Zheng Y, Xie W, Huang M, Bei T, Bai Y, Wang Z, Cai P, He H, Xiang J, Cai M, Zhang Y, Qu C, Fu J, Liu Q, Hu Y, Zhong J, Huang Y, Guo Q, Zhang X. </w:t>
      </w:r>
      <w:bookmarkStart w:id="44" w:name="OLE_LINK6726"/>
      <w:r>
        <w:rPr>
          <w:rFonts w:ascii="Book Antiqua" w:hAnsi="Book Antiqua"/>
          <w:color w:val="000000" w:themeColor="text1"/>
          <w14:textFill>
            <w14:solidFill>
              <w14:schemeClr w14:val="tx1"/>
            </w14:solidFill>
          </w14:textFill>
        </w:rPr>
        <w:t>Neoadjuvant programmed death-1 blockade plus chemotherapy in locally advanced esophageal squamous cell carcinoma</w:t>
      </w:r>
      <w:bookmarkEnd w:id="44"/>
      <w:r>
        <w:rPr>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Ann Transl Med</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1254 [PMID: 34532391 DOI: 10.21037/atm-21-3352]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117 </w:t>
      </w:r>
      <w:bookmarkStart w:id="45" w:name="OLE_LINK6727"/>
      <w:r>
        <w:rPr>
          <w:rFonts w:ascii="Book Antiqua" w:hAnsi="Book Antiqua"/>
          <w:b/>
          <w:bCs/>
          <w:color w:val="000000" w:themeColor="text1"/>
          <w14:textFill>
            <w14:solidFill>
              <w14:schemeClr w14:val="tx1"/>
            </w14:solidFill>
          </w14:textFill>
        </w:rPr>
        <w:t>W</w:t>
      </w:r>
      <w:r>
        <w:rPr>
          <w:rFonts w:hint="eastAsia" w:ascii="Book Antiqua" w:hAnsi="Book Antiqua"/>
          <w:b/>
          <w:bCs/>
          <w:color w:val="000000" w:themeColor="text1"/>
          <w:lang w:eastAsia="zh-CN"/>
          <w14:textFill>
            <w14:solidFill>
              <w14:schemeClr w14:val="tx1"/>
            </w14:solidFill>
          </w14:textFill>
        </w:rPr>
        <w:t>an</w:t>
      </w:r>
      <w:r>
        <w:rPr>
          <w:rFonts w:ascii="Book Antiqua" w:hAnsi="Book Antiqua"/>
          <w:b/>
          <w:bCs/>
          <w:color w:val="000000" w:themeColor="text1"/>
          <w:lang w:eastAsia="zh-CN"/>
          <w14:textFill>
            <w14:solidFill>
              <w14:schemeClr w14:val="tx1"/>
            </w14:solidFill>
          </w14:textFill>
        </w:rPr>
        <w:t>g Z</w:t>
      </w:r>
      <w:r>
        <w:rPr>
          <w:rFonts w:ascii="Book Antiqua" w:hAnsi="Book Antiqua"/>
          <w:color w:val="000000" w:themeColor="text1"/>
          <w14:textFill>
            <w14:solidFill>
              <w14:schemeClr w14:val="tx1"/>
            </w14:solidFill>
          </w14:textFill>
        </w:rPr>
        <w:t>.</w:t>
      </w:r>
      <w:bookmarkEnd w:id="45"/>
      <w:r>
        <w:rPr>
          <w:rFonts w:ascii="Book Antiqua" w:hAnsi="Book Antiqua"/>
          <w:b/>
          <w:bCs/>
          <w:color w:val="000000" w:themeColor="text1"/>
          <w14:textFill>
            <w14:solidFill>
              <w14:schemeClr w14:val="tx1"/>
            </w14:solidFill>
          </w14:textFill>
        </w:rPr>
        <w:t xml:space="preserve"> </w:t>
      </w:r>
      <w:bookmarkStart w:id="46" w:name="OLE_LINK6728"/>
      <w:bookmarkStart w:id="47" w:name="OLE_LINK6730"/>
      <w:bookmarkStart w:id="48" w:name="OLE_LINK6729"/>
      <w:r>
        <w:rPr>
          <w:rFonts w:ascii="Book Antiqua" w:hAnsi="Book Antiqua"/>
          <w:color w:val="000000" w:themeColor="text1"/>
          <w14:textFill>
            <w14:solidFill>
              <w14:schemeClr w14:val="tx1"/>
            </w14:solidFill>
          </w14:textFill>
        </w:rPr>
        <w:t>Neoadjuvant camrelizumab combined with chemotherapy and apatinib for locally advanced thoracic esophageal squamous cell carcinoma (ESCC): A single-arm, o</w:t>
      </w:r>
      <w:bookmarkEnd w:id="46"/>
      <w:r>
        <w:rPr>
          <w:rFonts w:ascii="Book Antiqua" w:hAnsi="Book Antiqua"/>
          <w:color w:val="000000" w:themeColor="text1"/>
          <w14:textFill>
            <w14:solidFill>
              <w14:schemeClr w14:val="tx1"/>
            </w14:solidFill>
          </w14:textFill>
        </w:rPr>
        <w:t>pen-label, phase Ib study</w:t>
      </w:r>
      <w:bookmarkEnd w:id="47"/>
      <w:bookmarkEnd w:id="48"/>
      <w:r>
        <w:rPr>
          <w:rFonts w:ascii="Book Antiqua" w:hAnsi="Book Antiqua"/>
          <w:color w:val="000000" w:themeColor="text1"/>
          <w14:textFill>
            <w14:solidFill>
              <w14:schemeClr w14:val="tx1"/>
            </w14:solidFill>
          </w14:textFill>
        </w:rPr>
        <w:t xml:space="preserve">. </w:t>
      </w:r>
      <w:bookmarkStart w:id="49" w:name="OLE_LINK6733"/>
      <w:r>
        <w:rPr>
          <w:rFonts w:ascii="Book Antiqua" w:hAnsi="Book Antiqua"/>
          <w:i/>
          <w:iCs/>
          <w:color w:val="000000" w:themeColor="text1"/>
          <w14:textFill>
            <w14:solidFill>
              <w14:schemeClr w14:val="tx1"/>
            </w14:solidFill>
          </w14:textFill>
        </w:rPr>
        <w:t>J Clin Oncol</w:t>
      </w:r>
      <w:r>
        <w:rPr>
          <w:rFonts w:ascii="Book Antiqua" w:hAnsi="Book Antiqua"/>
          <w:color w:val="000000" w:themeColor="text1"/>
          <w14:textFill>
            <w14:solidFill>
              <w14:schemeClr w14:val="tx1"/>
            </w14:solidFill>
          </w14:textFill>
        </w:rPr>
        <w:t xml:space="preserve"> </w:t>
      </w:r>
      <w:bookmarkEnd w:id="49"/>
      <w:r>
        <w:rPr>
          <w:rFonts w:ascii="Book Antiqua" w:hAnsi="Book Antiqua"/>
          <w:color w:val="000000" w:themeColor="text1"/>
          <w14:textFill>
            <w14:solidFill>
              <w14:schemeClr w14:val="tx1"/>
            </w14:solidFill>
          </w14:textFill>
        </w:rPr>
        <w:t xml:space="preserve">2021; </w:t>
      </w:r>
      <w:r>
        <w:rPr>
          <w:rFonts w:ascii="Book Antiqua" w:hAnsi="Book Antiqua"/>
          <w:b/>
          <w:bCs/>
          <w:color w:val="000000" w:themeColor="text1"/>
          <w14:textFill>
            <w14:solidFill>
              <w14:schemeClr w14:val="tx1"/>
            </w14:solidFill>
          </w14:textFill>
        </w:rPr>
        <w:t>39</w:t>
      </w:r>
      <w:r>
        <w:rPr>
          <w:rFonts w:ascii="Book Antiqua" w:hAnsi="Book Antiqua"/>
          <w:color w:val="000000" w:themeColor="text1"/>
          <w14:textFill>
            <w14:solidFill>
              <w14:schemeClr w14:val="tx1"/>
            </w14:solidFill>
          </w14:textFill>
        </w:rPr>
        <w:t>: 4047 [DOI: 10.1200/JCO.2021.39.15_suppl.4047]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118 </w:t>
      </w:r>
      <w:r>
        <w:rPr>
          <w:rFonts w:ascii="Book Antiqua" w:hAnsi="Book Antiqua"/>
          <w:b/>
          <w:bCs/>
          <w:color w:val="000000" w:themeColor="text1"/>
          <w14:textFill>
            <w14:solidFill>
              <w14:schemeClr w14:val="tx1"/>
            </w14:solidFill>
          </w14:textFill>
        </w:rPr>
        <w:t>Ma JQ</w:t>
      </w:r>
      <w:r>
        <w:rPr>
          <w:rFonts w:ascii="Book Antiqua" w:hAnsi="Book Antiqua"/>
          <w:color w:val="000000" w:themeColor="text1"/>
          <w14:textFill>
            <w14:solidFill>
              <w14:schemeClr w14:val="tx1"/>
            </w14:solidFill>
          </w14:textFill>
        </w:rPr>
        <w:t>, Zhang JF, Yang YN, Zheng DY, Wang XY, Liang H, Z</w:t>
      </w:r>
      <w:r>
        <w:rPr>
          <w:rFonts w:hint="eastAsia" w:ascii="Book Antiqua" w:hAnsi="Book Antiqua"/>
          <w:color w:val="000000" w:themeColor="text1"/>
          <w:lang w:eastAsia="zh-CN"/>
          <w14:textFill>
            <w14:solidFill>
              <w14:schemeClr w14:val="tx1"/>
            </w14:solidFill>
          </w14:textFill>
        </w:rPr>
        <w:t>ha</w:t>
      </w:r>
      <w:r>
        <w:rPr>
          <w:rFonts w:ascii="Book Antiqua" w:hAnsi="Book Antiqua"/>
          <w:color w:val="000000" w:themeColor="text1"/>
          <w:lang w:eastAsia="zh-CN"/>
          <w14:textFill>
            <w14:solidFill>
              <w14:schemeClr w14:val="tx1"/>
            </w14:solidFill>
          </w14:textFill>
        </w:rPr>
        <w:t>ng LQ, X</w:t>
      </w:r>
      <w:r>
        <w:rPr>
          <w:rFonts w:hint="eastAsia" w:ascii="Book Antiqua" w:hAnsi="Book Antiqua"/>
          <w:color w:val="000000" w:themeColor="text1"/>
          <w:lang w:eastAsia="zh-CN"/>
          <w14:textFill>
            <w14:solidFill>
              <w14:schemeClr w14:val="tx1"/>
            </w14:solidFill>
          </w14:textFill>
        </w:rPr>
        <w:t>i</w:t>
      </w:r>
      <w:r>
        <w:rPr>
          <w:rFonts w:ascii="Book Antiqua" w:hAnsi="Book Antiqua"/>
          <w:color w:val="000000" w:themeColor="text1"/>
          <w:lang w:eastAsia="zh-CN"/>
          <w14:textFill>
            <w14:solidFill>
              <w14:schemeClr w14:val="tx1"/>
            </w14:solidFill>
          </w14:textFill>
        </w:rPr>
        <w:t>n YZ, Li</w:t>
      </w:r>
      <w:r>
        <w:rPr>
          <w:rFonts w:hint="eastAsia" w:ascii="Book Antiqua" w:hAnsi="Book Antiqua"/>
          <w:color w:val="000000" w:themeColor="text1"/>
          <w:lang w:eastAsia="zh-CN"/>
          <w14:textFill>
            <w14:solidFill>
              <w14:schemeClr w14:val="tx1"/>
            </w14:solidFill>
          </w14:textFill>
        </w:rPr>
        <w:t>ng</w:t>
      </w:r>
      <w:r>
        <w:rPr>
          <w:rFonts w:ascii="Book Antiqua" w:hAnsi="Book Antiqua"/>
          <w:color w:val="000000" w:themeColor="text1"/>
          <w:lang w:eastAsia="zh-CN"/>
          <w14:textFill>
            <w14:solidFill>
              <w14:schemeClr w14:val="tx1"/>
            </w14:solidFill>
          </w14:textFill>
        </w:rPr>
        <w:t xml:space="preserve"> XD, Fang CY, J</w:t>
      </w:r>
      <w:r>
        <w:rPr>
          <w:rFonts w:hint="eastAsia" w:ascii="Book Antiqua" w:hAnsi="Book Antiqua"/>
          <w:color w:val="000000" w:themeColor="text1"/>
          <w:lang w:eastAsia="zh-CN"/>
          <w14:textFill>
            <w14:solidFill>
              <w14:schemeClr w14:val="tx1"/>
            </w14:solidFill>
          </w14:textFill>
        </w:rPr>
        <w:t>i</w:t>
      </w:r>
      <w:r>
        <w:rPr>
          <w:rFonts w:ascii="Book Antiqua" w:hAnsi="Book Antiqua"/>
          <w:color w:val="000000" w:themeColor="text1"/>
          <w:lang w:eastAsia="zh-CN"/>
          <w14:textFill>
            <w14:solidFill>
              <w14:schemeClr w14:val="tx1"/>
            </w14:solidFill>
          </w14:textFill>
        </w:rPr>
        <w:t>ang H, Z</w:t>
      </w:r>
      <w:r>
        <w:rPr>
          <w:rFonts w:hint="eastAsia" w:ascii="Book Antiqua" w:hAnsi="Book Antiqua"/>
          <w:color w:val="000000" w:themeColor="text1"/>
          <w:lang w:eastAsia="zh-CN"/>
          <w14:textFill>
            <w14:solidFill>
              <w14:schemeClr w14:val="tx1"/>
            </w14:solidFill>
          </w14:textFill>
        </w:rPr>
        <w:t>heng</w:t>
      </w:r>
      <w:r>
        <w:rPr>
          <w:rFonts w:ascii="Book Antiqua" w:hAnsi="Book Antiqua"/>
          <w:color w:val="000000" w:themeColor="text1"/>
          <w:lang w:eastAsia="zh-CN"/>
          <w14:textFill>
            <w14:solidFill>
              <w14:schemeClr w14:val="tx1"/>
            </w14:solidFill>
          </w14:textFill>
        </w:rPr>
        <w:t xml:space="preserve"> W. </w:t>
      </w:r>
      <w:bookmarkStart w:id="50" w:name="OLE_LINK6731"/>
      <w:r>
        <w:rPr>
          <w:rFonts w:ascii="Book Antiqua" w:hAnsi="Book Antiqua"/>
          <w:color w:val="000000" w:themeColor="text1"/>
          <w14:textFill>
            <w14:solidFill>
              <w14:schemeClr w14:val="tx1"/>
            </w14:solidFill>
          </w14:textFill>
        </w:rPr>
        <w:t>Camrelizumab combined with paclitaxel and nedaplatin as neoadjuvant therapy for locally advanced esophageal squamous cell carcinoma (ESPRIT): A phase II, single-arm, exploratory research</w:t>
      </w:r>
      <w:bookmarkEnd w:id="50"/>
      <w:r>
        <w:rPr>
          <w:rFonts w:ascii="Book Antiqua" w:hAnsi="Book Antiqua"/>
          <w:color w:val="000000" w:themeColor="text1"/>
          <w14:textFill>
            <w14:solidFill>
              <w14:schemeClr w14:val="tx1"/>
            </w14:solidFill>
          </w14:textFill>
        </w:rPr>
        <w:t xml:space="preserve">. </w:t>
      </w:r>
      <w:bookmarkStart w:id="51" w:name="OLE_LINK6732"/>
      <w:r>
        <w:rPr>
          <w:rFonts w:ascii="Book Antiqua" w:hAnsi="Book Antiqua"/>
          <w:i/>
          <w:iCs/>
          <w:color w:val="000000" w:themeColor="text1"/>
          <w14:textFill>
            <w14:solidFill>
              <w14:schemeClr w14:val="tx1"/>
            </w14:solidFill>
          </w14:textFill>
        </w:rPr>
        <w:t>J Clin Oncol</w:t>
      </w:r>
      <w:bookmarkEnd w:id="51"/>
      <w:r>
        <w:rPr>
          <w:rFonts w:ascii="Book Antiqua" w:hAnsi="Book Antiqua"/>
          <w:color w:val="000000" w:themeColor="text1"/>
          <w14:textFill>
            <w14:solidFill>
              <w14:schemeClr w14:val="tx1"/>
            </w14:solidFill>
          </w14:textFill>
        </w:rPr>
        <w:t xml:space="preserve"> 2021; </w:t>
      </w:r>
      <w:bookmarkStart w:id="52" w:name="OLE_LINK6734"/>
      <w:r>
        <w:rPr>
          <w:rFonts w:ascii="Book Antiqua" w:hAnsi="Book Antiqua"/>
          <w:b/>
          <w:bCs/>
          <w:color w:val="000000" w:themeColor="text1"/>
          <w14:textFill>
            <w14:solidFill>
              <w14:schemeClr w14:val="tx1"/>
            </w14:solidFill>
          </w14:textFill>
        </w:rPr>
        <w:t>39</w:t>
      </w:r>
      <w:bookmarkEnd w:id="52"/>
      <w:bookmarkStart w:id="53" w:name="OLE_LINK6744"/>
      <w:r>
        <w:rPr>
          <w:rFonts w:ascii="Book Antiqua" w:hAnsi="Book Antiqua"/>
          <w:color w:val="000000" w:themeColor="text1"/>
          <w14:textFill>
            <w14:solidFill>
              <w14:schemeClr w14:val="tx1"/>
            </w14:solidFill>
          </w14:textFill>
        </w:rPr>
        <w:t>:</w:t>
      </w:r>
      <w:bookmarkEnd w:id="53"/>
      <w:r>
        <w:rPr>
          <w:rFonts w:ascii="Book Antiqua" w:hAnsi="Book Antiqua"/>
          <w:color w:val="000000" w:themeColor="text1"/>
          <w14:textFill>
            <w14:solidFill>
              <w14:schemeClr w14:val="tx1"/>
            </w14:solidFill>
          </w14:textFill>
        </w:rPr>
        <w:t xml:space="preserve"> e16033 [DOI: 10.1200/JCO.2021.39.15_suppl.e16033]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119 </w:t>
      </w:r>
      <w:r>
        <w:rPr>
          <w:rFonts w:ascii="Book Antiqua" w:hAnsi="Book Antiqua"/>
          <w:b/>
          <w:bCs/>
          <w:color w:val="000000" w:themeColor="text1"/>
          <w14:textFill>
            <w14:solidFill>
              <w14:schemeClr w14:val="tx1"/>
            </w14:solidFill>
          </w14:textFill>
        </w:rPr>
        <w:t>Wang F,</w:t>
      </w:r>
      <w:r>
        <w:rPr>
          <w:rFonts w:ascii="Book Antiqua" w:hAnsi="Book Antiqua"/>
          <w:color w:val="000000" w:themeColor="text1"/>
          <w14:textFill>
            <w14:solidFill>
              <w14:schemeClr w14:val="tx1"/>
            </w14:solidFill>
          </w14:textFill>
        </w:rPr>
        <w:t xml:space="preserve"> Yu Q, Meng XG, F</w:t>
      </w:r>
      <w:r>
        <w:rPr>
          <w:rFonts w:hint="eastAsia" w:ascii="Book Antiqua" w:hAnsi="Book Antiqua"/>
          <w:color w:val="000000" w:themeColor="text1"/>
          <w:lang w:eastAsia="zh-CN"/>
          <w14:textFill>
            <w14:solidFill>
              <w14:schemeClr w14:val="tx1"/>
            </w14:solidFill>
          </w14:textFill>
        </w:rPr>
        <w:t>a</w:t>
      </w:r>
      <w:r>
        <w:rPr>
          <w:rFonts w:ascii="Book Antiqua" w:hAnsi="Book Antiqua"/>
          <w:color w:val="000000" w:themeColor="text1"/>
          <w:lang w:eastAsia="zh-CN"/>
          <w14:textFill>
            <w14:solidFill>
              <w14:schemeClr w14:val="tx1"/>
            </w14:solidFill>
          </w14:textFill>
        </w:rPr>
        <w:t>n QX</w:t>
      </w:r>
      <w:r>
        <w:rPr>
          <w:rFonts w:ascii="Book Antiqua" w:hAnsi="Book Antiqua"/>
          <w:color w:val="000000" w:themeColor="text1"/>
          <w14:textFill>
            <w14:solidFill>
              <w14:schemeClr w14:val="tx1"/>
            </w14:solidFill>
          </w14:textFill>
        </w:rPr>
        <w:t xml:space="preserve">. </w:t>
      </w:r>
      <w:bookmarkStart w:id="54" w:name="OLE_LINK6735"/>
      <w:r>
        <w:rPr>
          <w:rFonts w:ascii="Book Antiqua" w:hAnsi="Book Antiqua"/>
          <w:color w:val="000000" w:themeColor="text1"/>
          <w14:textFill>
            <w14:solidFill>
              <w14:schemeClr w14:val="tx1"/>
            </w14:solidFill>
          </w14:textFill>
        </w:rPr>
        <w:t>Camrelizumab in combination with preoperative chemotherapy for locally advanced esophageal squamous cell carcinoma: A single-arm, open-label, phase II study</w:t>
      </w:r>
      <w:bookmarkEnd w:id="54"/>
      <w:r>
        <w:rPr>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 xml:space="preserve">J Clin Oncol </w:t>
      </w:r>
      <w:r>
        <w:rPr>
          <w:rFonts w:ascii="Book Antiqua" w:hAnsi="Book Antiqua"/>
          <w:color w:val="000000" w:themeColor="text1"/>
          <w14:textFill>
            <w14:solidFill>
              <w14:schemeClr w14:val="tx1"/>
            </w14:solidFill>
          </w14:textFill>
        </w:rPr>
        <w:t xml:space="preserve">2021; </w:t>
      </w:r>
      <w:bookmarkStart w:id="55" w:name="OLE_LINK6736"/>
      <w:r>
        <w:rPr>
          <w:rFonts w:ascii="Book Antiqua" w:hAnsi="Book Antiqua"/>
          <w:b/>
          <w:bCs/>
          <w:color w:val="000000" w:themeColor="text1"/>
          <w14:textFill>
            <w14:solidFill>
              <w14:schemeClr w14:val="tx1"/>
            </w14:solidFill>
          </w14:textFill>
        </w:rPr>
        <w:t>39</w:t>
      </w:r>
      <w:bookmarkEnd w:id="55"/>
      <w:r>
        <w:rPr>
          <w:rFonts w:ascii="Book Antiqua" w:hAnsi="Book Antiqua"/>
          <w:color w:val="000000" w:themeColor="text1"/>
          <w14:textFill>
            <w14:solidFill>
              <w14:schemeClr w14:val="tx1"/>
            </w14:solidFill>
          </w14:textFill>
        </w:rPr>
        <w:t>: 222 [DOI: 10.1200/JCO.2021.39.3_suppl.222]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120 </w:t>
      </w:r>
      <w:r>
        <w:rPr>
          <w:rFonts w:ascii="Book Antiqua" w:hAnsi="Book Antiqua"/>
          <w:b/>
          <w:bCs/>
          <w:color w:val="000000" w:themeColor="text1"/>
          <w14:textFill>
            <w14:solidFill>
              <w14:schemeClr w14:val="tx1"/>
            </w14:solidFill>
          </w14:textFill>
        </w:rPr>
        <w:t>Zhang Y</w:t>
      </w:r>
      <w:r>
        <w:rPr>
          <w:rFonts w:ascii="Book Antiqua" w:hAnsi="Book Antiqua"/>
          <w:color w:val="000000" w:themeColor="text1"/>
          <w14:textFill>
            <w14:solidFill>
              <w14:schemeClr w14:val="tx1"/>
            </w14:solidFill>
          </w14:textFill>
        </w:rPr>
        <w:t>, Shen G</w:t>
      </w:r>
      <w:r>
        <w:rPr>
          <w:rFonts w:hint="eastAsia" w:ascii="Book Antiqua" w:hAnsi="Book Antiqua"/>
          <w:color w:val="000000" w:themeColor="text1"/>
          <w:lang w:eastAsia="zh-CN"/>
          <w14:textFill>
            <w14:solidFill>
              <w14:schemeClr w14:val="tx1"/>
            </w14:solidFill>
          </w14:textFill>
        </w:rPr>
        <w:t>Y</w:t>
      </w:r>
      <w:r>
        <w:rPr>
          <w:rFonts w:ascii="Book Antiqua" w:hAnsi="Book Antiqua"/>
          <w:color w:val="000000" w:themeColor="text1"/>
          <w14:textFill>
            <w14:solidFill>
              <w14:schemeClr w14:val="tx1"/>
            </w14:solidFill>
          </w14:textFill>
        </w:rPr>
        <w:t>, Xu RY, Huang GZ, Yang SS, Zheng QF, Huang ZJ, Duan HB, M</w:t>
      </w:r>
      <w:r>
        <w:rPr>
          <w:rFonts w:ascii="Book Antiqua" w:hAnsi="Book Antiqua"/>
          <w:color w:val="000000" w:themeColor="text1"/>
          <w:lang w:eastAsia="zh-CN"/>
          <w14:textFill>
            <w14:solidFill>
              <w14:schemeClr w14:val="tx1"/>
            </w14:solidFill>
          </w14:textFill>
        </w:rPr>
        <w:t xml:space="preserve">a LY, Yang LB, Yi YF, Liu RX, Li KZ, Chen SG. </w:t>
      </w:r>
      <w:bookmarkStart w:id="56" w:name="OLE_LINK6737"/>
      <w:r>
        <w:rPr>
          <w:rFonts w:ascii="Book Antiqua" w:hAnsi="Book Antiqua"/>
          <w:color w:val="000000" w:themeColor="text1"/>
          <w14:textFill>
            <w14:solidFill>
              <w14:schemeClr w14:val="tx1"/>
            </w14:solidFill>
          </w14:textFill>
        </w:rPr>
        <w:t>Real-world effectiveness and safety of camrelizumab-based neoadjuvant therapy in resectable esophageal cancer: Initial results of a prospective multicenter observational study</w:t>
      </w:r>
      <w:bookmarkEnd w:id="56"/>
      <w:r>
        <w:rPr>
          <w:rFonts w:ascii="Book Antiqua" w:hAnsi="Book Antiqua"/>
          <w:color w:val="000000" w:themeColor="text1"/>
          <w14:textFill>
            <w14:solidFill>
              <w14:schemeClr w14:val="tx1"/>
            </w14:solidFill>
          </w14:textFill>
        </w:rPr>
        <w:t xml:space="preserve">. </w:t>
      </w:r>
      <w:bookmarkStart w:id="57" w:name="OLE_LINK6738"/>
      <w:r>
        <w:rPr>
          <w:rFonts w:ascii="Book Antiqua" w:hAnsi="Book Antiqua"/>
          <w:i/>
          <w:iCs/>
          <w:color w:val="000000" w:themeColor="text1"/>
          <w14:textFill>
            <w14:solidFill>
              <w14:schemeClr w14:val="tx1"/>
            </w14:solidFill>
          </w14:textFill>
        </w:rPr>
        <w:t>J Clin Oncol</w:t>
      </w:r>
      <w:bookmarkEnd w:id="57"/>
      <w:r>
        <w:rPr>
          <w:rFonts w:ascii="Book Antiqua" w:hAnsi="Book Antiqua"/>
          <w:color w:val="000000" w:themeColor="text1"/>
          <w14:textFill>
            <w14:solidFill>
              <w14:schemeClr w14:val="tx1"/>
            </w14:solidFill>
          </w14:textFill>
        </w:rPr>
        <w:t xml:space="preserve"> 2022; </w:t>
      </w:r>
      <w:bookmarkStart w:id="58" w:name="OLE_LINK6739"/>
      <w:r>
        <w:rPr>
          <w:rFonts w:ascii="Book Antiqua" w:hAnsi="Book Antiqua"/>
          <w:b/>
          <w:bCs/>
          <w:color w:val="000000" w:themeColor="text1"/>
          <w14:textFill>
            <w14:solidFill>
              <w14:schemeClr w14:val="tx1"/>
            </w14:solidFill>
          </w14:textFill>
        </w:rPr>
        <w:t>40</w:t>
      </w:r>
      <w:bookmarkEnd w:id="58"/>
      <w:r>
        <w:rPr>
          <w:rFonts w:ascii="Book Antiqua" w:hAnsi="Book Antiqua"/>
          <w:color w:val="000000" w:themeColor="text1"/>
          <w14:textFill>
            <w14:solidFill>
              <w14:schemeClr w14:val="tx1"/>
            </w14:solidFill>
          </w14:textFill>
        </w:rPr>
        <w:t>: 250 [DOI: 10.1200/JCO.2022.40.4_suppl.250]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121 </w:t>
      </w:r>
      <w:r>
        <w:rPr>
          <w:rFonts w:ascii="Book Antiqua" w:hAnsi="Book Antiqua"/>
          <w:b/>
          <w:bCs/>
          <w:color w:val="000000" w:themeColor="text1"/>
          <w14:textFill>
            <w14:solidFill>
              <w14:schemeClr w14:val="tx1"/>
            </w14:solidFill>
          </w14:textFill>
        </w:rPr>
        <w:t>Zhang Z</w:t>
      </w:r>
      <w:r>
        <w:rPr>
          <w:rFonts w:ascii="Book Antiqua" w:hAnsi="Book Antiqua"/>
          <w:color w:val="000000" w:themeColor="text1"/>
          <w14:textFill>
            <w14:solidFill>
              <w14:schemeClr w14:val="tx1"/>
            </w14:solidFill>
          </w14:textFill>
        </w:rPr>
        <w:t xml:space="preserve">, Ye J, Li H, Gu D, Du M, Ai D, Chen W, Fang Y, Xu X, Bai C, Zhao K, Zhou G. Neoadjuvant sintilimab and chemotherapy in patients with resectable esophageal squamous cell carcinoma: A prospective, single-arm, phase 2 trial. </w:t>
      </w:r>
      <w:r>
        <w:rPr>
          <w:rFonts w:ascii="Book Antiqua" w:hAnsi="Book Antiqua"/>
          <w:i/>
          <w:iCs/>
          <w:color w:val="000000" w:themeColor="text1"/>
          <w14:textFill>
            <w14:solidFill>
              <w14:schemeClr w14:val="tx1"/>
            </w14:solidFill>
          </w14:textFill>
        </w:rPr>
        <w:t>Front Immunol</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13</w:t>
      </w:r>
      <w:r>
        <w:rPr>
          <w:rFonts w:ascii="Book Antiqua" w:hAnsi="Book Antiqua"/>
          <w:color w:val="000000" w:themeColor="text1"/>
          <w14:textFill>
            <w14:solidFill>
              <w14:schemeClr w14:val="tx1"/>
            </w14:solidFill>
          </w14:textFill>
        </w:rPr>
        <w:t>: 1031171 [PMID: 36311804 DOI: 10.3389/fimmu.2022.1031171]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122 </w:t>
      </w:r>
      <w:r>
        <w:rPr>
          <w:rFonts w:ascii="Book Antiqua" w:hAnsi="Book Antiqua"/>
          <w:b/>
          <w:bCs/>
          <w:color w:val="000000" w:themeColor="text1"/>
          <w14:textFill>
            <w14:solidFill>
              <w14:schemeClr w14:val="tx1"/>
            </w14:solidFill>
          </w14:textFill>
        </w:rPr>
        <w:t>Xing W</w:t>
      </w:r>
      <w:r>
        <w:rPr>
          <w:rFonts w:ascii="Book Antiqua" w:hAnsi="Book Antiqua"/>
          <w:color w:val="000000" w:themeColor="text1"/>
          <w14:textFill>
            <w14:solidFill>
              <w14:schemeClr w14:val="tx1"/>
            </w14:solidFill>
          </w14:textFill>
        </w:rPr>
        <w:t xml:space="preserve">, Zhao L, Zheng Y, Liu B, Liu X, Li T, Zhang Y, Ma B, Yang Y, Shang Y, Fu X, Liang G, Yuan D, Qu J, Chai X, Zhang H, Wang Z, Lin H, Liu L, Ren X, Zhang J, Gao Q. The Sequence of Chemotherapy and Toripalimab Might Influence the Efficacy of Neoadjuvant Chemoimmunotherapy in Locally Advanced Esophageal Squamous Cell Cancer-A Phase II Study. </w:t>
      </w:r>
      <w:r>
        <w:rPr>
          <w:rFonts w:ascii="Book Antiqua" w:hAnsi="Book Antiqua"/>
          <w:i/>
          <w:iCs/>
          <w:color w:val="000000" w:themeColor="text1"/>
          <w14:textFill>
            <w14:solidFill>
              <w14:schemeClr w14:val="tx1"/>
            </w14:solidFill>
          </w14:textFill>
        </w:rPr>
        <w:t>Front Immunol</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12</w:t>
      </w:r>
      <w:r>
        <w:rPr>
          <w:rFonts w:ascii="Book Antiqua" w:hAnsi="Book Antiqua"/>
          <w:color w:val="000000" w:themeColor="text1"/>
          <w14:textFill>
            <w14:solidFill>
              <w14:schemeClr w14:val="tx1"/>
            </w14:solidFill>
          </w14:textFill>
        </w:rPr>
        <w:t>: 772450 [PMID: 34938292 DOI: 10.3389/fimmu.2021.772450]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123 </w:t>
      </w:r>
      <w:r>
        <w:rPr>
          <w:rFonts w:ascii="Book Antiqua" w:hAnsi="Book Antiqua"/>
          <w:b/>
          <w:bCs/>
          <w:color w:val="000000" w:themeColor="text1"/>
          <w14:textFill>
            <w14:solidFill>
              <w14:schemeClr w14:val="tx1"/>
            </w14:solidFill>
          </w14:textFill>
        </w:rPr>
        <w:t>Xing W</w:t>
      </w:r>
      <w:r>
        <w:rPr>
          <w:rFonts w:ascii="Book Antiqua" w:hAnsi="Book Antiqua"/>
          <w:color w:val="000000" w:themeColor="text1"/>
          <w14:textFill>
            <w14:solidFill>
              <w14:schemeClr w14:val="tx1"/>
            </w14:solidFill>
          </w14:textFill>
        </w:rPr>
        <w:t xml:space="preserve">, Zhao L, Fu X, Liang G, Zhang Y, Yuan D, Li Z, Gao Q, Zheng Y; written on Henan Cancer Hospital Thoracic Oncology Group (HCHTOG). A phase II, single-centre trial of neoadjuvant toripalimab plus chemotherapy in locally advanced esophageal squamous cell carcinoma. </w:t>
      </w:r>
      <w:r>
        <w:rPr>
          <w:rFonts w:ascii="Book Antiqua" w:hAnsi="Book Antiqua"/>
          <w:i/>
          <w:iCs/>
          <w:color w:val="000000" w:themeColor="text1"/>
          <w14:textFill>
            <w14:solidFill>
              <w14:schemeClr w14:val="tx1"/>
            </w14:solidFill>
          </w14:textFill>
        </w:rPr>
        <w:t>J Thorac Dis</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12</w:t>
      </w:r>
      <w:r>
        <w:rPr>
          <w:rFonts w:ascii="Book Antiqua" w:hAnsi="Book Antiqua"/>
          <w:color w:val="000000" w:themeColor="text1"/>
          <w14:textFill>
            <w14:solidFill>
              <w14:schemeClr w14:val="tx1"/>
            </w14:solidFill>
          </w14:textFill>
        </w:rPr>
        <w:t>: 6861-6867 [PMID: 33282388 DOI: 10.21037/jtd-20-2198]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124 </w:t>
      </w:r>
      <w:r>
        <w:rPr>
          <w:rFonts w:ascii="Book Antiqua" w:hAnsi="Book Antiqua"/>
          <w:b/>
          <w:bCs/>
          <w:color w:val="000000" w:themeColor="text1"/>
          <w14:textFill>
            <w14:solidFill>
              <w14:schemeClr w14:val="tx1"/>
            </w14:solidFill>
          </w14:textFill>
        </w:rPr>
        <w:t>Liu DL</w:t>
      </w:r>
      <w:r>
        <w:rPr>
          <w:rFonts w:ascii="Book Antiqua" w:hAnsi="Book Antiqua"/>
          <w:color w:val="000000" w:themeColor="text1"/>
          <w14:textFill>
            <w14:solidFill>
              <w14:schemeClr w14:val="tx1"/>
            </w14:solidFill>
          </w14:textFill>
        </w:rPr>
        <w:t>, Zhang Q, Zhu JH, Qian T, Yin R, Fan ZH, J</w:t>
      </w:r>
      <w:r>
        <w:rPr>
          <w:rFonts w:ascii="Book Antiqua" w:hAnsi="Book Antiqua"/>
          <w:color w:val="000000" w:themeColor="text1"/>
          <w:lang w:eastAsia="zh-CN"/>
          <w14:textFill>
            <w14:solidFill>
              <w14:schemeClr w14:val="tx1"/>
            </w14:solidFill>
          </w14:textFill>
        </w:rPr>
        <w:t>iang F, Li HH, Lu JW, Cao GC.</w:t>
      </w:r>
      <w:r>
        <w:rPr>
          <w:rFonts w:ascii="Book Antiqua" w:hAnsi="Book Antiqua"/>
          <w:color w:val="000000" w:themeColor="text1"/>
          <w14:textFill>
            <w14:solidFill>
              <w14:schemeClr w14:val="tx1"/>
            </w14:solidFill>
          </w14:textFill>
        </w:rPr>
        <w:t xml:space="preserve"> </w:t>
      </w:r>
      <w:bookmarkStart w:id="59" w:name="OLE_LINK6740"/>
      <w:r>
        <w:rPr>
          <w:rFonts w:ascii="Book Antiqua" w:hAnsi="Book Antiqua"/>
          <w:color w:val="000000" w:themeColor="text1"/>
          <w14:textFill>
            <w14:solidFill>
              <w14:schemeClr w14:val="tx1"/>
            </w14:solidFill>
          </w14:textFill>
        </w:rPr>
        <w:t>Phase-II study of toripalimab combined with neoadjuvant chemotherapy for the treatment of resectable esophageal squamous cell carcinoma</w:t>
      </w:r>
      <w:bookmarkEnd w:id="59"/>
      <w:r>
        <w:rPr>
          <w:rFonts w:ascii="Book Antiqua" w:hAnsi="Book Antiqua"/>
          <w:color w:val="000000" w:themeColor="text1"/>
          <w14:textFill>
            <w14:solidFill>
              <w14:schemeClr w14:val="tx1"/>
            </w14:solidFill>
          </w14:textFill>
        </w:rPr>
        <w:t xml:space="preserve">. </w:t>
      </w:r>
      <w:bookmarkStart w:id="60" w:name="OLE_LINK6742"/>
      <w:r>
        <w:rPr>
          <w:rFonts w:ascii="Book Antiqua" w:hAnsi="Book Antiqua"/>
          <w:i/>
          <w:iCs/>
          <w:color w:val="000000" w:themeColor="text1"/>
          <w14:textFill>
            <w14:solidFill>
              <w14:schemeClr w14:val="tx1"/>
            </w14:solidFill>
          </w14:textFill>
        </w:rPr>
        <w:t>J</w:t>
      </w:r>
      <w:bookmarkEnd w:id="60"/>
      <w:bookmarkStart w:id="61" w:name="OLE_LINK6741"/>
      <w:r>
        <w:rPr>
          <w:rFonts w:ascii="Book Antiqua" w:hAnsi="Book Antiqua"/>
          <w:i/>
          <w:iCs/>
          <w:color w:val="000000" w:themeColor="text1"/>
          <w14:textFill>
            <w14:solidFill>
              <w14:schemeClr w14:val="tx1"/>
            </w14:solidFill>
          </w14:textFill>
        </w:rPr>
        <w:t xml:space="preserve"> Clin Oncol </w:t>
      </w:r>
      <w:bookmarkEnd w:id="61"/>
      <w:r>
        <w:rPr>
          <w:rFonts w:ascii="Book Antiqua" w:hAnsi="Book Antiqua"/>
          <w:color w:val="000000" w:themeColor="text1"/>
          <w14:textFill>
            <w14:solidFill>
              <w14:schemeClr w14:val="tx1"/>
            </w14:solidFill>
          </w14:textFill>
        </w:rPr>
        <w:t>2021;</w:t>
      </w:r>
      <w:bookmarkStart w:id="62" w:name="OLE_LINK6743"/>
      <w:r>
        <w:rPr>
          <w:rFonts w:ascii="Book Antiqua" w:hAnsi="Book Antiqua"/>
          <w:b/>
          <w:bCs/>
          <w:color w:val="000000" w:themeColor="text1"/>
          <w14:textFill>
            <w14:solidFill>
              <w14:schemeClr w14:val="tx1"/>
            </w14:solidFill>
          </w14:textFill>
        </w:rPr>
        <w:t xml:space="preserve"> 39</w:t>
      </w:r>
      <w:bookmarkEnd w:id="62"/>
      <w:r>
        <w:rPr>
          <w:rFonts w:ascii="Book Antiqua" w:hAnsi="Book Antiqua"/>
          <w:color w:val="000000" w:themeColor="text1"/>
          <w14:textFill>
            <w14:solidFill>
              <w14:schemeClr w14:val="tx1"/>
            </w14:solidFill>
          </w14:textFill>
        </w:rPr>
        <w:t>: e16029 [DOI: 10.1200/JCO.2021.39.15_suppl.e16029]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125 </w:t>
      </w:r>
      <w:r>
        <w:rPr>
          <w:rFonts w:ascii="Book Antiqua" w:hAnsi="Book Antiqua"/>
          <w:b/>
          <w:bCs/>
          <w:color w:val="000000" w:themeColor="text1"/>
          <w14:textFill>
            <w14:solidFill>
              <w14:schemeClr w14:val="tx1"/>
            </w14:solidFill>
          </w14:textFill>
        </w:rPr>
        <w:t>Gao L</w:t>
      </w:r>
      <w:r>
        <w:rPr>
          <w:rFonts w:ascii="Book Antiqua" w:hAnsi="Book Antiqua"/>
          <w:color w:val="000000" w:themeColor="text1"/>
          <w14:textFill>
            <w14:solidFill>
              <w14:schemeClr w14:val="tx1"/>
            </w14:solidFill>
          </w14:textFill>
        </w:rPr>
        <w:t xml:space="preserve">, Lu J, Zhang P, Hong ZN, Kang M. Toripalimab combined with docetaxel and cisplatin neoadjuvant therapy for locally advanced esophageal squamous cell carcinoma: a single-center, single-arm clinical trial (ESONICT-2). </w:t>
      </w:r>
      <w:r>
        <w:rPr>
          <w:rFonts w:ascii="Book Antiqua" w:hAnsi="Book Antiqua"/>
          <w:i/>
          <w:iCs/>
          <w:color w:val="000000" w:themeColor="text1"/>
          <w14:textFill>
            <w14:solidFill>
              <w14:schemeClr w14:val="tx1"/>
            </w14:solidFill>
          </w14:textFill>
        </w:rPr>
        <w:t>J Gastrointest Oncol</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13</w:t>
      </w:r>
      <w:r>
        <w:rPr>
          <w:rFonts w:ascii="Book Antiqua" w:hAnsi="Book Antiqua"/>
          <w:color w:val="000000" w:themeColor="text1"/>
          <w14:textFill>
            <w14:solidFill>
              <w14:schemeClr w14:val="tx1"/>
            </w14:solidFill>
          </w14:textFill>
        </w:rPr>
        <w:t>: 478-487 [PMID: 35557591 DOI: 10.21037/jgo-22-131]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126 </w:t>
      </w:r>
      <w:r>
        <w:rPr>
          <w:rFonts w:ascii="Book Antiqua" w:hAnsi="Book Antiqua"/>
          <w:b/>
          <w:bCs/>
          <w:color w:val="000000" w:themeColor="text1"/>
          <w14:textFill>
            <w14:solidFill>
              <w14:schemeClr w14:val="tx1"/>
            </w14:solidFill>
          </w14:textFill>
        </w:rPr>
        <w:t>Jiang N</w:t>
      </w:r>
      <w:bookmarkStart w:id="63" w:name="OLE_LINK6746"/>
      <w:r>
        <w:rPr>
          <w:rFonts w:ascii="Book Antiqua" w:hAnsi="Book Antiqua"/>
          <w:color w:val="000000" w:themeColor="text1"/>
          <w14:textFill>
            <w14:solidFill>
              <w14:schemeClr w14:val="tx1"/>
            </w14:solidFill>
          </w14:textFill>
        </w:rPr>
        <w:t>,</w:t>
      </w:r>
      <w:bookmarkEnd w:id="63"/>
      <w:r>
        <w:rPr>
          <w:rFonts w:ascii="Book Antiqua" w:hAnsi="Book Antiqua"/>
          <w:color w:val="000000" w:themeColor="text1"/>
          <w14:textFill>
            <w14:solidFill>
              <w14:schemeClr w14:val="tx1"/>
            </w14:solidFill>
          </w14:textFill>
        </w:rPr>
        <w:t xml:space="preserve"> Jiang M, Zhu XZ, Ren BH, Zhang JY, Guo Z, W</w:t>
      </w:r>
      <w:r>
        <w:rPr>
          <w:rFonts w:ascii="Book Antiqua" w:hAnsi="Book Antiqua"/>
          <w:color w:val="000000" w:themeColor="text1"/>
          <w:lang w:eastAsia="zh-CN"/>
          <w14:textFill>
            <w14:solidFill>
              <w14:schemeClr w14:val="tx1"/>
            </w14:solidFill>
          </w14:textFill>
        </w:rPr>
        <w:t>u YA, Song X, Zhao LJ, Kong C, Cao GC, Qian PD, Z</w:t>
      </w:r>
      <w:r>
        <w:rPr>
          <w:rFonts w:hint="eastAsia" w:ascii="Book Antiqua" w:hAnsi="Book Antiqua"/>
          <w:color w:val="000000" w:themeColor="text1"/>
          <w:lang w:eastAsia="zh-CN"/>
          <w14:textFill>
            <w14:solidFill>
              <w14:schemeClr w14:val="tx1"/>
            </w14:solidFill>
          </w14:textFill>
        </w:rPr>
        <w:t>hao</w:t>
      </w:r>
      <w:r>
        <w:rPr>
          <w:rFonts w:ascii="Book Antiqua" w:hAnsi="Book Antiqua"/>
          <w:color w:val="000000" w:themeColor="text1"/>
          <w:lang w:eastAsia="zh-CN"/>
          <w14:textFill>
            <w14:solidFill>
              <w14:schemeClr w14:val="tx1"/>
            </w14:solidFill>
          </w14:textFill>
        </w:rPr>
        <w:t xml:space="preserve"> Y, L</w:t>
      </w:r>
      <w:r>
        <w:rPr>
          <w:rFonts w:hint="eastAsia" w:ascii="Book Antiqua" w:hAnsi="Book Antiqua"/>
          <w:color w:val="000000" w:themeColor="text1"/>
          <w:lang w:eastAsia="zh-CN"/>
          <w14:textFill>
            <w14:solidFill>
              <w14:schemeClr w14:val="tx1"/>
            </w14:solidFill>
          </w14:textFill>
        </w:rPr>
        <w:t>i</w:t>
      </w:r>
      <w:r>
        <w:rPr>
          <w:rFonts w:ascii="Book Antiqua" w:hAnsi="Book Antiqua"/>
          <w:color w:val="000000" w:themeColor="text1"/>
          <w:lang w:eastAsia="zh-CN"/>
          <w14:textFill>
            <w14:solidFill>
              <w14:schemeClr w14:val="tx1"/>
            </w14:solidFill>
          </w14:textFill>
        </w:rPr>
        <w:t xml:space="preserve"> S, Luo SF. </w:t>
      </w:r>
      <w:bookmarkStart w:id="64" w:name="OLE_LINK6745"/>
      <w:r>
        <w:rPr>
          <w:rFonts w:ascii="Book Antiqua" w:hAnsi="Book Antiqua"/>
          <w:color w:val="000000" w:themeColor="text1"/>
          <w14:textFill>
            <w14:solidFill>
              <w14:schemeClr w14:val="tx1"/>
            </w14:solidFill>
          </w14:textFill>
        </w:rPr>
        <w:t>SCALE-1: Safety and efficacy of short course neoadjuvant chemo-radiotherapy plus toripalimab for locally advanced resectable squamous cell carcinoma of esophagus</w:t>
      </w:r>
      <w:bookmarkEnd w:id="64"/>
      <w:r>
        <w:rPr>
          <w:rFonts w:ascii="Book Antiqua" w:hAnsi="Book Antiqua"/>
          <w:color w:val="000000" w:themeColor="text1"/>
          <w14:textFill>
            <w14:solidFill>
              <w14:schemeClr w14:val="tx1"/>
            </w14:solidFill>
          </w14:textFill>
        </w:rPr>
        <w:t xml:space="preserve">. </w:t>
      </w:r>
      <w:bookmarkStart w:id="65" w:name="OLE_LINK6747"/>
      <w:r>
        <w:rPr>
          <w:rFonts w:ascii="Book Antiqua" w:hAnsi="Book Antiqua"/>
          <w:i/>
          <w:iCs/>
          <w:color w:val="000000" w:themeColor="text1"/>
          <w14:textFill>
            <w14:solidFill>
              <w14:schemeClr w14:val="tx1"/>
            </w14:solidFill>
          </w14:textFill>
        </w:rPr>
        <w:t>J Clin Oncol</w:t>
      </w:r>
      <w:bookmarkEnd w:id="65"/>
      <w:r>
        <w:rPr>
          <w:rFonts w:ascii="Book Antiqua" w:hAnsi="Book Antiqua"/>
          <w:color w:val="000000" w:themeColor="text1"/>
          <w14:textFill>
            <w14:solidFill>
              <w14:schemeClr w14:val="tx1"/>
            </w14:solidFill>
          </w14:textFill>
        </w:rPr>
        <w:t xml:space="preserve"> 2022; </w:t>
      </w:r>
      <w:bookmarkStart w:id="66" w:name="OLE_LINK6748"/>
      <w:r>
        <w:rPr>
          <w:rFonts w:ascii="Book Antiqua" w:hAnsi="Book Antiqua"/>
          <w:b/>
          <w:bCs/>
          <w:color w:val="000000" w:themeColor="text1"/>
          <w14:textFill>
            <w14:solidFill>
              <w14:schemeClr w14:val="tx1"/>
            </w14:solidFill>
          </w14:textFill>
        </w:rPr>
        <w:t>40</w:t>
      </w:r>
      <w:bookmarkEnd w:id="66"/>
      <w:r>
        <w:rPr>
          <w:rFonts w:ascii="Book Antiqua" w:hAnsi="Book Antiqua"/>
          <w:color w:val="000000" w:themeColor="text1"/>
          <w14:textFill>
            <w14:solidFill>
              <w14:schemeClr w14:val="tx1"/>
            </w14:solidFill>
          </w14:textFill>
        </w:rPr>
        <w:t>: 4063 [DOI: 10.1200/JCO.2022.40.16_suppl.4063]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127 </w:t>
      </w:r>
      <w:r>
        <w:rPr>
          <w:rFonts w:ascii="Book Antiqua" w:hAnsi="Book Antiqua"/>
          <w:b/>
          <w:bCs/>
          <w:color w:val="000000" w:themeColor="text1"/>
          <w14:textFill>
            <w14:solidFill>
              <w14:schemeClr w14:val="tx1"/>
            </w14:solidFill>
          </w14:textFill>
        </w:rPr>
        <w:t>Hong ZN</w:t>
      </w:r>
      <w:r>
        <w:rPr>
          <w:rFonts w:ascii="Book Antiqua" w:hAnsi="Book Antiqua"/>
          <w:color w:val="000000" w:themeColor="text1"/>
          <w14:textFill>
            <w14:solidFill>
              <w14:schemeClr w14:val="tx1"/>
            </w14:solidFill>
          </w14:textFill>
        </w:rPr>
        <w:t xml:space="preserve">, Zhang Z, Chen Z, Weng K, Peng K, Lin J, Kang M. Safety and feasibility of esophagectomy following combined neoadjuvant immunotherapy and chemotherapy for locally advanced esophageal cancer: a propensity score matching. </w:t>
      </w:r>
      <w:r>
        <w:rPr>
          <w:rFonts w:ascii="Book Antiqua" w:hAnsi="Book Antiqua"/>
          <w:i/>
          <w:iCs/>
          <w:color w:val="000000" w:themeColor="text1"/>
          <w14:textFill>
            <w14:solidFill>
              <w14:schemeClr w14:val="tx1"/>
            </w14:solidFill>
          </w14:textFill>
        </w:rPr>
        <w:t>Esophagus</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19</w:t>
      </w:r>
      <w:r>
        <w:rPr>
          <w:rFonts w:ascii="Book Antiqua" w:hAnsi="Book Antiqua"/>
          <w:color w:val="000000" w:themeColor="text1"/>
          <w14:textFill>
            <w14:solidFill>
              <w14:schemeClr w14:val="tx1"/>
            </w14:solidFill>
          </w14:textFill>
        </w:rPr>
        <w:t>: 224-232 [PMID: 34988773 DOI: 10.1007/s10388-021-00899-x]</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128 </w:t>
      </w:r>
      <w:r>
        <w:rPr>
          <w:rFonts w:ascii="Book Antiqua" w:hAnsi="Book Antiqua"/>
          <w:b/>
          <w:bCs/>
          <w:color w:val="000000" w:themeColor="text1"/>
          <w14:textFill>
            <w14:solidFill>
              <w14:schemeClr w14:val="tx1"/>
            </w14:solidFill>
          </w14:textFill>
        </w:rPr>
        <w:t>Yang Y</w:t>
      </w:r>
      <w:r>
        <w:rPr>
          <w:rFonts w:ascii="Book Antiqua" w:hAnsi="Book Antiqua"/>
          <w:color w:val="000000" w:themeColor="text1"/>
          <w14:textFill>
            <w14:solidFill>
              <w14:schemeClr w14:val="tx1"/>
            </w14:solidFill>
          </w14:textFill>
        </w:rPr>
        <w:t xml:space="preserve">, Zhu L, Cheng Y, Liu Z, Cai X, Shao J, Zhang M, Liu J, Sun Y, Li Y, Yi J, Yu B, Jiang H, Chen H, Yang H, Tan L, Li Z. Three-arm phase II trial comparing camrelizumab plus chemotherapy versus camrelizumab plus chemoradiation versus chemoradiation as preoperative treatment for locally advanced esophageal squamous cell carcinoma (NICE-2 Study). </w:t>
      </w:r>
      <w:r>
        <w:rPr>
          <w:rFonts w:ascii="Book Antiqua" w:hAnsi="Book Antiqua"/>
          <w:i/>
          <w:iCs/>
          <w:color w:val="000000" w:themeColor="text1"/>
          <w14:textFill>
            <w14:solidFill>
              <w14:schemeClr w14:val="tx1"/>
            </w14:solidFill>
          </w14:textFill>
        </w:rPr>
        <w:t>BMC Cancer</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22</w:t>
      </w:r>
      <w:r>
        <w:rPr>
          <w:rFonts w:ascii="Book Antiqua" w:hAnsi="Book Antiqua"/>
          <w:color w:val="000000" w:themeColor="text1"/>
          <w14:textFill>
            <w14:solidFill>
              <w14:schemeClr w14:val="tx1"/>
            </w14:solidFill>
          </w14:textFill>
        </w:rPr>
        <w:t>: 506 [PMID: 35524205 DOI: 10.1186/s12885-022-09573-6]</w:t>
      </w:r>
      <w:bookmarkEnd w:id="28"/>
      <w:bookmarkEnd w:id="29"/>
      <w:bookmarkEnd w:id="30"/>
      <w:bookmarkEnd w:id="31"/>
      <w:bookmarkEnd w:id="32"/>
      <w:bookmarkEnd w:id="33"/>
      <w:bookmarkEnd w:id="34"/>
    </w:p>
    <w:p>
      <w:pPr>
        <w:spacing w:line="360" w:lineRule="auto"/>
        <w:jc w:val="both"/>
        <w:rPr>
          <w:rFonts w:ascii="Book Antiqua" w:hAnsi="Book Antiqua" w:eastAsia="Book Antiqua" w:cs="Book Antiqua"/>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szCs w:val="21"/>
          <w14:textFill>
            <w14:solidFill>
              <w14:schemeClr w14:val="tx1"/>
            </w14:solidFill>
          </w14:textFill>
        </w:rPr>
        <w:t>The author declares no conflicts</w:t>
      </w:r>
      <w:r>
        <w:rPr>
          <w:rFonts w:hint="eastAsia" w:ascii="Book Antiqua" w:hAnsi="Book Antiqua" w:eastAsia="宋体" w:cs="Book Antiqua"/>
          <w:color w:val="000000" w:themeColor="text1"/>
          <w:szCs w:val="21"/>
          <w:lang w:val="en-US" w:eastAsia="zh-CN"/>
          <w14:textFill>
            <w14:solidFill>
              <w14:schemeClr w14:val="tx1"/>
            </w14:solidFill>
          </w14:textFill>
        </w:rPr>
        <w:t xml:space="preserve"> </w:t>
      </w:r>
      <w:r>
        <w:rPr>
          <w:rFonts w:ascii="Book Antiqua" w:hAnsi="Book Antiqua" w:eastAsia="Book Antiqua" w:cs="Book Antiqua"/>
          <w:color w:val="000000" w:themeColor="text1"/>
          <w:szCs w:val="21"/>
          <w14:textFill>
            <w14:solidFill>
              <w14:schemeClr w14:val="tx1"/>
            </w14:solidFill>
          </w14:textFill>
        </w:rPr>
        <w:t>of</w:t>
      </w:r>
      <w:r>
        <w:rPr>
          <w:rFonts w:hint="eastAsia" w:ascii="Book Antiqua" w:hAnsi="Book Antiqua" w:eastAsia="宋体" w:cs="Book Antiqua"/>
          <w:color w:val="000000" w:themeColor="text1"/>
          <w:szCs w:val="21"/>
          <w:lang w:val="en-US" w:eastAsia="zh-CN"/>
          <w14:textFill>
            <w14:solidFill>
              <w14:schemeClr w14:val="tx1"/>
            </w14:solidFill>
          </w14:textFill>
        </w:rPr>
        <w:t xml:space="preserve"> </w:t>
      </w:r>
      <w:r>
        <w:rPr>
          <w:rFonts w:ascii="Book Antiqua" w:hAnsi="Book Antiqua" w:eastAsia="Book Antiqua" w:cs="Book Antiqua"/>
          <w:color w:val="000000" w:themeColor="text1"/>
          <w:szCs w:val="21"/>
          <w14:textFill>
            <w14:solidFill>
              <w14:schemeClr w14:val="tx1"/>
            </w14:solidFill>
          </w14:textFill>
        </w:rPr>
        <w:t>interest related to this article.</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Provenance and peer review: </w:t>
      </w:r>
      <w:r>
        <w:rPr>
          <w:rFonts w:ascii="Book Antiqua" w:hAnsi="Book Antiqua" w:eastAsia="Book Antiqua" w:cs="Book Antiqua"/>
          <w:color w:val="000000" w:themeColor="text1"/>
          <w14:textFill>
            <w14:solidFill>
              <w14:schemeClr w14:val="tx1"/>
            </w14:solidFill>
          </w14:textFill>
        </w:rPr>
        <w:t>Invited article; Externally peer reviewed.</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model: </w:t>
      </w:r>
      <w:r>
        <w:rPr>
          <w:rFonts w:ascii="Book Antiqua" w:hAnsi="Book Antiqua" w:eastAsia="Book Antiqua" w:cs="Book Antiqua"/>
          <w:color w:val="000000" w:themeColor="text1"/>
          <w14:textFill>
            <w14:solidFill>
              <w14:schemeClr w14:val="tx1"/>
            </w14:solidFill>
          </w14:textFill>
        </w:rPr>
        <w:t>Single blind</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April 23, 2023</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July 9, 2023</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p>
    <w:p>
      <w:pPr>
        <w:spacing w:line="360" w:lineRule="auto"/>
        <w:jc w:val="both"/>
        <w:rPr>
          <w:color w:val="000000" w:themeColor="text1"/>
          <w14:textFill>
            <w14:solidFill>
              <w14:schemeClr w14:val="tx1"/>
            </w14:solidFill>
          </w14:textFill>
        </w:rPr>
      </w:pP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Book Antiqua" w:cs="Book Antiqua"/>
          <w:color w:val="000000" w:themeColor="text1"/>
          <w14:textFill>
            <w14:solidFill>
              <w14:schemeClr w14:val="tx1"/>
            </w14:solidFill>
          </w14:textFill>
        </w:rPr>
        <w:t>Gastroenterology and hepatology</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China</w:t>
      </w:r>
    </w:p>
    <w:p>
      <w:pPr>
        <w:spacing w:line="360" w:lineRule="auto"/>
        <w:jc w:val="both"/>
        <w:rPr>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A</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B</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C</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spacing w:line="360" w:lineRule="auto"/>
        <w:jc w:val="both"/>
        <w:rPr>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spacing w:line="360" w:lineRule="auto"/>
        <w:jc w:val="both"/>
        <w:rPr>
          <w:color w:val="000000" w:themeColor="text1"/>
          <w14:textFill>
            <w14:solidFill>
              <w14:schemeClr w14:val="tx1"/>
            </w14:solidFill>
          </w14:textFill>
        </w:rPr>
      </w:pPr>
    </w:p>
    <w:p>
      <w:pPr>
        <w:spacing w:line="360" w:lineRule="auto"/>
        <w:jc w:val="both"/>
        <w:rPr>
          <w:rFonts w:ascii="Book Antiqua" w:hAnsi="Book Antiqua" w:eastAsia="Book Antiqua" w:cs="Book Antiqua"/>
          <w:b/>
          <w:color w:val="000000" w:themeColor="text1"/>
          <w:lang w:eastAsia="zh-CN"/>
          <w14:textFill>
            <w14:solidFill>
              <w14:schemeClr w14:val="tx1"/>
            </w14:solidFill>
          </w14:textFill>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Matsuo Y, Japan; Nakano H, Japan; Viswanath Y, United Kingdom</w:t>
      </w:r>
      <w:r>
        <w:rPr>
          <w:rFonts w:ascii="Book Antiqua" w:hAnsi="Book Antiqua" w:eastAsia="Book Antiqua" w:cs="Book Antiqua"/>
          <w:b/>
          <w:color w:val="000000" w:themeColor="text1"/>
          <w14:textFill>
            <w14:solidFill>
              <w14:schemeClr w14:val="tx1"/>
            </w14:solidFill>
          </w14:textFill>
        </w:rPr>
        <w:t xml:space="preserve"> S-Editor: </w:t>
      </w:r>
      <w:bookmarkStart w:id="67" w:name="OLE_LINK6757"/>
      <w:r>
        <w:rPr>
          <w:rFonts w:ascii="Book Antiqua" w:hAnsi="Book Antiqua" w:eastAsia="Book Antiqua" w:cs="Book Antiqua"/>
          <w:bCs/>
          <w:color w:val="000000" w:themeColor="text1"/>
          <w14:textFill>
            <w14:solidFill>
              <w14:schemeClr w14:val="tx1"/>
            </w14:solidFill>
          </w14:textFill>
        </w:rPr>
        <w:t>Y</w:t>
      </w:r>
      <w:r>
        <w:rPr>
          <w:rFonts w:hint="eastAsia" w:ascii="Book Antiqua" w:hAnsi="Book Antiqua" w:eastAsia="Book Antiqua" w:cs="Book Antiqua"/>
          <w:bCs/>
          <w:color w:val="000000" w:themeColor="text1"/>
          <w:lang w:eastAsia="zh-CN"/>
          <w14:textFill>
            <w14:solidFill>
              <w14:schemeClr w14:val="tx1"/>
            </w14:solidFill>
          </w14:textFill>
        </w:rPr>
        <w:t>an</w:t>
      </w:r>
      <w:r>
        <w:rPr>
          <w:rFonts w:ascii="Book Antiqua" w:hAnsi="Book Antiqua" w:eastAsia="Book Antiqua" w:cs="Book Antiqua"/>
          <w:bCs/>
          <w:color w:val="000000" w:themeColor="text1"/>
          <w:lang w:eastAsia="zh-CN"/>
          <w14:textFill>
            <w14:solidFill>
              <w14:schemeClr w14:val="tx1"/>
            </w14:solidFill>
          </w14:textFill>
        </w:rPr>
        <w:t xml:space="preserve"> JP</w:t>
      </w:r>
      <w:bookmarkEnd w:id="67"/>
      <w:r>
        <w:rPr>
          <w:rFonts w:ascii="Book Antiqua" w:hAnsi="Book Antiqua" w:eastAsia="Book Antiqua" w:cs="Book Antiqua"/>
          <w:b/>
          <w:color w:val="000000" w:themeColor="text1"/>
          <w14:textFill>
            <w14:solidFill>
              <w14:schemeClr w14:val="tx1"/>
            </w14:solidFill>
          </w14:textFill>
        </w:rPr>
        <w:t xml:space="preserve"> L-Editor: </w:t>
      </w:r>
      <w:r>
        <w:rPr>
          <w:rFonts w:hint="eastAsia" w:ascii="Book Antiqua" w:hAnsi="Book Antiqua" w:eastAsia="宋体" w:cs="Book Antiqua"/>
          <w:bCs/>
          <w:color w:val="000000" w:themeColor="text1"/>
          <w:lang w:val="en-US" w:eastAsia="zh-CN"/>
          <w14:textFill>
            <w14:solidFill>
              <w14:schemeClr w14:val="tx1"/>
            </w14:solidFill>
          </w14:textFill>
        </w:rPr>
        <w:t>Wang TQ</w:t>
      </w:r>
      <w:r>
        <w:rPr>
          <w:rFonts w:ascii="Book Antiqua" w:hAnsi="Book Antiqua" w:eastAsia="Book Antiqua" w:cs="Book Antiqua"/>
          <w:b/>
          <w:color w:val="000000" w:themeColor="text1"/>
          <w14:textFill>
            <w14:solidFill>
              <w14:schemeClr w14:val="tx1"/>
            </w14:solidFill>
          </w14:textFill>
        </w:rPr>
        <w:t xml:space="preserve"> P-Editor: </w:t>
      </w:r>
    </w:p>
    <w:p>
      <w:pPr>
        <w:spacing w:line="360" w:lineRule="auto"/>
        <w:jc w:val="both"/>
        <w:rPr>
          <w:rFonts w:ascii="Book Antiqua" w:hAnsi="Book Antiqua"/>
          <w:b/>
          <w:bCs/>
          <w:color w:val="000000" w:themeColor="text1"/>
          <w:shd w:val="clear" w:color="auto" w:fill="FFFFFF"/>
          <w14:textFill>
            <w14:solidFill>
              <w14:schemeClr w14:val="tx1"/>
            </w14:solidFill>
          </w14:textFill>
        </w:rPr>
      </w:pPr>
      <w:bookmarkStart w:id="68" w:name="OLE_LINK6759"/>
      <w:bookmarkEnd w:id="68"/>
      <w:bookmarkStart w:id="69" w:name="OLE_LINK6764"/>
      <w:bookmarkStart w:id="70" w:name="OLE_LINK6762"/>
      <w:bookmarkStart w:id="71" w:name="OLE_LINK6763"/>
      <w:bookmarkStart w:id="72" w:name="OLE_LINK6768"/>
      <w:bookmarkStart w:id="73" w:name="OLE_LINK6765"/>
      <w:bookmarkStart w:id="74" w:name="OLE_LINK6760"/>
      <w:bookmarkStart w:id="75" w:name="OLE_LINK6761"/>
      <w:bookmarkStart w:id="76" w:name="OLE_LINK6767"/>
      <w:bookmarkStart w:id="77" w:name="OLE_LINK6766"/>
      <w:r>
        <w:rPr>
          <w:rFonts w:ascii="Book Antiqua" w:hAnsi="Book Antiqua"/>
          <w:b/>
          <w:bCs/>
          <w:color w:val="000000" w:themeColor="text1"/>
          <w:shd w:val="clear" w:color="auto" w:fill="FFFFFF"/>
          <w14:textFill>
            <w14:solidFill>
              <w14:schemeClr w14:val="tx1"/>
            </w14:solidFill>
          </w14:textFill>
        </w:rPr>
        <w:t>Table 1 Reported clinical results of neoadjuvant immunotherapy for resectable</w:t>
      </w:r>
      <w:bookmarkStart w:id="78" w:name="OLE_LINK6831"/>
      <w:r>
        <w:rPr>
          <w:rFonts w:ascii="Book Antiqua" w:hAnsi="Book Antiqua"/>
          <w:b/>
          <w:bCs/>
          <w:color w:val="000000" w:themeColor="text1"/>
          <w:shd w:val="clear" w:color="auto" w:fill="FFFFFF"/>
          <w14:textFill>
            <w14:solidFill>
              <w14:schemeClr w14:val="tx1"/>
            </w14:solidFill>
          </w14:textFill>
        </w:rPr>
        <w:t xml:space="preserve"> </w:t>
      </w:r>
      <w:r>
        <w:rPr>
          <w:rFonts w:ascii="Book Antiqua" w:hAnsi="Book Antiqua" w:eastAsia="Book Antiqua" w:cs="Book Antiqua"/>
          <w:b/>
          <w:bCs/>
          <w:color w:val="000000" w:themeColor="text1"/>
          <w14:textFill>
            <w14:solidFill>
              <w14:schemeClr w14:val="tx1"/>
            </w14:solidFill>
          </w14:textFill>
        </w:rPr>
        <w:t>esophageal squamous cell carcinoma</w:t>
      </w:r>
      <w:bookmarkEnd w:id="78"/>
    </w:p>
    <w:bookmarkEnd w:id="69"/>
    <w:tbl>
      <w:tblPr>
        <w:tblStyle w:val="25"/>
        <w:tblW w:w="5000" w:type="pct"/>
        <w:tblInd w:w="0" w:type="dxa"/>
        <w:tblLayout w:type="fixed"/>
        <w:tblCellMar>
          <w:top w:w="0" w:type="dxa"/>
          <w:left w:w="108" w:type="dxa"/>
          <w:bottom w:w="0" w:type="dxa"/>
          <w:right w:w="108" w:type="dxa"/>
        </w:tblCellMar>
      </w:tblPr>
      <w:tblGrid>
        <w:gridCol w:w="886"/>
        <w:gridCol w:w="888"/>
        <w:gridCol w:w="888"/>
        <w:gridCol w:w="888"/>
        <w:gridCol w:w="888"/>
        <w:gridCol w:w="887"/>
        <w:gridCol w:w="887"/>
        <w:gridCol w:w="887"/>
        <w:gridCol w:w="885"/>
        <w:gridCol w:w="887"/>
        <w:gridCol w:w="887"/>
        <w:gridCol w:w="887"/>
        <w:gridCol w:w="887"/>
        <w:gridCol w:w="887"/>
        <w:gridCol w:w="887"/>
        <w:gridCol w:w="870"/>
      </w:tblGrid>
      <w:tr>
        <w:trPr>
          <w:trHeight w:val="1560" w:hRule="atLeast"/>
        </w:trPr>
        <w:tc>
          <w:tcPr>
            <w:tcW w:w="312"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bookmarkStart w:id="79" w:name="_Hlk142658748"/>
            <w:bookmarkStart w:id="80" w:name="_Hlk132533052"/>
            <w:bookmarkStart w:id="81" w:name="OLE_LINK6770"/>
            <w:r>
              <w:rPr>
                <w:rFonts w:ascii="Book Antiqua" w:hAnsi="Book Antiqua" w:cs="Times New Roman"/>
                <w:b/>
                <w:bCs/>
                <w:caps w:val="0"/>
                <w:color w:val="000000" w:themeColor="text1"/>
                <w:kern w:val="2"/>
                <w:lang w:eastAsia="zh-CN"/>
                <w14:textFill>
                  <w14:solidFill>
                    <w14:schemeClr w14:val="tx1"/>
                  </w14:solidFill>
                </w14:textFill>
              </w:rPr>
              <w:t>Drug &amp; R</w:t>
            </w:r>
            <w:r>
              <w:rPr>
                <w:rFonts w:hint="eastAsia" w:ascii="Book Antiqua" w:hAnsi="Book Antiqua" w:cs="Times New Roman"/>
                <w:b/>
                <w:bCs/>
                <w:caps w:val="0"/>
                <w:color w:val="000000" w:themeColor="text1"/>
                <w:kern w:val="2"/>
                <w:lang w:eastAsia="zh-CN"/>
                <w14:textFill>
                  <w14:solidFill>
                    <w14:schemeClr w14:val="tx1"/>
                  </w14:solidFill>
                </w14:textFill>
              </w:rPr>
              <w:t>e</w:t>
            </w:r>
            <w:r>
              <w:rPr>
                <w:rFonts w:ascii="Book Antiqua" w:hAnsi="Book Antiqua" w:cs="Times New Roman"/>
                <w:b/>
                <w:bCs/>
                <w:caps w:val="0"/>
                <w:color w:val="000000" w:themeColor="text1"/>
                <w:kern w:val="2"/>
                <w:lang w:eastAsia="zh-CN"/>
                <w14:textFill>
                  <w14:solidFill>
                    <w14:schemeClr w14:val="tx1"/>
                  </w14:solidFill>
                </w14:textFill>
              </w:rPr>
              <w:t>f.</w:t>
            </w:r>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Trial No.</w:t>
            </w:r>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Phase</w:t>
            </w:r>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 xml:space="preserve">Number </w:t>
            </w:r>
            <w:bookmarkStart w:id="82" w:name="OLE_LINK6775"/>
            <w:bookmarkStart w:id="83" w:name="OLE_LINK6776"/>
            <w:r>
              <w:rPr>
                <w:rFonts w:ascii="Book Antiqua" w:hAnsi="Book Antiqua" w:cs="Times New Roman"/>
                <w:b/>
                <w:bCs/>
                <w:caps w:val="0"/>
                <w:color w:val="000000" w:themeColor="text1"/>
                <w:kern w:val="2"/>
                <w:lang w:eastAsia="zh-CN"/>
                <w14:textFill>
                  <w14:solidFill>
                    <w14:schemeClr w14:val="tx1"/>
                  </w14:solidFill>
                </w14:textFill>
              </w:rPr>
              <w:t>o</w:t>
            </w:r>
            <w:bookmarkEnd w:id="82"/>
            <w:r>
              <w:rPr>
                <w:rFonts w:ascii="Book Antiqua" w:hAnsi="Book Antiqua" w:cs="Times New Roman"/>
                <w:b/>
                <w:bCs/>
                <w:caps w:val="0"/>
                <w:color w:val="000000" w:themeColor="text1"/>
                <w:kern w:val="2"/>
                <w:lang w:eastAsia="zh-CN"/>
                <w14:textFill>
                  <w14:solidFill>
                    <w14:schemeClr w14:val="tx1"/>
                  </w14:solidFill>
                </w14:textFill>
              </w:rPr>
              <w:t>f enrollments</w:t>
            </w:r>
            <w:bookmarkEnd w:id="83"/>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Clinical stage</w:t>
            </w:r>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Design</w:t>
            </w:r>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Chemotherapy drugs</w:t>
            </w:r>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hint="default" w:ascii="Book Antiqua" w:hAnsi="Book Antiqua" w:cs="Times New Roman"/>
                <w:b/>
                <w:bCs/>
                <w:caps/>
                <w:color w:val="000000" w:themeColor="text1"/>
                <w:kern w:val="2"/>
                <w:lang w:val="en-US"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Chemotherapy cycle</w:t>
            </w:r>
            <w:r>
              <w:rPr>
                <w:rFonts w:hint="eastAsia" w:ascii="Book Antiqua" w:hAnsi="Book Antiqua" w:cs="Times New Roman"/>
                <w:b/>
                <w:bCs/>
                <w:caps w:val="0"/>
                <w:color w:val="000000" w:themeColor="text1"/>
                <w:kern w:val="2"/>
                <w:lang w:val="en-US" w:eastAsia="zh-CN"/>
                <w14:textFill>
                  <w14:solidFill>
                    <w14:schemeClr w14:val="tx1"/>
                  </w14:solidFill>
                </w14:textFill>
              </w:rPr>
              <w:t>s</w:t>
            </w:r>
          </w:p>
        </w:tc>
        <w:tc>
          <w:tcPr>
            <w:tcW w:w="312"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Radiotherapy</w:t>
            </w:r>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 xml:space="preserve">Interval </w:t>
            </w:r>
            <w:bookmarkStart w:id="84" w:name="OLE_LINK6777"/>
            <w:r>
              <w:rPr>
                <w:rFonts w:ascii="Book Antiqua" w:hAnsi="Book Antiqua" w:cs="Times New Roman"/>
                <w:b/>
                <w:bCs/>
                <w:caps w:val="0"/>
                <w:color w:val="000000" w:themeColor="text1"/>
                <w:kern w:val="2"/>
                <w:lang w:eastAsia="zh-CN"/>
                <w14:textFill>
                  <w14:solidFill>
                    <w14:schemeClr w14:val="tx1"/>
                  </w14:solidFill>
                </w14:textFill>
              </w:rPr>
              <w:t>time to surgery</w:t>
            </w:r>
            <w:bookmarkEnd w:id="84"/>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Primary outcome</w:t>
            </w:r>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Safety (</w:t>
            </w:r>
            <w:bookmarkStart w:id="85" w:name="OLE_LINK6778"/>
            <w:r>
              <w:rPr>
                <w:rFonts w:ascii="Book Antiqua" w:hAnsi="Book Antiqua" w:cs="Times New Roman"/>
                <w:b/>
                <w:bCs/>
                <w:caps w:val="0"/>
                <w:color w:val="000000" w:themeColor="text1"/>
                <w:kern w:val="2"/>
                <w:lang w:eastAsia="zh-CN"/>
                <w14:textFill>
                  <w14:solidFill>
                    <w14:schemeClr w14:val="tx1"/>
                  </w14:solidFill>
                </w14:textFill>
              </w:rPr>
              <w:t xml:space="preserve">rate of </w:t>
            </w:r>
            <w:bookmarkEnd w:id="85"/>
            <w:r>
              <w:rPr>
                <w:rFonts w:hint="eastAsia" w:ascii="Book Antiqua" w:hAnsi="Book Antiqua" w:cs="Times New Roman"/>
                <w:b/>
                <w:bCs/>
                <w:caps w:val="0"/>
                <w:color w:val="000000" w:themeColor="text1"/>
                <w:kern w:val="2"/>
                <w:lang w:val="en-US" w:eastAsia="zh-CN"/>
                <w14:textFill>
                  <w14:solidFill>
                    <w14:schemeClr w14:val="tx1"/>
                  </w14:solidFill>
                </w14:textFill>
              </w:rPr>
              <w:t>g</w:t>
            </w:r>
            <w:r>
              <w:rPr>
                <w:rFonts w:ascii="Book Antiqua" w:hAnsi="Book Antiqua" w:cs="Times New Roman"/>
                <w:b/>
                <w:bCs/>
                <w:caps w:val="0"/>
                <w:color w:val="000000" w:themeColor="text1"/>
                <w:kern w:val="2"/>
                <w:lang w:eastAsia="zh-CN"/>
                <w14:textFill>
                  <w14:solidFill>
                    <w14:schemeClr w14:val="tx1"/>
                  </w14:solidFill>
                </w14:textFill>
              </w:rPr>
              <w:t xml:space="preserve">rade </w:t>
            </w:r>
            <w:bookmarkStart w:id="86" w:name="OLE_LINK6785"/>
            <w:r>
              <w:rPr>
                <w:rFonts w:ascii="Book Antiqua" w:hAnsi="Book Antiqua" w:cs="Times New Roman"/>
                <w:b/>
                <w:bCs/>
                <w:caps w:val="0"/>
                <w:color w:val="000000" w:themeColor="text1"/>
                <w:kern w:val="2"/>
                <w:lang w:eastAsia="zh-CN"/>
                <w14:textFill>
                  <w14:solidFill>
                    <w14:schemeClr w14:val="tx1"/>
                  </w14:solidFill>
                </w14:textFill>
              </w:rPr>
              <w:t>≥</w:t>
            </w:r>
            <w:bookmarkEnd w:id="86"/>
            <w:r>
              <w:rPr>
                <w:rFonts w:hint="eastAsia" w:ascii="Book Antiqua" w:hAnsi="Book Antiqua" w:cs="Times New Roman"/>
                <w:b/>
                <w:bCs/>
                <w:caps w:val="0"/>
                <w:color w:val="000000" w:themeColor="text1"/>
                <w:kern w:val="2"/>
                <w:lang w:eastAsia="zh-CN"/>
                <w14:textFill>
                  <w14:solidFill>
                    <w14:schemeClr w14:val="tx1"/>
                  </w14:solidFill>
                </w14:textFill>
              </w:rPr>
              <w:t xml:space="preserve"> </w:t>
            </w:r>
            <w:r>
              <w:rPr>
                <w:rFonts w:ascii="Book Antiqua" w:hAnsi="Book Antiqua" w:cs="Times New Roman"/>
                <w:b/>
                <w:bCs/>
                <w:caps w:val="0"/>
                <w:color w:val="000000" w:themeColor="text1"/>
                <w:kern w:val="2"/>
                <w:lang w:eastAsia="zh-CN"/>
                <w14:textFill>
                  <w14:solidFill>
                    <w14:schemeClr w14:val="tx1"/>
                  </w14:solidFill>
                </w14:textFill>
              </w:rPr>
              <w:t>3 t</w:t>
            </w:r>
            <w:bookmarkStart w:id="87" w:name="OLE_LINK6780"/>
            <w:r>
              <w:rPr>
                <w:rFonts w:ascii="Book Antiqua" w:hAnsi="Book Antiqua" w:cs="Times New Roman"/>
                <w:b/>
                <w:bCs/>
                <w:caps w:val="0"/>
                <w:color w:val="000000" w:themeColor="text1"/>
                <w:kern w:val="2"/>
                <w:lang w:eastAsia="zh-CN"/>
                <w14:textFill>
                  <w14:solidFill>
                    <w14:schemeClr w14:val="tx1"/>
                  </w14:solidFill>
                </w14:textFill>
              </w:rPr>
              <w:t>rA</w:t>
            </w:r>
            <w:bookmarkStart w:id="88" w:name="OLE_LINK6779"/>
            <w:r>
              <w:rPr>
                <w:rFonts w:ascii="Book Antiqua" w:hAnsi="Book Antiqua" w:cs="Times New Roman"/>
                <w:b/>
                <w:bCs/>
                <w:caps w:val="0"/>
                <w:color w:val="000000" w:themeColor="text1"/>
                <w:kern w:val="2"/>
                <w:lang w:eastAsia="zh-CN"/>
                <w14:textFill>
                  <w14:solidFill>
                    <w14:schemeClr w14:val="tx1"/>
                  </w14:solidFill>
                </w14:textFill>
              </w:rPr>
              <w:t>E</w:t>
            </w:r>
            <w:bookmarkEnd w:id="87"/>
            <w:bookmarkEnd w:id="88"/>
            <w:r>
              <w:rPr>
                <w:rFonts w:ascii="Book Antiqua" w:hAnsi="Book Antiqua" w:cs="Times New Roman"/>
                <w:b/>
                <w:bCs/>
                <w:caps w:val="0"/>
                <w:color w:val="000000" w:themeColor="text1"/>
                <w:kern w:val="2"/>
                <w:lang w:eastAsia="zh-CN"/>
                <w14:textFill>
                  <w14:solidFill>
                    <w14:schemeClr w14:val="tx1"/>
                  </w14:solidFill>
                </w14:textFill>
              </w:rPr>
              <w:t>s)</w:t>
            </w:r>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Feasibility (therapy completion rate)</w:t>
            </w:r>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p</w:t>
            </w:r>
            <w:bookmarkStart w:id="89" w:name="OLE_LINK6781"/>
            <w:r>
              <w:rPr>
                <w:rFonts w:ascii="Book Antiqua" w:hAnsi="Book Antiqua" w:cs="Times New Roman"/>
                <w:b/>
                <w:bCs/>
                <w:caps w:val="0"/>
                <w:color w:val="000000" w:themeColor="text1"/>
                <w:kern w:val="2"/>
                <w:lang w:eastAsia="zh-CN"/>
                <w14:textFill>
                  <w14:solidFill>
                    <w14:schemeClr w14:val="tx1"/>
                  </w14:solidFill>
                </w14:textFill>
              </w:rPr>
              <w:t>CR</w:t>
            </w:r>
            <w:bookmarkEnd w:id="89"/>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bookmarkStart w:id="90" w:name="OLE_LINK6784"/>
            <w:r>
              <w:rPr>
                <w:rFonts w:ascii="Book Antiqua" w:hAnsi="Book Antiqua" w:cs="Times New Roman"/>
                <w:b/>
                <w:bCs/>
                <w:caps w:val="0"/>
                <w:color w:val="000000" w:themeColor="text1"/>
                <w:kern w:val="2"/>
                <w:lang w:eastAsia="zh-CN"/>
                <w14:textFill>
                  <w14:solidFill>
                    <w14:schemeClr w14:val="tx1"/>
                  </w14:solidFill>
                </w14:textFill>
              </w:rPr>
              <w:t>MPR</w:t>
            </w:r>
            <w:bookmarkEnd w:id="90"/>
          </w:p>
        </w:tc>
        <w:tc>
          <w:tcPr>
            <w:tcW w:w="313" w:type="pct"/>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Surgical outcome (R0 rate)</w:t>
            </w:r>
          </w:p>
        </w:tc>
      </w:tr>
      <w:bookmarkEnd w:id="79"/>
      <w:tr>
        <w:tblPrEx>
          <w:tblCellMar>
            <w:top w:w="0" w:type="dxa"/>
            <w:left w:w="108" w:type="dxa"/>
            <w:bottom w:w="0" w:type="dxa"/>
            <w:right w:w="108" w:type="dxa"/>
          </w:tblCellMar>
        </w:tblPrEx>
        <w:trPr>
          <w:trHeight w:val="1248"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91" w:name="_Hlk142658952"/>
            <w:r>
              <w:rPr>
                <w:rFonts w:ascii="Book Antiqua" w:hAnsi="Book Antiqua" w:cs="Times New Roman"/>
                <w:color w:val="000000" w:themeColor="text1"/>
                <w:kern w:val="2"/>
                <w:lang w:eastAsia="zh-CN"/>
                <w14:textFill>
                  <w14:solidFill>
                    <w14:schemeClr w14:val="tx1"/>
                  </w14:solidFill>
                </w14:textFill>
              </w:rPr>
              <w:t>Pembrolizumab</w:t>
            </w:r>
            <w:bookmarkStart w:id="92" w:name="OLE_LINK6786"/>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PEVuZE5vdGU+PENpdGU+PEF1dGhvcj5QYXJrPC9BdXRob3I+PFllYXI+MjAyMDwvWWVhcj48UmVj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PEVuZE5vdGU+PENpdGU+PEF1dGhvcj5QYXJrPC9BdXRob3I+PFllYXI+MjAyMDwvWWVhcj48UmVj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bookmarkStart w:id="93" w:name="OLE_LINK6870"/>
            <w:r>
              <w:rPr>
                <w:rFonts w:ascii="Book Antiqua" w:hAnsi="Book Antiqua" w:cs="Times New Roman"/>
                <w:color w:val="000000" w:themeColor="text1"/>
                <w:kern w:val="2"/>
                <w:vertAlign w:val="superscript"/>
                <w:lang w:eastAsia="zh-CN"/>
                <w14:textFill>
                  <w14:solidFill>
                    <w14:schemeClr w14:val="tx1"/>
                  </w14:solidFill>
                </w14:textFill>
              </w:rPr>
              <w:t>[</w:t>
            </w:r>
            <w:bookmarkEnd w:id="93"/>
            <w:r>
              <w:rPr>
                <w:rFonts w:ascii="Book Antiqua" w:hAnsi="Book Antiqua" w:cs="Times New Roman"/>
                <w:color w:val="000000" w:themeColor="text1"/>
                <w:kern w:val="2"/>
                <w:vertAlign w:val="superscript"/>
                <w:lang w:eastAsia="zh-CN"/>
                <w14:textFill>
                  <w14:solidFill>
                    <w14:schemeClr w14:val="tx1"/>
                  </w14:solidFill>
                </w14:textFill>
              </w:rPr>
              <w:t>111]</w:t>
            </w:r>
            <w:r>
              <w:rPr>
                <w:rFonts w:ascii="Book Antiqua" w:hAnsi="Book Antiqua" w:cstheme="minorBidi"/>
                <w:color w:val="000000" w:themeColor="text1"/>
                <w:kern w:val="2"/>
                <w:lang w:eastAsia="zh-CN"/>
                <w14:textFill>
                  <w14:solidFill>
                    <w14:schemeClr w14:val="tx1"/>
                  </w14:solidFill>
                </w14:textFill>
              </w:rPr>
              <w:fldChar w:fldCharType="end"/>
            </w:r>
            <w:bookmarkEnd w:id="92"/>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 xml:space="preserve">Park </w:t>
            </w:r>
            <w:r>
              <w:rPr>
                <w:rFonts w:ascii="Book Antiqua" w:hAnsi="Book Antiqua" w:cs="Times New Roman"/>
                <w:i/>
                <w:iCs/>
                <w:color w:val="000000" w:themeColor="text1"/>
                <w:kern w:val="0"/>
                <w:lang w:eastAsia="zh-CN"/>
                <w14:textFill>
                  <w14:solidFill>
                    <w14:schemeClr w14:val="tx1"/>
                  </w14:solidFill>
                </w14:textFill>
              </w:rPr>
              <w:t>et al</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PEVuZE5vdGU+PENpdGU+PEF1dGhvcj5QYXJrPC9BdXRob3I+PFllYXI+MjAyMDwvWWVhcj48UmVj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PEVuZE5vdGU+PENpdGU+PEF1dGhvcj5QYXJrPC9BdXRob3I+PFllYXI+MjAyMDwvWWVhcj48UmVj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[111]</w: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imes New Roman"/>
                <w:color w:val="000000" w:themeColor="text1"/>
                <w:kern w:val="0"/>
                <w:lang w:eastAsia="zh-CN"/>
                <w14:textFill>
                  <w14:solidFill>
                    <w14:schemeClr w14:val="tx1"/>
                  </w14:solidFill>
                </w14:textFill>
              </w:rPr>
              <w:t xml:space="preserve"> (NR)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38</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IA-IVA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94" w:name="OLE_LINK6787"/>
            <w:r>
              <w:rPr>
                <w:rFonts w:ascii="Book Antiqua" w:hAnsi="Book Antiqua" w:cs="Times New Roman"/>
                <w:color w:val="000000" w:themeColor="text1"/>
                <w:kern w:val="2"/>
                <w:lang w:eastAsia="zh-CN"/>
                <w14:textFill>
                  <w14:solidFill>
                    <w14:schemeClr w14:val="tx1"/>
                  </w14:solidFill>
                </w14:textFill>
              </w:rPr>
              <w:t>Retrospective</w:t>
            </w:r>
            <w:bookmarkEnd w:id="94"/>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5-FU + DDP/PTX + CBP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41.4 Gy/23 f</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6-8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95" w:name="OLE_LINK6792"/>
            <w:r>
              <w:rPr>
                <w:rFonts w:ascii="Book Antiqua" w:hAnsi="Book Antiqua" w:cs="Times New Roman"/>
                <w:color w:val="000000" w:themeColor="text1"/>
                <w:kern w:val="2"/>
                <w:lang w:eastAsia="zh-CN"/>
                <w14:textFill>
                  <w14:solidFill>
                    <w14:schemeClr w14:val="tx1"/>
                  </w14:solidFill>
                </w14:textFill>
              </w:rPr>
              <w:t>O</w:t>
            </w:r>
            <w:bookmarkEnd w:id="95"/>
            <w:r>
              <w:rPr>
                <w:rFonts w:ascii="Book Antiqua" w:hAnsi="Book Antiqua" w:cs="Times New Roman"/>
                <w:color w:val="000000" w:themeColor="text1"/>
                <w:kern w:val="2"/>
                <w:lang w:eastAsia="zh-CN"/>
                <w14:textFill>
                  <w14:solidFill>
                    <w14:schemeClr w14:val="tx1"/>
                  </w14:solidFill>
                </w14:textFill>
              </w:rPr>
              <w:t>perative risk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18.75% (3/16)</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100% (16/16)</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100%</w:t>
            </w:r>
          </w:p>
        </w:tc>
      </w:tr>
      <w:tr>
        <w:tblPrEx>
          <w:tblCellMar>
            <w:top w:w="0" w:type="dxa"/>
            <w:left w:w="108" w:type="dxa"/>
            <w:bottom w:w="0" w:type="dxa"/>
            <w:right w:w="108" w:type="dxa"/>
          </w:tblCellMar>
        </w:tblPrEx>
        <w:trPr>
          <w:trHeight w:val="1560"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Pembrolizumab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PEVuZE5vdGU+PENpdGU+PEF1dGhvcj5IdWFuZzwvQXV0aG9yPjxZZWFyPjIwMjE8L1llYXI+PFJl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PEVuZE5vdGU+PENpdGU+PEF1dGhvcj5IdWFuZzwvQXV0aG9yPjxZZWFyPjIwMjE8L1llYXI+PFJl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[112]</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 xml:space="preserve">Huang </w:t>
            </w:r>
            <w:r>
              <w:rPr>
                <w:rFonts w:ascii="Book Antiqua" w:hAnsi="Book Antiqua" w:cs="Times New Roman"/>
                <w:i/>
                <w:iCs/>
                <w:color w:val="000000" w:themeColor="text1"/>
                <w:kern w:val="0"/>
                <w:lang w:eastAsia="zh-CN"/>
                <w14:textFill>
                  <w14:solidFill>
                    <w14:schemeClr w14:val="tx1"/>
                  </w14:solidFill>
                </w14:textFill>
              </w:rPr>
              <w:t>et al</w:t>
            </w:r>
            <w:bookmarkStart w:id="96" w:name="OLE_LINK6793"/>
            <w:r>
              <w:rPr>
                <w:rFonts w:ascii="Book Antiqua" w:hAnsi="Book Antiqua" w:cs="Times New Roman"/>
                <w:color w:val="000000" w:themeColor="text1"/>
                <w:kern w:val="0"/>
                <w:vertAlign w:val="superscript"/>
                <w:lang w:eastAsia="zh-CN"/>
                <w14:textFill>
                  <w14:solidFill>
                    <w14:schemeClr w14:val="tx1"/>
                  </w14:solidFill>
                </w14:textFill>
              </w:rPr>
              <w:t xml:space="preserve">[112] </w:t>
            </w:r>
            <w:bookmarkEnd w:id="96"/>
            <w:r>
              <w:rPr>
                <w:rFonts w:ascii="Book Antiqua" w:hAnsi="Book Antiqua" w:cs="Times New Roman"/>
                <w:color w:val="000000" w:themeColor="text1"/>
                <w:kern w:val="0"/>
                <w:lang w:eastAsia="zh-CN"/>
                <w14:textFill>
                  <w14:solidFill>
                    <w14:schemeClr w14:val="tx1"/>
                  </w14:solidFill>
                </w14:textFill>
              </w:rPr>
              <w:t>(NR)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54</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Retrospective</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DTX + NDP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13.04% (4/23)</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 xml:space="preserve">30.4% (7/23) </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100%</w:t>
            </w:r>
          </w:p>
        </w:tc>
      </w:tr>
      <w:tr>
        <w:tblPrEx>
          <w:tblCellMar>
            <w:top w:w="0" w:type="dxa"/>
            <w:left w:w="108" w:type="dxa"/>
            <w:bottom w:w="0" w:type="dxa"/>
            <w:right w:w="108" w:type="dxa"/>
          </w:tblCellMar>
        </w:tblPrEx>
        <w:trPr>
          <w:trHeight w:val="1872"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Pembrolizumab</w:t>
            </w:r>
            <w:r>
              <w:rPr>
                <w:rFonts w:ascii="Book Antiqua" w:hAnsi="Book Antiqua" w:cstheme="minorBidi"/>
                <w:color w:val="000000" w:themeColor="text1"/>
                <w:kern w:val="2"/>
                <w:lang w:eastAsia="zh-CN"/>
                <w14:textFill>
                  <w14:solidFill>
                    <w14:schemeClr w14:val="tx1"/>
                  </w14:solidFill>
                </w14:textFill>
              </w:rPr>
              <w:fldChar w:fldCharType="begin"/>
            </w:r>
            <w:r>
              <w:rPr>
                <w:rFonts w:ascii="Book Antiqua" w:hAnsi="Book Antiqua" w:cs="Times New Roman"/>
                <w:color w:val="000000" w:themeColor="text1"/>
                <w:kern w:val="2"/>
                <w:lang w:eastAsia="zh-CN"/>
                <w14:textFill>
                  <w14:solidFill>
                    <w14:schemeClr w14:val="tx1"/>
                  </w14:solidFill>
                </w14:textFill>
              </w:rPr>
              <w:instrText xml:space="preserve"> ADDIN EN.CITE &lt;EndNote&gt;&lt;Cite&gt;&lt;Author&gt;Lee S&lt;/Author&gt;&lt;Year&gt;2019&lt;/Year&gt;&lt;RecNum&gt;601&lt;/RecNum&gt;&lt;DisplayText&gt;&lt;style face="superscript"&gt;[113]&lt;/style&gt;&lt;/DisplayText&gt;&lt;record&gt;&lt;rec-number&gt;601&lt;/rec-number&gt;&lt;foreign-keys&gt;&lt;key app="EN" db-id="z9r5trsendtsz3ex0prxx09jfs9rdaesf59e" timestamp="1682247320"&gt;601&lt;/key&gt;&lt;/foreign-keys&gt;&lt;ref-type name="Journal Article"&gt;17&lt;/ref-type&gt;&lt;contributors&gt;&lt;authors&gt;&lt;author&gt;Lee S, &lt;/author&gt;&lt;author&gt;Ahn BC, &lt;/author&gt;&lt;author&gt;Park SY, &lt;/author&gt;&lt;author&gt;Kim DJ, &lt;/author&gt;&lt;author&gt;Lee CG, &lt;/author&gt;&lt;author&gt;Cho J,&lt;/author&gt;&lt;author&gt;Kim JH, &lt;/author&gt;&lt;author&gt;Kim HR, &lt;/author&gt;&lt;author&gt;KimY-H,&lt;/author&gt;&lt;author&gt;Park SR, &lt;/author&gt;&lt;author&gt;Chun YJ, &lt;/author&gt;&lt;author&gt;Hong MH, &lt;/author&gt;&lt;author&gt;Kim HR, &lt;/author&gt;&lt;author&gt;Cho B.&lt;/author&gt;&lt;/authors&gt;&lt;/contributors&gt;&lt;titles&gt;&lt;title&gt;A phase II trial of preoperative chemoradiotherapy and pembrolizumab for locally advanced esophageal squamous cell carcinoma (ESCC)&lt;/title&gt;&lt;secondary-title&gt;Ann Oncol&lt;/secondary-title&gt;&lt;/titles&gt;&lt;periodical&gt;&lt;full-title&gt;Ann Oncol&lt;/full-title&gt;&lt;/periodical&gt;&lt;volume&gt;30&lt;/volume&gt;&lt;number&gt;v754&lt;/number&gt;&lt;dates&gt;&lt;year&gt;2019&lt;/year&gt;&lt;/dates&gt;&lt;urls&gt;&lt;/urls&gt;&lt;electronic-resource-num&gt;10.1093/annonc/mdz266.018&lt;/electronic-resource-num&gt;&lt;/record&gt;&lt;/Cite&gt;&lt;/EndNote&gt;</w:instrText>
            </w:r>
            <w:r>
              <w:rPr>
                <w:rFonts w:ascii="Book Antiqua" w:hAnsi="Book Antiqua" w:cstheme="minorBidi"/>
                <w:color w:val="000000" w:themeColor="text1"/>
                <w:kern w:val="2"/>
                <w:lang w:eastAsia="zh-CN"/>
                <w14:textFill>
                  <w14:solidFill>
                    <w14:schemeClr w14:val="tx1"/>
                  </w14:solidFill>
                </w14:textFill>
              </w:rPr>
              <w:fldChar w:fldCharType="separate"/>
            </w:r>
            <w:bookmarkStart w:id="97" w:name="OLE_LINK6871"/>
            <w:r>
              <w:rPr>
                <w:rFonts w:ascii="Book Antiqua" w:hAnsi="Book Antiqua" w:cs="Times New Roman"/>
                <w:color w:val="000000" w:themeColor="text1"/>
                <w:kern w:val="2"/>
                <w:vertAlign w:val="superscript"/>
                <w:lang w:eastAsia="zh-CN"/>
                <w14:textFill>
                  <w14:solidFill>
                    <w14:schemeClr w14:val="tx1"/>
                  </w14:solidFill>
                </w14:textFill>
              </w:rPr>
              <w:t>[</w:t>
            </w:r>
            <w:bookmarkEnd w:id="97"/>
            <w:r>
              <w:rPr>
                <w:rFonts w:ascii="Book Antiqua" w:hAnsi="Book Antiqua" w:cs="Times New Roman"/>
                <w:color w:val="000000" w:themeColor="text1"/>
                <w:kern w:val="2"/>
                <w:vertAlign w:val="superscript"/>
                <w:lang w:eastAsia="zh-CN"/>
                <w14:textFill>
                  <w14:solidFill>
                    <w14:schemeClr w14:val="tx1"/>
                  </w14:solidFill>
                </w14:textFill>
              </w:rPr>
              <w:t>113]</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 xml:space="preserve">NCT02844075 </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28</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IB-III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 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CBP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 Q1W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41.4 Gy/23 f</w:t>
            </w:r>
            <w:r>
              <w:rPr>
                <w:rFonts w:ascii="Book Antiqua" w:hAnsi="Book Antiqua" w:cs="Times New Roman"/>
                <w:color w:val="000000" w:themeColor="text1"/>
                <w:kern w:val="2"/>
                <w:lang w:eastAsia="zh-CN"/>
                <w14:textFill>
                  <w14:solidFill>
                    <w14:schemeClr w14:val="tx1"/>
                  </w14:solidFill>
                </w14:textFill>
              </w:rPr>
              <w:t xml:space="preserve"> </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92.9% (26/28)</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46.1% (12/26)</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NA</w:t>
            </w:r>
          </w:p>
        </w:tc>
      </w:tr>
      <w:tr>
        <w:tblPrEx>
          <w:tblCellMar>
            <w:top w:w="0" w:type="dxa"/>
            <w:left w:w="108" w:type="dxa"/>
            <w:bottom w:w="0" w:type="dxa"/>
            <w:right w:w="108" w:type="dxa"/>
          </w:tblCellMar>
        </w:tblPrEx>
        <w:trPr>
          <w:trHeight w:val="1560"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Pembrolizumab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PEVuZE5vdGU+PENpdGU+PEF1dGhvcj5TaGFuZzwvQXV0aG9yPjxZZWFyPjIwMjI8L1llYXI+PFJl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PEVuZE5vdGU+PENpdGU+PEF1dGhvcj5TaGFuZzwvQXV0aG9yPjxZZWFyPjIwMjI8L1llYXI+PFJl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[80]</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Keystone-001/NCT04389177</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IIIA-IIIB</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DDP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 xml:space="preserve">pCR, </w:t>
            </w:r>
            <w:r>
              <w:rPr>
                <w:rFonts w:ascii="Book Antiqua" w:hAnsi="Book Antiqua" w:cs="Times New Roman"/>
                <w:color w:val="000000" w:themeColor="text1"/>
                <w:kern w:val="2"/>
                <w:lang w:eastAsia="zh-CN"/>
                <w14:textFill>
                  <w14:solidFill>
                    <w14:schemeClr w14:val="tx1"/>
                  </w14:solidFill>
                </w14:textFill>
              </w:rPr>
              <w:t>MPR,</w:t>
            </w:r>
            <w:r>
              <w:rPr>
                <w:rFonts w:hint="eastAsia" w:ascii="Book Antiqua" w:hAnsi="Book Antiqua" w:cs="Times New Roman"/>
                <w:color w:val="000000" w:themeColor="text1"/>
                <w:kern w:val="2"/>
                <w:lang w:eastAsia="zh-CN"/>
                <w14:textFill>
                  <w14:solidFill>
                    <w14:schemeClr w14:val="tx1"/>
                  </w14:solidFill>
                </w14:textFill>
              </w:rPr>
              <w:t xml:space="preserve"> </w:t>
            </w:r>
            <w:r>
              <w:rPr>
                <w:rFonts w:ascii="Book Antiqua" w:hAnsi="Book Antiqua" w:cs="Times New Roman"/>
                <w:color w:val="000000" w:themeColor="text1"/>
                <w:kern w:val="2"/>
                <w:lang w:eastAsia="zh-CN"/>
                <w14:textFill>
                  <w14:solidFill>
                    <w14:schemeClr w14:val="tx1"/>
                  </w14:solidFill>
                </w14:textFill>
              </w:rPr>
              <w:t>safety</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69.0% (29/42)</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 xml:space="preserve">41.4% (12/29) </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72.4% (21/29)</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100%</w:t>
            </w:r>
          </w:p>
        </w:tc>
      </w:tr>
      <w:tr>
        <w:tblPrEx>
          <w:tblCellMar>
            <w:top w:w="0" w:type="dxa"/>
            <w:left w:w="108" w:type="dxa"/>
            <w:bottom w:w="0" w:type="dxa"/>
            <w:right w:w="108" w:type="dxa"/>
          </w:tblCellMar>
        </w:tblPrEx>
        <w:trPr>
          <w:trHeight w:val="1560"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Camrelizumab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PEVuZE5vdGU+PENpdGU+PEF1dGhvcj5RaWFvPC9BdXRob3I+PFllYXI+MjAyMjwvWWVhcj48UmVj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PEVuZE5vdGU+PENpdGU+PEF1dGhvcj5RaWFvPC9BdXRob3I+PFllYXI+MjAyMjwvWWVhcj48UmVj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[114]</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 xml:space="preserve">Qiao </w:t>
            </w:r>
            <w:bookmarkStart w:id="98" w:name="OLE_LINK6795"/>
            <w:r>
              <w:rPr>
                <w:rFonts w:ascii="Book Antiqua" w:hAnsi="Book Antiqua" w:cs="Times New Roman"/>
                <w:i/>
                <w:iCs/>
                <w:color w:val="000000" w:themeColor="text1"/>
                <w:kern w:val="0"/>
                <w:lang w:eastAsia="zh-CN"/>
                <w14:textFill>
                  <w14:solidFill>
                    <w14:schemeClr w14:val="tx1"/>
                  </w14:solidFill>
                </w14:textFill>
              </w:rPr>
              <w:t>et al</w:t>
            </w:r>
            <w:bookmarkEnd w:id="98"/>
            <w:bookmarkStart w:id="99" w:name="OLE_LINK6794"/>
            <w:r>
              <w:rPr>
                <w:rFonts w:ascii="Book Antiqua" w:hAnsi="Book Antiqua" w:cs="Times New Roman"/>
                <w:color w:val="000000" w:themeColor="text1"/>
                <w:kern w:val="0"/>
                <w:vertAlign w:val="superscript"/>
                <w:lang w:eastAsia="zh-CN"/>
                <w14:textFill>
                  <w14:solidFill>
                    <w14:schemeClr w14:val="tx1"/>
                  </w14:solidFill>
                </w14:textFill>
              </w:rPr>
              <w:t xml:space="preserve">[114] </w:t>
            </w:r>
            <w:bookmarkEnd w:id="99"/>
            <w:r>
              <w:rPr>
                <w:rFonts w:ascii="Book Antiqua" w:hAnsi="Book Antiqua" w:cs="Times New Roman"/>
                <w:color w:val="000000" w:themeColor="text1"/>
                <w:kern w:val="0"/>
                <w:lang w:eastAsia="zh-CN"/>
                <w14:textFill>
                  <w14:solidFill>
                    <w14:schemeClr w14:val="tx1"/>
                  </w14:solidFill>
                </w14:textFill>
              </w:rPr>
              <w:t>(NR)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254</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IA-IVA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Retrospective</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nab-PTX/DTX</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6.25% (3/48)</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 xml:space="preserve">41.7% (20/48) </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60.4 (29/48)</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NA</w:t>
            </w:r>
          </w:p>
        </w:tc>
      </w:tr>
      <w:tr>
        <w:tblPrEx>
          <w:tblCellMar>
            <w:top w:w="0" w:type="dxa"/>
            <w:left w:w="108" w:type="dxa"/>
            <w:bottom w:w="0" w:type="dxa"/>
            <w:right w:w="108" w:type="dxa"/>
          </w:tblCellMar>
        </w:tblPrEx>
        <w:trPr>
          <w:trHeight w:val="936"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Camrelizumab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PEVuZE5vdGU+PENpdGU+PEF1dGhvcj5MaXU8L0F1dGhvcj48WWVhcj4yMDIyPC9ZZWFyPjxSZWNO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PEVuZE5vdGU+PENpdGU+PEF1dGhvcj5MaXU8L0F1dGhvcj48WWVhcj4yMDIyPC9ZZWFyPjxSZWNO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[74]</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ChiCTR1900026240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IIIA-IVA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nab-PTX + CBP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pCR </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56.7% (34/60)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85.0% (51/60)</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39.2% (20/51)</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98.0%</w:t>
            </w:r>
          </w:p>
        </w:tc>
      </w:tr>
      <w:tr>
        <w:tblPrEx>
          <w:tblCellMar>
            <w:top w:w="0" w:type="dxa"/>
            <w:left w:w="108" w:type="dxa"/>
            <w:bottom w:w="0" w:type="dxa"/>
            <w:right w:w="108" w:type="dxa"/>
          </w:tblCellMar>
        </w:tblPrEx>
        <w:trPr>
          <w:trHeight w:val="936"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Camrelizumab</w:t>
            </w:r>
            <w:r>
              <w:rPr>
                <w:rFonts w:ascii="Book Antiqua" w:hAnsi="Book Antiqua" w:cstheme="minorBidi"/>
                <w:color w:val="000000" w:themeColor="text1"/>
                <w:kern w:val="2"/>
                <w:lang w:eastAsia="zh-CN"/>
                <w14:textFill>
                  <w14:solidFill>
                    <w14:schemeClr w14:val="tx1"/>
                  </w14:solidFill>
                </w14:textFill>
              </w:rPr>
              <w:fldChar w:fldCharType="begin"/>
            </w:r>
            <w:r>
              <w:rPr>
                <w:rFonts w:ascii="Book Antiqua" w:hAnsi="Book Antiqua" w:cs="Times New Roman"/>
                <w:color w:val="000000" w:themeColor="text1"/>
                <w:kern w:val="2"/>
                <w:lang w:eastAsia="zh-CN"/>
                <w14:textFill>
                  <w14:solidFill>
                    <w14:schemeClr w14:val="tx1"/>
                  </w14:solidFill>
                </w14:textFill>
              </w:rPr>
              <w:instrText xml:space="preserve"> ADDIN EN.CITE &lt;EndNote&gt;&lt;Cite&gt;&lt;Author&gt;Xu W&lt;/Author&gt;&lt;Year&gt;2022&lt;/Year&gt;&lt;RecNum&gt;603&lt;/RecNum&gt;&lt;DisplayText&gt;&lt;style face="superscript"&gt;[115]&lt;/style&gt;&lt;/DisplayText&gt;&lt;record&gt;&lt;rec-number&gt;603&lt;/rec-number&gt;&lt;foreign-keys&gt;&lt;key app="EN" db-id="z9r5trsendtsz3ex0prxx09jfs9rdaesf59e" timestamp="1682247677"&gt;603&lt;/key&gt;&lt;/foreign-keys&gt;&lt;ref-type name="Journal Article"&gt;17&lt;/ref-type&gt;&lt;contributors&gt;&lt;authors&gt;&lt;author&gt;Xu W,&lt;/author&gt;&lt;author&gt;JiangY,&lt;/author&gt;&lt;author&gt;Wang C,&lt;/author&gt;&lt;author&gt;Wu J,&lt;/author&gt;&lt;author&gt;Li J,&lt;/author&gt;&lt;author&gt;Hu Y,&lt;/author&gt;&lt;author&gt;Lu W,&lt;/author&gt;&lt;author&gt;Shen D,&lt;/author&gt;&lt;author&gt;Wang Y,&lt;/author&gt;&lt;author&gt;Chen Q.&lt;/author&gt;&lt;/authors&gt;&lt;/contributors&gt;&lt;titles&gt;&lt;title&gt;The efficacy and safety of neoadjuvant camrelizumab and chemotherapy for locally advanced thoracic esophageal squamous cell carcinoma&lt;/title&gt;&lt;secondary-title&gt;Journal of Clinical Oncology&lt;/secondary-title&gt;&lt;/titles&gt;&lt;periodical&gt;&lt;full-title&gt;Journal of Clinical Oncology&lt;/full-title&gt;&lt;/periodical&gt;&lt;pages&gt;278-278&lt;/pages&gt;&lt;volume&gt;40&lt;/volume&gt;&lt;number&gt;4_suppl&lt;/number&gt;&lt;keywords&gt;&lt;keyword&gt;261-492-5651-2790,613-135-244-3829,613-615-646-3281,261-492-2769,261-566-148-2649,281-318-430,283-424-6846-271-2644,4,3,3,2,2,2,2,2950,2950,295,78,1597,3,3,1,1,1&lt;/keyword&gt;&lt;/keywords&gt;&lt;dates&gt;&lt;year&gt;2022&lt;/year&gt;&lt;/dates&gt;&lt;urls&gt;&lt;related-urls&gt;&lt;url&gt;https://ascopubs.org/doi/abs/10.1200/JCO.2022.40.4_suppl.278&lt;/url&gt;&lt;/related-urls&gt;&lt;/urls&gt;&lt;electronic-resource-num&gt;10.1200/JCO.2022.40.4_suppl.278&lt;/electronic-resource-num&gt;&lt;/record&gt;&lt;/Cite&gt;&lt;/EndNote&gt;</w:instrText>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[115]</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 xml:space="preserve">NCT04506138 </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nab-PTX + CBP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15.2% (7/46)</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82.6% (38/46)</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21.6% (8/37)</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48.6% (18/37)</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80.4%</w:t>
            </w:r>
          </w:p>
        </w:tc>
      </w:tr>
      <w:tr>
        <w:tblPrEx>
          <w:tblCellMar>
            <w:top w:w="0" w:type="dxa"/>
            <w:left w:w="108" w:type="dxa"/>
            <w:bottom w:w="0" w:type="dxa"/>
            <w:right w:w="108" w:type="dxa"/>
          </w:tblCellMar>
        </w:tblPrEx>
        <w:trPr>
          <w:trHeight w:val="2809"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Camrelizumab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PEVuZE5vdGU+PENpdGU+PEF1dGhvcj5ZYW5nPC9BdXRob3I+PFllYXI+MjAyMjwvWWVhcj48UmVj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PEVuZE5vdGU+PENpdGU+PEF1dGhvcj5ZYW5nPC9BdXRob3I+PFllYXI+MjAyMjwvWWVhcj48UmVj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[82]</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GASTO1056/ChiCTR2000028900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23</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nab-PTX + CBP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00" w:name="OLE_LINK6796"/>
            <w:r>
              <w:rPr>
                <w:rFonts w:ascii="Book Antiqua" w:hAnsi="Book Antiqua" w:cs="Times New Roman"/>
                <w:color w:val="000000" w:themeColor="text1"/>
                <w:kern w:val="2"/>
                <w:lang w:eastAsia="zh-CN"/>
                <w14:textFill>
                  <w14:solidFill>
                    <w14:schemeClr w14:val="tx1"/>
                  </w14:solidFill>
                </w14:textFill>
              </w:rPr>
              <w:t>S</w:t>
            </w:r>
            <w:bookmarkEnd w:id="100"/>
            <w:r>
              <w:rPr>
                <w:rFonts w:ascii="Book Antiqua" w:hAnsi="Book Antiqua" w:cs="Times New Roman"/>
                <w:color w:val="000000" w:themeColor="text1"/>
                <w:kern w:val="2"/>
                <w:lang w:eastAsia="zh-CN"/>
                <w14:textFill>
                  <w14:solidFill>
                    <w14:schemeClr w14:val="tx1"/>
                  </w14:solidFill>
                </w14:textFill>
              </w:rPr>
              <w:t>afety</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47.8%</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87.0% (20/23)</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25% (5/20)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50% (10/20)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100%</w:t>
            </w:r>
          </w:p>
        </w:tc>
      </w:tr>
      <w:tr>
        <w:tblPrEx>
          <w:tblCellMar>
            <w:top w:w="0" w:type="dxa"/>
            <w:left w:w="108" w:type="dxa"/>
            <w:bottom w:w="0" w:type="dxa"/>
            <w:right w:w="108" w:type="dxa"/>
          </w:tblCellMar>
        </w:tblPrEx>
        <w:trPr>
          <w:trHeight w:val="1560"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Camrelizumab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PEVuZE5vdGU+PENpdGU+PEF1dGhvcj5ZYW5nPC9BdXRob3I+PFllYXI+MjAyMTwvWWVhcj48UmVj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PEVuZE5vdGU+PENpdGU+PEF1dGhvcj5ZYW5nPC9BdXRob3I+PFllYXI+MjAyMTwvWWVhcj48UmVj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[116]</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 xml:space="preserve">Yang </w:t>
            </w:r>
            <w:bookmarkStart w:id="101" w:name="OLE_LINK6798"/>
            <w:r>
              <w:rPr>
                <w:rFonts w:ascii="Book Antiqua" w:hAnsi="Book Antiqua" w:cs="Times New Roman"/>
                <w:i/>
                <w:iCs/>
                <w:color w:val="000000" w:themeColor="text1"/>
                <w:kern w:val="0"/>
                <w:lang w:eastAsia="zh-CN"/>
                <w14:textFill>
                  <w14:solidFill>
                    <w14:schemeClr w14:val="tx1"/>
                  </w14:solidFill>
                </w14:textFill>
              </w:rPr>
              <w:t>et al</w:t>
            </w:r>
            <w:bookmarkEnd w:id="101"/>
            <w:bookmarkStart w:id="102" w:name="OLE_LINK6797"/>
            <w:r>
              <w:rPr>
                <w:rFonts w:ascii="Book Antiqua" w:hAnsi="Book Antiqua" w:cs="Times New Roman"/>
                <w:color w:val="000000" w:themeColor="text1"/>
                <w:kern w:val="0"/>
                <w:vertAlign w:val="superscript"/>
                <w:lang w:eastAsia="zh-CN"/>
                <w14:textFill>
                  <w14:solidFill>
                    <w14:schemeClr w14:val="tx1"/>
                  </w14:solidFill>
                </w14:textFill>
              </w:rPr>
              <w:t xml:space="preserve">[116] </w:t>
            </w:r>
            <w:bookmarkEnd w:id="102"/>
            <w:r>
              <w:rPr>
                <w:rFonts w:ascii="Book Antiqua" w:hAnsi="Book Antiqua" w:cs="Times New Roman"/>
                <w:color w:val="000000" w:themeColor="text1"/>
                <w:kern w:val="0"/>
                <w:lang w:eastAsia="zh-CN"/>
                <w14:textFill>
                  <w14:solidFill>
                    <w14:schemeClr w14:val="tx1"/>
                  </w14:solidFill>
                </w14:textFill>
              </w:rPr>
              <w:t>(NR)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12</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hint="eastAsia" w:ascii="Book Antiqua" w:hAnsi="Book Antiqua" w:cs="Times New Roman"/>
                <w:color w:val="000000" w:themeColor="text1"/>
                <w:kern w:val="2"/>
                <w:lang w:eastAsia="zh-CN"/>
                <w14:textFill>
                  <w14:solidFill>
                    <w14:schemeClr w14:val="tx1"/>
                  </w14:solidFill>
                </w14:textFill>
              </w:rPr>
              <w:t>I</w:t>
            </w:r>
            <w:r>
              <w:rPr>
                <w:rFonts w:ascii="Book Antiqua" w:hAnsi="Book Antiqua" w:cs="Times New Roman"/>
                <w:color w:val="000000" w:themeColor="text1"/>
                <w:kern w:val="2"/>
                <w:lang w:eastAsia="zh-CN"/>
                <w14:textFill>
                  <w14:solidFill>
                    <w14:schemeClr w14:val="tx1"/>
                  </w14:solidFill>
                </w14:textFill>
              </w:rPr>
              <w:t>I-III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nab-PTX + S1 </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75.0% (9/12)</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33.3% (4/12)</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41.7% (5/12)</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100%</w:t>
            </w:r>
          </w:p>
        </w:tc>
      </w:tr>
      <w:tr>
        <w:tblPrEx>
          <w:tblCellMar>
            <w:top w:w="0" w:type="dxa"/>
            <w:left w:w="108" w:type="dxa"/>
            <w:bottom w:w="0" w:type="dxa"/>
            <w:right w:w="108" w:type="dxa"/>
          </w:tblCellMar>
        </w:tblPrEx>
        <w:trPr>
          <w:trHeight w:val="1865"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Camrelizumab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PEVuZE5vdGU+PENpdGU+PEF1dGhvcj5MaXU8L0F1dGhvcj48WWVhcj4yMDIyPC9ZZWFyPjxSZWNO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PEVuZE5vdGU+PENpdGU+PEF1dGhvcj5MaXU8L0F1dGhvcj48WWVhcj4yMDIyPC9ZZWFyPjxSZWNO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[75]</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NIC-ESCC2019/NCT04225364</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56</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II-IVA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nab-PTX + DDP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10.7% (6/51)</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91.1% (51/56)</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35.3% (18/51)</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23.5% (12/21)</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100%</w:t>
            </w:r>
          </w:p>
        </w:tc>
      </w:tr>
      <w:tr>
        <w:tblPrEx>
          <w:tblCellMar>
            <w:top w:w="0" w:type="dxa"/>
            <w:left w:w="108" w:type="dxa"/>
            <w:bottom w:w="0" w:type="dxa"/>
            <w:right w:w="108" w:type="dxa"/>
          </w:tblCellMar>
        </w:tblPrEx>
        <w:trPr>
          <w:trHeight w:val="1872"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Camrelizumab</w:t>
            </w:r>
            <w:r>
              <w:rPr>
                <w:rFonts w:ascii="Book Antiqua" w:hAnsi="Book Antiqua" w:cstheme="minorBidi"/>
                <w:color w:val="000000" w:themeColor="text1"/>
                <w:kern w:val="2"/>
                <w:lang w:eastAsia="zh-CN"/>
                <w14:textFill>
                  <w14:solidFill>
                    <w14:schemeClr w14:val="tx1"/>
                  </w14:solidFill>
                </w14:textFill>
              </w:rPr>
              <w:fldChar w:fldCharType="begin"/>
            </w:r>
            <w:r>
              <w:rPr>
                <w:rFonts w:ascii="Book Antiqua" w:hAnsi="Book Antiqua" w:cs="Times New Roman"/>
                <w:color w:val="000000" w:themeColor="text1"/>
                <w:kern w:val="2"/>
                <w:lang w:eastAsia="zh-CN"/>
                <w14:textFill>
                  <w14:solidFill>
                    <w14:schemeClr w14:val="tx1"/>
                  </w14:solidFill>
                </w14:textFill>
              </w:rPr>
              <w:instrText xml:space="preserve"> ADDIN EN.CITE &lt;EndNote&gt;&lt;Cite&gt;&lt;Author&gt;Zhen&lt;/Author&gt;&lt;Year&gt;2021&lt;/Year&gt;&lt;RecNum&gt;604&lt;/RecNum&gt;&lt;DisplayText&gt;&lt;style face="superscript"&gt;[117]&lt;/style&gt;&lt;/DisplayText&gt;&lt;record&gt;&lt;rec-number&gt;604&lt;/rec-number&gt;&lt;foreign-keys&gt;&lt;key app="EN" db-id="z9r5trsendtsz3ex0prxx09jfs9rdaesf59e" timestamp="1682247959"&gt;604&lt;/key&gt;&lt;/foreign-keys&gt;&lt;ref-type name="Journal Article"&gt;17&lt;/ref-type&gt;&lt;contributors&gt;&lt;authors&gt;&lt;author&gt;W Zhen&lt;/author&gt;&lt;/authors&gt;&lt;/contributors&gt;&lt;titles&gt;&lt;title&gt;Neoadjuvant camrelizumab combined with chemotherapy and apatinib for locally advanced thoracic esophageal squamous cell carcinoma (ESCC): A single-arm, open-label, phase Ib study&lt;/title&gt;&lt;secondary-title&gt;Journal of Clinical Oncology&lt;/secondary-title&gt;&lt;/titles&gt;&lt;periodical&gt;&lt;full-title&gt;Journal of Clinical Oncology&lt;/full-title&gt;&lt;/periodical&gt;&lt;pages&gt;4047-4047&lt;/pages&gt;&lt;volume&gt;39&lt;/volume&gt;&lt;number&gt;15_suppl&lt;/number&gt;&lt;dates&gt;&lt;year&gt;2021&lt;/year&gt;&lt;pub-dates&gt;&lt;date&gt;2021/05/20&lt;/date&gt;&lt;/pub-dates&gt;&lt;/dates&gt;&lt;publisher&gt;Wolters Kluwer&lt;/publisher&gt;&lt;isbn&gt;0732-183X&lt;/isbn&gt;&lt;urls&gt;&lt;related-urls&gt;&lt;url&gt;https://doi.org/10.1200/JCO.2021.39.15_suppl.4047&lt;/url&gt;&lt;/related-urls&gt;&lt;/urls&gt;&lt;electronic-resource-num&gt;10.1200/JCO.2021.39.15_suppl.4047&lt;/electronic-resource-num&gt;&lt;access-date&gt;2023/04/23&lt;/access-date&gt;&lt;/record&gt;&lt;/Cite&gt;&lt;/EndNote&gt;</w:instrText>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[117]</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ChiCTR1900023880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Ib</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IC-IIIB</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nab-PTX + NDP + Apatinib</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2-4,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4-8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Safety, feasibility</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36.7% (11/30)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96.7% (29/30)</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24.1% (7/29)</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51.7% (15/29)</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r>
      <w:tr>
        <w:tblPrEx>
          <w:tblCellMar>
            <w:top w:w="0" w:type="dxa"/>
            <w:left w:w="108" w:type="dxa"/>
            <w:bottom w:w="0" w:type="dxa"/>
            <w:right w:w="108" w:type="dxa"/>
          </w:tblCellMar>
        </w:tblPrEx>
        <w:trPr>
          <w:trHeight w:val="1248"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Camrelizumab</w:t>
            </w:r>
            <w:r>
              <w:rPr>
                <w:rFonts w:ascii="Book Antiqua" w:hAnsi="Book Antiqua" w:cstheme="minorBidi"/>
                <w:color w:val="000000" w:themeColor="text1"/>
                <w:kern w:val="2"/>
                <w:lang w:eastAsia="zh-CN"/>
                <w14:textFill>
                  <w14:solidFill>
                    <w14:schemeClr w14:val="tx1"/>
                  </w14:solidFill>
                </w14:textFill>
              </w:rPr>
              <w:fldChar w:fldCharType="begin"/>
            </w:r>
            <w:r>
              <w:rPr>
                <w:rFonts w:ascii="Book Antiqua" w:hAnsi="Book Antiqua" w:cs="Times New Roman"/>
                <w:color w:val="000000" w:themeColor="text1"/>
                <w:kern w:val="2"/>
                <w:lang w:eastAsia="zh-CN"/>
                <w14:textFill>
                  <w14:solidFill>
                    <w14:schemeClr w14:val="tx1"/>
                  </w14:solidFill>
                </w14:textFill>
              </w:rPr>
              <w:instrText xml:space="preserve"> ADDIN EN.CITE &lt;EndNote&gt;&lt;Cite&gt;&lt;Author&gt;Ma J&lt;/Author&gt;&lt;Year&gt;2021&lt;/Year&gt;&lt;RecNum&gt;605&lt;/RecNum&gt;&lt;DisplayText&gt;&lt;style face="superscript"&gt;[118]&lt;/style&gt;&lt;/DisplayText&gt;&lt;record&gt;&lt;rec-number&gt;605&lt;/rec-number&gt;&lt;foreign-keys&gt;&lt;key app="EN" db-id="z9r5trsendtsz3ex0prxx09jfs9rdaesf59e" timestamp="1682248616"&gt;605&lt;/key&gt;&lt;/foreign-keys&gt;&lt;ref-type name="Journal Article"&gt;17&lt;/ref-type&gt;&lt;contributors&gt;&lt;authors&gt;&lt;author&gt;Ma J,&lt;/author&gt;&lt;author&gt;Zhang J,&lt;/author&gt;&lt;author&gt;Yang Y,&lt;/author&gt;&lt;author&gt;Zheng D,&lt;/author&gt;&lt;author&gt;Wang X,&lt;/author&gt;&lt;author&gt;Liang H,&lt;/author&gt;&lt;author&gt;Zhang L,&lt;/author&gt;&lt;author&gt;Xin Y,&lt;/author&gt;&lt;author&gt;Ling X,&lt;/author&gt;&lt;author&gt;Fang C,&lt;/author&gt;&lt;author&gt;Jiang H,&lt;/author&gt;&lt;author&gt;Meng H, &lt;/author&gt;&lt;author&gt;Zheng W.&lt;/author&gt;&lt;/authors&gt;&lt;/contributors&gt;&lt;titles&gt;&lt;title&gt;Camrelizumab combined with paclitaxel and nedaplatin as neoadjuvant therapy for locally advanced esophageal squamous cell carcinoma (ESPRIT): A phase II, single-arm, exploratory research&lt;/title&gt;&lt;secondary-title&gt;Ann Oncol&lt;/secondary-title&gt;&lt;/titles&gt;&lt;periodical&gt;&lt;full-title&gt;Ann Oncol&lt;/full-title&gt;&lt;/periodical&gt;&lt;pages&gt;S1400&lt;/pages&gt;&lt;volume&gt;32&lt;/volume&gt;&lt;number&gt;SUPPLEMENT 7&lt;/number&gt;&lt;dates&gt;&lt;year&gt;2021&lt;/year&gt;&lt;/dates&gt;&lt;urls&gt;&lt;/urls&gt;&lt;electronic-resource-num&gt;10.1016/j.annonc.2021.10.083&lt;/electronic-resource-num&gt;&lt;/record&gt;&lt;/Cite&gt;&lt;/EndNote&gt;</w:instrText>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[118]</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ESPRIT/ChiCTR2000033761</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48</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IIA-IIIB</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NDP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2-4,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4.2% </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62.5% (30/48)</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35.0% (7/20)</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NA</w:t>
            </w:r>
          </w:p>
        </w:tc>
      </w:tr>
      <w:tr>
        <w:tblPrEx>
          <w:tblCellMar>
            <w:top w:w="0" w:type="dxa"/>
            <w:left w:w="108" w:type="dxa"/>
            <w:bottom w:w="0" w:type="dxa"/>
            <w:right w:w="108" w:type="dxa"/>
          </w:tblCellMar>
        </w:tblPrEx>
        <w:trPr>
          <w:trHeight w:val="936"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Camrelizumab</w:t>
            </w:r>
            <w:r>
              <w:rPr>
                <w:rFonts w:ascii="Book Antiqua" w:hAnsi="Book Antiqua" w:cstheme="minorBidi"/>
                <w:color w:val="000000" w:themeColor="text1"/>
                <w:kern w:val="2"/>
                <w:lang w:eastAsia="zh-CN"/>
                <w14:textFill>
                  <w14:solidFill>
                    <w14:schemeClr w14:val="tx1"/>
                  </w14:solidFill>
                </w14:textFill>
              </w:rPr>
              <w:fldChar w:fldCharType="begin"/>
            </w:r>
            <w:r>
              <w:rPr>
                <w:rFonts w:ascii="Book Antiqua" w:hAnsi="Book Antiqua" w:cs="Times New Roman"/>
                <w:color w:val="000000" w:themeColor="text1"/>
                <w:kern w:val="2"/>
                <w:lang w:eastAsia="zh-CN"/>
                <w14:textFill>
                  <w14:solidFill>
                    <w14:schemeClr w14:val="tx1"/>
                  </w14:solidFill>
                </w14:textFill>
              </w:rPr>
              <w:instrText xml:space="preserve"> ADDIN EN.CITE &lt;EndNote&gt;&lt;Cite&gt;&lt;Author&gt;Wang F&lt;/Author&gt;&lt;Year&gt;2021&lt;/Year&gt;&lt;RecNum&gt;606&lt;/RecNum&gt;&lt;DisplayText&gt;&lt;style face="superscript"&gt;[119]&lt;/style&gt;&lt;/DisplayText&gt;&lt;record&gt;&lt;rec-number&gt;606&lt;/rec-number&gt;&lt;foreign-keys&gt;&lt;key app="EN" db-id="z9r5trsendtsz3ex0prxx09jfs9rdaesf59e" timestamp="1682248815"&gt;606&lt;/key&gt;&lt;/foreign-keys&gt;&lt;ref-type name="Journal Article"&gt;17&lt;/ref-type&gt;&lt;contributors&gt;&lt;authors&gt;&lt;author&gt;Wang F,&lt;/author&gt;&lt;author&gt;Qi Y,&lt;/author&gt;&lt;author&gt;Meng X,&lt;/author&gt;&lt;author&gt;Fan Q.&lt;/author&gt;&lt;/authors&gt;&lt;/contributors&gt;&lt;titles&gt;&lt;title&gt;Camrelizumab in combination with preoperative chemotherapy for locally advanced esophageal squamous cell carcinoma: A single-arm, open-label, phase II study&lt;/title&gt;&lt;secondary-title&gt;Journal of Clinical Oncology&lt;/secondary-title&gt;&lt;/titles&gt;&lt;periodical&gt;&lt;full-title&gt;Journal of Clinical Oncology&lt;/full-title&gt;&lt;/periodical&gt;&lt;pages&gt;222-222&lt;/pages&gt;&lt;volume&gt;39&lt;/volume&gt;&lt;number&gt;3_suppl&lt;/number&gt;&lt;keywords&gt;&lt;keyword&gt;613-4678-146-2641,261-492-5651-2790,283-424-6846-271-2644,261-492-2769,613-135-244-3829,261-492-5651-5655,298-145-222,4,3,3,2,2,2,2,2950,2950,256,4,3,1&lt;/keyword&gt;&lt;/keywords&gt;&lt;dates&gt;&lt;year&gt;2021&lt;/year&gt;&lt;/dates&gt;&lt;urls&gt;&lt;related-urls&gt;&lt;url&gt;https://ascopubs.org/doi/abs/10.1200/JCO.2021.39.3_suppl.222&lt;/url&gt;&lt;/related-urls&gt;&lt;/urls&gt;&lt;electronic-resource-num&gt;10.1200/JCO.2021.39.3_suppl.222&lt;/electronic-resource-num&gt;&lt;/record&gt;&lt;/Cite&gt;&lt;/EndNote&gt;</w:instrText>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[119]</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NCT 03917966</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IC-IVA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DTX + NDP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MPR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70.6% (12/17)</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25.0% (3/12)</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41.6% (5/12)</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100%</w:t>
            </w:r>
          </w:p>
        </w:tc>
      </w:tr>
      <w:tr>
        <w:tblPrEx>
          <w:tblCellMar>
            <w:top w:w="0" w:type="dxa"/>
            <w:left w:w="108" w:type="dxa"/>
            <w:bottom w:w="0" w:type="dxa"/>
            <w:right w:w="108" w:type="dxa"/>
          </w:tblCellMar>
        </w:tblPrEx>
        <w:trPr>
          <w:trHeight w:val="936"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Camrelizumab</w:t>
            </w:r>
            <w:r>
              <w:rPr>
                <w:rFonts w:ascii="Book Antiqua" w:hAnsi="Book Antiqua" w:cstheme="minorBidi"/>
                <w:color w:val="000000" w:themeColor="text1"/>
                <w:kern w:val="2"/>
                <w:lang w:eastAsia="zh-CN"/>
                <w14:textFill>
                  <w14:solidFill>
                    <w14:schemeClr w14:val="tx1"/>
                  </w14:solidFill>
                </w14:textFill>
              </w:rPr>
              <w:fldChar w:fldCharType="begin"/>
            </w:r>
            <w:r>
              <w:rPr>
                <w:rFonts w:ascii="Book Antiqua" w:hAnsi="Book Antiqua" w:cs="Times New Roman"/>
                <w:color w:val="000000" w:themeColor="text1"/>
                <w:kern w:val="2"/>
                <w:lang w:eastAsia="zh-CN"/>
                <w14:textFill>
                  <w14:solidFill>
                    <w14:schemeClr w14:val="tx1"/>
                  </w14:solidFill>
                </w14:textFill>
              </w:rPr>
              <w:instrText xml:space="preserve"> ADDIN EN.CITE &lt;EndNote&gt;&lt;Cite&gt;&lt;Author&gt;Zhang Y&lt;/Author&gt;&lt;Year&gt;2022&lt;/Year&gt;&lt;RecNum&gt;607&lt;/RecNum&gt;&lt;DisplayText&gt;&lt;style face="superscript"&gt;[120]&lt;/style&gt;&lt;/DisplayText&gt;&lt;record&gt;&lt;rec-number&gt;607&lt;/rec-number&gt;&lt;foreign-keys&gt;&lt;key app="EN" db-id="z9r5trsendtsz3ex0prxx09jfs9rdaesf59e" timestamp="1682248944"&gt;607&lt;/key&gt;&lt;/foreign-keys&gt;&lt;ref-type name="Journal Article"&gt;17&lt;/ref-type&gt;&lt;contributors&gt;&lt;authors&gt;&lt;author&gt;Zhang Y,&lt;/author&gt;&lt;author&gt;Shen G,&lt;/author&gt;&lt;author&gt;Xu R,&lt;/author&gt;&lt;author&gt;Huang G,&lt;/author&gt;&lt;author&gt;Yang S,&lt;/author&gt;&lt;author&gt;Zheng Q,&lt;/author&gt;&lt;author&gt;Huang Z,&lt;/author&gt;&lt;author&gt;Duan H,&lt;/author&gt;&lt;author&gt;Ma L,&lt;/author&gt;&lt;author&gt;Yang L,&lt;/author&gt;&lt;author&gt;Yi Y,&lt;/author&gt;&lt;author&gt;Liu R,&lt;/author&gt;&lt;author&gt;Li K,&lt;/author&gt;&lt;author&gt;Chen S.&lt;/author&gt;&lt;/authors&gt;&lt;/contributors&gt;&lt;titles&gt;&lt;title&gt;Real-world effectiveness and safety of camrelizumab-based neoadjuvant therapy in resectable esophageal cancer: Initial results of a prospective multicenter observational study&lt;/title&gt;&lt;secondary-title&gt;Journal of Clinical Oncology&lt;/secondary-title&gt;&lt;/titles&gt;&lt;periodical&gt;&lt;full-title&gt;Journal of Clinical Oncology&lt;/full-title&gt;&lt;/periodical&gt;&lt;pages&gt;250-250&lt;/pages&gt;&lt;volume&gt;40&lt;/volume&gt;&lt;number&gt;4_suppl&lt;/number&gt;&lt;keywords&gt;&lt;keyword&gt;613-4678-146-2669,261-376,613-135-244-3829,261-492-5651-2790,613-135-2370-2813,7,4,3,3,2,1634,2950,219,4,3,1&lt;/keyword&gt;&lt;/keywords&gt;&lt;dates&gt;&lt;year&gt;2022&lt;/year&gt;&lt;/dates&gt;&lt;urls&gt;&lt;related-urls&gt;&lt;url&gt;https://ascopubs.org/doi/abs/10.1200/JCO.2022.40.4_suppl.250&lt;/url&gt;&lt;/related-urls&gt;&lt;/urls&gt;&lt;electronic-resource-num&gt;10.1200/JCO.2022.40.4_suppl.250&lt;/electronic-resource-num&gt;&lt;/record&gt;&lt;/Cite&gt;&lt;/EndNote&gt;</w:instrText>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[120]</w: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imes New Roman"/>
                <w:color w:val="000000" w:themeColor="text1"/>
                <w:kern w:val="2"/>
                <w:lang w:eastAsia="zh-CN"/>
                <w14:textFill>
                  <w14:solidFill>
                    <w14:schemeClr w14:val="tx1"/>
                  </w14:solidFill>
                </w14:textFill>
              </w:rPr>
              <w:t xml:space="preserve"> </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ChiCTR2000039170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166</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03" w:name="OLE_LINK6799"/>
            <w:r>
              <w:rPr>
                <w:rFonts w:ascii="Book Antiqua" w:hAnsi="Book Antiqua" w:cs="Times New Roman"/>
                <w:color w:val="000000" w:themeColor="text1"/>
                <w:kern w:val="2"/>
                <w:shd w:val="clear" w:color="auto" w:fill="FFFFFF"/>
                <w:lang w:eastAsia="zh-CN"/>
                <w14:textFill>
                  <w14:solidFill>
                    <w14:schemeClr w14:val="tx1"/>
                  </w14:solidFill>
                </w14:textFill>
              </w:rPr>
              <w:t>L</w:t>
            </w:r>
            <w:bookmarkEnd w:id="103"/>
            <w:r>
              <w:rPr>
                <w:rFonts w:ascii="Book Antiqua" w:hAnsi="Book Antiqua" w:cs="Times New Roman"/>
                <w:color w:val="000000" w:themeColor="text1"/>
                <w:kern w:val="2"/>
                <w:shd w:val="clear" w:color="auto" w:fill="FFFFFF"/>
                <w:lang w:eastAsia="zh-CN"/>
                <w14:textFill>
                  <w14:solidFill>
                    <w14:schemeClr w14:val="tx1"/>
                  </w14:solidFill>
                </w14:textFill>
              </w:rPr>
              <w:t>ocally advanced</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nab-PTX + NDP </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04" w:name="OLE_LINK6800"/>
            <w:r>
              <w:rPr>
                <w:rFonts w:ascii="Book Antiqua" w:hAnsi="Book Antiqua" w:cs="Times New Roman"/>
                <w:color w:val="000000" w:themeColor="text1"/>
                <w:kern w:val="2"/>
                <w:lang w:eastAsia="zh-CN"/>
                <w14:textFill>
                  <w14:solidFill>
                    <w14:schemeClr w14:val="tx1"/>
                  </w14:solidFill>
                </w14:textFill>
              </w:rPr>
              <w:t>S</w:t>
            </w:r>
            <w:bookmarkEnd w:id="104"/>
            <w:r>
              <w:rPr>
                <w:rFonts w:ascii="Book Antiqua" w:hAnsi="Book Antiqua" w:cs="Times New Roman"/>
                <w:color w:val="000000" w:themeColor="text1"/>
                <w:kern w:val="2"/>
                <w:lang w:eastAsia="zh-CN"/>
                <w14:textFill>
                  <w14:solidFill>
                    <w14:schemeClr w14:val="tx1"/>
                  </w14:solidFill>
                </w14:textFill>
              </w:rPr>
              <w:t>afety</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7.8% (13/166)</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49.4% (82/166)</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 xml:space="preserve"> 18.5% (15/81)</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63.0% (51/81)</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97.5% (79/82)</w:t>
            </w:r>
          </w:p>
        </w:tc>
      </w:tr>
      <w:tr>
        <w:tblPrEx>
          <w:tblCellMar>
            <w:top w:w="0" w:type="dxa"/>
            <w:left w:w="108" w:type="dxa"/>
            <w:bottom w:w="0" w:type="dxa"/>
            <w:right w:w="108" w:type="dxa"/>
          </w:tblCellMar>
        </w:tblPrEx>
        <w:trPr>
          <w:trHeight w:val="144"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Sintilimab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PEVuZE5vdGU+PENpdGU+PEF1dGhvcj5aaGFuZzwvQXV0aG9yPjxZZWFyPjIwMjI8L1llYXI+PFJl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PEVuZE5vdGU+PENpdGU+PEF1dGhvcj5aaGFuZzwvQXV0aG9yPjxZZWFyPjIwMjI8L1llYXI+PFJl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[121]</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ChiCTR1900026593</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47</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II-IVA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liposome + CBP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29.8% (14/47)</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95.7% (45/47)</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22.2% (10/45)</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44.4% (20/45)</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97.8% (44/45)</w:t>
            </w:r>
          </w:p>
        </w:tc>
      </w:tr>
      <w:tr>
        <w:tblPrEx>
          <w:tblCellMar>
            <w:top w:w="0" w:type="dxa"/>
            <w:left w:w="108" w:type="dxa"/>
            <w:bottom w:w="0" w:type="dxa"/>
            <w:right w:w="108" w:type="dxa"/>
          </w:tblCellMar>
        </w:tblPrEx>
        <w:trPr>
          <w:trHeight w:val="144"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Sintilimab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PEVuZE5vdGU+PENpdGU+PEF1dGhvcj5EdWFuPC9BdXRob3I+PFllYXI+MjAyMTwvWWVhcj48UmVj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PEVuZE5vdGU+PENpdGU+PEF1dGhvcj5EdWFuPC9BdXRob3I+PFllYXI+MjAyMTwvWWVhcj48UmVj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[81]</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SIN-ICE study/ChiCTR2100048917</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23</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IC-IVA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05" w:name="OLE_LINK6801"/>
            <w:r>
              <w:rPr>
                <w:rFonts w:ascii="Book Antiqua" w:hAnsi="Book Antiqua" w:cs="Times New Roman"/>
                <w:color w:val="000000" w:themeColor="text1"/>
                <w:kern w:val="2"/>
                <w:lang w:eastAsia="zh-CN"/>
                <w14:textFill>
                  <w14:solidFill>
                    <w14:schemeClr w14:val="tx1"/>
                  </w14:solidFill>
                </w14:textFill>
              </w:rPr>
              <w:t>P</w:t>
            </w:r>
            <w:bookmarkEnd w:id="105"/>
            <w:r>
              <w:rPr>
                <w:rFonts w:ascii="Book Antiqua" w:hAnsi="Book Antiqua" w:cs="Times New Roman"/>
                <w:color w:val="000000" w:themeColor="text1"/>
                <w:kern w:val="2"/>
                <w:lang w:eastAsia="zh-CN"/>
                <w14:textFill>
                  <w14:solidFill>
                    <w14:schemeClr w14:val="tx1"/>
                  </w14:solidFill>
                </w14:textFill>
              </w:rPr>
              <w:t>latinum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r>
              <w:rPr>
                <w:rFonts w:hint="eastAsia" w:ascii="Book Antiqua" w:hAnsi="Book Antiqua" w:cs="Times New Roman"/>
                <w:color w:val="000000" w:themeColor="text1"/>
                <w:kern w:val="2"/>
                <w:lang w:eastAsia="zh-CN"/>
                <w14:textFill>
                  <w14:solidFill>
                    <w14:schemeClr w14:val="tx1"/>
                  </w14:solidFill>
                </w14:textFill>
              </w:rPr>
              <w:t xml:space="preserve"> </w:t>
            </w:r>
            <w:r>
              <w:rPr>
                <w:rFonts w:ascii="Book Antiqua" w:hAnsi="Book Antiqua" w:cs="Times New Roman"/>
                <w:color w:val="000000" w:themeColor="text1"/>
                <w:kern w:val="2"/>
                <w:lang w:eastAsia="zh-CN"/>
                <w14:textFill>
                  <w14:solidFill>
                    <w14:schemeClr w14:val="tx1"/>
                  </w14:solidFill>
                </w14:textFill>
              </w:rPr>
              <w:t>safety</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30.4% (7/23)</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73.9% (17/23)</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35.3%, (6/17)</w:t>
            </w:r>
            <w:r>
              <w:rPr>
                <w:rFonts w:ascii="Book Antiqua" w:hAnsi="Book Antiqua" w:cs="Times New Roman"/>
                <w:color w:val="000000" w:themeColor="text1"/>
                <w:kern w:val="2"/>
                <w:lang w:eastAsia="zh-CN"/>
                <w14:textFill>
                  <w14:solidFill>
                    <w14:schemeClr w14:val="tx1"/>
                  </w14:solidFill>
                </w14:textFill>
              </w:rPr>
              <w:t xml:space="preserve"> </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52.9% (9/17)</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94.1% (16/17)</w:t>
            </w:r>
          </w:p>
        </w:tc>
      </w:tr>
      <w:tr>
        <w:tblPrEx>
          <w:tblCellMar>
            <w:top w:w="0" w:type="dxa"/>
            <w:left w:w="108" w:type="dxa"/>
            <w:bottom w:w="0" w:type="dxa"/>
            <w:right w:w="108" w:type="dxa"/>
          </w:tblCellMar>
        </w:tblPrEx>
        <w:trPr>
          <w:trHeight w:val="144"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Sintilimab</w:t>
            </w:r>
            <w:r>
              <w:rPr>
                <w:rFonts w:ascii="Book Antiqua" w:hAnsi="Book Antiqua" w:cstheme="minorBidi"/>
                <w:color w:val="000000" w:themeColor="text1"/>
                <w:kern w:val="2"/>
                <w:lang w:eastAsia="zh-CN"/>
                <w14:textFill>
                  <w14:solidFill>
                    <w14:schemeClr w14:val="tx1"/>
                  </w14:solidFill>
                </w14:textFill>
              </w:rPr>
              <w:fldChar w:fldCharType="begin"/>
            </w:r>
            <w:r>
              <w:rPr>
                <w:rFonts w:ascii="Book Antiqua" w:hAnsi="Book Antiqua" w:cs="Times New Roman"/>
                <w:color w:val="000000" w:themeColor="text1"/>
                <w:kern w:val="2"/>
                <w:lang w:eastAsia="zh-CN"/>
                <w14:textFill>
                  <w14:solidFill>
                    <w14:schemeClr w14:val="tx1"/>
                  </w14:solidFill>
                </w14:textFill>
              </w:rPr>
              <w:instrText xml:space="preserve"> ADDIN EN.CITE &lt;EndNote&gt;&lt;Cite&gt;&lt;Author&gt;Zhang&lt;/Author&gt;&lt;Year&gt;2021&lt;/Year&gt;&lt;RecNum&gt;501&lt;/RecNum&gt;&lt;DisplayText&gt;&lt;style face="superscript"&gt;[73]&lt;/style&gt;&lt;/DisplayText&gt;&lt;record&gt;&lt;rec-number&gt;501&lt;/rec-number&gt;&lt;foreign-keys&gt;&lt;key app="EN" db-id="z9r5trsendtsz3ex0prxx09jfs9rdaesf59e" timestamp="1681005028"&gt;501&lt;/key&gt;&lt;/foreign-keys&gt;&lt;ref-type name="Journal Article"&gt;17&lt;/ref-type&gt;&lt;contributors&gt;&lt;authors&gt;&lt;author&gt;Zhang, Z.&lt;/author&gt;&lt;author&gt;Hong, Z. N.&lt;/author&gt;&lt;author&gt;Xie, S.&lt;/author&gt;&lt;author&gt;Lin, W.&lt;/author&gt;&lt;author&gt;Lin, Y.&lt;/author&gt;&lt;author&gt;Zhu, J.&lt;/author&gt;&lt;author&gt;Yang, X.&lt;/author&gt;&lt;author&gt;Lin, Z.&lt;/author&gt;&lt;author&gt;Lin, J.&lt;/author&gt;&lt;author&gt;Kang, M.&lt;/author&gt;&lt;/authors&gt;&lt;/contributors&gt;&lt;auth-address&gt;Department of Thoracic Surgery, Fujian Medical University Union Hospital, Fuzhou, China.&amp;#xD;Key Laboratory of Cardio-Thoracic Surgery (Fujian Medical University), Fujian Province University, Fuzhou, China.&amp;#xD;Fujian Medical University, Fuzhou, China.&lt;/auth-address&gt;&lt;titles&gt;&lt;title&gt;Neoadjuvant sintilimab plus chemotherapy for locally advanced esophageal squamous cell carcinoma: a single-arm, single-center, phase 2 trial (ESONICT-1)&lt;/title&gt;&lt;secondary-title&gt;Ann Transl Med&lt;/secondary-title&gt;&lt;/titles&gt;&lt;periodical&gt;&lt;full-title&gt;Ann Transl Med&lt;/full-title&gt;&lt;/periodical&gt;&lt;pages&gt;1623&lt;/pages&gt;&lt;volume&gt;9&lt;/volume&gt;&lt;number&gt;21&lt;/number&gt;&lt;keywords&gt;&lt;keyword&gt;Esophageal squamous cell carcinoma (ESCC)&lt;/keyword&gt;&lt;keyword&gt;clinical trial&lt;/keyword&gt;&lt;keyword&gt;neoadjuvant immunochemotherapy (nICT)&lt;/keyword&gt;&lt;keyword&gt;phase II&lt;/keyword&gt;&lt;keyword&gt;form (available at https://dx.doi.org/10.21037/atm-21-5381). The authors have no&lt;/keyword&gt;&lt;keyword&gt;conflicts of interest to declare.&lt;/keyword&gt;&lt;/keywords&gt;&lt;dates&gt;&lt;year&gt;2021&lt;/year&gt;&lt;pub-dates&gt;&lt;date&gt;Nov&lt;/date&gt;&lt;/pub-dates&gt;&lt;/dates&gt;&lt;isbn&gt;2305-5839 (Print)&amp;#xD;2305-5847 (Electronic)&amp;#xD;2305-5839 (Linking)&lt;/isbn&gt;&lt;accession-num&gt;34926667&lt;/accession-num&gt;&lt;urls&gt;&lt;related-urls&gt;&lt;url&gt;https://www.ncbi.nlm.nih.gov/pubmed/34926667&lt;/url&gt;&lt;/related-urls&gt;&lt;/urls&gt;&lt;custom2&gt;PMC8640906&lt;/custom2&gt;&lt;electronic-resource-num&gt;10.21037/atm-21-5381&lt;/electronic-resource-num&gt;&lt;/record&gt;&lt;/Cite&gt;&lt;/EndNote&gt;</w:instrText>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[73]</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ESONICT</w:t>
            </w:r>
            <w:bookmarkStart w:id="106" w:name="OLE_LINK6802"/>
            <w:r>
              <w:rPr>
                <w:rFonts w:ascii="Book Antiqua" w:hAnsi="Book Antiqua" w:cs="Times New Roman"/>
                <w:color w:val="000000" w:themeColor="text1"/>
                <w:kern w:val="0"/>
                <w:lang w:eastAsia="zh-CN"/>
                <w14:textFill>
                  <w14:solidFill>
                    <w14:schemeClr w14:val="tx1"/>
                  </w14:solidFill>
                </w14:textFill>
              </w:rPr>
              <w:t>-</w:t>
            </w:r>
            <w:bookmarkEnd w:id="106"/>
            <w:r>
              <w:rPr>
                <w:rFonts w:ascii="Book Antiqua" w:hAnsi="Book Antiqua" w:cs="Times New Roman"/>
                <w:color w:val="000000" w:themeColor="text1"/>
                <w:kern w:val="0"/>
                <w:lang w:eastAsia="zh-CN"/>
                <w14:textFill>
                  <w14:solidFill>
                    <w14:schemeClr w14:val="tx1"/>
                  </w14:solidFill>
                </w14:textFill>
              </w:rPr>
              <w:t>1/ChiCTR2100045659</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30</w:t>
            </w:r>
          </w:p>
        </w:tc>
        <w:tc>
          <w:tcPr>
            <w:tcW w:w="313" w:type="pct"/>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IIB-IVA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DDP + nab-PTX</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r>
              <w:rPr>
                <w:rFonts w:hint="eastAsia" w:ascii="Book Antiqua" w:hAnsi="Book Antiqua" w:cs="Times New Roman"/>
                <w:color w:val="000000" w:themeColor="text1"/>
                <w:kern w:val="2"/>
                <w:lang w:eastAsia="zh-CN"/>
                <w14:textFill>
                  <w14:solidFill>
                    <w14:schemeClr w14:val="tx1"/>
                  </w14:solidFill>
                </w14:textFill>
              </w:rPr>
              <w:t xml:space="preserve"> </w:t>
            </w:r>
            <w:r>
              <w:rPr>
                <w:rFonts w:ascii="Book Antiqua" w:hAnsi="Book Antiqua" w:cs="Times New Roman"/>
                <w:color w:val="000000" w:themeColor="text1"/>
                <w:kern w:val="2"/>
                <w:lang w:eastAsia="zh-CN"/>
                <w14:textFill>
                  <w14:solidFill>
                    <w14:schemeClr w14:val="tx1"/>
                  </w14:solidFill>
                </w14:textFill>
              </w:rPr>
              <w:t>safety</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3.3% (1/30)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76.6% (23/30)</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21.7% (5/23)</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52.2% (12/23)</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100%</w:t>
            </w:r>
          </w:p>
        </w:tc>
      </w:tr>
      <w:tr>
        <w:tblPrEx>
          <w:tblCellMar>
            <w:top w:w="0" w:type="dxa"/>
            <w:left w:w="108" w:type="dxa"/>
            <w:bottom w:w="0" w:type="dxa"/>
            <w:right w:w="108" w:type="dxa"/>
          </w:tblCellMar>
        </w:tblPrEx>
        <w:trPr>
          <w:trHeight w:val="2809"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Sintilimab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PEVuZE5vdGU+PENpdGU+PEF1dGhvcj5DaGVuPC9BdXRob3I+PFllYXI+MjAyMzwvWWVhcj48UmVj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PEVuZE5vdGU+PENpdGU+PEF1dGhvcj5DaGVuPC9BdXRob3I+PFllYXI+MjAyMzwvWWVhcj48UmVj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[88]</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KEEP-G03/NCT03946969</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30</w:t>
            </w:r>
          </w:p>
        </w:tc>
        <w:tc>
          <w:tcPr>
            <w:tcW w:w="313" w:type="pct"/>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IB-IVA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liposom + DDP + S1</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Within 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07" w:name="OLE_LINK6803"/>
            <w:r>
              <w:rPr>
                <w:rFonts w:ascii="Book Antiqua" w:hAnsi="Book Antiqua" w:cs="Times New Roman"/>
                <w:color w:val="000000" w:themeColor="text1"/>
                <w:kern w:val="2"/>
                <w:lang w:eastAsia="zh-CN"/>
                <w14:textFill>
                  <w14:solidFill>
                    <w14:schemeClr w14:val="tx1"/>
                  </w14:solidFill>
                </w14:textFill>
              </w:rPr>
              <w:t>S</w:t>
            </w:r>
            <w:bookmarkEnd w:id="107"/>
            <w:r>
              <w:rPr>
                <w:rFonts w:ascii="Book Antiqua" w:hAnsi="Book Antiqua" w:cs="Times New Roman"/>
                <w:color w:val="000000" w:themeColor="text1"/>
                <w:kern w:val="2"/>
                <w:lang w:eastAsia="zh-CN"/>
                <w14:textFill>
                  <w14:solidFill>
                    <w14:schemeClr w14:val="tx1"/>
                  </w14:solidFill>
                </w14:textFill>
              </w:rPr>
              <w:t>afety,</w:t>
            </w:r>
            <w:r>
              <w:rPr>
                <w:rFonts w:hint="eastAsia" w:ascii="Book Antiqua" w:hAnsi="Book Antiqua" w:cs="Times New Roman"/>
                <w:color w:val="000000" w:themeColor="text1"/>
                <w:kern w:val="2"/>
                <w:lang w:eastAsia="zh-CN"/>
                <w14:textFill>
                  <w14:solidFill>
                    <w14:schemeClr w14:val="tx1"/>
                  </w14:solidFill>
                </w14:textFill>
              </w:rPr>
              <w:t xml:space="preserve"> </w:t>
            </w:r>
            <w:r>
              <w:rPr>
                <w:rFonts w:ascii="Book Antiqua" w:hAnsi="Book Antiqua" w:cs="Times New Roman"/>
                <w:color w:val="000000" w:themeColor="text1"/>
                <w:kern w:val="2"/>
                <w:lang w:eastAsia="zh-CN"/>
                <w14:textFill>
                  <w14:solidFill>
                    <w14:schemeClr w14:val="tx1"/>
                  </w14:solidFill>
                </w14:textFill>
              </w:rPr>
              <w:t>feasibility</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36.7%</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100.0% (30/30)</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20% (6/30)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50% (15/30)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100%</w:t>
            </w:r>
          </w:p>
        </w:tc>
      </w:tr>
      <w:tr>
        <w:tblPrEx>
          <w:tblCellMar>
            <w:top w:w="0" w:type="dxa"/>
            <w:left w:w="108" w:type="dxa"/>
            <w:bottom w:w="0" w:type="dxa"/>
            <w:right w:w="108" w:type="dxa"/>
          </w:tblCellMar>
        </w:tblPrEx>
        <w:trPr>
          <w:trHeight w:val="936"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Toripalimab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PEVuZE5vdGU+PENpdGU+PEF1dGhvcj5YaW5nPC9BdXRob3I+PFllYXI+MjAyMTwvWWVhcj48UmVj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PEVuZE5vdGU+PENpdGU+PEF1dGhvcj5YaW5nPC9BdXRob3I+PFllYXI+MjAyMTwvWWVhcj48UmVj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[122,123]</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NCT03985670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30</w:t>
            </w:r>
          </w:p>
        </w:tc>
        <w:tc>
          <w:tcPr>
            <w:tcW w:w="313" w:type="pct"/>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II-IVA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DDP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 Q3-4W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8.33% (2/24)</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80.0% (24/30)</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20.8% (5/24)</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100%</w:t>
            </w:r>
          </w:p>
        </w:tc>
      </w:tr>
      <w:tr>
        <w:tblPrEx>
          <w:tblCellMar>
            <w:top w:w="0" w:type="dxa"/>
            <w:left w:w="108" w:type="dxa"/>
            <w:bottom w:w="0" w:type="dxa"/>
            <w:right w:w="108" w:type="dxa"/>
          </w:tblCellMar>
        </w:tblPrEx>
        <w:trPr>
          <w:trHeight w:val="1560"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Toripalimab</w:t>
            </w:r>
            <w:r>
              <w:rPr>
                <w:rFonts w:ascii="Book Antiqua" w:hAnsi="Book Antiqua" w:cstheme="minorBidi"/>
                <w:color w:val="000000" w:themeColor="text1"/>
                <w:kern w:val="2"/>
                <w:lang w:eastAsia="zh-CN"/>
                <w14:textFill>
                  <w14:solidFill>
                    <w14:schemeClr w14:val="tx1"/>
                  </w14:solidFill>
                </w14:textFill>
              </w:rPr>
              <w:fldChar w:fldCharType="begin"/>
            </w:r>
            <w:r>
              <w:rPr>
                <w:rFonts w:ascii="Book Antiqua" w:hAnsi="Book Antiqua" w:cs="Times New Roman"/>
                <w:color w:val="000000" w:themeColor="text1"/>
                <w:kern w:val="2"/>
                <w:lang w:eastAsia="zh-CN"/>
                <w14:textFill>
                  <w14:solidFill>
                    <w14:schemeClr w14:val="tx1"/>
                  </w14:solidFill>
                </w14:textFill>
              </w:rPr>
              <w:instrText xml:space="preserve"> ADDIN EN.CITE &lt;EndNote&gt;&lt;Cite&gt;&lt;Author&gt;Liu D&lt;/Author&gt;&lt;Year&gt;2021&lt;/Year&gt;&lt;RecNum&gt;608&lt;/RecNum&gt;&lt;DisplayText&gt;&lt;style face="superscript"&gt;[124]&lt;/style&gt;&lt;/DisplayText&gt;&lt;record&gt;&lt;rec-number&gt;608&lt;/rec-number&gt;&lt;foreign-keys&gt;&lt;key app="EN" db-id="z9r5trsendtsz3ex0prxx09jfs9rdaesf59e" timestamp="1682249119"&gt;608&lt;/key&gt;&lt;/foreign-keys&gt;&lt;ref-type name="Journal Article"&gt;17&lt;/ref-type&gt;&lt;contributors&gt;&lt;authors&gt;&lt;author&gt;Liu D,&lt;/author&gt;&lt;author&gt;Zhang Q,&lt;/author&gt;&lt;author&gt;Zhu J,&lt;/author&gt;&lt;author&gt;Qian T,&lt;/author&gt;&lt;author&gt;Yin R,&lt;/author&gt;&lt;author&gt;Fan Z,&lt;/author&gt;&lt;author&gt;Jiang F,&lt;/author&gt;&lt;author&gt;Li H,&lt;/author&gt;&lt;author&gt;Lu J,&lt;/author&gt;&lt;author&gt;Cao G.&lt;/author&gt;&lt;/authors&gt;&lt;/contributors&gt;&lt;titles&gt;&lt;title&gt;Phase-II study of toripalimab combined with neoadjuvant chemotherapy for the treatment of resectable esophageal squamous cell carcinoma&lt;/title&gt;&lt;secondary-title&gt;Journal of Clinical Oncology&lt;/secondary-title&gt;&lt;/titles&gt;&lt;periodical&gt;&lt;full-title&gt;Journal of Clinical Oncology&lt;/full-title&gt;&lt;/periodical&gt;&lt;pages&gt;e16029-e16029&lt;/pages&gt;&lt;volume&gt;39&lt;/volume&gt;&lt;number&gt;15_suppl&lt;/number&gt;&lt;keywords&gt;&lt;keyword&gt;261-566-148-2649,613-4678-146-2452,283-424-6846-271-2644,261-492-2769,261-376,261-566-148-2649,3282-270-151-2679,613-4678-146-2669,6,5,4,3,3,2,2,2,3216,3216,3,2&lt;/keyword&gt;&lt;/keywords&gt;&lt;dates&gt;&lt;year&gt;2021&lt;/year&gt;&lt;/dates&gt;&lt;urls&gt;&lt;related-urls&gt;&lt;url&gt;https://ascopubs.org/doi/abs/10.1200/JCO.2021.39.15_suppl.e16029&lt;/url&gt;&lt;/related-urls&gt;&lt;/urls&gt;&lt;electronic-resource-num&gt;10.1200/JCO.2021.39.15_suppl.e16029&lt;/electronic-resource-num&gt;&lt;/record&gt;&lt;/Cite&gt;&lt;/EndNote&gt;</w:instrText>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[124]</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ChiCTR1900025318</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23</w:t>
            </w:r>
          </w:p>
        </w:tc>
        <w:tc>
          <w:tcPr>
            <w:tcW w:w="313" w:type="pct"/>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IIB-IVA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PTX + </w:t>
            </w:r>
            <w:r>
              <w:rPr>
                <w:rFonts w:ascii="Book Antiqua" w:hAnsi="Book Antiqua" w:cs="Times New Roman"/>
                <w:color w:val="000000" w:themeColor="text1"/>
                <w:kern w:val="2"/>
                <w:shd w:val="clear" w:color="auto" w:fill="FFFFFF"/>
                <w:lang w:eastAsia="zh-CN"/>
                <w14:textFill>
                  <w14:solidFill>
                    <w14:schemeClr w14:val="tx1"/>
                  </w14:solidFill>
                </w14:textFill>
              </w:rPr>
              <w:t>DDP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 R0 rate</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8.70% (2/23)</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78.3% (18/23)</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33.3% (6/18)</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100%</w:t>
            </w:r>
          </w:p>
        </w:tc>
      </w:tr>
      <w:tr>
        <w:tblPrEx>
          <w:tblCellMar>
            <w:top w:w="0" w:type="dxa"/>
            <w:left w:w="108" w:type="dxa"/>
            <w:bottom w:w="0" w:type="dxa"/>
            <w:right w:w="108" w:type="dxa"/>
          </w:tblCellMar>
        </w:tblPrEx>
        <w:trPr>
          <w:trHeight w:val="2496"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Toripalimab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PEVuZE5vdGU+PENpdGU+PEF1dGhvcj5IZTwvQXV0aG9yPjxZZWFyPjIwMjI8L1llYXI+PFJlY051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PEVuZE5vdGU+PENpdGU+PEF1dGhvcj5IZTwvQXV0aG9yPjxZZWFyPjIwMjI8L1llYXI+PFJlY051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[77]</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NCT04177797</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II </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20</w:t>
            </w:r>
          </w:p>
        </w:tc>
        <w:tc>
          <w:tcPr>
            <w:tcW w:w="313" w:type="pct"/>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IIIA-IVA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PTX + CBP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Safety, feasibility, MPR,</w:t>
            </w:r>
            <w:r>
              <w:rPr>
                <w:rFonts w:hint="eastAsia" w:ascii="Book Antiqua" w:hAnsi="Book Antiqua" w:cs="Times New Roman"/>
                <w:color w:val="000000" w:themeColor="text1"/>
                <w:kern w:val="2"/>
                <w:lang w:eastAsia="zh-CN"/>
                <w14:textFill>
                  <w14:solidFill>
                    <w14:schemeClr w14:val="tx1"/>
                  </w14:solidFill>
                </w14:textFill>
              </w:rPr>
              <w:t xml:space="preserve"> </w:t>
            </w:r>
            <w:r>
              <w:rPr>
                <w:rFonts w:ascii="Book Antiqua" w:hAnsi="Book Antiqua" w:cs="Times New Roman"/>
                <w:color w:val="000000" w:themeColor="text1"/>
                <w:kern w:val="2"/>
                <w:lang w:eastAsia="zh-CN"/>
                <w14:textFill>
                  <w14:solidFill>
                    <w14:schemeClr w14:val="tx1"/>
                  </w14:solidFill>
                </w14:textFill>
              </w:rPr>
              <w:t>pCR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20.0% (4/20)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80.0% (16/20)</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18.8% (3/16)</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43.8% (7/16)</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87.5% (14/16)</w:t>
            </w:r>
          </w:p>
        </w:tc>
      </w:tr>
      <w:tr>
        <w:tblPrEx>
          <w:tblCellMar>
            <w:top w:w="0" w:type="dxa"/>
            <w:left w:w="108" w:type="dxa"/>
            <w:bottom w:w="0" w:type="dxa"/>
            <w:right w:w="108" w:type="dxa"/>
          </w:tblCellMar>
        </w:tblPrEx>
        <w:trPr>
          <w:trHeight w:val="1560"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Toripalimab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PEVuZE5vdGU+PENpdGU+PEF1dGhvcj5HYW88L0F1dGhvcj48WWVhcj4yMDIyPC9ZZWFyPjxSZWNO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PEVuZE5vdGU+PENpdGU+PEF1dGhvcj5HYW88L0F1dGhvcj48WWVhcj4yMDIyPC9ZZWFyPjxSZWNO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[125]</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ESONICT-2/ChiCTR2100052784</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20</w:t>
            </w:r>
          </w:p>
        </w:tc>
        <w:tc>
          <w:tcPr>
            <w:tcW w:w="313" w:type="pct"/>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IIB-IVA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DTX + DDP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 safety</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 xml:space="preserve">15.0% (3/20) </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60.0% (12/20)</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16.7% (2/12)</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41.7% (5/12)</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100%</w:t>
            </w:r>
          </w:p>
        </w:tc>
      </w:tr>
      <w:tr>
        <w:tblPrEx>
          <w:tblCellMar>
            <w:top w:w="0" w:type="dxa"/>
            <w:left w:w="108" w:type="dxa"/>
            <w:bottom w:w="0" w:type="dxa"/>
            <w:right w:w="108" w:type="dxa"/>
          </w:tblCellMar>
        </w:tblPrEx>
        <w:trPr>
          <w:trHeight w:val="1560"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Toripalimab</w:t>
            </w:r>
            <w:r>
              <w:rPr>
                <w:rFonts w:ascii="Book Antiqua" w:hAnsi="Book Antiqua" w:cstheme="minorBidi"/>
                <w:color w:val="000000" w:themeColor="text1"/>
                <w:kern w:val="2"/>
                <w:lang w:eastAsia="zh-CN"/>
                <w14:textFill>
                  <w14:solidFill>
                    <w14:schemeClr w14:val="tx1"/>
                  </w14:solidFill>
                </w14:textFill>
              </w:rPr>
              <w:fldChar w:fldCharType="begin"/>
            </w:r>
            <w:r>
              <w:rPr>
                <w:rFonts w:ascii="Book Antiqua" w:hAnsi="Book Antiqua" w:cs="Times New Roman"/>
                <w:color w:val="000000" w:themeColor="text1"/>
                <w:kern w:val="2"/>
                <w:lang w:eastAsia="zh-CN"/>
                <w14:textFill>
                  <w14:solidFill>
                    <w14:schemeClr w14:val="tx1"/>
                  </w14:solidFill>
                </w14:textFill>
              </w:rPr>
              <w:instrText xml:space="preserve"> ADDIN EN.CITE &lt;EndNote&gt;&lt;Cite&gt;&lt;Author&gt;Jiang N&lt;/Author&gt;&lt;Year&gt;2022&lt;/Year&gt;&lt;RecNum&gt;609&lt;/RecNum&gt;&lt;DisplayText&gt;&lt;style face="superscript"&gt;[126]&lt;/style&gt;&lt;/DisplayText&gt;&lt;record&gt;&lt;rec-number&gt;609&lt;/rec-number&gt;&lt;foreign-keys&gt;&lt;key app="EN" db-id="z9r5trsendtsz3ex0prxx09jfs9rdaesf59e" timestamp="1682249291"&gt;609&lt;/key&gt;&lt;/foreign-keys&gt;&lt;ref-type name="Journal Article"&gt;17&lt;/ref-type&gt;&lt;contributors&gt;&lt;authors&gt;&lt;author&gt;Jiang N,&lt;/author&gt;&lt;author&gt;Jiang M,&lt;/author&gt;&lt;author&gt;Zhu X,&lt;/author&gt;&lt;author&gt;Ren B,&lt;/author&gt;&lt;author&gt;Zhang J,&lt;/author&gt;&lt;author&gt;Guo Z,&lt;/author&gt;&lt;author&gt;Wu Y,&lt;/author&gt;&lt;author&gt;Song X,&lt;/author&gt;&lt;author&gt;Zhao L,&lt;/author&gt;&lt;author&gt;Kong C,&lt;/author&gt;&lt;author&gt;Zong D, &lt;/author&gt;&lt;author&gt;Cao G,&lt;/author&gt;&lt;author&gt;Qian P,&lt;/author&gt;&lt;author&gt;Zhao Y,&lt;/author&gt;&lt;author&gt;Li S,&lt;/author&gt;&lt;author&gt;Luo S.&lt;/author&gt;&lt;/authors&gt;&lt;/contributors&gt;&lt;titles&gt;&lt;title&gt;SCALE-1: Safety and efficacy of short course neoadjuvant chemo-radiotherapy plus toripalimab for locally advanced resectable squamous cell carcinoma of esophagus&lt;/title&gt;&lt;secondary-title&gt;Journal of Clinical Oncology&lt;/secondary-title&gt;&lt;/titles&gt;&lt;periodical&gt;&lt;full-title&gt;Journal of Clinical Oncology&lt;/full-title&gt;&lt;/periodical&gt;&lt;pages&gt;4063-4063&lt;/pages&gt;&lt;volume&gt;40&lt;/volume&gt;&lt;number&gt;16_suppl&lt;/number&gt;&lt;keywords&gt;&lt;keyword&gt;283-424-6846-271-2644,281-318-430,261-566-148-440-5779,613-135-244-3829,613-4678-146-1336,613-4678-146-2669,281-318-2407,4,3,2,2,2,2,2,3216,3216,78,295,4,3,1,1,38092-29187,38092-20072,38092-23811,38092-21254,38092-21255,1,1,1,1,1&lt;/keyword&gt;&lt;/keywords&gt;&lt;dates&gt;&lt;year&gt;2022&lt;/year&gt;&lt;/dates&gt;&lt;urls&gt;&lt;related-urls&gt;&lt;url&gt;https://ascopubs.org/doi/abs/10.1200/JCO.2022.40.16_suppl.4063&lt;/url&gt;&lt;/related-urls&gt;&lt;/urls&gt;&lt;electronic-resource-num&gt;10.1200/JCO.2022.40.16_suppl.4063&lt;/electronic-resource-num&gt;&lt;/record&gt;&lt;/Cite&gt;&lt;/EndNote&gt;</w:instrText>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[126]</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SCALE-1/ChiCTR2100045104</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Ib</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20</w:t>
            </w:r>
          </w:p>
        </w:tc>
        <w:tc>
          <w:tcPr>
            <w:tcW w:w="313" w:type="pct"/>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IIB-IVA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PTX + CBP</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30 Gy/12 f</w:t>
            </w:r>
            <w:r>
              <w:rPr>
                <w:rFonts w:ascii="Book Antiqua" w:hAnsi="Book Antiqua" w:cs="Times New Roman"/>
                <w:color w:val="000000" w:themeColor="text1"/>
                <w:kern w:val="2"/>
                <w:shd w:val="clear" w:color="auto" w:fill="FFFFFF"/>
                <w:lang w:eastAsia="zh-CN"/>
                <w14:textFill>
                  <w14:solidFill>
                    <w14:schemeClr w14:val="tx1"/>
                  </w14:solidFill>
                </w14:textFill>
              </w:rPr>
              <w:t xml:space="preserve"> </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4-7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08" w:name="OLE_LINK6804"/>
            <w:r>
              <w:rPr>
                <w:rFonts w:ascii="Book Antiqua" w:hAnsi="Book Antiqua" w:cs="Times New Roman"/>
                <w:color w:val="000000" w:themeColor="text1"/>
                <w:kern w:val="2"/>
                <w:lang w:eastAsia="zh-CN"/>
                <w14:textFill>
                  <w14:solidFill>
                    <w14:schemeClr w14:val="tx1"/>
                  </w14:solidFill>
                </w14:textFill>
              </w:rPr>
              <w:t>S</w:t>
            </w:r>
            <w:bookmarkEnd w:id="108"/>
            <w:r>
              <w:rPr>
                <w:rFonts w:ascii="Book Antiqua" w:hAnsi="Book Antiqua" w:cs="Times New Roman"/>
                <w:color w:val="000000" w:themeColor="text1"/>
                <w:kern w:val="2"/>
                <w:lang w:eastAsia="zh-CN"/>
                <w14:textFill>
                  <w14:solidFill>
                    <w14:schemeClr w14:val="tx1"/>
                  </w14:solidFill>
                </w14:textFill>
              </w:rPr>
              <w:t>afety</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87.0% (20/23)</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55% (11/20)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80% (16/20)</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r>
      <w:tr>
        <w:tblPrEx>
          <w:tblCellMar>
            <w:top w:w="0" w:type="dxa"/>
            <w:left w:w="108" w:type="dxa"/>
            <w:bottom w:w="0" w:type="dxa"/>
            <w:right w:w="108" w:type="dxa"/>
          </w:tblCellMar>
        </w:tblPrEx>
        <w:trPr>
          <w:trHeight w:val="1560" w:hRule="atLeast"/>
        </w:trPr>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Tislelizumab</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PEVuZE5vdGU+PENpdGU+PEF1dGhvcj5ZYW48L0F1dGhvcj48WWVhcj4yMDIyPC9ZZWFyPjxSZWNO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PEVuZE5vdGU+PENpdGU+PEF1dGhvcj5ZYW48L0F1dGhvcj48WWVhcj4yMDIyPC9ZZWFyPjxSZWNO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[76]</w:t>
            </w:r>
            <w:r>
              <w:rPr>
                <w:rFonts w:ascii="Book Antiqua" w:hAnsi="Book Antiqua" w:cstheme="minorBidi"/>
                <w:color w:val="000000" w:themeColor="text1"/>
                <w:kern w:val="2"/>
                <w:lang w:eastAsia="zh-CN"/>
                <w14:textFill>
                  <w14:solidFill>
                    <w14:schemeClr w14:val="tx1"/>
                  </w14:solidFill>
                </w14:textFill>
              </w:rPr>
              <w:fldChar w:fldCharType="end"/>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TD-NICE/ChiCTR2000037488</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45</w:t>
            </w:r>
          </w:p>
        </w:tc>
        <w:tc>
          <w:tcPr>
            <w:tcW w:w="313" w:type="pct"/>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IIIA-IVA</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CBP + nab-PTX</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312"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3-6 wk</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MPR</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33.3% (15/45)</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80.0% (36/45)</w:t>
            </w:r>
          </w:p>
        </w:tc>
        <w:tc>
          <w:tcPr>
            <w:tcW w:w="313" w:type="pct"/>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50% (18/36)</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72% (26/36)</w:t>
            </w:r>
          </w:p>
        </w:tc>
        <w:tc>
          <w:tcPr>
            <w:tcW w:w="313" w:type="pc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97.2% (35/36)</w:t>
            </w:r>
          </w:p>
        </w:tc>
      </w:tr>
      <w:bookmarkEnd w:id="91"/>
      <w:tr>
        <w:tblPrEx>
          <w:tblCellMar>
            <w:top w:w="0" w:type="dxa"/>
            <w:left w:w="108" w:type="dxa"/>
            <w:bottom w:w="0" w:type="dxa"/>
            <w:right w:w="108" w:type="dxa"/>
          </w:tblCellMar>
        </w:tblPrEx>
        <w:trPr>
          <w:trHeight w:val="1560" w:hRule="atLeast"/>
        </w:trPr>
        <w:tc>
          <w:tcPr>
            <w:tcW w:w="312"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bookmarkStart w:id="109" w:name="_Hlk142659494"/>
            <w:r>
              <w:rPr>
                <w:rFonts w:ascii="Book Antiqua" w:hAnsi="Book Antiqua" w:cs="Times New Roman"/>
                <w:b w:val="0"/>
                <w:bCs w:val="0"/>
                <w:caps w:val="0"/>
                <w:color w:val="000000" w:themeColor="text1"/>
                <w:kern w:val="2"/>
                <w:lang w:eastAsia="zh-CN"/>
                <w14:textFill>
                  <w14:solidFill>
                    <w14:schemeClr w14:val="tx1"/>
                  </w14:solidFill>
                </w14:textFill>
              </w:rPr>
              <w:t>Multiple</w:t>
            </w:r>
            <w:r>
              <w:rPr>
                <w:rFonts w:ascii="Book Antiqua" w:hAnsi="Book Antiqua" w:cstheme="minorBidi"/>
                <w:b/>
                <w:bCs/>
                <w:caps/>
                <w:color w:val="000000" w:themeColor="text1"/>
                <w:kern w:val="2"/>
                <w:lang w:eastAsia="zh-CN"/>
                <w14:textFill>
                  <w14:solidFill>
                    <w14:schemeClr w14:val="tx1"/>
                  </w14:solidFill>
                </w14:textFill>
              </w:rPr>
              <w:fldChar w:fldCharType="begin">
                <w:fldData xml:space="preserve">PEVuZE5vdGU+PENpdGU+PEF1dGhvcj5Ib25nPC9BdXRob3I+PFllYXI+MjAyMjwvWWVhcj48UmVj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</w:fldData>
              </w:fldChar>
            </w:r>
            <w:r>
              <w:rPr>
                <w:rFonts w:ascii="Book Antiqua" w:hAnsi="Book Antiqua" w:cs="Times New Roman"/>
                <w:b w:val="0"/>
                <w:bCs w:val="0"/>
                <w:caps w:val="0"/>
                <w:color w:val="000000" w:themeColor="text1"/>
                <w:kern w:val="2"/>
                <w:lang w:eastAsia="zh-CN"/>
                <w14:textFill>
                  <w14:solidFill>
                    <w14:schemeClr w14:val="tx1"/>
                  </w14:solidFill>
                </w14:textFill>
              </w:rPr>
              <w:instrText xml:space="preserve"> ADDIN EN.CITE </w:instrText>
            </w:r>
            <w:r>
              <w:rPr>
                <w:rFonts w:ascii="Book Antiqua" w:hAnsi="Book Antiqua" w:cstheme="minorBidi"/>
                <w:b/>
                <w:bCs/>
                <w:caps/>
                <w:color w:val="000000" w:themeColor="text1"/>
                <w:kern w:val="2"/>
                <w:lang w:eastAsia="zh-CN"/>
                <w14:textFill>
                  <w14:solidFill>
                    <w14:schemeClr w14:val="tx1"/>
                  </w14:solidFill>
                </w14:textFill>
              </w:rPr>
              <w:fldChar w:fldCharType="begin">
                <w:fldData xml:space="preserve">PEVuZE5vdGU+PENpdGU+PEF1dGhvcj5Ib25nPC9BdXRob3I+PFllYXI+MjAyMjwvWWVhcj48UmVj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</w:fldData>
              </w:fldChar>
            </w:r>
            <w:r>
              <w:rPr>
                <w:rFonts w:ascii="Book Antiqua" w:hAnsi="Book Antiqua" w:cs="Times New Roman"/>
                <w:b w:val="0"/>
                <w:bCs w:val="0"/>
                <w:caps w:val="0"/>
                <w:color w:val="000000" w:themeColor="text1"/>
                <w:kern w:val="2"/>
                <w:lang w:eastAsia="zh-CN"/>
                <w14:textFill>
                  <w14:solidFill>
                    <w14:schemeClr w14:val="tx1"/>
                  </w14:solidFill>
                </w14:textFill>
              </w:rPr>
              <w:instrText xml:space="preserve"> ADDIN EN.CITE.DATA </w:instrText>
            </w:r>
            <w:r>
              <w:rPr>
                <w:rFonts w:ascii="Book Antiqua" w:hAnsi="Book Antiqua" w:cstheme="minorBidi"/>
                <w:b/>
                <w:bCs/>
                <w:caps/>
                <w:color w:val="000000" w:themeColor="text1"/>
                <w:kern w:val="2"/>
                <w:lang w:eastAsia="zh-CN"/>
                <w14:textFill>
                  <w14:solidFill>
                    <w14:schemeClr w14:val="tx1"/>
                  </w14:solidFill>
                </w14:textFill>
              </w:rPr>
              <w:fldChar w:fldCharType="end"/>
            </w:r>
            <w:r>
              <w:rPr>
                <w:rFonts w:ascii="Book Antiqua" w:hAnsi="Book Antiqua" w:cstheme="minorBidi"/>
                <w:b/>
                <w:bCs/>
                <w:caps/>
                <w:color w:val="000000" w:themeColor="text1"/>
                <w:kern w:val="2"/>
                <w:lang w:eastAsia="zh-CN"/>
                <w14:textFill>
                  <w14:solidFill>
                    <w14:schemeClr w14:val="tx1"/>
                  </w14:solidFill>
                </w14:textFill>
              </w:rPr>
              <w:fldChar w:fldCharType="separate"/>
            </w:r>
            <w:r>
              <w:rPr>
                <w:rFonts w:ascii="Book Antiqua" w:hAnsi="Book Antiqua" w:cs="Times New Roman"/>
                <w:b w:val="0"/>
                <w:bCs w:val="0"/>
                <w:caps w:val="0"/>
                <w:color w:val="000000" w:themeColor="text1"/>
                <w:kern w:val="2"/>
                <w:vertAlign w:val="superscript"/>
                <w:lang w:eastAsia="zh-CN"/>
                <w14:textFill>
                  <w14:solidFill>
                    <w14:schemeClr w14:val="tx1"/>
                  </w14:solidFill>
                </w14:textFill>
              </w:rPr>
              <w:t>[127]</w:t>
            </w:r>
            <w:r>
              <w:rPr>
                <w:rFonts w:ascii="Book Antiqua" w:hAnsi="Book Antiqua" w:cstheme="minorBidi"/>
                <w:b/>
                <w:bCs/>
                <w:caps/>
                <w:color w:val="000000" w:themeColor="text1"/>
                <w:kern w:val="2"/>
                <w:lang w:eastAsia="zh-CN"/>
                <w14:textFill>
                  <w14:solidFill>
                    <w14:schemeClr w14:val="tx1"/>
                  </w14:solidFill>
                </w14:textFill>
              </w:rPr>
              <w:fldChar w:fldCharType="end"/>
            </w:r>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bookmarkStart w:id="110" w:name="OLE_LINK6815"/>
            <w:r>
              <w:rPr>
                <w:rFonts w:ascii="Book Antiqua" w:hAnsi="Book Antiqua" w:cs="Times New Roman"/>
                <w:b w:val="0"/>
                <w:bCs w:val="0"/>
                <w:caps w:val="0"/>
                <w:color w:val="000000" w:themeColor="text1"/>
                <w:kern w:val="2"/>
                <w:lang w:eastAsia="zh-CN"/>
                <w14:textFill>
                  <w14:solidFill>
                    <w14:schemeClr w14:val="tx1"/>
                  </w14:solidFill>
                </w14:textFill>
              </w:rPr>
              <w:t>CHICTR</w:t>
            </w:r>
            <w:bookmarkEnd w:id="110"/>
            <w:r>
              <w:rPr>
                <w:rFonts w:ascii="Book Antiqua" w:hAnsi="Book Antiqua" w:cs="Times New Roman"/>
                <w:b w:val="0"/>
                <w:bCs w:val="0"/>
                <w:caps w:val="0"/>
                <w:color w:val="000000" w:themeColor="text1"/>
                <w:kern w:val="2"/>
                <w:lang w:eastAsia="zh-CN"/>
                <w14:textFill>
                  <w14:solidFill>
                    <w14:schemeClr w14:val="tx1"/>
                  </w14:solidFill>
                </w14:textFill>
              </w:rPr>
              <w:t>2100045659</w:t>
            </w:r>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r>
              <w:rPr>
                <w:rFonts w:ascii="Book Antiqua" w:hAnsi="Book Antiqua" w:cs="Times New Roman"/>
                <w:b w:val="0"/>
                <w:bCs w:val="0"/>
                <w:caps w:val="0"/>
                <w:color w:val="000000" w:themeColor="text1"/>
                <w:kern w:val="2"/>
                <w:lang w:eastAsia="zh-CN"/>
                <w14:textFill>
                  <w14:solidFill>
                    <w14:schemeClr w14:val="tx1"/>
                  </w14:solidFill>
                </w14:textFill>
              </w:rPr>
              <w:t>27</w:t>
            </w:r>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shd w:val="clear" w:color="auto" w:fill="FFFFFF"/>
                <w:lang w:eastAsia="zh-CN"/>
                <w14:textFill>
                  <w14:solidFill>
                    <w14:schemeClr w14:val="tx1"/>
                  </w14:solidFill>
                </w14:textFill>
              </w:rPr>
            </w:pPr>
            <w:bookmarkStart w:id="111" w:name="OLE_LINK6816"/>
            <w:r>
              <w:rPr>
                <w:rFonts w:ascii="Book Antiqua" w:hAnsi="Book Antiqua" w:cs="Times New Roman"/>
                <w:b w:val="0"/>
                <w:bCs w:val="0"/>
                <w:caps w:val="0"/>
                <w:color w:val="000000" w:themeColor="text1"/>
                <w:kern w:val="2"/>
                <w:shd w:val="clear" w:color="auto" w:fill="FFFFFF"/>
                <w:lang w:eastAsia="zh-CN"/>
                <w14:textFill>
                  <w14:solidFill>
                    <w14:schemeClr w14:val="tx1"/>
                  </w14:solidFill>
                </w14:textFill>
              </w:rPr>
              <w:t>IC-IVA</w:t>
            </w:r>
            <w:bookmarkEnd w:id="111"/>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r>
              <w:rPr>
                <w:rFonts w:ascii="Book Antiqua" w:hAnsi="Book Antiqua" w:cs="Times New Roman"/>
                <w:b w:val="0"/>
                <w:bCs w:val="0"/>
                <w:caps w:val="0"/>
                <w:color w:val="000000" w:themeColor="text1"/>
                <w:kern w:val="2"/>
                <w:lang w:eastAsia="zh-CN"/>
                <w14:textFill>
                  <w14:solidFill>
                    <w14:schemeClr w14:val="tx1"/>
                  </w14:solidFill>
                </w14:textFill>
              </w:rPr>
              <w:t xml:space="preserve">Retrospectively, </w:t>
            </w:r>
            <w:bookmarkStart w:id="112" w:name="OLE_LINK6817"/>
            <w:r>
              <w:rPr>
                <w:rFonts w:ascii="Book Antiqua" w:hAnsi="Book Antiqua" w:cs="Times New Roman"/>
                <w:b w:val="0"/>
                <w:bCs w:val="0"/>
                <w:caps w:val="0"/>
                <w:color w:val="000000" w:themeColor="text1"/>
                <w:kern w:val="2"/>
                <w:lang w:eastAsia="zh-CN"/>
                <w14:textFill>
                  <w14:solidFill>
                    <w14:schemeClr w14:val="tx1"/>
                  </w14:solidFill>
                </w14:textFill>
              </w:rPr>
              <w:t>two-arm</w:t>
            </w:r>
            <w:bookmarkEnd w:id="112"/>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shd w:val="clear" w:color="auto" w:fill="FFFFFF"/>
                <w:lang w:eastAsia="zh-CN"/>
                <w14:textFill>
                  <w14:solidFill>
                    <w14:schemeClr w14:val="tx1"/>
                  </w14:solidFill>
                </w14:textFill>
              </w:rPr>
            </w:pPr>
            <w:r>
              <w:rPr>
                <w:rFonts w:ascii="Book Antiqua" w:hAnsi="Book Antiqua" w:cs="Times New Roman"/>
                <w:b w:val="0"/>
                <w:bCs w:val="0"/>
                <w:caps w:val="0"/>
                <w:color w:val="000000" w:themeColor="text1"/>
                <w:kern w:val="2"/>
                <w:shd w:val="clear" w:color="auto" w:fill="FFFFFF"/>
                <w:lang w:eastAsia="zh-CN"/>
                <w14:textFill>
                  <w14:solidFill>
                    <w14:schemeClr w14:val="tx1"/>
                  </w14:solidFill>
                </w14:textFill>
              </w:rPr>
              <w:t>Platinum+</w:t>
            </w:r>
            <w:bookmarkStart w:id="113" w:name="OLE_LINK6818"/>
            <w:r>
              <w:rPr>
                <w:rFonts w:ascii="Book Antiqua" w:hAnsi="Book Antiqua" w:cs="Times New Roman"/>
                <w:b w:val="0"/>
                <w:bCs w:val="0"/>
                <w:caps w:val="0"/>
                <w:color w:val="000000" w:themeColor="text1"/>
                <w:kern w:val="2"/>
                <w:shd w:val="clear" w:color="auto" w:fill="FFFFFF"/>
                <w:lang w:eastAsia="zh-CN"/>
                <w14:textFill>
                  <w14:solidFill>
                    <w14:schemeClr w14:val="tx1"/>
                  </w14:solidFill>
                </w14:textFill>
              </w:rPr>
              <w:t xml:space="preserve"> PTX</w:t>
            </w:r>
            <w:bookmarkEnd w:id="113"/>
            <w:r>
              <w:rPr>
                <w:rFonts w:ascii="Book Antiqua" w:hAnsi="Book Antiqua" w:cs="Times New Roman"/>
                <w:b w:val="0"/>
                <w:bCs w:val="0"/>
                <w:caps w:val="0"/>
                <w:color w:val="000000" w:themeColor="text1"/>
                <w:kern w:val="2"/>
                <w:shd w:val="clear" w:color="auto" w:fill="FFFFFF"/>
                <w:lang w:eastAsia="zh-CN"/>
                <w14:textFill>
                  <w14:solidFill>
                    <w14:schemeClr w14:val="tx1"/>
                  </w14:solidFill>
                </w14:textFill>
              </w:rPr>
              <w:t xml:space="preserve"> or </w:t>
            </w:r>
            <w:r>
              <w:rPr>
                <w:rFonts w:hint="eastAsia" w:ascii="Book Antiqua" w:hAnsi="Book Antiqua" w:cs="Times New Roman"/>
                <w:b w:val="0"/>
                <w:bCs w:val="0"/>
                <w:caps w:val="0"/>
                <w:color w:val="000000" w:themeColor="text1"/>
                <w:kern w:val="2"/>
                <w:shd w:val="clear" w:color="auto" w:fill="FFFFFF"/>
                <w:lang w:val="en-US" w:eastAsia="zh-CN"/>
                <w14:textFill>
                  <w14:solidFill>
                    <w14:schemeClr w14:val="tx1"/>
                  </w14:solidFill>
                </w14:textFill>
              </w:rPr>
              <w:t>p</w:t>
            </w:r>
            <w:r>
              <w:rPr>
                <w:rFonts w:ascii="Book Antiqua" w:hAnsi="Book Antiqua" w:cs="Times New Roman"/>
                <w:b w:val="0"/>
                <w:bCs w:val="0"/>
                <w:caps w:val="0"/>
                <w:color w:val="000000" w:themeColor="text1"/>
                <w:kern w:val="2"/>
                <w:shd w:val="clear" w:color="auto" w:fill="FFFFFF"/>
                <w:lang w:eastAsia="zh-CN"/>
                <w14:textFill>
                  <w14:solidFill>
                    <w14:schemeClr w14:val="tx1"/>
                  </w14:solidFill>
                </w14:textFill>
              </w:rPr>
              <w:t>latinum + 5-Fu</w:t>
            </w:r>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r>
              <w:rPr>
                <w:rFonts w:ascii="Book Antiqua" w:hAnsi="Book Antiqua" w:cs="Times New Roman"/>
                <w:b w:val="0"/>
                <w:bCs w:val="0"/>
                <w:caps w:val="0"/>
                <w:color w:val="000000" w:themeColor="text1"/>
                <w:kern w:val="2"/>
                <w:lang w:eastAsia="zh-CN"/>
                <w14:textFill>
                  <w14:solidFill>
                    <w14:schemeClr w14:val="tx1"/>
                  </w14:solidFill>
                </w14:textFill>
              </w:rPr>
              <w:t>2</w:t>
            </w:r>
            <w:r>
              <w:rPr>
                <w:rFonts w:hint="eastAsia" w:ascii="Book Antiqua" w:hAnsi="Book Antiqua" w:cs="Times New Roman"/>
                <w:b w:val="0"/>
                <w:bCs w:val="0"/>
                <w:caps w:val="0"/>
                <w:color w:val="000000" w:themeColor="text1"/>
                <w:kern w:val="2"/>
                <w:lang w:eastAsia="zh-CN"/>
                <w14:textFill>
                  <w14:solidFill>
                    <w14:schemeClr w14:val="tx1"/>
                  </w14:solidFill>
                </w14:textFill>
              </w:rPr>
              <w:t>,</w:t>
            </w:r>
            <w:r>
              <w:rPr>
                <w:rFonts w:ascii="Book Antiqua" w:hAnsi="Book Antiqua" w:cs="Times New Roman"/>
                <w:b w:val="0"/>
                <w:bCs w:val="0"/>
                <w:caps w:val="0"/>
                <w:color w:val="000000" w:themeColor="text1"/>
                <w:kern w:val="2"/>
                <w:lang w:eastAsia="zh-CN"/>
                <w14:textFill>
                  <w14:solidFill>
                    <w14:schemeClr w14:val="tx1"/>
                  </w14:solidFill>
                </w14:textFill>
              </w:rPr>
              <w:t xml:space="preserve"> Q3w</w:t>
            </w:r>
          </w:p>
        </w:tc>
        <w:tc>
          <w:tcPr>
            <w:tcW w:w="312"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shd w:val="clear" w:color="auto" w:fill="FFFFFF"/>
                <w:lang w:eastAsia="zh-CN"/>
                <w14:textFill>
                  <w14:solidFill>
                    <w14:schemeClr w14:val="tx1"/>
                  </w14:solidFill>
                </w14:textFill>
              </w:rPr>
            </w:pPr>
            <w:r>
              <w:rPr>
                <w:rFonts w:ascii="Book Antiqua" w:hAnsi="Book Antiqua" w:cs="Times New Roman"/>
                <w:b w:val="0"/>
                <w:bCs w:val="0"/>
                <w:caps w:val="0"/>
                <w:color w:val="000000" w:themeColor="text1"/>
                <w:kern w:val="2"/>
                <w:shd w:val="clear" w:color="auto" w:fill="FFFFFF"/>
                <w:lang w:eastAsia="zh-CN"/>
                <w14:textFill>
                  <w14:solidFill>
                    <w14:schemeClr w14:val="tx1"/>
                  </w14:solidFill>
                </w14:textFill>
              </w:rPr>
              <w:t>4–8 wk</w:t>
            </w:r>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r>
              <w:rPr>
                <w:rFonts w:ascii="Book Antiqua" w:hAnsi="Book Antiqua" w:cs="Times New Roman"/>
                <w:b w:val="0"/>
                <w:bCs w:val="0"/>
                <w:caps w:val="0"/>
                <w:color w:val="000000" w:themeColor="text1"/>
                <w:kern w:val="2"/>
                <w:lang w:eastAsia="zh-CN"/>
                <w14:textFill>
                  <w14:solidFill>
                    <w14:schemeClr w14:val="tx1"/>
                  </w14:solidFill>
                </w14:textFill>
              </w:rPr>
              <w:t>30-d major complications</w:t>
            </w:r>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r>
              <w:rPr>
                <w:rFonts w:ascii="Book Antiqua" w:hAnsi="Book Antiqua" w:cs="Times New Roman"/>
                <w:b w:val="0"/>
                <w:bCs w:val="0"/>
                <w:caps w:val="0"/>
                <w:color w:val="000000" w:themeColor="text1"/>
                <w:kern w:val="2"/>
                <w:lang w:eastAsia="zh-CN"/>
                <w14:textFill>
                  <w14:solidFill>
                    <w14:schemeClr w14:val="tx1"/>
                  </w14:solidFill>
                </w14:textFill>
              </w:rPr>
              <w:t>11.1% (3/27)</w:t>
            </w:r>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r>
              <w:rPr>
                <w:rFonts w:ascii="Book Antiqua" w:hAnsi="Book Antiqua" w:cs="Times New Roman"/>
                <w:b w:val="0"/>
                <w:bCs w:val="0"/>
                <w:caps w:val="0"/>
                <w:color w:val="000000" w:themeColor="text1"/>
                <w:kern w:val="2"/>
                <w:lang w:eastAsia="zh-CN"/>
                <w14:textFill>
                  <w14:solidFill>
                    <w14:schemeClr w14:val="tx1"/>
                  </w14:solidFill>
                </w14:textFill>
              </w:rPr>
              <w:t>NA</w:t>
            </w:r>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r>
              <w:rPr>
                <w:rFonts w:ascii="Book Antiqua" w:hAnsi="Book Antiqua" w:cs="Times New Roman"/>
                <w:b w:val="0"/>
                <w:bCs w:val="0"/>
                <w:caps w:val="0"/>
                <w:color w:val="000000" w:themeColor="text1"/>
                <w:kern w:val="2"/>
                <w:lang w:eastAsia="zh-CN"/>
                <w14:textFill>
                  <w14:solidFill>
                    <w14:schemeClr w14:val="tx1"/>
                  </w14:solidFill>
                </w14:textFill>
              </w:rPr>
              <w:t>NA</w:t>
            </w:r>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r>
              <w:rPr>
                <w:rFonts w:ascii="Book Antiqua" w:hAnsi="Book Antiqua" w:cs="Times New Roman"/>
                <w:b w:val="0"/>
                <w:bCs w:val="0"/>
                <w:caps w:val="0"/>
                <w:color w:val="000000" w:themeColor="text1"/>
                <w:kern w:val="2"/>
                <w:lang w:eastAsia="zh-CN"/>
                <w14:textFill>
                  <w14:solidFill>
                    <w14:schemeClr w14:val="tx1"/>
                  </w14:solidFill>
                </w14:textFill>
              </w:rPr>
              <w:t>NA</w:t>
            </w:r>
          </w:p>
        </w:tc>
        <w:tc>
          <w:tcPr>
            <w:tcW w:w="313" w:type="pct"/>
            <w:tcBorders>
              <w:top w:val="nil"/>
              <w:bottom w:val="single" w:color="auto" w:sz="4" w:space="0"/>
            </w:tcBorders>
            <w:shd w:val="clear" w:color="auto" w:fill="auto"/>
          </w:tcPr>
          <w:p>
            <w:pPr>
              <w:spacing w:line="360" w:lineRule="auto"/>
              <w:jc w:val="both"/>
              <w:rPr>
                <w:rFonts w:ascii="Book Antiqua" w:hAnsi="Book Antiqua" w:cs="Times New Roman"/>
                <w:b w:val="0"/>
                <w:bCs w:val="0"/>
                <w:caps w:val="0"/>
                <w:color w:val="000000" w:themeColor="text1"/>
                <w:kern w:val="2"/>
                <w:lang w:eastAsia="zh-CN"/>
                <w14:textFill>
                  <w14:solidFill>
                    <w14:schemeClr w14:val="tx1"/>
                  </w14:solidFill>
                </w14:textFill>
              </w:rPr>
            </w:pPr>
            <w:r>
              <w:rPr>
                <w:rFonts w:ascii="Book Antiqua" w:hAnsi="Book Antiqua" w:cs="Times New Roman"/>
                <w:b w:val="0"/>
                <w:bCs w:val="0"/>
                <w:caps w:val="0"/>
                <w:color w:val="000000" w:themeColor="text1"/>
                <w:kern w:val="2"/>
                <w:lang w:eastAsia="zh-CN"/>
                <w14:textFill>
                  <w14:solidFill>
                    <w14:schemeClr w14:val="tx1"/>
                  </w14:solidFill>
                </w14:textFill>
              </w:rPr>
              <w:t>100%</w:t>
            </w:r>
          </w:p>
        </w:tc>
      </w:tr>
      <w:bookmarkEnd w:id="80"/>
      <w:bookmarkEnd w:id="81"/>
      <w:bookmarkEnd w:id="109"/>
    </w:tbl>
    <w:p>
      <w:pPr>
        <w:spacing w:line="360" w:lineRule="auto"/>
        <w:jc w:val="both"/>
        <w:rPr>
          <w:rFonts w:ascii="Book Antiqua" w:hAnsi="Book Antiqua"/>
          <w:color w:val="000000" w:themeColor="text1"/>
          <w:shd w:val="clear" w:color="auto" w:fill="FFFFFF"/>
          <w14:textFill>
            <w14:solidFill>
              <w14:schemeClr w14:val="tx1"/>
            </w14:solidFill>
          </w14:textFill>
        </w:rPr>
      </w:pPr>
      <w:bookmarkStart w:id="114" w:name="OLE_LINK6845"/>
      <w:r>
        <w:rPr>
          <w:rFonts w:ascii="Book Antiqua" w:hAnsi="Book Antiqua"/>
          <w:color w:val="000000" w:themeColor="text1"/>
          <w:shd w:val="clear" w:color="auto" w:fill="FFFFFF"/>
          <w14:textFill>
            <w14:solidFill>
              <w14:schemeClr w14:val="tx1"/>
            </w14:solidFill>
          </w14:textFill>
        </w:rPr>
        <w:t xml:space="preserve">NR: Not registered; </w:t>
      </w:r>
      <w:r>
        <w:rPr>
          <w:rFonts w:ascii="Book Antiqua" w:hAnsi="Book Antiqua"/>
          <w:color w:val="000000" w:themeColor="text1"/>
          <w14:textFill>
            <w14:solidFill>
              <w14:schemeClr w14:val="tx1"/>
            </w14:solidFill>
          </w14:textFill>
        </w:rPr>
        <w:t xml:space="preserve">NA: Not applicable; 5-FU: 5-fluorouracil; DDP: Cisplatin; PTX: </w:t>
      </w:r>
      <w:r>
        <w:rPr>
          <w:rFonts w:ascii="Book Antiqua" w:hAnsi="Book Antiqua"/>
          <w:color w:val="000000" w:themeColor="text1"/>
          <w:shd w:val="clear" w:color="auto" w:fill="FFFFFF"/>
          <w14:textFill>
            <w14:solidFill>
              <w14:schemeClr w14:val="tx1"/>
            </w14:solidFill>
          </w14:textFill>
        </w:rPr>
        <w:t>Paclitaxel</w:t>
      </w:r>
      <w:r>
        <w:rPr>
          <w:rFonts w:ascii="Book Antiqua" w:hAnsi="Book Antiqua"/>
          <w:color w:val="000000" w:themeColor="text1"/>
          <w14:textFill>
            <w14:solidFill>
              <w14:schemeClr w14:val="tx1"/>
            </w14:solidFill>
          </w14:textFill>
        </w:rPr>
        <w:t xml:space="preserve">; DTX: </w:t>
      </w:r>
      <w:bookmarkStart w:id="115" w:name="OLE_LINK6823"/>
      <w:r>
        <w:rPr>
          <w:rFonts w:ascii="Book Antiqua" w:hAnsi="Book Antiqua"/>
          <w:color w:val="000000" w:themeColor="text1"/>
          <w14:textFill>
            <w14:solidFill>
              <w14:schemeClr w14:val="tx1"/>
            </w14:solidFill>
          </w14:textFill>
        </w:rPr>
        <w:t>D</w:t>
      </w:r>
      <w:bookmarkEnd w:id="115"/>
      <w:r>
        <w:rPr>
          <w:rFonts w:ascii="Book Antiqua" w:hAnsi="Book Antiqua"/>
          <w:color w:val="000000" w:themeColor="text1"/>
          <w14:textFill>
            <w14:solidFill>
              <w14:schemeClr w14:val="tx1"/>
            </w14:solidFill>
          </w14:textFill>
        </w:rPr>
        <w:t xml:space="preserve">ocetaxel; CBP: </w:t>
      </w:r>
      <w:bookmarkStart w:id="116" w:name="OLE_LINK6824"/>
      <w:r>
        <w:rPr>
          <w:rFonts w:ascii="Book Antiqua" w:hAnsi="Book Antiqua"/>
          <w:color w:val="000000" w:themeColor="text1"/>
          <w14:textFill>
            <w14:solidFill>
              <w14:schemeClr w14:val="tx1"/>
            </w14:solidFill>
          </w14:textFill>
        </w:rPr>
        <w:t>C</w:t>
      </w:r>
      <w:bookmarkEnd w:id="116"/>
      <w:r>
        <w:rPr>
          <w:rFonts w:ascii="Book Antiqua" w:hAnsi="Book Antiqua"/>
          <w:color w:val="000000" w:themeColor="text1"/>
          <w14:textFill>
            <w14:solidFill>
              <w14:schemeClr w14:val="tx1"/>
            </w14:solidFill>
          </w14:textFill>
        </w:rPr>
        <w:t xml:space="preserve">arboplatin; NDP: Nedaplatin; </w:t>
      </w:r>
      <w:r>
        <w:rPr>
          <w:rStyle w:val="11"/>
          <w:rFonts w:ascii="Book Antiqua" w:hAnsi="Book Antiqua"/>
          <w:i w:val="0"/>
          <w:iCs w:val="0"/>
          <w:color w:val="000000" w:themeColor="text1"/>
          <w:shd w:val="clear" w:color="auto" w:fill="FFFFFF"/>
          <w14:textFill>
            <w14:solidFill>
              <w14:schemeClr w14:val="tx1"/>
            </w14:solidFill>
          </w14:textFill>
        </w:rPr>
        <w:t>nab-PTX:</w:t>
      </w:r>
      <w:r>
        <w:rPr>
          <w:rStyle w:val="11"/>
          <w:rFonts w:ascii="Book Antiqua" w:hAnsi="Book Antiqua"/>
          <w:color w:val="000000" w:themeColor="text1"/>
          <w:shd w:val="clear" w:color="auto" w:fill="FFFFFF"/>
          <w14:textFill>
            <w14:solidFill>
              <w14:schemeClr w14:val="tx1"/>
            </w14:solidFill>
          </w14:textFill>
        </w:rPr>
        <w:t xml:space="preserve"> </w:t>
      </w:r>
      <w:bookmarkStart w:id="117" w:name="OLE_LINK6825"/>
      <w:r>
        <w:rPr>
          <w:rFonts w:ascii="Book Antiqua" w:hAnsi="Book Antiqua"/>
          <w:color w:val="000000" w:themeColor="text1"/>
          <w14:textFill>
            <w14:solidFill>
              <w14:schemeClr w14:val="tx1"/>
            </w14:solidFill>
          </w14:textFill>
        </w:rPr>
        <w:t xml:space="preserve">Albumin </w:t>
      </w:r>
      <w:bookmarkStart w:id="118" w:name="OLE_LINK6826"/>
      <w:r>
        <w:rPr>
          <w:rFonts w:ascii="Book Antiqua" w:hAnsi="Book Antiqua"/>
          <w:color w:val="000000" w:themeColor="text1"/>
          <w14:textFill>
            <w14:solidFill>
              <w14:schemeClr w14:val="tx1"/>
            </w14:solidFill>
          </w14:textFill>
        </w:rPr>
        <w:t>bound paclitaxel</w:t>
      </w:r>
      <w:bookmarkEnd w:id="117"/>
      <w:bookmarkEnd w:id="118"/>
      <w:r>
        <w:rPr>
          <w:rFonts w:ascii="Book Antiqua" w:hAnsi="Book Antiqua"/>
          <w:color w:val="000000" w:themeColor="text1"/>
          <w14:textFill>
            <w14:solidFill>
              <w14:schemeClr w14:val="tx1"/>
            </w14:solidFill>
          </w14:textFill>
        </w:rPr>
        <w:t xml:space="preserve">; S1: </w:t>
      </w:r>
      <w:r>
        <w:rPr>
          <w:rFonts w:ascii="Book Antiqua" w:hAnsi="Book Antiqua"/>
          <w:color w:val="000000" w:themeColor="text1"/>
          <w:shd w:val="clear" w:color="auto" w:fill="FFFFFF"/>
          <w14:textFill>
            <w14:solidFill>
              <w14:schemeClr w14:val="tx1"/>
            </w14:solidFill>
          </w14:textFill>
        </w:rPr>
        <w:t>Tegafur (Gimeracil and Oteracil Potassium Capsules);</w:t>
      </w:r>
      <w:r>
        <w:rPr>
          <w:rFonts w:ascii="Book Antiqua" w:hAnsi="Book Antiqua"/>
          <w:color w:val="000000" w:themeColor="text1"/>
          <w14:textFill>
            <w14:solidFill>
              <w14:schemeClr w14:val="tx1"/>
            </w14:solidFill>
          </w14:textFill>
        </w:rPr>
        <w:t xml:space="preserve"> </w:t>
      </w:r>
      <w:bookmarkStart w:id="119" w:name="OLE_LINK6866"/>
      <w:r>
        <w:rPr>
          <w:rFonts w:ascii="Book Antiqua" w:hAnsi="Book Antiqua"/>
          <w:color w:val="000000" w:themeColor="text1"/>
          <w14:textFill>
            <w14:solidFill>
              <w14:schemeClr w14:val="tx1"/>
            </w14:solidFill>
          </w14:textFill>
        </w:rPr>
        <w:t xml:space="preserve">pCR: </w:t>
      </w:r>
      <w:bookmarkStart w:id="120" w:name="OLE_LINK6827"/>
      <w:r>
        <w:rPr>
          <w:rFonts w:ascii="Book Antiqua" w:hAnsi="Book Antiqua"/>
          <w:color w:val="000000" w:themeColor="text1"/>
          <w14:textFill>
            <w14:solidFill>
              <w14:schemeClr w14:val="tx1"/>
            </w14:solidFill>
          </w14:textFill>
        </w:rPr>
        <w:t>P</w:t>
      </w:r>
      <w:bookmarkEnd w:id="120"/>
      <w:r>
        <w:rPr>
          <w:rFonts w:ascii="Book Antiqua" w:hAnsi="Book Antiqua"/>
          <w:color w:val="000000" w:themeColor="text1"/>
          <w14:textFill>
            <w14:solidFill>
              <w14:schemeClr w14:val="tx1"/>
            </w14:solidFill>
          </w14:textFill>
        </w:rPr>
        <w:t>athological complete response</w:t>
      </w:r>
      <w:bookmarkEnd w:id="119"/>
      <w:r>
        <w:rPr>
          <w:rFonts w:ascii="Book Antiqua" w:hAnsi="Book Antiqua"/>
          <w:color w:val="000000" w:themeColor="text1"/>
          <w14:textFill>
            <w14:solidFill>
              <w14:schemeClr w14:val="tx1"/>
            </w14:solidFill>
          </w14:textFill>
        </w:rPr>
        <w:t xml:space="preserve">; </w:t>
      </w:r>
      <w:bookmarkStart w:id="121" w:name="OLE_LINK6867"/>
      <w:r>
        <w:rPr>
          <w:rFonts w:ascii="Book Antiqua" w:hAnsi="Book Antiqua"/>
          <w:color w:val="000000" w:themeColor="text1"/>
          <w14:textFill>
            <w14:solidFill>
              <w14:schemeClr w14:val="tx1"/>
            </w14:solidFill>
          </w14:textFill>
        </w:rPr>
        <w:t xml:space="preserve">MPR: </w:t>
      </w:r>
      <w:bookmarkStart w:id="122" w:name="OLE_LINK6828"/>
      <w:r>
        <w:rPr>
          <w:rFonts w:ascii="Book Antiqua" w:hAnsi="Book Antiqua"/>
          <w:color w:val="000000" w:themeColor="text1"/>
          <w14:textFill>
            <w14:solidFill>
              <w14:schemeClr w14:val="tx1"/>
            </w14:solidFill>
          </w14:textFill>
        </w:rPr>
        <w:t>M</w:t>
      </w:r>
      <w:bookmarkEnd w:id="122"/>
      <w:r>
        <w:rPr>
          <w:rFonts w:ascii="Book Antiqua" w:hAnsi="Book Antiqua"/>
          <w:color w:val="000000" w:themeColor="text1"/>
          <w14:textFill>
            <w14:solidFill>
              <w14:schemeClr w14:val="tx1"/>
            </w14:solidFill>
          </w14:textFill>
        </w:rPr>
        <w:t>ajor pathological response;</w:t>
      </w:r>
      <w:bookmarkEnd w:id="121"/>
      <w:r>
        <w:rPr>
          <w:rFonts w:ascii="Book Antiqua" w:hAnsi="Book Antiqua"/>
          <w:color w:val="000000" w:themeColor="text1"/>
          <w14:textFill>
            <w14:solidFill>
              <w14:schemeClr w14:val="tx1"/>
            </w14:solidFill>
          </w14:textFill>
        </w:rPr>
        <w:t xml:space="preserve"> trAEs: </w:t>
      </w:r>
      <w:bookmarkStart w:id="123" w:name="OLE_LINK6830"/>
      <w:bookmarkStart w:id="124" w:name="OLE_LINK6829"/>
      <w:r>
        <w:rPr>
          <w:rFonts w:ascii="Book Antiqua" w:hAnsi="Book Antiqua"/>
          <w:color w:val="000000" w:themeColor="text1"/>
          <w14:textFill>
            <w14:solidFill>
              <w14:schemeClr w14:val="tx1"/>
            </w14:solidFill>
          </w14:textFill>
        </w:rPr>
        <w:t>T</w:t>
      </w:r>
      <w:bookmarkEnd w:id="123"/>
      <w:bookmarkEnd w:id="124"/>
      <w:r>
        <w:rPr>
          <w:rFonts w:ascii="Book Antiqua" w:hAnsi="Book Antiqua"/>
          <w:color w:val="000000" w:themeColor="text1"/>
          <w14:textFill>
            <w14:solidFill>
              <w14:schemeClr w14:val="tx1"/>
            </w14:solidFill>
          </w14:textFill>
        </w:rPr>
        <w:t>reatment-related adverse events.</w:t>
      </w:r>
    </w:p>
    <w:bookmarkEnd w:id="114"/>
    <w:p>
      <w:pPr>
        <w:spacing w:line="360" w:lineRule="auto"/>
        <w:jc w:val="both"/>
        <w:rPr>
          <w:rFonts w:ascii="Book Antiqua" w:hAnsi="Book Antiqua"/>
          <w:color w:val="000000" w:themeColor="text1"/>
          <w:shd w:val="clear" w:color="auto" w:fill="FFFFFF"/>
          <w14:textFill>
            <w14:solidFill>
              <w14:schemeClr w14:val="tx1"/>
            </w14:solidFill>
          </w14:textFill>
        </w:rPr>
      </w:pPr>
    </w:p>
    <w:p>
      <w:pPr>
        <w:spacing w:line="360" w:lineRule="auto"/>
        <w:jc w:val="both"/>
        <w:rPr>
          <w:rFonts w:ascii="Book Antiqua" w:hAnsi="Book Antiqua"/>
          <w:color w:val="000000" w:themeColor="text1"/>
          <w:shd w:val="clear" w:color="auto" w:fill="FFFFFF"/>
          <w14:textFill>
            <w14:solidFill>
              <w14:schemeClr w14:val="tx1"/>
            </w14:solidFill>
          </w14:textFill>
        </w:rPr>
        <w:sectPr>
          <w:pgSz w:w="16840" w:h="11900" w:orient="landscape"/>
          <w:pgMar w:top="1800" w:right="1440" w:bottom="1800" w:left="1440" w:header="851" w:footer="992" w:gutter="0"/>
          <w:cols w:space="425" w:num="1"/>
          <w:docGrid w:type="lines" w:linePitch="326" w:charSpace="0"/>
        </w:sectPr>
      </w:pPr>
    </w:p>
    <w:p>
      <w:pPr>
        <w:spacing w:line="360" w:lineRule="auto"/>
        <w:jc w:val="both"/>
        <w:rPr>
          <w:rFonts w:ascii="Book Antiqua" w:hAnsi="Book Antiqua"/>
          <w:b/>
          <w:bCs/>
          <w:color w:val="000000" w:themeColor="text1"/>
          <w:shd w:val="clear" w:color="auto" w:fill="FFFFFF"/>
          <w14:textFill>
            <w14:solidFill>
              <w14:schemeClr w14:val="tx1"/>
            </w14:solidFill>
          </w14:textFill>
        </w:rPr>
      </w:pPr>
      <w:bookmarkStart w:id="125" w:name="OLE_LINK6832"/>
      <w:r>
        <w:rPr>
          <w:rFonts w:ascii="Book Antiqua" w:hAnsi="Book Antiqua"/>
          <w:b/>
          <w:bCs/>
          <w:color w:val="000000" w:themeColor="text1"/>
          <w:shd w:val="clear" w:color="auto" w:fill="FFFFFF"/>
          <w14:textFill>
            <w14:solidFill>
              <w14:schemeClr w14:val="tx1"/>
            </w14:solidFill>
          </w14:textFill>
        </w:rPr>
        <w:t xml:space="preserve">Table 2 Ongoing clinical trials of neoadjuvant immunotherapy for resectable </w:t>
      </w:r>
      <w:bookmarkStart w:id="126" w:name="OLE_LINK6855"/>
      <w:r>
        <w:rPr>
          <w:rFonts w:ascii="Book Antiqua" w:hAnsi="Book Antiqua" w:eastAsia="Book Antiqua" w:cs="Book Antiqua"/>
          <w:b/>
          <w:bCs/>
          <w:color w:val="000000" w:themeColor="text1"/>
          <w14:textFill>
            <w14:solidFill>
              <w14:schemeClr w14:val="tx1"/>
            </w14:solidFill>
          </w14:textFill>
        </w:rPr>
        <w:t>esophageal squamous cell carcinoma</w:t>
      </w:r>
      <w:bookmarkEnd w:id="126"/>
    </w:p>
    <w:bookmarkEnd w:id="125"/>
    <w:tbl>
      <w:tblPr>
        <w:tblStyle w:val="25"/>
        <w:tblW w:w="0" w:type="auto"/>
        <w:tblInd w:w="0" w:type="dxa"/>
        <w:tblLayout w:type="fixed"/>
        <w:tblCellMar>
          <w:top w:w="0" w:type="dxa"/>
          <w:left w:w="108" w:type="dxa"/>
          <w:bottom w:w="0" w:type="dxa"/>
          <w:right w:w="108" w:type="dxa"/>
        </w:tblCellMar>
      </w:tblPr>
      <w:tblGrid>
        <w:gridCol w:w="1181"/>
        <w:gridCol w:w="1181"/>
        <w:gridCol w:w="1181"/>
        <w:gridCol w:w="1181"/>
        <w:gridCol w:w="1181"/>
        <w:gridCol w:w="1182"/>
        <w:gridCol w:w="1181"/>
        <w:gridCol w:w="1181"/>
        <w:gridCol w:w="1181"/>
        <w:gridCol w:w="1181"/>
        <w:gridCol w:w="1181"/>
        <w:gridCol w:w="1182"/>
      </w:tblGrid>
      <w:tr>
        <w:tblPrEx>
          <w:tblCellMar>
            <w:top w:w="0" w:type="dxa"/>
            <w:left w:w="108" w:type="dxa"/>
            <w:bottom w:w="0" w:type="dxa"/>
            <w:right w:w="108" w:type="dxa"/>
          </w:tblCellMar>
        </w:tblPrEx>
        <w:trPr>
          <w:trHeight w:val="645" w:hRule="atLeast"/>
        </w:trPr>
        <w:tc>
          <w:tcPr>
            <w:tcW w:w="1181"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bookmarkStart w:id="127" w:name="OLE_LINK6834"/>
            <w:bookmarkStart w:id="128" w:name="OLE_LINK6835"/>
            <w:bookmarkStart w:id="129" w:name="OLE_LINK6836"/>
            <w:r>
              <w:rPr>
                <w:rFonts w:ascii="Book Antiqua" w:hAnsi="Book Antiqua" w:cs="Times New Roman"/>
                <w:b/>
                <w:bCs/>
                <w:caps w:val="0"/>
                <w:color w:val="000000" w:themeColor="text1"/>
                <w:kern w:val="2"/>
                <w:lang w:eastAsia="zh-CN"/>
                <w14:textFill>
                  <w14:solidFill>
                    <w14:schemeClr w14:val="tx1"/>
                  </w14:solidFill>
                </w14:textFill>
              </w:rPr>
              <w:t>Drug &amp; target</w:t>
            </w:r>
          </w:p>
        </w:tc>
        <w:tc>
          <w:tcPr>
            <w:tcW w:w="1181"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Trial name/No.</w:t>
            </w:r>
            <w:bookmarkStart w:id="130" w:name="OLE_LINK6864"/>
            <w:r>
              <w:rPr>
                <w:rFonts w:ascii="Book Antiqua" w:hAnsi="Book Antiqua" w:cs="Times New Roman"/>
                <w:b/>
                <w:bCs/>
                <w:caps w:val="0"/>
                <w:color w:val="000000" w:themeColor="text1"/>
                <w:kern w:val="2"/>
                <w:lang w:eastAsia="zh-CN"/>
                <w14:textFill>
                  <w14:solidFill>
                    <w14:schemeClr w14:val="tx1"/>
                  </w14:solidFill>
                </w14:textFill>
              </w:rPr>
              <w:t>/</w:t>
            </w:r>
            <w:bookmarkStart w:id="131" w:name="OLE_LINK6863"/>
            <w:r>
              <w:rPr>
                <w:rFonts w:ascii="Book Antiqua" w:hAnsi="Book Antiqua" w:cs="Times New Roman"/>
                <w:b/>
                <w:bCs/>
                <w:caps w:val="0"/>
                <w:color w:val="000000" w:themeColor="text1"/>
                <w:kern w:val="2"/>
                <w:lang w:eastAsia="zh-CN"/>
                <w14:textFill>
                  <w14:solidFill>
                    <w14:schemeClr w14:val="tx1"/>
                  </w14:solidFill>
                </w14:textFill>
              </w:rPr>
              <w:t>Ref.</w:t>
            </w:r>
            <w:bookmarkEnd w:id="130"/>
            <w:bookmarkEnd w:id="131"/>
          </w:p>
        </w:tc>
        <w:tc>
          <w:tcPr>
            <w:tcW w:w="1181"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Phase</w:t>
            </w:r>
          </w:p>
        </w:tc>
        <w:tc>
          <w:tcPr>
            <w:tcW w:w="1181"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Sample size</w:t>
            </w:r>
          </w:p>
        </w:tc>
        <w:tc>
          <w:tcPr>
            <w:tcW w:w="1181"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Clinical stage</w:t>
            </w:r>
          </w:p>
        </w:tc>
        <w:tc>
          <w:tcPr>
            <w:tcW w:w="1182"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Design</w:t>
            </w:r>
          </w:p>
        </w:tc>
        <w:tc>
          <w:tcPr>
            <w:tcW w:w="1181"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Chemotherapy drugs</w:t>
            </w:r>
          </w:p>
        </w:tc>
        <w:tc>
          <w:tcPr>
            <w:tcW w:w="1181"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hint="default" w:ascii="Book Antiqua" w:hAnsi="Book Antiqua" w:cs="Times New Roman"/>
                <w:b/>
                <w:bCs/>
                <w:caps w:val="0"/>
                <w:color w:val="000000" w:themeColor="text1"/>
                <w:kern w:val="2"/>
                <w:lang w:val="en-US"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Chemotherapy cycle</w:t>
            </w:r>
            <w:r>
              <w:rPr>
                <w:rFonts w:hint="eastAsia" w:ascii="Book Antiqua" w:hAnsi="Book Antiqua" w:cs="Times New Roman"/>
                <w:b/>
                <w:bCs/>
                <w:caps w:val="0"/>
                <w:color w:val="000000" w:themeColor="text1"/>
                <w:kern w:val="2"/>
                <w:lang w:val="en-US" w:eastAsia="zh-CN"/>
                <w14:textFill>
                  <w14:solidFill>
                    <w14:schemeClr w14:val="tx1"/>
                  </w14:solidFill>
                </w14:textFill>
              </w:rPr>
              <w:t>s</w:t>
            </w:r>
          </w:p>
        </w:tc>
        <w:tc>
          <w:tcPr>
            <w:tcW w:w="1181"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Radiotherapy</w:t>
            </w:r>
          </w:p>
        </w:tc>
        <w:tc>
          <w:tcPr>
            <w:tcW w:w="1181"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 xml:space="preserve">Interval </w:t>
            </w:r>
            <w:bookmarkStart w:id="132" w:name="OLE_LINK6833"/>
            <w:r>
              <w:rPr>
                <w:rFonts w:ascii="Book Antiqua" w:hAnsi="Book Antiqua" w:cs="Times New Roman"/>
                <w:b/>
                <w:bCs/>
                <w:caps w:val="0"/>
                <w:color w:val="000000" w:themeColor="text1"/>
                <w:kern w:val="2"/>
                <w:lang w:eastAsia="zh-CN"/>
                <w14:textFill>
                  <w14:solidFill>
                    <w14:schemeClr w14:val="tx1"/>
                  </w14:solidFill>
                </w14:textFill>
              </w:rPr>
              <w:t>to surgery</w:t>
            </w:r>
            <w:bookmarkEnd w:id="132"/>
          </w:p>
        </w:tc>
        <w:tc>
          <w:tcPr>
            <w:tcW w:w="1181"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Primary endpoint</w:t>
            </w:r>
          </w:p>
        </w:tc>
        <w:tc>
          <w:tcPr>
            <w:tcW w:w="1182"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Start date</w:t>
            </w:r>
          </w:p>
        </w:tc>
      </w:tr>
      <w:tr>
        <w:tblPrEx>
          <w:tblCellMar>
            <w:top w:w="0" w:type="dxa"/>
            <w:left w:w="108" w:type="dxa"/>
            <w:bottom w:w="0" w:type="dxa"/>
            <w:right w:w="108" w:type="dxa"/>
          </w:tblCellMar>
        </w:tblPrEx>
        <w:trPr>
          <w:trHeight w:val="645" w:hRule="atLeast"/>
        </w:trPr>
        <w:tc>
          <w:tcPr>
            <w:tcW w:w="1181" w:type="dxa"/>
            <w:vMerge w:val="restar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33" w:name="_Hlk142661087"/>
            <w:r>
              <w:rPr>
                <w:rFonts w:ascii="Book Antiqua" w:hAnsi="Book Antiqua" w:cs="Times New Roman"/>
                <w:color w:val="000000" w:themeColor="text1"/>
                <w:kern w:val="2"/>
                <w:lang w:eastAsia="zh-CN"/>
                <w14:textFill>
                  <w14:solidFill>
                    <w14:schemeClr w14:val="tx1"/>
                  </w14:solidFill>
                </w14:textFill>
              </w:rPr>
              <w:t>Nivolumab</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FRONTiER/NCT03914443</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PEVuZE5vdGU+PENpdGU+PEF1dGhvcj5ZYW1hbW90bzwvQXV0aG9yPjxZZWFyPjIwMjA8L1llYXI+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PEVuZE5vdGU+PENpdGU+PEF1dGhvcj5ZYW1hbW90bzwvQXV0aG9yPjxZZWFyPjIwMjA8L1llYXI+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[67]</w:t>
            </w:r>
            <w:r>
              <w:rPr>
                <w:rFonts w:ascii="Book Antiqua" w:hAnsi="Book Antiqua" w:cstheme="minorBidi"/>
                <w:color w:val="000000" w:themeColor="text1"/>
                <w:kern w:val="2"/>
                <w:lang w:eastAsia="zh-CN"/>
                <w14:textFill>
                  <w14:solidFill>
                    <w14:schemeClr w14:val="tx1"/>
                  </w14:solidFill>
                </w14:textFill>
              </w:rPr>
              <w:fldChar w:fldCharType="end"/>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36</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IC-IVA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5-FU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12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34" w:name="OLE_LINK6839"/>
            <w:r>
              <w:rPr>
                <w:rFonts w:ascii="Book Antiqua" w:hAnsi="Book Antiqua" w:cs="Times New Roman"/>
                <w:color w:val="000000" w:themeColor="text1"/>
                <w:kern w:val="2"/>
                <w:lang w:eastAsia="zh-CN"/>
                <w14:textFill>
                  <w14:solidFill>
                    <w14:schemeClr w14:val="tx1"/>
                  </w14:solidFill>
                </w14:textFill>
              </w:rPr>
              <w:t>I</w:t>
            </w:r>
            <w:bookmarkEnd w:id="134"/>
            <w:r>
              <w:rPr>
                <w:rFonts w:ascii="Book Antiqua" w:hAnsi="Book Antiqua" w:cs="Times New Roman"/>
                <w:color w:val="000000" w:themeColor="text1"/>
                <w:kern w:val="2"/>
                <w:lang w:eastAsia="zh-CN"/>
                <w14:textFill>
                  <w14:solidFill>
                    <w14:schemeClr w14:val="tx1"/>
                  </w14:solidFill>
                </w14:textFill>
              </w:rPr>
              <w:t>ncidence of dose-limiting toxicities</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07-May-19</w:t>
            </w:r>
          </w:p>
        </w:tc>
      </w:tr>
      <w:tr>
        <w:tblPrEx>
          <w:tblCellMar>
            <w:top w:w="0" w:type="dxa"/>
            <w:left w:w="108" w:type="dxa"/>
            <w:bottom w:w="0" w:type="dxa"/>
            <w:right w:w="108" w:type="dxa"/>
          </w:tblCellMar>
        </w:tblPrEx>
        <w:trPr>
          <w:trHeight w:val="330"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NCT03987815</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NA </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MPR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01-Aug-19</w:t>
            </w:r>
          </w:p>
        </w:tc>
      </w:tr>
      <w:tr>
        <w:tblPrEx>
          <w:tblCellMar>
            <w:top w:w="0" w:type="dxa"/>
            <w:left w:w="108" w:type="dxa"/>
            <w:bottom w:w="0" w:type="dxa"/>
            <w:right w:w="108" w:type="dxa"/>
          </w:tblCellMar>
        </w:tblPrEx>
        <w:trPr>
          <w:trHeight w:val="960"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NCT05213312</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90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II-III </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PTX/5-FU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01-Jun-22</w:t>
            </w:r>
          </w:p>
        </w:tc>
      </w:tr>
      <w:tr>
        <w:tblPrEx>
          <w:tblCellMar>
            <w:top w:w="0" w:type="dxa"/>
            <w:left w:w="108" w:type="dxa"/>
            <w:bottom w:w="0" w:type="dxa"/>
            <w:right w:w="108" w:type="dxa"/>
          </w:tblCellMar>
        </w:tblPrEx>
        <w:trPr>
          <w:trHeight w:val="645" w:hRule="atLeast"/>
        </w:trPr>
        <w:tc>
          <w:tcPr>
            <w:tcW w:w="1181" w:type="dxa"/>
            <w:vMerge w:val="restar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Pembrolizumab</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PALACE-1/NCT03792347</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PEVuZE5vdGU+PENpdGU+PEF1dGhvcj5MaTwvQXV0aG9yPjxZZWFyPjIwMjE8L1llYXI+PFJlY051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PEVuZE5vdGU+PENpdGU+PEF1dGhvcj5MaTwvQXV0aG9yPjxZZWFyPjIwMjE8L1llYXI+PFJlY051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[85]</w:t>
            </w:r>
            <w:r>
              <w:rPr>
                <w:rFonts w:ascii="Book Antiqua" w:hAnsi="Book Antiqua" w:cstheme="minorBidi"/>
                <w:color w:val="000000" w:themeColor="text1"/>
                <w:kern w:val="2"/>
                <w:lang w:eastAsia="zh-CN"/>
                <w14:textFill>
                  <w14:solidFill>
                    <w14:schemeClr w14:val="tx1"/>
                  </w14:solidFill>
                </w14:textFill>
              </w:rPr>
              <w:fldChar w:fldCharType="end"/>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IC-IVA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CBP + PTX</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 Q1W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41.4 Gy/23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35" w:name="OLE_LINK6840"/>
            <w:r>
              <w:rPr>
                <w:rFonts w:ascii="Book Antiqua" w:hAnsi="Book Antiqua" w:cs="Times New Roman"/>
                <w:color w:val="000000" w:themeColor="text1"/>
                <w:kern w:val="2"/>
                <w:lang w:eastAsia="zh-CN"/>
                <w14:textFill>
                  <w14:solidFill>
                    <w14:schemeClr w14:val="tx1"/>
                  </w14:solidFill>
                </w14:textFill>
              </w:rPr>
              <w:t>S</w:t>
            </w:r>
            <w:bookmarkEnd w:id="135"/>
            <w:r>
              <w:rPr>
                <w:rFonts w:ascii="Book Antiqua" w:hAnsi="Book Antiqua" w:cs="Times New Roman"/>
                <w:color w:val="000000" w:themeColor="text1"/>
                <w:kern w:val="2"/>
                <w:lang w:eastAsia="zh-CN"/>
                <w14:textFill>
                  <w14:solidFill>
                    <w14:schemeClr w14:val="tx1"/>
                  </w14:solidFill>
                </w14:textFill>
              </w:rPr>
              <w:t>afety</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21-Jan-19</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36" w:name="_Hlk132662043"/>
            <w:r>
              <w:rPr>
                <w:rFonts w:ascii="Book Antiqua" w:hAnsi="Book Antiqua" w:cs="Times New Roman"/>
                <w:color w:val="000000" w:themeColor="text1"/>
                <w:kern w:val="2"/>
                <w:lang w:eastAsia="zh-CN"/>
                <w14:textFill>
                  <w14:solidFill>
                    <w14:schemeClr w14:val="tx1"/>
                  </w14:solidFill>
                </w14:textFill>
              </w:rPr>
              <w:t>PALACE-2/NCT04435197</w:t>
            </w:r>
            <w:bookmarkEnd w:id="136"/>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PEVuZE5vdGU+PENpdGU+PEF1dGhvcj5aaGVuZzwvQXV0aG9yPjxZZWFyPjIwMjI8L1llYXI+PFJl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PEVuZE5vdGU+PENpdGU+PEF1dGhvcj5aaGVuZzwvQXV0aG9yPjxZZWFyPjIwMjI8L1llYXI+PFJl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[84]</w: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imes New Roman"/>
                <w:color w:val="000000" w:themeColor="text1"/>
                <w:kern w:val="2"/>
                <w:lang w:eastAsia="zh-CN"/>
                <w14:textFill>
                  <w14:solidFill>
                    <w14:schemeClr w14:val="tx1"/>
                  </w14:solidFill>
                </w14:textFill>
              </w:rPr>
              <w:t xml:space="preserve"> </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143</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IC-IVA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CBP + PTX</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 Q1 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41.4 Gy/23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11-Aug-20</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NCT05302011</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CBP/DDP + DTX</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37" w:name="OLE_LINK6841"/>
            <w:r>
              <w:rPr>
                <w:rFonts w:ascii="Book Antiqua" w:hAnsi="Book Antiqua" w:cs="Times New Roman"/>
                <w:color w:val="000000" w:themeColor="text1"/>
                <w:kern w:val="2"/>
                <w:lang w:eastAsia="zh-CN"/>
                <w14:textFill>
                  <w14:solidFill>
                    <w14:schemeClr w14:val="tx1"/>
                  </w14:solidFill>
                </w14:textFill>
              </w:rPr>
              <w:t>T</w:t>
            </w:r>
            <w:bookmarkEnd w:id="137"/>
            <w:r>
              <w:rPr>
                <w:rFonts w:ascii="Book Antiqua" w:hAnsi="Book Antiqua" w:cs="Times New Roman"/>
                <w:color w:val="000000" w:themeColor="text1"/>
                <w:kern w:val="2"/>
                <w:lang w:eastAsia="zh-CN"/>
                <w14:textFill>
                  <w14:solidFill>
                    <w14:schemeClr w14:val="tx1"/>
                  </w14:solidFill>
                </w14:textFill>
              </w:rPr>
              <w:t>umor response, 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01-Jun-20</w:t>
            </w:r>
          </w:p>
        </w:tc>
      </w:tr>
      <w:tr>
        <w:tblPrEx>
          <w:tblCellMar>
            <w:top w:w="0" w:type="dxa"/>
            <w:left w:w="108" w:type="dxa"/>
            <w:bottom w:w="0" w:type="dxa"/>
            <w:right w:w="108" w:type="dxa"/>
          </w:tblCellMar>
        </w:tblPrEx>
        <w:trPr>
          <w:trHeight w:val="330"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NCT05281003</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128</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IC-IVA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 Q4W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20-Feb-23</w:t>
            </w:r>
          </w:p>
        </w:tc>
      </w:tr>
      <w:tr>
        <w:tblPrEx>
          <w:tblCellMar>
            <w:top w:w="0" w:type="dxa"/>
            <w:left w:w="108" w:type="dxa"/>
            <w:bottom w:w="0" w:type="dxa"/>
            <w:right w:w="108" w:type="dxa"/>
          </w:tblCellMar>
        </w:tblPrEx>
        <w:trPr>
          <w:trHeight w:val="330" w:hRule="atLeast"/>
        </w:trPr>
        <w:tc>
          <w:tcPr>
            <w:tcW w:w="1181" w:type="dxa"/>
            <w:vMerge w:val="restar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Camrelizumab </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NCT04520035</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01-Aug-20</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NCT04767295</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28</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IA-IVA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nab-PTX + CBP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5-8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01-Mar-21</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NICE-2 Study/NCT 05043688</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PEVuZE5vdGU+PENpdGU+PEF1dGhvcj5ZYW5nPC9BdXRob3I+PFllYXI+MjAyMjwvWWVhcj48UmVj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PEVuZE5vdGU+PENpdGU+PEF1dGhvcj5ZYW5nPC9BdXRob3I+PFllYXI+MjAyMjwvWWVhcj48UmVj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[128]</w: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imes New Roman"/>
                <w:color w:val="000000" w:themeColor="text1"/>
                <w:kern w:val="2"/>
                <w:lang w:eastAsia="zh-CN"/>
                <w14:textFill>
                  <w14:solidFill>
                    <w14:schemeClr w14:val="tx1"/>
                  </w14:solidFill>
                </w14:textFill>
              </w:rPr>
              <w:t xml:space="preserve"> </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204</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Locally advanced</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Three-arm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nab-PTX, CBP, PTX</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41.4 Gy/23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4-12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14-Sep-21</w:t>
            </w:r>
          </w:p>
        </w:tc>
      </w:tr>
      <w:tr>
        <w:tblPrEx>
          <w:tblCellMar>
            <w:top w:w="0" w:type="dxa"/>
            <w:left w:w="108" w:type="dxa"/>
            <w:bottom w:w="0" w:type="dxa"/>
            <w:right w:w="108" w:type="dxa"/>
          </w:tblCellMar>
        </w:tblPrEx>
        <w:trPr>
          <w:trHeight w:val="330"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NCT05476380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39</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19-Feb-21</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NCT05182944</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130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IIB-IVA </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Four-arm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nab-PTX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pCR, 3-yr DFS </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15-Jan-22</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NCT04937673</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PTX/nab-PTX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38" w:name="OLE_LINK6842"/>
            <w:r>
              <w:rPr>
                <w:rFonts w:ascii="Book Antiqua" w:hAnsi="Book Antiqua" w:cs="Times New Roman"/>
                <w:color w:val="000000" w:themeColor="text1"/>
                <w:kern w:val="2"/>
                <w:lang w:eastAsia="zh-CN"/>
                <w14:textFill>
                  <w14:solidFill>
                    <w14:schemeClr w14:val="tx1"/>
                  </w14:solidFill>
                </w14:textFill>
              </w:rPr>
              <w:t>B</w:t>
            </w:r>
            <w:bookmarkEnd w:id="138"/>
            <w:r>
              <w:rPr>
                <w:rFonts w:ascii="Book Antiqua" w:hAnsi="Book Antiqua" w:cs="Times New Roman"/>
                <w:color w:val="000000" w:themeColor="text1"/>
                <w:kern w:val="2"/>
                <w:lang w:eastAsia="zh-CN"/>
                <w14:textFill>
                  <w14:solidFill>
                    <w14:schemeClr w14:val="tx1"/>
                  </w14:solidFill>
                </w14:textFill>
              </w:rPr>
              <w:t>iomarkers related to 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01-Jul-21</w:t>
            </w:r>
          </w:p>
        </w:tc>
      </w:tr>
      <w:tr>
        <w:tblPrEx>
          <w:tblCellMar>
            <w:top w:w="0" w:type="dxa"/>
            <w:left w:w="108" w:type="dxa"/>
            <w:bottom w:w="0" w:type="dxa"/>
            <w:right w:w="108" w:type="dxa"/>
          </w:tblCellMar>
        </w:tblPrEx>
        <w:trPr>
          <w:trHeight w:val="960"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NCT05176002</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26</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39" w:name="OLE_LINK6843"/>
            <w:r>
              <w:rPr>
                <w:rFonts w:ascii="Book Antiqua" w:hAnsi="Book Antiqua" w:cs="Times New Roman"/>
                <w:color w:val="000000" w:themeColor="text1"/>
                <w:kern w:val="2"/>
                <w:lang w:eastAsia="zh-CN"/>
                <w14:textFill>
                  <w14:solidFill>
                    <w14:schemeClr w14:val="tx1"/>
                  </w14:solidFill>
                </w14:textFill>
              </w:rPr>
              <w:t>R</w:t>
            </w:r>
            <w:bookmarkEnd w:id="139"/>
            <w:r>
              <w:rPr>
                <w:rFonts w:ascii="Book Antiqua" w:hAnsi="Book Antiqua" w:cs="Times New Roman"/>
                <w:color w:val="000000" w:themeColor="text1"/>
                <w:kern w:val="2"/>
                <w:lang w:eastAsia="zh-CN"/>
                <w14:textFill>
                  <w14:solidFill>
                    <w14:schemeClr w14:val="tx1"/>
                  </w14:solidFill>
                </w14:textFill>
              </w:rPr>
              <w:t>adiotherapy, 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Efficacy Safety </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23-Sep-21</w:t>
            </w:r>
          </w:p>
        </w:tc>
      </w:tr>
      <w:tr>
        <w:tblPrEx>
          <w:tblCellMar>
            <w:top w:w="0" w:type="dxa"/>
            <w:left w:w="108" w:type="dxa"/>
            <w:bottom w:w="0" w:type="dxa"/>
            <w:right w:w="108" w:type="dxa"/>
          </w:tblCellMar>
        </w:tblPrEx>
        <w:trPr>
          <w:trHeight w:val="960"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NCT04666090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42</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IIA-IVA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nab-PTX + NDP + Apatinib</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2-3, Q2W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23-Nov-20</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NCT05355168</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57</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IC-IVA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Nimotuzumab + CRT</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 MPR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01-Nov-21</w:t>
            </w:r>
          </w:p>
        </w:tc>
      </w:tr>
      <w:tr>
        <w:tblPrEx>
          <w:tblCellMar>
            <w:top w:w="0" w:type="dxa"/>
            <w:left w:w="108" w:type="dxa"/>
            <w:bottom w:w="0" w:type="dxa"/>
            <w:right w:w="108" w:type="dxa"/>
          </w:tblCellMar>
        </w:tblPrEx>
        <w:trPr>
          <w:trHeight w:val="330"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NCT03200691</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21</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IIA-III</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40 Gy/20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2-4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10-Aug-17</w:t>
            </w:r>
          </w:p>
        </w:tc>
      </w:tr>
      <w:tr>
        <w:tblPrEx>
          <w:tblCellMar>
            <w:top w:w="0" w:type="dxa"/>
            <w:left w:w="108" w:type="dxa"/>
            <w:bottom w:w="0" w:type="dxa"/>
            <w:right w:w="108" w:type="dxa"/>
          </w:tblCellMar>
        </w:tblPrEx>
        <w:trPr>
          <w:trHeight w:val="645" w:hRule="atLeast"/>
        </w:trPr>
        <w:tc>
          <w:tcPr>
            <w:tcW w:w="1181" w:type="dxa"/>
            <w:vMerge w:val="restar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Sintilimab</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NCT03940001</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CBP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41.4 Gy/23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40" w:name="OLE_LINK6844"/>
            <w:r>
              <w:rPr>
                <w:rFonts w:ascii="Book Antiqua" w:hAnsi="Book Antiqua" w:cs="Times New Roman"/>
                <w:color w:val="000000" w:themeColor="text1"/>
                <w:kern w:val="2"/>
                <w:lang w:eastAsia="zh-CN"/>
                <w14:textFill>
                  <w14:solidFill>
                    <w14:schemeClr w14:val="tx1"/>
                  </w14:solidFill>
                </w14:textFill>
              </w:rPr>
              <w:t>U</w:t>
            </w:r>
            <w:bookmarkEnd w:id="140"/>
            <w:r>
              <w:rPr>
                <w:rFonts w:ascii="Book Antiqua" w:hAnsi="Book Antiqua" w:cs="Times New Roman"/>
                <w:color w:val="000000" w:themeColor="text1"/>
                <w:kern w:val="2"/>
                <w:lang w:eastAsia="zh-CN"/>
                <w14:textFill>
                  <w14:solidFill>
                    <w14:schemeClr w14:val="tx1"/>
                  </w14:solidFill>
                </w14:textFill>
              </w:rPr>
              <w:t>nacceptable toxicity; pCR</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MPR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01-May-19</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(NICCE)NCT05028231 </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 xml:space="preserve">nab-PTX </w:t>
            </w:r>
            <w:r>
              <w:rPr>
                <w:rFonts w:ascii="Book Antiqua" w:hAnsi="Book Antiqua" w:cs="Times New Roman"/>
                <w:color w:val="000000" w:themeColor="text1"/>
                <w:kern w:val="2"/>
                <w:lang w:eastAsia="zh-CN"/>
                <w14:textFill>
                  <w14:solidFill>
                    <w14:schemeClr w14:val="tx1"/>
                  </w14:solidFill>
                </w14:textFill>
              </w:rPr>
              <w:t>+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05-Jun-21</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NCT05357846</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422</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 Q1W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40 or 45 Gy / 20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6-8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OS</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01-Nov-22</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NCT05244798</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420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IC-IVA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Three-arm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 xml:space="preserve">nab-PTX </w:t>
            </w:r>
            <w:r>
              <w:rPr>
                <w:rFonts w:ascii="Book Antiqua" w:hAnsi="Book Antiqua" w:cs="Times New Roman"/>
                <w:color w:val="000000" w:themeColor="text1"/>
                <w:kern w:val="2"/>
                <w:lang w:eastAsia="zh-CN"/>
                <w14:textFill>
                  <w14:solidFill>
                    <w14:schemeClr w14:val="tx1"/>
                  </w14:solidFill>
                </w14:textFill>
              </w:rPr>
              <w:t>+ CBP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41.4 Gy/23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6-8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01-Nov-22</w:t>
            </w:r>
          </w:p>
        </w:tc>
      </w:tr>
      <w:tr>
        <w:tblPrEx>
          <w:tblCellMar>
            <w:top w:w="0" w:type="dxa"/>
            <w:left w:w="108" w:type="dxa"/>
            <w:bottom w:w="0" w:type="dxa"/>
            <w:right w:w="108" w:type="dxa"/>
          </w:tblCellMar>
        </w:tblPrEx>
        <w:trPr>
          <w:trHeight w:val="645" w:hRule="atLeast"/>
        </w:trPr>
        <w:tc>
          <w:tcPr>
            <w:tcW w:w="1181" w:type="dxa"/>
            <w:vMerge w:val="restar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Toripalimab</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NCT04280822</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400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IC-IVA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DDP + PTX</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2-3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 yr EFS; 5 yr EFS</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21-Apr-20</w:t>
            </w:r>
          </w:p>
        </w:tc>
      </w:tr>
      <w:tr>
        <w:tblPrEx>
          <w:tblCellMar>
            <w:top w:w="0" w:type="dxa"/>
            <w:left w:w="108" w:type="dxa"/>
            <w:bottom w:w="0" w:type="dxa"/>
            <w:right w:w="108" w:type="dxa"/>
          </w:tblCellMar>
        </w:tblPrEx>
        <w:trPr>
          <w:trHeight w:val="330"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NCT04804696</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53</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10-Feb-21</w:t>
            </w:r>
          </w:p>
        </w:tc>
      </w:tr>
      <w:tr>
        <w:tblPrEx>
          <w:tblCellMar>
            <w:top w:w="0" w:type="dxa"/>
            <w:left w:w="108" w:type="dxa"/>
            <w:bottom w:w="0" w:type="dxa"/>
            <w:right w:w="108" w:type="dxa"/>
          </w:tblCellMar>
        </w:tblPrEx>
        <w:trPr>
          <w:trHeight w:val="330"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NCT04177875</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44</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IC-IIIB</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DTX/PTX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40 Gy/20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MPR; ORR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01-May-19</w:t>
            </w:r>
          </w:p>
        </w:tc>
      </w:tr>
      <w:tr>
        <w:tblPrEx>
          <w:tblCellMar>
            <w:top w:w="0" w:type="dxa"/>
            <w:left w:w="108" w:type="dxa"/>
            <w:bottom w:w="0" w:type="dxa"/>
            <w:right w:w="108" w:type="dxa"/>
          </w:tblCellMar>
        </w:tblPrEx>
        <w:trPr>
          <w:trHeight w:val="960"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NCT04888403</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45</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 xml:space="preserve">nab-PTX </w:t>
            </w:r>
            <w:r>
              <w:rPr>
                <w:rFonts w:ascii="Book Antiqua" w:hAnsi="Book Antiqua" w:cs="Times New Roman"/>
                <w:color w:val="000000" w:themeColor="text1"/>
                <w:kern w:val="2"/>
                <w:lang w:eastAsia="zh-CN"/>
                <w14:textFill>
                  <w14:solidFill>
                    <w14:schemeClr w14:val="tx1"/>
                  </w14:solidFill>
                </w14:textFill>
              </w:rPr>
              <w:t>+ NDP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 Q1W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41.4 Gy/23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Within 7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31-Dec-21</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NCT04644250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32</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CBP + PTX liposome</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 Q1W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41.4 Gy/23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2-4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01-Sep-20</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NCT04848753</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632</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IC-IVA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DDP + PTX</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EFS</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18-Jun-21</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NCT04006041 </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44</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 Q1W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44 Gy/20 f </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 6-8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25-Jun-19</w:t>
            </w:r>
          </w:p>
        </w:tc>
      </w:tr>
      <w:tr>
        <w:tblPrEx>
          <w:tblCellMar>
            <w:top w:w="0" w:type="dxa"/>
            <w:left w:w="108" w:type="dxa"/>
            <w:bottom w:w="0" w:type="dxa"/>
            <w:right w:w="108" w:type="dxa"/>
          </w:tblCellMar>
        </w:tblPrEx>
        <w:trPr>
          <w:trHeight w:val="645" w:hRule="atLeast"/>
        </w:trPr>
        <w:tc>
          <w:tcPr>
            <w:tcW w:w="1181" w:type="dxa"/>
            <w:vMerge w:val="restart"/>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Tislelizumab</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iCROSS/NCT04973306</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176</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II-III</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CBP + PTX</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 Q1W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41.4 Gy/23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 OS</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02-Mar-22</w:t>
            </w:r>
          </w:p>
        </w:tc>
      </w:tr>
      <w:tr>
        <w:tblPrEx>
          <w:tblCellMar>
            <w:top w:w="0" w:type="dxa"/>
            <w:left w:w="108" w:type="dxa"/>
            <w:bottom w:w="0" w:type="dxa"/>
            <w:right w:w="108" w:type="dxa"/>
          </w:tblCellMar>
        </w:tblPrEx>
        <w:trPr>
          <w:trHeight w:val="645"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NCT05323890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15</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 xml:space="preserve">nab-PTX </w:t>
            </w:r>
            <w:r>
              <w:rPr>
                <w:rFonts w:ascii="Book Antiqua" w:hAnsi="Book Antiqua" w:cs="Times New Roman"/>
                <w:color w:val="000000" w:themeColor="text1"/>
                <w:kern w:val="2"/>
                <w:lang w:eastAsia="zh-CN"/>
                <w14:textFill>
                  <w14:solidFill>
                    <w14:schemeClr w14:val="tx1"/>
                  </w14:solidFill>
                </w14:textFill>
              </w:rPr>
              <w:t>+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 Q1W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41.4 Gy/23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MPR, 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20-Apr-22</w:t>
            </w:r>
          </w:p>
        </w:tc>
      </w:tr>
      <w:tr>
        <w:tblPrEx>
          <w:tblCellMar>
            <w:top w:w="0" w:type="dxa"/>
            <w:left w:w="108" w:type="dxa"/>
            <w:bottom w:w="0" w:type="dxa"/>
            <w:right w:w="108" w:type="dxa"/>
          </w:tblCellMar>
        </w:tblPrEx>
        <w:trPr>
          <w:trHeight w:val="960"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NCT04974047</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70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PTX</w:t>
            </w:r>
            <w:r>
              <w:rPr>
                <w:rFonts w:ascii="Book Antiqua" w:hAnsi="Book Antiqua" w:cs="Times New Roman"/>
                <w:color w:val="000000" w:themeColor="text1"/>
                <w:kern w:val="2"/>
                <w:lang w:eastAsia="zh-CN"/>
                <w14:textFill>
                  <w14:solidFill>
                    <w14:schemeClr w14:val="tx1"/>
                  </w14:solidFill>
                </w14:textFill>
              </w:rPr>
              <w:t>/5-FU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 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40 or 45 Gy/20 fractions</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17-Aug-21</w:t>
            </w:r>
          </w:p>
        </w:tc>
      </w:tr>
      <w:tr>
        <w:tblPrEx>
          <w:tblCellMar>
            <w:top w:w="0" w:type="dxa"/>
            <w:left w:w="108" w:type="dxa"/>
            <w:bottom w:w="0" w:type="dxa"/>
            <w:right w:w="108" w:type="dxa"/>
          </w:tblCellMar>
        </w:tblPrEx>
        <w:trPr>
          <w:trHeight w:val="960" w:hRule="atLeast"/>
        </w:trPr>
        <w:tc>
          <w:tcPr>
            <w:tcW w:w="1181" w:type="dxa"/>
            <w:vMerge w:val="continue"/>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NCT05189730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80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II-III</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CBP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40 Gy/20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4-6 wk </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 incidence of adverse events</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01-Jul-21</w:t>
            </w:r>
          </w:p>
        </w:tc>
      </w:tr>
      <w:tr>
        <w:tblPrEx>
          <w:tblCellMar>
            <w:top w:w="0" w:type="dxa"/>
            <w:left w:w="108" w:type="dxa"/>
            <w:bottom w:w="0" w:type="dxa"/>
            <w:right w:w="108" w:type="dxa"/>
          </w:tblCellMar>
        </w:tblPrEx>
        <w:trPr>
          <w:trHeight w:val="645" w:hRule="atLeast"/>
        </w:trPr>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Adebrelimab (PD-L1)</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NATION1907II/NCT04215471</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Resectable</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OR</w:t>
            </w:r>
            <w:r>
              <w:rPr>
                <w:rFonts w:hint="eastAsia" w:ascii="Book Antiqua" w:hAnsi="Book Antiqua" w:cs="Times New Roman"/>
                <w:color w:val="000000" w:themeColor="text1"/>
                <w:kern w:val="2"/>
                <w:lang w:val="en-US" w:eastAsia="zh-CN"/>
                <w14:textFill>
                  <w14:solidFill>
                    <w14:schemeClr w14:val="tx1"/>
                  </w14:solidFill>
                </w14:textFill>
              </w:rPr>
              <w:t>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01-Feb-20</w:t>
            </w:r>
          </w:p>
        </w:tc>
      </w:tr>
      <w:tr>
        <w:tblPrEx>
          <w:tblCellMar>
            <w:top w:w="0" w:type="dxa"/>
            <w:left w:w="108" w:type="dxa"/>
            <w:bottom w:w="0" w:type="dxa"/>
            <w:right w:w="108" w:type="dxa"/>
          </w:tblCellMar>
        </w:tblPrEx>
        <w:trPr>
          <w:trHeight w:val="645" w:hRule="atLeast"/>
        </w:trPr>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Durvalumab</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NCT04568200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60</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CBP + PTX</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41.4 Gy/23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19-Jun-20</w:t>
            </w:r>
          </w:p>
        </w:tc>
      </w:tr>
      <w:tr>
        <w:tblPrEx>
          <w:tblCellMar>
            <w:top w:w="0" w:type="dxa"/>
            <w:left w:w="108" w:type="dxa"/>
            <w:bottom w:w="0" w:type="dxa"/>
            <w:right w:w="108" w:type="dxa"/>
          </w:tblCellMar>
        </w:tblPrEx>
        <w:trPr>
          <w:trHeight w:val="960" w:hRule="atLeast"/>
        </w:trPr>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Pembrolizumab (+ Adjuvant)</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KEYSTONE-002/NCT04807673</w: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PEVuZE5vdGU+PENpdGU+PEF1dGhvcj5TaGFuZzwvQXV0aG9yPjxZZWFyPjIwMjI8L1llYXI+PFJl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 </w:instrText>
            </w:r>
            <w:r>
              <w:rPr>
                <w:rFonts w:ascii="Book Antiqua" w:hAnsi="Book Antiqua" w:cstheme="minorBidi"/>
                <w:color w:val="000000" w:themeColor="text1"/>
                <w:kern w:val="2"/>
                <w:lang w:eastAsia="zh-CN"/>
                <w14:textFill>
                  <w14:solidFill>
                    <w14:schemeClr w14:val="tx1"/>
                  </w14:solidFill>
                </w14:textFill>
              </w:rPr>
              <w:fldChar w:fldCharType="begin">
                <w:fldData xml:space="preserve">PEVuZE5vdGU+PENpdGU+PEF1dGhvcj5TaGFuZzwvQXV0aG9yPjxZZWFyPjIwMjI8L1llYXI+PFJl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</w:fldData>
              </w:fldChar>
            </w:r>
            <w:r>
              <w:rPr>
                <w:rFonts w:ascii="Book Antiqua" w:hAnsi="Book Antiqua" w:cs="Times New Roman"/>
                <w:color w:val="000000" w:themeColor="text1"/>
                <w:kern w:val="2"/>
                <w:lang w:eastAsia="zh-CN"/>
                <w14:textFill>
                  <w14:solidFill>
                    <w14:schemeClr w14:val="tx1"/>
                  </w14:solidFill>
                </w14:textFill>
              </w:rPr>
              <w:instrText xml:space="preserve"> ADDIN EN.CITE.DATA </w:instrText>
            </w:r>
            <w:r>
              <w:rPr>
                <w:rFonts w:ascii="Book Antiqua" w:hAnsi="Book Antiqua" w:cstheme="minorBidi"/>
                <w:color w:val="000000" w:themeColor="text1"/>
                <w:kern w:val="2"/>
                <w:lang w:eastAsia="zh-CN"/>
                <w14:textFill>
                  <w14:solidFill>
                    <w14:schemeClr w14:val="tx1"/>
                  </w14:solidFill>
                </w14:textFill>
              </w:rPr>
              <w:fldChar w:fldCharType="end"/>
            </w:r>
            <w:r>
              <w:rPr>
                <w:rFonts w:ascii="Book Antiqua" w:hAnsi="Book Antiqua" w:cstheme="minorBidi"/>
                <w:color w:val="000000" w:themeColor="text1"/>
                <w:kern w:val="2"/>
                <w:lang w:eastAsia="zh-CN"/>
                <w14:textFill>
                  <w14:solidFill>
                    <w14:schemeClr w14:val="tx1"/>
                  </w14:solidFill>
                </w14:textFill>
              </w:rPr>
              <w:fldChar w:fldCharType="separate"/>
            </w:r>
            <w:r>
              <w:rPr>
                <w:rFonts w:ascii="Book Antiqua" w:hAnsi="Book Antiqua" w:cs="Times New Roman"/>
                <w:color w:val="000000" w:themeColor="text1"/>
                <w:kern w:val="2"/>
                <w:vertAlign w:val="superscript"/>
                <w:lang w:eastAsia="zh-CN"/>
                <w14:textFill>
                  <w14:solidFill>
                    <w14:schemeClr w14:val="tx1"/>
                  </w14:solidFill>
                </w14:textFill>
              </w:rPr>
              <w:t>[86]</w:t>
            </w:r>
            <w:r>
              <w:rPr>
                <w:rFonts w:ascii="Book Antiqua" w:hAnsi="Book Antiqua" w:cstheme="minorBidi"/>
                <w:color w:val="000000" w:themeColor="text1"/>
                <w:kern w:val="2"/>
                <w:lang w:eastAsia="zh-CN"/>
                <w14:textFill>
                  <w14:solidFill>
                    <w14:schemeClr w14:val="tx1"/>
                  </w14:solidFill>
                </w14:textFill>
              </w:rPr>
              <w:fldChar w:fldCharType="end"/>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342</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IC-IIIB</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41.4 Gy/23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4-6 wk</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EFS</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01-Dec-21</w:t>
            </w:r>
          </w:p>
        </w:tc>
      </w:tr>
      <w:tr>
        <w:tblPrEx>
          <w:tblCellMar>
            <w:top w:w="0" w:type="dxa"/>
            <w:left w:w="108" w:type="dxa"/>
            <w:bottom w:w="0" w:type="dxa"/>
            <w:right w:w="108" w:type="dxa"/>
          </w:tblCellMar>
        </w:tblPrEx>
        <w:trPr>
          <w:trHeight w:val="645" w:hRule="atLeast"/>
        </w:trPr>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PD-1 Inhibitor</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REVO/NCT05007145</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92</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IB-IVA</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nab-PTX + DDP</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2-4, Q3W</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40 Gy/20 f</w:t>
            </w: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8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18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15-Aug-21</w:t>
            </w:r>
          </w:p>
        </w:tc>
      </w:tr>
      <w:tr>
        <w:tblPrEx>
          <w:tblCellMar>
            <w:top w:w="0" w:type="dxa"/>
            <w:left w:w="108" w:type="dxa"/>
            <w:bottom w:w="0" w:type="dxa"/>
            <w:right w:w="108" w:type="dxa"/>
          </w:tblCellMar>
        </w:tblPrEx>
        <w:trPr>
          <w:trHeight w:val="960" w:hRule="atLeast"/>
        </w:trPr>
        <w:tc>
          <w:tcPr>
            <w:tcW w:w="1181"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Toripalimab (+ Adjuvant) </w:t>
            </w:r>
          </w:p>
        </w:tc>
        <w:tc>
          <w:tcPr>
            <w:tcW w:w="1181"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NCT 04437212</w:t>
            </w:r>
          </w:p>
        </w:tc>
        <w:tc>
          <w:tcPr>
            <w:tcW w:w="1181"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181"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20</w:t>
            </w:r>
          </w:p>
        </w:tc>
        <w:tc>
          <w:tcPr>
            <w:tcW w:w="1181"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IIB-IVA</w:t>
            </w:r>
          </w:p>
        </w:tc>
        <w:tc>
          <w:tcPr>
            <w:tcW w:w="1182"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181"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PTX/DDP</w:t>
            </w:r>
          </w:p>
        </w:tc>
        <w:tc>
          <w:tcPr>
            <w:tcW w:w="1181"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 Q3W</w:t>
            </w:r>
          </w:p>
        </w:tc>
        <w:tc>
          <w:tcPr>
            <w:tcW w:w="1181"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41.4 Gy/23 f</w:t>
            </w:r>
          </w:p>
        </w:tc>
        <w:tc>
          <w:tcPr>
            <w:tcW w:w="1181"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6-8 wk</w:t>
            </w:r>
          </w:p>
        </w:tc>
        <w:tc>
          <w:tcPr>
            <w:tcW w:w="1181"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MPR</w:t>
            </w:r>
          </w:p>
        </w:tc>
        <w:tc>
          <w:tcPr>
            <w:tcW w:w="1182"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01-Jul-20</w:t>
            </w:r>
          </w:p>
        </w:tc>
      </w:tr>
      <w:bookmarkEnd w:id="127"/>
      <w:bookmarkEnd w:id="128"/>
      <w:bookmarkEnd w:id="129"/>
      <w:bookmarkEnd w:id="133"/>
    </w:tbl>
    <w:p>
      <w:pPr>
        <w:spacing w:line="360" w:lineRule="auto"/>
        <w:jc w:val="both"/>
        <w:rPr>
          <w:rFonts w:ascii="Book Antiqua" w:hAnsi="Book Antiqua"/>
          <w:color w:val="000000" w:themeColor="text1"/>
          <w:lang w:eastAsia="zh-CN"/>
          <w14:textFill>
            <w14:solidFill>
              <w14:schemeClr w14:val="tx1"/>
            </w14:solidFill>
          </w14:textFill>
        </w:rPr>
      </w:pPr>
      <w:bookmarkStart w:id="141" w:name="OLE_LINK6865"/>
      <w:r>
        <w:rPr>
          <w:rFonts w:ascii="Book Antiqua" w:hAnsi="Book Antiqua"/>
          <w:color w:val="000000" w:themeColor="text1"/>
          <w:shd w:val="clear" w:color="auto" w:fill="FFFFFF"/>
          <w14:textFill>
            <w14:solidFill>
              <w14:schemeClr w14:val="tx1"/>
            </w14:solidFill>
          </w14:textFill>
        </w:rPr>
        <w:t xml:space="preserve">EFS: </w:t>
      </w:r>
      <w:bookmarkStart w:id="142" w:name="OLE_LINK6846"/>
      <w:r>
        <w:rPr>
          <w:rFonts w:ascii="Book Antiqua" w:hAnsi="Book Antiqua"/>
          <w:color w:val="000000" w:themeColor="text1"/>
          <w:shd w:val="clear" w:color="auto" w:fill="FFFFFF"/>
          <w14:textFill>
            <w14:solidFill>
              <w14:schemeClr w14:val="tx1"/>
            </w14:solidFill>
          </w14:textFill>
        </w:rPr>
        <w:t>E</w:t>
      </w:r>
      <w:bookmarkEnd w:id="142"/>
      <w:r>
        <w:rPr>
          <w:rFonts w:ascii="Book Antiqua" w:hAnsi="Book Antiqua"/>
          <w:color w:val="000000" w:themeColor="text1"/>
          <w:shd w:val="clear" w:color="auto" w:fill="FFFFFF"/>
          <w14:textFill>
            <w14:solidFill>
              <w14:schemeClr w14:val="tx1"/>
            </w14:solidFill>
          </w14:textFill>
        </w:rPr>
        <w:t xml:space="preserve">vents-free survival; </w:t>
      </w:r>
      <w:r>
        <w:rPr>
          <w:rFonts w:ascii="Book Antiqua" w:hAnsi="Book Antiqua"/>
          <w:color w:val="000000" w:themeColor="text1"/>
          <w14:textFill>
            <w14:solidFill>
              <w14:schemeClr w14:val="tx1"/>
            </w14:solidFill>
          </w14:textFill>
        </w:rPr>
        <w:t xml:space="preserve">DFS: Disease-free survival; OS: </w:t>
      </w:r>
      <w:bookmarkStart w:id="143" w:name="OLE_LINK6847"/>
      <w:r>
        <w:rPr>
          <w:rFonts w:ascii="Book Antiqua" w:hAnsi="Book Antiqua"/>
          <w:color w:val="000000" w:themeColor="text1"/>
          <w14:textFill>
            <w14:solidFill>
              <w14:schemeClr w14:val="tx1"/>
            </w14:solidFill>
          </w14:textFill>
        </w:rPr>
        <w:t>O</w:t>
      </w:r>
      <w:bookmarkEnd w:id="143"/>
      <w:r>
        <w:rPr>
          <w:rFonts w:ascii="Book Antiqua" w:hAnsi="Book Antiqua"/>
          <w:color w:val="000000" w:themeColor="text1"/>
          <w14:textFill>
            <w14:solidFill>
              <w14:schemeClr w14:val="tx1"/>
            </w14:solidFill>
          </w14:textFill>
        </w:rPr>
        <w:t xml:space="preserve">verall survival; ORR: </w:t>
      </w:r>
      <w:bookmarkStart w:id="144" w:name="OLE_LINK6848"/>
      <w:r>
        <w:rPr>
          <w:rFonts w:ascii="Book Antiqua" w:hAnsi="Book Antiqua"/>
          <w:color w:val="000000" w:themeColor="text1"/>
          <w:shd w:val="clear" w:color="auto" w:fill="FFFFFF"/>
          <w14:textFill>
            <w14:solidFill>
              <w14:schemeClr w14:val="tx1"/>
            </w14:solidFill>
          </w14:textFill>
        </w:rPr>
        <w:t>O</w:t>
      </w:r>
      <w:bookmarkEnd w:id="144"/>
      <w:r>
        <w:rPr>
          <w:rFonts w:ascii="Book Antiqua" w:hAnsi="Book Antiqua"/>
          <w:color w:val="000000" w:themeColor="text1"/>
          <w:shd w:val="clear" w:color="auto" w:fill="FFFFFF"/>
          <w14:textFill>
            <w14:solidFill>
              <w14:schemeClr w14:val="tx1"/>
            </w14:solidFill>
          </w14:textFill>
        </w:rPr>
        <w:t xml:space="preserve">bjective response rate; NA: </w:t>
      </w:r>
      <w:bookmarkStart w:id="145" w:name="OLE_LINK6849"/>
      <w:r>
        <w:rPr>
          <w:rFonts w:ascii="Book Antiqua" w:hAnsi="Book Antiqua"/>
          <w:color w:val="000000" w:themeColor="text1"/>
          <w:shd w:val="clear" w:color="auto" w:fill="FFFFFF"/>
          <w14:textFill>
            <w14:solidFill>
              <w14:schemeClr w14:val="tx1"/>
            </w14:solidFill>
          </w14:textFill>
        </w:rPr>
        <w:t>N</w:t>
      </w:r>
      <w:bookmarkEnd w:id="145"/>
      <w:r>
        <w:rPr>
          <w:rFonts w:ascii="Book Antiqua" w:hAnsi="Book Antiqua"/>
          <w:color w:val="000000" w:themeColor="text1"/>
          <w:shd w:val="clear" w:color="auto" w:fill="FFFFFF"/>
          <w14:textFill>
            <w14:solidFill>
              <w14:schemeClr w14:val="tx1"/>
            </w14:solidFill>
          </w14:textFill>
        </w:rPr>
        <w:t xml:space="preserve">ot applicable; </w:t>
      </w:r>
      <w:r>
        <w:rPr>
          <w:rFonts w:ascii="Book Antiqua" w:hAnsi="Book Antiqua"/>
          <w:color w:val="000000" w:themeColor="text1"/>
          <w14:textFill>
            <w14:solidFill>
              <w14:schemeClr w14:val="tx1"/>
            </w14:solidFill>
          </w14:textFill>
        </w:rPr>
        <w:t xml:space="preserve">5-FU: 5-fluorouracil; DDP: </w:t>
      </w:r>
      <w:bookmarkStart w:id="146" w:name="OLE_LINK6850"/>
      <w:r>
        <w:rPr>
          <w:rFonts w:ascii="Book Antiqua" w:hAnsi="Book Antiqua"/>
          <w:color w:val="000000" w:themeColor="text1"/>
          <w14:textFill>
            <w14:solidFill>
              <w14:schemeClr w14:val="tx1"/>
            </w14:solidFill>
          </w14:textFill>
        </w:rPr>
        <w:t>C</w:t>
      </w:r>
      <w:bookmarkEnd w:id="146"/>
      <w:r>
        <w:rPr>
          <w:rFonts w:ascii="Book Antiqua" w:hAnsi="Book Antiqua"/>
          <w:color w:val="000000" w:themeColor="text1"/>
          <w14:textFill>
            <w14:solidFill>
              <w14:schemeClr w14:val="tx1"/>
            </w14:solidFill>
          </w14:textFill>
        </w:rPr>
        <w:t xml:space="preserve">isplatin; PTX: </w:t>
      </w:r>
      <w:bookmarkStart w:id="147" w:name="OLE_LINK6851"/>
      <w:r>
        <w:rPr>
          <w:rFonts w:ascii="Book Antiqua" w:hAnsi="Book Antiqua"/>
          <w:color w:val="000000" w:themeColor="text1"/>
          <w:shd w:val="clear" w:color="auto" w:fill="FFFFFF"/>
          <w14:textFill>
            <w14:solidFill>
              <w14:schemeClr w14:val="tx1"/>
            </w14:solidFill>
          </w14:textFill>
        </w:rPr>
        <w:t>P</w:t>
      </w:r>
      <w:bookmarkEnd w:id="147"/>
      <w:r>
        <w:rPr>
          <w:rFonts w:ascii="Book Antiqua" w:hAnsi="Book Antiqua"/>
          <w:color w:val="000000" w:themeColor="text1"/>
          <w:shd w:val="clear" w:color="auto" w:fill="FFFFFF"/>
          <w14:textFill>
            <w14:solidFill>
              <w14:schemeClr w14:val="tx1"/>
            </w14:solidFill>
          </w14:textFill>
        </w:rPr>
        <w:t>aclitaxel</w:t>
      </w:r>
      <w:r>
        <w:rPr>
          <w:rFonts w:ascii="Book Antiqua" w:hAnsi="Book Antiqua"/>
          <w:color w:val="000000" w:themeColor="text1"/>
          <w14:textFill>
            <w14:solidFill>
              <w14:schemeClr w14:val="tx1"/>
            </w14:solidFill>
          </w14:textFill>
        </w:rPr>
        <w:t xml:space="preserve">; DTX: Docetaxel; CBP: </w:t>
      </w:r>
      <w:bookmarkStart w:id="148" w:name="OLE_LINK6852"/>
      <w:r>
        <w:rPr>
          <w:rFonts w:ascii="Book Antiqua" w:hAnsi="Book Antiqua"/>
          <w:color w:val="000000" w:themeColor="text1"/>
          <w14:textFill>
            <w14:solidFill>
              <w14:schemeClr w14:val="tx1"/>
            </w14:solidFill>
          </w14:textFill>
        </w:rPr>
        <w:t>C</w:t>
      </w:r>
      <w:bookmarkEnd w:id="148"/>
      <w:r>
        <w:rPr>
          <w:rFonts w:ascii="Book Antiqua" w:hAnsi="Book Antiqua"/>
          <w:color w:val="000000" w:themeColor="text1"/>
          <w14:textFill>
            <w14:solidFill>
              <w14:schemeClr w14:val="tx1"/>
            </w14:solidFill>
          </w14:textFill>
        </w:rPr>
        <w:t xml:space="preserve">arboplatin; NDP: </w:t>
      </w:r>
      <w:bookmarkStart w:id="149" w:name="OLE_LINK6853"/>
      <w:r>
        <w:rPr>
          <w:rFonts w:ascii="Book Antiqua" w:hAnsi="Book Antiqua"/>
          <w:color w:val="000000" w:themeColor="text1"/>
          <w14:textFill>
            <w14:solidFill>
              <w14:schemeClr w14:val="tx1"/>
            </w14:solidFill>
          </w14:textFill>
        </w:rPr>
        <w:t>N</w:t>
      </w:r>
      <w:bookmarkEnd w:id="149"/>
      <w:r>
        <w:rPr>
          <w:rFonts w:ascii="Book Antiqua" w:hAnsi="Book Antiqua"/>
          <w:color w:val="000000" w:themeColor="text1"/>
          <w14:textFill>
            <w14:solidFill>
              <w14:schemeClr w14:val="tx1"/>
            </w14:solidFill>
          </w14:textFill>
        </w:rPr>
        <w:t xml:space="preserve">edaplatin; </w:t>
      </w:r>
      <w:r>
        <w:rPr>
          <w:rStyle w:val="11"/>
          <w:rFonts w:ascii="Book Antiqua" w:hAnsi="Book Antiqua"/>
          <w:i w:val="0"/>
          <w:iCs w:val="0"/>
          <w:color w:val="000000" w:themeColor="text1"/>
          <w:shd w:val="clear" w:color="auto" w:fill="FFFFFF"/>
          <w14:textFill>
            <w14:solidFill>
              <w14:schemeClr w14:val="tx1"/>
            </w14:solidFill>
          </w14:textFill>
        </w:rPr>
        <w:t>nab-PTX:</w:t>
      </w:r>
      <w:r>
        <w:rPr>
          <w:rStyle w:val="11"/>
          <w:rFonts w:ascii="Book Antiqua" w:hAnsi="Book Antiqua"/>
          <w:color w:val="000000" w:themeColor="text1"/>
          <w:shd w:val="clear" w:color="auto" w:fill="FFFFFF"/>
          <w14:textFill>
            <w14:solidFill>
              <w14:schemeClr w14:val="tx1"/>
            </w14:solidFill>
          </w14:textFill>
        </w:rPr>
        <w:t xml:space="preserve"> </w:t>
      </w:r>
      <w:r>
        <w:rPr>
          <w:rFonts w:ascii="Book Antiqua" w:hAnsi="Book Antiqua"/>
          <w:color w:val="000000" w:themeColor="text1"/>
          <w14:textFill>
            <w14:solidFill>
              <w14:schemeClr w14:val="tx1"/>
            </w14:solidFill>
          </w14:textFill>
        </w:rPr>
        <w:t>Paclitaxel for injection (</w:t>
      </w:r>
      <w:bookmarkStart w:id="150" w:name="OLE_LINK6854"/>
      <w:r>
        <w:rPr>
          <w:rFonts w:ascii="Book Antiqua" w:hAnsi="Book Antiqua"/>
          <w:color w:val="000000" w:themeColor="text1"/>
          <w14:textFill>
            <w14:solidFill>
              <w14:schemeClr w14:val="tx1"/>
            </w14:solidFill>
          </w14:textFill>
        </w:rPr>
        <w:t>albumin bound</w:t>
      </w:r>
      <w:bookmarkEnd w:id="150"/>
      <w:r>
        <w:rPr>
          <w:rFonts w:ascii="Book Antiqua" w:hAnsi="Book Antiqua"/>
          <w:color w:val="000000" w:themeColor="text1"/>
          <w14:textFill>
            <w14:solidFill>
              <w14:schemeClr w14:val="tx1"/>
            </w14:solidFill>
          </w14:textFill>
        </w:rPr>
        <w:t>); pCR: Pathological complete response; MPR: Major pathological response.</w:t>
      </w:r>
    </w:p>
    <w:bookmarkEnd w:id="141"/>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sectPr>
          <w:pgSz w:w="16840" w:h="11900" w:orient="landscape"/>
          <w:pgMar w:top="1800" w:right="1440" w:bottom="1800" w:left="1440" w:header="851" w:footer="992" w:gutter="0"/>
          <w:cols w:space="425" w:num="1"/>
          <w:docGrid w:type="lines" w:linePitch="326" w:charSpace="0"/>
        </w:sectPr>
      </w:pPr>
    </w:p>
    <w:p>
      <w:pPr>
        <w:spacing w:line="360" w:lineRule="auto"/>
        <w:jc w:val="both"/>
        <w:rPr>
          <w:rFonts w:ascii="Book Antiqua" w:hAnsi="Book Antiqua"/>
          <w:b/>
          <w:bCs/>
          <w:color w:val="000000" w:themeColor="text1"/>
          <w:shd w:val="clear" w:color="auto" w:fill="FFFFFF"/>
          <w14:textFill>
            <w14:solidFill>
              <w14:schemeClr w14:val="tx1"/>
            </w14:solidFill>
          </w14:textFill>
        </w:rPr>
      </w:pPr>
      <w:r>
        <w:rPr>
          <w:rFonts w:ascii="Book Antiqua" w:hAnsi="Book Antiqua"/>
          <w:b/>
          <w:bCs/>
          <w:color w:val="000000" w:themeColor="text1"/>
          <w:shd w:val="clear" w:color="auto" w:fill="FFFFFF"/>
          <w14:textFill>
            <w14:solidFill>
              <w14:schemeClr w14:val="tx1"/>
            </w14:solidFill>
          </w14:textFill>
        </w:rPr>
        <w:t xml:space="preserve">Table 3 Clinical trials of adjuvant immunotherapy for resectable </w:t>
      </w:r>
      <w:r>
        <w:rPr>
          <w:rFonts w:ascii="Book Antiqua" w:hAnsi="Book Antiqua" w:eastAsia="Book Antiqua" w:cs="Book Antiqua"/>
          <w:b/>
          <w:bCs/>
          <w:color w:val="000000" w:themeColor="text1"/>
          <w14:textFill>
            <w14:solidFill>
              <w14:schemeClr w14:val="tx1"/>
            </w14:solidFill>
          </w14:textFill>
        </w:rPr>
        <w:t>esophageal squamous cell carcinoma</w:t>
      </w:r>
    </w:p>
    <w:tbl>
      <w:tblPr>
        <w:tblStyle w:val="25"/>
        <w:tblW w:w="0" w:type="auto"/>
        <w:tblInd w:w="0" w:type="dxa"/>
        <w:tblLayout w:type="fixed"/>
        <w:tblCellMar>
          <w:top w:w="0" w:type="dxa"/>
          <w:left w:w="108" w:type="dxa"/>
          <w:bottom w:w="0" w:type="dxa"/>
          <w:right w:w="108" w:type="dxa"/>
        </w:tblCellMar>
      </w:tblPr>
      <w:tblGrid>
        <w:gridCol w:w="1090"/>
        <w:gridCol w:w="1090"/>
        <w:gridCol w:w="905"/>
        <w:gridCol w:w="1276"/>
        <w:gridCol w:w="1090"/>
        <w:gridCol w:w="1090"/>
        <w:gridCol w:w="1222"/>
        <w:gridCol w:w="992"/>
        <w:gridCol w:w="1134"/>
        <w:gridCol w:w="1134"/>
        <w:gridCol w:w="970"/>
        <w:gridCol w:w="1090"/>
        <w:gridCol w:w="1091"/>
      </w:tblGrid>
      <w:tr>
        <w:tblPrEx>
          <w:tblCellMar>
            <w:top w:w="0" w:type="dxa"/>
            <w:left w:w="108" w:type="dxa"/>
            <w:bottom w:w="0" w:type="dxa"/>
            <w:right w:w="108" w:type="dxa"/>
          </w:tblCellMar>
        </w:tblPrEx>
        <w:trPr>
          <w:trHeight w:val="1559" w:hRule="atLeast"/>
        </w:trPr>
        <w:tc>
          <w:tcPr>
            <w:tcW w:w="1090"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bookmarkStart w:id="151" w:name="_Hlk142661699"/>
            <w:r>
              <w:rPr>
                <w:rFonts w:ascii="Book Antiqua" w:hAnsi="Book Antiqua" w:cs="Times New Roman"/>
                <w:b/>
                <w:bCs/>
                <w:caps w:val="0"/>
                <w:color w:val="000000" w:themeColor="text1"/>
                <w:kern w:val="2"/>
                <w:lang w:eastAsia="zh-CN"/>
                <w14:textFill>
                  <w14:solidFill>
                    <w14:schemeClr w14:val="tx1"/>
                  </w14:solidFill>
                </w14:textFill>
              </w:rPr>
              <w:t>Drug</w:t>
            </w:r>
          </w:p>
        </w:tc>
        <w:tc>
          <w:tcPr>
            <w:tcW w:w="1090"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Trial name/No.</w:t>
            </w:r>
          </w:p>
        </w:tc>
        <w:tc>
          <w:tcPr>
            <w:tcW w:w="905"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Phase</w:t>
            </w:r>
          </w:p>
        </w:tc>
        <w:tc>
          <w:tcPr>
            <w:tcW w:w="1276"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Sample size</w:t>
            </w:r>
          </w:p>
        </w:tc>
        <w:tc>
          <w:tcPr>
            <w:tcW w:w="1090"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Clinical stage</w:t>
            </w:r>
          </w:p>
        </w:tc>
        <w:tc>
          <w:tcPr>
            <w:tcW w:w="1090"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Design</w:t>
            </w:r>
          </w:p>
        </w:tc>
        <w:tc>
          <w:tcPr>
            <w:tcW w:w="1222"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Chemotherapy drugs</w:t>
            </w:r>
          </w:p>
        </w:tc>
        <w:tc>
          <w:tcPr>
            <w:tcW w:w="992"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hint="default" w:ascii="Book Antiqua" w:hAnsi="Book Antiqua" w:cs="Times New Roman"/>
                <w:b/>
                <w:bCs/>
                <w:caps w:val="0"/>
                <w:color w:val="000000" w:themeColor="text1"/>
                <w:kern w:val="2"/>
                <w:lang w:val="en-US"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Chemotherapy cycle</w:t>
            </w:r>
            <w:r>
              <w:rPr>
                <w:rFonts w:hint="eastAsia" w:ascii="Book Antiqua" w:hAnsi="Book Antiqua" w:cs="Times New Roman"/>
                <w:b/>
                <w:bCs/>
                <w:caps w:val="0"/>
                <w:color w:val="000000" w:themeColor="text1"/>
                <w:kern w:val="2"/>
                <w:lang w:val="en-US" w:eastAsia="zh-CN"/>
                <w14:textFill>
                  <w14:solidFill>
                    <w14:schemeClr w14:val="tx1"/>
                  </w14:solidFill>
                </w14:textFill>
              </w:rPr>
              <w:t>s</w:t>
            </w:r>
          </w:p>
        </w:tc>
        <w:tc>
          <w:tcPr>
            <w:tcW w:w="1134"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Radiotherapy</w:t>
            </w:r>
          </w:p>
        </w:tc>
        <w:tc>
          <w:tcPr>
            <w:tcW w:w="1134"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 xml:space="preserve">Interval </w:t>
            </w:r>
            <w:bookmarkStart w:id="152" w:name="OLE_LINK6859"/>
            <w:r>
              <w:rPr>
                <w:rFonts w:ascii="Book Antiqua" w:hAnsi="Book Antiqua" w:cs="Times New Roman"/>
                <w:b/>
                <w:bCs/>
                <w:caps w:val="0"/>
                <w:color w:val="000000" w:themeColor="text1"/>
                <w:kern w:val="2"/>
                <w:lang w:eastAsia="zh-CN"/>
                <w14:textFill>
                  <w14:solidFill>
                    <w14:schemeClr w14:val="tx1"/>
                  </w14:solidFill>
                </w14:textFill>
              </w:rPr>
              <w:t>time to surgery</w:t>
            </w:r>
            <w:bookmarkEnd w:id="152"/>
          </w:p>
        </w:tc>
        <w:tc>
          <w:tcPr>
            <w:tcW w:w="970"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Primary endpoint</w:t>
            </w:r>
          </w:p>
        </w:tc>
        <w:tc>
          <w:tcPr>
            <w:tcW w:w="1090"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Start date</w:t>
            </w:r>
          </w:p>
        </w:tc>
        <w:tc>
          <w:tcPr>
            <w:tcW w:w="1091" w:type="dxa"/>
            <w:tcBorders>
              <w:top w:val="single" w:color="auto" w:sz="4" w:space="0"/>
              <w:bottom w:val="single" w:color="7E7E7E" w:themeColor="text1" w:themeTint="80" w:sz="4" w:space="0"/>
              <w:insideH w:val="single" w:sz="4" w:space="0"/>
            </w:tcBorders>
            <w:shd w:val="clear" w:color="auto" w:fill="auto"/>
          </w:tcPr>
          <w:p>
            <w:pPr>
              <w:spacing w:line="360" w:lineRule="auto"/>
              <w:jc w:val="both"/>
              <w:rPr>
                <w:rFonts w:ascii="Book Antiqua" w:hAnsi="Book Antiqua" w:cs="Times New Roman"/>
                <w:b/>
                <w:bCs/>
                <w:caps w:val="0"/>
                <w:color w:val="000000" w:themeColor="text1"/>
                <w:kern w:val="2"/>
                <w:lang w:eastAsia="zh-CN"/>
                <w14:textFill>
                  <w14:solidFill>
                    <w14:schemeClr w14:val="tx1"/>
                  </w14:solidFill>
                </w14:textFill>
              </w:rPr>
            </w:pPr>
            <w:r>
              <w:rPr>
                <w:rFonts w:ascii="Book Antiqua" w:hAnsi="Book Antiqua" w:cs="Times New Roman"/>
                <w:b/>
                <w:bCs/>
                <w:caps w:val="0"/>
                <w:color w:val="000000" w:themeColor="text1"/>
                <w:kern w:val="2"/>
                <w:lang w:eastAsia="zh-CN"/>
                <w14:textFill>
                  <w14:solidFill>
                    <w14:schemeClr w14:val="tx1"/>
                  </w14:solidFill>
                </w14:textFill>
              </w:rPr>
              <w:t>Outcome</w:t>
            </w:r>
          </w:p>
        </w:tc>
      </w:tr>
      <w:bookmarkEnd w:id="151"/>
      <w:tr>
        <w:tblPrEx>
          <w:tblCellMar>
            <w:top w:w="0" w:type="dxa"/>
            <w:left w:w="108" w:type="dxa"/>
            <w:bottom w:w="0" w:type="dxa"/>
            <w:right w:w="108" w:type="dxa"/>
          </w:tblCellMar>
        </w:tblPrEx>
        <w:trPr>
          <w:trHeight w:val="1559" w:hRule="atLeast"/>
        </w:trPr>
        <w:tc>
          <w:tcPr>
            <w:tcW w:w="109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53" w:name="_Hlk142661756"/>
            <w:r>
              <w:rPr>
                <w:rFonts w:ascii="Book Antiqua" w:hAnsi="Book Antiqua" w:cs="Times New Roman"/>
                <w:color w:val="000000" w:themeColor="text1"/>
                <w:kern w:val="2"/>
                <w:lang w:eastAsia="zh-CN"/>
                <w14:textFill>
                  <w14:solidFill>
                    <w14:schemeClr w14:val="tx1"/>
                  </w14:solidFill>
                </w14:textFill>
              </w:rPr>
              <w:t>Nivolumab</w:t>
            </w:r>
          </w:p>
        </w:tc>
        <w:tc>
          <w:tcPr>
            <w:tcW w:w="109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CheckMate-577/NCT02743494</w:t>
            </w:r>
          </w:p>
        </w:tc>
        <w:tc>
          <w:tcPr>
            <w:tcW w:w="905"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w:t>
            </w:r>
          </w:p>
        </w:tc>
        <w:tc>
          <w:tcPr>
            <w:tcW w:w="1276"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784 (ESCC29%)</w:t>
            </w:r>
          </w:p>
        </w:tc>
        <w:tc>
          <w:tcPr>
            <w:tcW w:w="109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109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22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NA</w:t>
            </w:r>
          </w:p>
        </w:tc>
        <w:tc>
          <w:tcPr>
            <w:tcW w:w="99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34"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1134"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97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DFS</w:t>
            </w:r>
          </w:p>
        </w:tc>
        <w:tc>
          <w:tcPr>
            <w:tcW w:w="109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bookmarkStart w:id="154" w:name="OLE_LINK6862"/>
            <w:r>
              <w:rPr>
                <w:rFonts w:ascii="Book Antiqua" w:hAnsi="Book Antiqua" w:cs="Times New Roman"/>
                <w:color w:val="000000" w:themeColor="text1"/>
                <w:kern w:val="2"/>
                <w:lang w:eastAsia="zh-CN"/>
                <w14:textFill>
                  <w14:solidFill>
                    <w14:schemeClr w14:val="tx1"/>
                  </w14:solidFill>
                </w14:textFill>
              </w:rPr>
              <w:t>C</w:t>
            </w:r>
            <w:bookmarkEnd w:id="154"/>
            <w:r>
              <w:rPr>
                <w:rFonts w:ascii="Book Antiqua" w:hAnsi="Book Antiqua" w:cs="Times New Roman"/>
                <w:color w:val="000000" w:themeColor="text1"/>
                <w:kern w:val="2"/>
                <w:lang w:eastAsia="zh-CN"/>
                <w14:textFill>
                  <w14:solidFill>
                    <w14:schemeClr w14:val="tx1"/>
                  </w14:solidFill>
                </w14:textFill>
              </w:rPr>
              <w:t>ompleted</w:t>
            </w:r>
          </w:p>
        </w:tc>
        <w:tc>
          <w:tcPr>
            <w:tcW w:w="1091"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22.1:11.0 mo</w:t>
            </w:r>
          </w:p>
        </w:tc>
      </w:tr>
      <w:tr>
        <w:tblPrEx>
          <w:tblCellMar>
            <w:top w:w="0" w:type="dxa"/>
            <w:left w:w="108" w:type="dxa"/>
            <w:bottom w:w="0" w:type="dxa"/>
            <w:right w:w="108" w:type="dxa"/>
          </w:tblCellMar>
        </w:tblPrEx>
        <w:trPr>
          <w:trHeight w:val="312" w:hRule="atLeast"/>
        </w:trPr>
        <w:tc>
          <w:tcPr>
            <w:tcW w:w="109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Toripalimab (+ Neoadjuvant) </w:t>
            </w:r>
          </w:p>
        </w:tc>
        <w:tc>
          <w:tcPr>
            <w:tcW w:w="109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NCT 04437212</w:t>
            </w:r>
          </w:p>
        </w:tc>
        <w:tc>
          <w:tcPr>
            <w:tcW w:w="905"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276"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20</w:t>
            </w:r>
          </w:p>
        </w:tc>
        <w:tc>
          <w:tcPr>
            <w:tcW w:w="1090" w:type="dxa"/>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IIB-IVA</w:t>
            </w:r>
          </w:p>
        </w:tc>
        <w:tc>
          <w:tcPr>
            <w:tcW w:w="109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222" w:type="dxa"/>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PTX + DDP</w:t>
            </w:r>
          </w:p>
        </w:tc>
        <w:tc>
          <w:tcPr>
            <w:tcW w:w="99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 Q3W</w:t>
            </w:r>
          </w:p>
        </w:tc>
        <w:tc>
          <w:tcPr>
            <w:tcW w:w="1134" w:type="dxa"/>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41.4 Gy/23 f</w:t>
            </w:r>
          </w:p>
        </w:tc>
        <w:tc>
          <w:tcPr>
            <w:tcW w:w="1134"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6-8 wk</w:t>
            </w:r>
          </w:p>
        </w:tc>
        <w:tc>
          <w:tcPr>
            <w:tcW w:w="97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MPR</w:t>
            </w:r>
          </w:p>
        </w:tc>
        <w:tc>
          <w:tcPr>
            <w:tcW w:w="1090" w:type="dxa"/>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Jul 1, 2020</w:t>
            </w:r>
          </w:p>
        </w:tc>
        <w:tc>
          <w:tcPr>
            <w:tcW w:w="1091" w:type="dxa"/>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p>
        </w:tc>
      </w:tr>
      <w:tr>
        <w:tblPrEx>
          <w:tblCellMar>
            <w:top w:w="0" w:type="dxa"/>
            <w:left w:w="108" w:type="dxa"/>
            <w:bottom w:w="0" w:type="dxa"/>
            <w:right w:w="108" w:type="dxa"/>
          </w:tblCellMar>
        </w:tblPrEx>
        <w:trPr>
          <w:trHeight w:val="143" w:hRule="atLeast"/>
        </w:trPr>
        <w:tc>
          <w:tcPr>
            <w:tcW w:w="109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Tislelizumab </w:t>
            </w:r>
          </w:p>
        </w:tc>
        <w:tc>
          <w:tcPr>
            <w:tcW w:w="109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AIRE/ChiCTR2100045651</w:t>
            </w:r>
          </w:p>
        </w:tc>
        <w:tc>
          <w:tcPr>
            <w:tcW w:w="905"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III</w:t>
            </w:r>
          </w:p>
        </w:tc>
        <w:tc>
          <w:tcPr>
            <w:tcW w:w="1276"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110</w:t>
            </w:r>
          </w:p>
        </w:tc>
        <w:tc>
          <w:tcPr>
            <w:tcW w:w="1090" w:type="dxa"/>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High-risk resected locally advanced</w:t>
            </w:r>
          </w:p>
        </w:tc>
        <w:tc>
          <w:tcPr>
            <w:tcW w:w="109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Two-arm</w:t>
            </w:r>
          </w:p>
        </w:tc>
        <w:tc>
          <w:tcPr>
            <w:tcW w:w="1222" w:type="dxa"/>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 xml:space="preserve">Platinum-based doublets </w:t>
            </w:r>
          </w:p>
        </w:tc>
        <w:tc>
          <w:tcPr>
            <w:tcW w:w="992"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2</w:t>
            </w:r>
            <w:r>
              <w:rPr>
                <w:rFonts w:hint="eastAsia" w:ascii="Book Antiqua" w:hAnsi="Book Antiqua" w:cs="Times New Roman"/>
                <w:color w:val="000000" w:themeColor="text1"/>
                <w:kern w:val="2"/>
                <w:lang w:eastAsia="zh-CN"/>
                <w14:textFill>
                  <w14:solidFill>
                    <w14:schemeClr w14:val="tx1"/>
                  </w14:solidFill>
                </w14:textFill>
              </w:rPr>
              <w:t>,</w:t>
            </w:r>
            <w:r>
              <w:rPr>
                <w:rFonts w:ascii="Book Antiqua" w:hAnsi="Book Antiqua" w:cs="Times New Roman"/>
                <w:color w:val="000000" w:themeColor="text1"/>
                <w:kern w:val="2"/>
                <w:lang w:eastAsia="zh-CN"/>
                <w14:textFill>
                  <w14:solidFill>
                    <w14:schemeClr w14:val="tx1"/>
                  </w14:solidFill>
                </w14:textFill>
              </w:rPr>
              <w:t xml:space="preserve"> Q3W</w:t>
            </w:r>
          </w:p>
        </w:tc>
        <w:tc>
          <w:tcPr>
            <w:tcW w:w="1134" w:type="dxa"/>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p>
        </w:tc>
        <w:tc>
          <w:tcPr>
            <w:tcW w:w="1134"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970" w:type="dxa"/>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DFS</w:t>
            </w:r>
          </w:p>
        </w:tc>
        <w:tc>
          <w:tcPr>
            <w:tcW w:w="1090" w:type="dxa"/>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May 1, 2021</w:t>
            </w:r>
          </w:p>
        </w:tc>
        <w:tc>
          <w:tcPr>
            <w:tcW w:w="1091" w:type="dxa"/>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p>
        </w:tc>
      </w:tr>
      <w:tr>
        <w:tblPrEx>
          <w:tblCellMar>
            <w:top w:w="0" w:type="dxa"/>
            <w:left w:w="108" w:type="dxa"/>
            <w:bottom w:w="0" w:type="dxa"/>
            <w:right w:w="108" w:type="dxa"/>
          </w:tblCellMar>
        </w:tblPrEx>
        <w:trPr>
          <w:trHeight w:val="1247" w:hRule="atLeast"/>
        </w:trPr>
        <w:tc>
          <w:tcPr>
            <w:tcW w:w="1090"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 xml:space="preserve">Tislelizumab </w:t>
            </w:r>
          </w:p>
        </w:tc>
        <w:tc>
          <w:tcPr>
            <w:tcW w:w="1090"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CRISEC/NCT04776590</w:t>
            </w:r>
          </w:p>
        </w:tc>
        <w:tc>
          <w:tcPr>
            <w:tcW w:w="905"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II</w:t>
            </w:r>
          </w:p>
        </w:tc>
        <w:tc>
          <w:tcPr>
            <w:tcW w:w="1276"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30</w:t>
            </w:r>
          </w:p>
        </w:tc>
        <w:tc>
          <w:tcPr>
            <w:tcW w:w="1090"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NA</w:t>
            </w:r>
          </w:p>
        </w:tc>
        <w:tc>
          <w:tcPr>
            <w:tcW w:w="1090"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Single-arm</w:t>
            </w:r>
          </w:p>
        </w:tc>
        <w:tc>
          <w:tcPr>
            <w:tcW w:w="1222"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PTX + CBP</w:t>
            </w:r>
          </w:p>
        </w:tc>
        <w:tc>
          <w:tcPr>
            <w:tcW w:w="992"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5, Q1W</w:t>
            </w:r>
          </w:p>
        </w:tc>
        <w:tc>
          <w:tcPr>
            <w:tcW w:w="1134"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0"/>
                <w:lang w:eastAsia="zh-CN"/>
                <w14:textFill>
                  <w14:solidFill>
                    <w14:schemeClr w14:val="tx1"/>
                  </w14:solidFill>
                </w14:textFill>
              </w:rPr>
              <w:t>41.4 Gy/23 f</w:t>
            </w:r>
          </w:p>
        </w:tc>
        <w:tc>
          <w:tcPr>
            <w:tcW w:w="1134"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p>
        </w:tc>
        <w:tc>
          <w:tcPr>
            <w:tcW w:w="970"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lang w:eastAsia="zh-CN"/>
                <w14:textFill>
                  <w14:solidFill>
                    <w14:schemeClr w14:val="tx1"/>
                  </w14:solidFill>
                </w14:textFill>
              </w:rPr>
            </w:pPr>
            <w:r>
              <w:rPr>
                <w:rFonts w:ascii="Book Antiqua" w:hAnsi="Book Antiqua" w:cs="Times New Roman"/>
                <w:color w:val="000000" w:themeColor="text1"/>
                <w:kern w:val="2"/>
                <w:lang w:eastAsia="zh-CN"/>
                <w14:textFill>
                  <w14:solidFill>
                    <w14:schemeClr w14:val="tx1"/>
                  </w14:solidFill>
                </w14:textFill>
              </w:rPr>
              <w:t>pCR</w:t>
            </w:r>
          </w:p>
        </w:tc>
        <w:tc>
          <w:tcPr>
            <w:tcW w:w="1090"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0"/>
                <w:lang w:eastAsia="zh-CN"/>
                <w14:textFill>
                  <w14:solidFill>
                    <w14:schemeClr w14:val="tx1"/>
                  </w14:solidFill>
                </w14:textFill>
              </w:rPr>
            </w:pPr>
            <w:r>
              <w:rPr>
                <w:rFonts w:ascii="Book Antiqua" w:hAnsi="Book Antiqua" w:cs="Times New Roman"/>
                <w:color w:val="000000" w:themeColor="text1"/>
                <w:kern w:val="2"/>
                <w:shd w:val="clear" w:color="auto" w:fill="FFFFFF"/>
                <w:lang w:eastAsia="zh-CN"/>
                <w14:textFill>
                  <w14:solidFill>
                    <w14:schemeClr w14:val="tx1"/>
                  </w14:solidFill>
                </w14:textFill>
              </w:rPr>
              <w:t>Jan 28, 2021</w:t>
            </w:r>
          </w:p>
        </w:tc>
        <w:tc>
          <w:tcPr>
            <w:tcW w:w="1091" w:type="dxa"/>
            <w:tcBorders>
              <w:bottom w:val="single" w:color="auto" w:sz="4" w:space="0"/>
            </w:tcBorders>
            <w:shd w:val="clear" w:color="auto" w:fill="auto"/>
          </w:tcPr>
          <w:p>
            <w:pPr>
              <w:spacing w:line="360" w:lineRule="auto"/>
              <w:jc w:val="both"/>
              <w:rPr>
                <w:rFonts w:ascii="Book Antiqua" w:hAnsi="Book Antiqua" w:cs="Times New Roman"/>
                <w:color w:val="000000" w:themeColor="text1"/>
                <w:kern w:val="2"/>
                <w:shd w:val="clear" w:color="auto" w:fill="FFFFFF"/>
                <w:lang w:eastAsia="zh-CN"/>
                <w14:textFill>
                  <w14:solidFill>
                    <w14:schemeClr w14:val="tx1"/>
                  </w14:solidFill>
                </w14:textFill>
              </w:rPr>
            </w:pPr>
          </w:p>
        </w:tc>
      </w:tr>
      <w:bookmarkEnd w:id="70"/>
      <w:bookmarkEnd w:id="71"/>
      <w:bookmarkEnd w:id="72"/>
      <w:bookmarkEnd w:id="73"/>
      <w:bookmarkEnd w:id="74"/>
      <w:bookmarkEnd w:id="75"/>
      <w:bookmarkEnd w:id="76"/>
      <w:bookmarkEnd w:id="77"/>
      <w:bookmarkEnd w:id="153"/>
    </w:tbl>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 xml:space="preserve">DFS: Disease-free survival; </w:t>
      </w:r>
      <w:r>
        <w:rPr>
          <w:rFonts w:ascii="Book Antiqua" w:hAnsi="Book Antiqua"/>
          <w:color w:val="000000" w:themeColor="text1"/>
          <w:shd w:val="clear" w:color="auto" w:fill="FFFFFF"/>
          <w14:textFill>
            <w14:solidFill>
              <w14:schemeClr w14:val="tx1"/>
            </w14:solidFill>
          </w14:textFill>
        </w:rPr>
        <w:t>NA: Not applicable;</w:t>
      </w:r>
      <w:r>
        <w:rPr>
          <w:rFonts w:ascii="Book Antiqua" w:hAnsi="Book Antiqua"/>
          <w:color w:val="000000" w:themeColor="text1"/>
          <w14:textFill>
            <w14:solidFill>
              <w14:schemeClr w14:val="tx1"/>
            </w14:solidFill>
          </w14:textFill>
        </w:rPr>
        <w:t xml:space="preserve"> DDP: Cisplatin; PTX: </w:t>
      </w:r>
      <w:r>
        <w:rPr>
          <w:rFonts w:ascii="Book Antiqua" w:hAnsi="Book Antiqua"/>
          <w:color w:val="000000" w:themeColor="text1"/>
          <w:shd w:val="clear" w:color="auto" w:fill="FFFFFF"/>
          <w14:textFill>
            <w14:solidFill>
              <w14:schemeClr w14:val="tx1"/>
            </w14:solidFill>
          </w14:textFill>
        </w:rPr>
        <w:t>Paclitaxel</w:t>
      </w:r>
      <w:r>
        <w:rPr>
          <w:rFonts w:ascii="Book Antiqua" w:hAnsi="Book Antiqua"/>
          <w:color w:val="000000" w:themeColor="text1"/>
          <w14:textFill>
            <w14:solidFill>
              <w14:schemeClr w14:val="tx1"/>
            </w14:solidFill>
          </w14:textFill>
        </w:rPr>
        <w:t xml:space="preserve">; </w:t>
      </w:r>
      <w:bookmarkStart w:id="155" w:name="OLE_LINK6868"/>
      <w:r>
        <w:rPr>
          <w:rFonts w:ascii="Book Antiqua" w:hAnsi="Book Antiqua"/>
          <w:color w:val="000000" w:themeColor="text1"/>
          <w14:textFill>
            <w14:solidFill>
              <w14:schemeClr w14:val="tx1"/>
            </w14:solidFill>
          </w14:textFill>
        </w:rPr>
        <w:t>C</w:t>
      </w:r>
      <w:bookmarkEnd w:id="155"/>
      <w:r>
        <w:rPr>
          <w:rFonts w:ascii="Book Antiqua" w:hAnsi="Book Antiqua"/>
          <w:color w:val="000000" w:themeColor="text1"/>
          <w14:textFill>
            <w14:solidFill>
              <w14:schemeClr w14:val="tx1"/>
            </w14:solidFill>
          </w14:textFill>
        </w:rPr>
        <w:t>BP: Carboplatin; pCR: Pathological complete response; MPR: Major pathological response.</w:t>
      </w:r>
    </w:p>
    <w:p>
      <w:pPr>
        <w:spacing w:line="360" w:lineRule="auto"/>
        <w:jc w:val="both"/>
        <w:rPr>
          <w:color w:val="000000" w:themeColor="text1"/>
          <w:lang w:eastAsia="zh-CN"/>
          <w14:textFill>
            <w14:solidFill>
              <w14:schemeClr w14:val="tx1"/>
            </w14:solidFill>
          </w14:textFill>
        </w:rPr>
      </w:pPr>
    </w:p>
    <w:sectPr>
      <w:pgSz w:w="16840" w:h="11900" w:orient="landscape"/>
      <w:pgMar w:top="1800" w:right="1440" w:bottom="180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vPSA183">
    <w:altName w:val="Times New Roman"/>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63"/>
  <w:displayHorizontalDrawingGridEvery w:val="2"/>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A00A5"/>
    <w:rsid w:val="001C14A1"/>
    <w:rsid w:val="002B1BC6"/>
    <w:rsid w:val="003C637C"/>
    <w:rsid w:val="00413BFE"/>
    <w:rsid w:val="00436A6E"/>
    <w:rsid w:val="0047206C"/>
    <w:rsid w:val="00475A7B"/>
    <w:rsid w:val="005B7C33"/>
    <w:rsid w:val="00711F9A"/>
    <w:rsid w:val="00721239"/>
    <w:rsid w:val="007311C3"/>
    <w:rsid w:val="00951E84"/>
    <w:rsid w:val="00975537"/>
    <w:rsid w:val="00A170A2"/>
    <w:rsid w:val="00A77B3E"/>
    <w:rsid w:val="00AB4EE5"/>
    <w:rsid w:val="00BB38AD"/>
    <w:rsid w:val="00BC67C8"/>
    <w:rsid w:val="00C30EB8"/>
    <w:rsid w:val="00CA2A55"/>
    <w:rsid w:val="00D16119"/>
    <w:rsid w:val="00D83D2B"/>
    <w:rsid w:val="00DE6BE0"/>
    <w:rsid w:val="00E043E3"/>
    <w:rsid w:val="00EF5E79"/>
    <w:rsid w:val="00F37992"/>
    <w:rsid w:val="1E7B3524"/>
    <w:rsid w:val="274C6FFB"/>
    <w:rsid w:val="2C124D9F"/>
    <w:rsid w:val="31B63240"/>
    <w:rsid w:val="3E7414E9"/>
    <w:rsid w:val="4E8317C0"/>
    <w:rsid w:val="586161A5"/>
    <w:rsid w:val="7095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5"/>
    <w:qFormat/>
    <w:uiPriority w:val="9"/>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6"/>
    <w:unhideWhenUsed/>
    <w:qFormat/>
    <w:uiPriority w:val="99"/>
    <w:pPr>
      <w:widowControl w:val="0"/>
      <w:jc w:val="both"/>
    </w:pPr>
    <w:rPr>
      <w:rFonts w:ascii="宋体" w:hAnsi="Courier New" w:eastAsia="宋体" w:cs="Courier New"/>
      <w:kern w:val="2"/>
      <w:sz w:val="21"/>
      <w:szCs w:val="21"/>
      <w:lang w:eastAsia="zh-CN"/>
    </w:rPr>
  </w:style>
  <w:style w:type="paragraph" w:styleId="4">
    <w:name w:val="footer"/>
    <w:basedOn w:val="1"/>
    <w:link w:val="14"/>
    <w:qFormat/>
    <w:uiPriority w:val="99"/>
    <w:pPr>
      <w:tabs>
        <w:tab w:val="center" w:pos="4153"/>
        <w:tab w:val="right" w:pos="8306"/>
      </w:tabs>
      <w:snapToGrid w:val="0"/>
    </w:pPr>
    <w:rPr>
      <w:sz w:val="18"/>
      <w:szCs w:val="18"/>
    </w:rPr>
  </w:style>
  <w:style w:type="paragraph" w:styleId="5">
    <w:name w:val="header"/>
    <w:basedOn w:val="1"/>
    <w:link w:val="13"/>
    <w:qFormat/>
    <w:uiPriority w:val="99"/>
    <w:pPr>
      <w:tabs>
        <w:tab w:val="center" w:pos="4153"/>
        <w:tab w:val="right" w:pos="8306"/>
      </w:tabs>
      <w:snapToGrid w:val="0"/>
      <w:jc w:val="center"/>
    </w:pPr>
    <w:rPr>
      <w:sz w:val="18"/>
      <w:szCs w:val="18"/>
    </w:rPr>
  </w:style>
  <w:style w:type="table" w:styleId="7">
    <w:name w:val="Table Grid"/>
    <w:basedOn w:val="6"/>
    <w:qFormat/>
    <w:uiPriority w:val="3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FollowedHyperlink"/>
    <w:basedOn w:val="8"/>
    <w:unhideWhenUsed/>
    <w:qFormat/>
    <w:uiPriority w:val="99"/>
    <w:rPr>
      <w:color w:val="800080" w:themeColor="followedHyperlink"/>
      <w:u w:val="single"/>
      <w14:textFill>
        <w14:solidFill>
          <w14:schemeClr w14:val="folHlink"/>
        </w14:solidFill>
      </w14:textFill>
    </w:rPr>
  </w:style>
  <w:style w:type="character" w:styleId="11">
    <w:name w:val="Emphasis"/>
    <w:basedOn w:val="8"/>
    <w:qFormat/>
    <w:uiPriority w:val="20"/>
    <w:rPr>
      <w:i/>
      <w:iCs/>
    </w:rPr>
  </w:style>
  <w:style w:type="character" w:styleId="12">
    <w:name w:val="Hyperlink"/>
    <w:basedOn w:val="8"/>
    <w:unhideWhenUsed/>
    <w:qFormat/>
    <w:uiPriority w:val="99"/>
    <w:rPr>
      <w:color w:val="0000FF"/>
      <w:u w:val="single"/>
    </w:rPr>
  </w:style>
  <w:style w:type="character" w:customStyle="1" w:styleId="13">
    <w:name w:val="页眉 字符"/>
    <w:basedOn w:val="8"/>
    <w:link w:val="5"/>
    <w:uiPriority w:val="99"/>
    <w:rPr>
      <w:sz w:val="18"/>
      <w:szCs w:val="18"/>
    </w:rPr>
  </w:style>
  <w:style w:type="character" w:customStyle="1" w:styleId="14">
    <w:name w:val="页脚 字符"/>
    <w:basedOn w:val="8"/>
    <w:link w:val="4"/>
    <w:uiPriority w:val="99"/>
    <w:rPr>
      <w:sz w:val="18"/>
      <w:szCs w:val="18"/>
    </w:rPr>
  </w:style>
  <w:style w:type="character" w:customStyle="1" w:styleId="15">
    <w:name w:val="标题 1 字符"/>
    <w:basedOn w:val="8"/>
    <w:link w:val="2"/>
    <w:qFormat/>
    <w:uiPriority w:val="9"/>
    <w:rPr>
      <w:rFonts w:asciiTheme="minorHAnsi" w:hAnsiTheme="minorHAnsi" w:cstheme="minorBidi"/>
      <w:b/>
      <w:bCs/>
      <w:kern w:val="44"/>
      <w:sz w:val="44"/>
      <w:szCs w:val="44"/>
      <w:lang w:eastAsia="zh-CN"/>
    </w:rPr>
  </w:style>
  <w:style w:type="character" w:customStyle="1" w:styleId="16">
    <w:name w:val="纯文本 字符"/>
    <w:basedOn w:val="8"/>
    <w:link w:val="3"/>
    <w:uiPriority w:val="99"/>
    <w:rPr>
      <w:rFonts w:ascii="宋体" w:hAnsi="Courier New" w:eastAsia="宋体" w:cs="Courier New"/>
      <w:kern w:val="2"/>
      <w:sz w:val="21"/>
      <w:szCs w:val="21"/>
      <w:lang w:eastAsia="zh-CN"/>
    </w:rPr>
  </w:style>
  <w:style w:type="paragraph" w:customStyle="1" w:styleId="17">
    <w:name w:val="EndNote Bibliography Title"/>
    <w:basedOn w:val="1"/>
    <w:link w:val="18"/>
    <w:qFormat/>
    <w:uiPriority w:val="0"/>
    <w:pPr>
      <w:widowControl w:val="0"/>
      <w:jc w:val="center"/>
    </w:pPr>
    <w:rPr>
      <w:rFonts w:ascii="等线" w:hAnsi="等线" w:eastAsia="等线" w:cstheme="minorBidi"/>
      <w:kern w:val="2"/>
      <w:sz w:val="20"/>
      <w:szCs w:val="22"/>
      <w:lang w:eastAsia="zh-CN"/>
    </w:rPr>
  </w:style>
  <w:style w:type="character" w:customStyle="1" w:styleId="18">
    <w:name w:val="EndNote Bibliography Title 字符"/>
    <w:basedOn w:val="8"/>
    <w:link w:val="17"/>
    <w:qFormat/>
    <w:uiPriority w:val="0"/>
    <w:rPr>
      <w:rFonts w:ascii="等线" w:hAnsi="等线" w:eastAsia="等线" w:cstheme="minorBidi"/>
      <w:kern w:val="2"/>
      <w:szCs w:val="22"/>
      <w:lang w:eastAsia="zh-CN"/>
    </w:rPr>
  </w:style>
  <w:style w:type="paragraph" w:customStyle="1" w:styleId="19">
    <w:name w:val="EndNote Bibliography"/>
    <w:basedOn w:val="1"/>
    <w:link w:val="20"/>
    <w:qFormat/>
    <w:uiPriority w:val="0"/>
    <w:pPr>
      <w:widowControl w:val="0"/>
      <w:jc w:val="both"/>
    </w:pPr>
    <w:rPr>
      <w:rFonts w:ascii="等线" w:hAnsi="等线" w:eastAsia="等线" w:cstheme="minorBidi"/>
      <w:kern w:val="2"/>
      <w:sz w:val="20"/>
      <w:szCs w:val="22"/>
      <w:lang w:eastAsia="zh-CN"/>
    </w:rPr>
  </w:style>
  <w:style w:type="character" w:customStyle="1" w:styleId="20">
    <w:name w:val="EndNote Bibliography 字符"/>
    <w:basedOn w:val="8"/>
    <w:link w:val="19"/>
    <w:qFormat/>
    <w:uiPriority w:val="0"/>
    <w:rPr>
      <w:rFonts w:ascii="等线" w:hAnsi="等线" w:eastAsia="等线" w:cstheme="minorBidi"/>
      <w:kern w:val="2"/>
      <w:szCs w:val="22"/>
      <w:lang w:eastAsia="zh-CN"/>
    </w:rPr>
  </w:style>
  <w:style w:type="paragraph" w:styleId="21">
    <w:name w:val="List Paragraph"/>
    <w:basedOn w:val="1"/>
    <w:qFormat/>
    <w:uiPriority w:val="34"/>
    <w:pPr>
      <w:widowControl w:val="0"/>
      <w:ind w:firstLine="420" w:firstLineChars="200"/>
      <w:jc w:val="both"/>
    </w:pPr>
    <w:rPr>
      <w:rFonts w:asciiTheme="minorHAnsi" w:hAnsiTheme="minorHAnsi" w:cstheme="minorBidi"/>
      <w:kern w:val="2"/>
      <w:sz w:val="21"/>
      <w:szCs w:val="22"/>
      <w:lang w:eastAsia="zh-CN"/>
    </w:rPr>
  </w:style>
  <w:style w:type="character" w:customStyle="1" w:styleId="22">
    <w:name w:val="未处理的提及1"/>
    <w:basedOn w:val="8"/>
    <w:semiHidden/>
    <w:unhideWhenUsed/>
    <w:qFormat/>
    <w:uiPriority w:val="99"/>
    <w:rPr>
      <w:color w:val="605E5C"/>
      <w:shd w:val="clear" w:color="auto" w:fill="E1DFDD"/>
    </w:rPr>
  </w:style>
  <w:style w:type="character" w:customStyle="1" w:styleId="23">
    <w:name w:val="anchor-text"/>
    <w:basedOn w:val="8"/>
    <w:qFormat/>
    <w:uiPriority w:val="0"/>
  </w:style>
  <w:style w:type="table" w:customStyle="1" w:styleId="24">
    <w:name w:val="无格式表格 21"/>
    <w:basedOn w:val="6"/>
    <w:qFormat/>
    <w:uiPriority w:val="42"/>
    <w:rPr>
      <w:rFonts w:asciiTheme="minorHAnsi" w:hAnsiTheme="minorHAnsi" w:cstheme="minorBidi"/>
      <w:kern w:val="2"/>
      <w:sz w:val="21"/>
      <w:szCs w:val="22"/>
      <w:lang w:eastAsia="zh-CN"/>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5">
    <w:name w:val="无格式表格 31"/>
    <w:basedOn w:val="6"/>
    <w:qFormat/>
    <w:uiPriority w:val="43"/>
    <w:rPr>
      <w:rFonts w:asciiTheme="minorHAnsi" w:hAnsiTheme="minorHAnsi" w:cstheme="minorBidi"/>
      <w:kern w:val="2"/>
      <w:sz w:val="21"/>
      <w:szCs w:val="22"/>
      <w:lang w:eastAsia="zh-CN"/>
    </w:r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26">
    <w:name w:val="无格式表格 41"/>
    <w:basedOn w:val="6"/>
    <w:qFormat/>
    <w:uiPriority w:val="44"/>
    <w:rPr>
      <w:rFonts w:asciiTheme="minorHAnsi" w:hAnsiTheme="minorHAnsi" w:cstheme="minorBidi"/>
      <w:kern w:val="2"/>
      <w:sz w:val="21"/>
      <w:szCs w:val="22"/>
      <w:lang w:eastAsia="zh-CN"/>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27">
    <w:name w:val="fontstyle01"/>
    <w:basedOn w:val="8"/>
    <w:qFormat/>
    <w:uiPriority w:val="0"/>
    <w:rPr>
      <w:rFonts w:hint="default" w:ascii="AdvPSA183" w:hAnsi="AdvPSA183"/>
      <w:color w:val="000000"/>
      <w:sz w:val="18"/>
      <w:szCs w:val="18"/>
    </w:rPr>
  </w:style>
  <w:style w:type="character" w:customStyle="1" w:styleId="28">
    <w:name w:val="Unresolved Mention"/>
    <w:basedOn w:val="8"/>
    <w:semiHidden/>
    <w:unhideWhenUsed/>
    <w:qFormat/>
    <w:uiPriority w:val="99"/>
    <w:rPr>
      <w:color w:val="605E5C"/>
      <w:shd w:val="clear" w:color="auto" w:fill="E1DFDD"/>
    </w:rPr>
  </w:style>
  <w:style w:type="paragraph" w:customStyle="1" w:styleId="2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61</Pages>
  <Words>14577</Words>
  <Characters>81982</Characters>
  <Lines>784</Lines>
  <Paragraphs>220</Paragraphs>
  <TotalTime>10</TotalTime>
  <ScaleCrop>false</ScaleCrop>
  <LinksUpToDate>false</LinksUpToDate>
  <CharactersWithSpaces>95492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2023-08-11T01:52:00Z</dcterms:created>
  <dc:creator>baden</dc:creator>
  <cp:lastModifiedBy>WPS_1673360041</cp:lastModifiedBy>
  <dcterms:modified xsi:type="dcterms:W3CDTF">2023-08-17T23:51:23Z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BA96FF0F5B45498182ADB4779CE2BDFA_13</vt:lpwstr>
  </property>
</Properties>
</file>