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86226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Gastric adenosquamous carcinoma with an elevated serum level of alpha-fetoprotein: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Sun L </w:t>
      </w:r>
      <w:r>
        <w:rPr>
          <w:rFonts w:ascii="Book Antiqua" w:hAnsi="Book Antiqua" w:eastAsia="Book Antiqua" w:cs="Book Antiqua"/>
          <w:i/>
          <w:iCs/>
          <w:color w:val="000000"/>
        </w:rPr>
        <w:t>et al</w:t>
      </w:r>
      <w:r>
        <w:rPr>
          <w:rFonts w:ascii="Book Antiqua" w:hAnsi="Book Antiqua" w:eastAsia="Book Antiqua" w:cs="Book Antiqua"/>
          <w:color w:val="000000"/>
        </w:rPr>
        <w:t>. Gastric ASC positive for AFP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Liang Sun, Juan-Juan Wei, Ran An, Hui-Yun Cai, Yuan Lv, Tao Li, Xiao-Fei Shen, Jun-Feng Du, Gang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 Sun, Hui-Yun Cai, Yuan Lv, Tao Li, Xiao-Fei Shen, Jun-Feng Du, Gang Chen, </w:t>
      </w:r>
      <w:r>
        <w:rPr>
          <w:rFonts w:ascii="Book Antiqua" w:hAnsi="Book Antiqua" w:eastAsia="Book Antiqua" w:cs="Book Antiqua"/>
          <w:color w:val="000000"/>
        </w:rPr>
        <w:t>Department of General Surgery,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Beijing 100700,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Juan-Juan Wei, </w:t>
      </w:r>
      <w:r>
        <w:rPr>
          <w:rFonts w:ascii="Book Antiqua" w:hAnsi="Book Antiqua" w:eastAsia="Book Antiqua" w:cs="Book Antiqua"/>
          <w:color w:val="000000"/>
        </w:rPr>
        <w:t>Operating Room, Department of Anesthesiology,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Beijing 100700,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Ran An, </w:t>
      </w:r>
      <w:r>
        <w:rPr>
          <w:rFonts w:ascii="Book Antiqua" w:hAnsi="Book Antiqua" w:eastAsia="Book Antiqua" w:cs="Book Antiqua"/>
          <w:color w:val="000000"/>
        </w:rPr>
        <w:t>Department of Pathology,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Beijing 100700,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Sun</w:t>
      </w:r>
      <w:r>
        <w:rPr>
          <w:rFonts w:ascii="Book Antiqua" w:hAnsi="Book Antiqua" w:eastAsia="Book Antiqua" w:cs="Book Antiqua"/>
          <w:b/>
          <w:bCs/>
          <w:color w:val="000000"/>
        </w:rPr>
        <w:t xml:space="preserve"> </w:t>
      </w:r>
      <w:r>
        <w:rPr>
          <w:rFonts w:ascii="Book Antiqua" w:hAnsi="Book Antiqua" w:eastAsia="Book Antiqua" w:cs="Book Antiqua"/>
          <w:color w:val="000000"/>
        </w:rPr>
        <w:t>L and Wei JJ contributed equally to this work, contributed to the conceptualization and writing-original draft; An R, Cai HY, Li T, Lv Y and Shen XF provided technical support for the staining of the sections and performed standard pathologic analysis; Du JF and Chen G involved in the writing-review and editing; the work reported in the article has been performed by the authors, unless clearly specified in the text; and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Natural Science Foundation of China, No. 81970500, 81571563 and 81870393.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Gang Chen, MD, PhD, Adjunct Professor, Chief Doctor, </w:t>
      </w:r>
      <w:r>
        <w:rPr>
          <w:rFonts w:ascii="Book Antiqua" w:hAnsi="Book Antiqua" w:eastAsia="Book Antiqua" w:cs="Book Antiqua"/>
          <w:color w:val="000000"/>
        </w:rPr>
        <w:t>Department of General Surgery,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No. 5 NanmenCang, Beijing 100700, China. chengang@301hospital.com.cn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June 16,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July 29,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18,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October 27,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Gastric </w:t>
      </w:r>
      <w:bookmarkStart w:id="0" w:name="_Hlk142672305"/>
      <w:r>
        <w:rPr>
          <w:rFonts w:ascii="Book Antiqua" w:hAnsi="Book Antiqua" w:eastAsia="Book Antiqua" w:cs="Book Antiqua"/>
        </w:rPr>
        <w:t>adenosquamous carcinoma</w:t>
      </w:r>
      <w:bookmarkEnd w:id="0"/>
      <w:r>
        <w:rPr>
          <w:rFonts w:ascii="Book Antiqua" w:hAnsi="Book Antiqua" w:eastAsia="Book Antiqua" w:cs="Book Antiqua"/>
        </w:rPr>
        <w:t xml:space="preserve"> (ASC) is rare and characterized by coexisting of adenocarcinoma andsquamous carcinoma within the same tumor. We present a female patient with gastric ASC who had an elevated serum level of </w:t>
      </w:r>
      <w:bookmarkStart w:id="1" w:name="_Hlk142672332"/>
      <w:r>
        <w:rPr>
          <w:rFonts w:ascii="Book Antiqua" w:hAnsi="Book Antiqua" w:eastAsia="Book Antiqua" w:cs="Book Antiqua"/>
        </w:rPr>
        <w:t>alpha-fetoprotein (AFP)</w:t>
      </w:r>
      <w:bookmarkEnd w:id="1"/>
      <w:r>
        <w:rPr>
          <w:rFonts w:ascii="Book Antiqua" w:hAnsi="Book Antiqua" w:eastAsia="Book Antiqua" w:cs="Book Antiqua"/>
        </w:rPr>
        <w:t>, which decreased to normal levels after a laparoscopic distant radical gastrectomy in a short period. The clinicopathological features in AFP-producing gastric cancer (GC) are discussed, as well as potentially available prognostic predictors.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A 50-year-old woman presented to our department with a chief complain of a 6-mo history of bloating. She had no basic diseases including heart diseases and respiratory diseases, and she also denied any prior history of dysphagia, hematemesis, melena, rectal bleeding, hematochezia, or unintentional weight loss. Based on her symptoms, an esophagogastroduodenoscopy was performed, showing an annular cavity lesion 3 cm from the pylorus with a diameter of 6 cm. A biopsy of the lesion showed gastric ASC, whereas the pylorus biopsy showed normal mucosa. The patient further received an enhanced computed tomography scan which demonstrated an invasive lesion close to the pylorus with a still clear margin of the tumor to peripheral organs such as the pancreas and liver. Scattered lymph nodes were visible around, whereas no sign of liver metastasis was discovered. Serum tumor markers including carcinoembryonic antigen (CEA), cancer antigen 199 (CA199), CA724, CA125, and CA242 were all normal, while the level of serum AFP increased to 172 ng/mL. A laparoscopic distant radical gastrectomy was performed after exclusion of surgical contraindications. Postoperative pathology results showed that the tumor displayed an ulcerated ASC phenotype (90% of medium to highly-differentiated squamous cell carcinoma, 10% of poorly differentiated adenocarcinoma. Surprisingly, the serum level of AFP decreased to normal level on post operation day 5. The tumor cells were positive for CK5/6, p63, and CEA, and negative for AFP and Epstein-Barr encoding region.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We presented a rare case of gastric ASC with elevated serum AFP level, which may be new subtype of AFP-producing GC. Follow-up detection of serum AFP might be a useful tool to predict patient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Gastric cancer; Gastric adenosquamous carcinoma; Alpha-fetoprotein;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Sun L, Wei JJ, An R, Cai HY, Lv Y, Li T, Shen XF, Du JF, Chen G. Gastric adenosquamous carcinoma with an elevated serum level of alpha-fetoprotein: A case report. </w:t>
      </w:r>
      <w:r>
        <w:rPr>
          <w:rFonts w:ascii="Book Antiqua" w:hAnsi="Book Antiqua" w:eastAsia="Book Antiqua" w:cs="Book Antiqua"/>
          <w:i/>
          <w:iCs/>
        </w:rPr>
        <w:t>World J Gastrointest Surg</w:t>
      </w:r>
      <w:r>
        <w:rPr>
          <w:rFonts w:ascii="Book Antiqua" w:hAnsi="Book Antiqua" w:eastAsia="Book Antiqua" w:cs="Book Antiqua"/>
        </w:rPr>
        <w:t xml:space="preserve"> 2023; </w:t>
      </w:r>
      <w:r>
        <w:rPr>
          <w:rFonts w:hint="eastAsia" w:ascii="Book Antiqua" w:hAnsi="Book Antiqua" w:eastAsia="Book Antiqua" w:cs="Book Antiqua"/>
        </w:rPr>
        <w:t>15(</w:t>
      </w:r>
      <w:r>
        <w:rPr>
          <w:rFonts w:hint="eastAsia" w:ascii="Book Antiqua" w:hAnsi="Book Antiqua" w:eastAsia="宋体" w:cs="Book Antiqua"/>
          <w:lang w:val="en-US" w:eastAsia="zh-CN"/>
        </w:rPr>
        <w:t>10</w:t>
      </w:r>
      <w:r>
        <w:rPr>
          <w:rFonts w:hint="eastAsia" w:ascii="Book Antiqua" w:hAnsi="Book Antiqua" w:eastAsia="Book Antiqua" w:cs="Book Antiqua"/>
        </w:rPr>
        <w:t xml:space="preserve">): </w:t>
      </w:r>
      <w:r>
        <w:rPr>
          <w:rFonts w:hint="default" w:ascii="Book Antiqua" w:hAnsi="Book Antiqua" w:eastAsia="宋体" w:cs="Book Antiqua"/>
          <w:b w:val="0"/>
          <w:bCs w:val="0"/>
          <w:i w:val="0"/>
          <w:iCs w:val="0"/>
          <w:color w:val="000000"/>
          <w:sz w:val="24"/>
          <w:szCs w:val="24"/>
          <w:u w:val="none"/>
        </w:rPr>
        <w:t>235</w:t>
      </w:r>
      <w:r>
        <w:rPr>
          <w:rFonts w:hint="default" w:ascii="Book Antiqua" w:hAnsi="Book Antiqua" w:eastAsia="宋体" w:cs="Book Antiqua"/>
          <w:b w:val="0"/>
          <w:bCs w:val="0"/>
          <w:i w:val="0"/>
          <w:iCs w:val="0"/>
          <w:color w:val="000000"/>
          <w:sz w:val="24"/>
          <w:szCs w:val="24"/>
          <w:u w:val="none"/>
          <w:lang w:val="en-US" w:eastAsia="zh-CN"/>
        </w:rPr>
        <w:t>7</w:t>
      </w:r>
      <w:r>
        <w:rPr>
          <w:rFonts w:hint="default" w:ascii="Book Antiqua" w:hAnsi="Book Antiqua" w:eastAsia="宋体" w:cs="Book Antiqua"/>
          <w:b w:val="0"/>
          <w:bCs w:val="0"/>
          <w:i w:val="0"/>
          <w:iCs w:val="0"/>
          <w:color w:val="000000"/>
          <w:sz w:val="24"/>
          <w:szCs w:val="24"/>
          <w:u w:val="none"/>
          <w:lang w:eastAsia="zh-CN"/>
        </w:rPr>
        <w:t>-</w:t>
      </w:r>
      <w:r>
        <w:rPr>
          <w:rFonts w:hint="default" w:ascii="Book Antiqua" w:hAnsi="Book Antiqua" w:eastAsia="宋体" w:cs="Book Antiqua"/>
          <w:b w:val="0"/>
          <w:bCs w:val="0"/>
          <w:i w:val="0"/>
          <w:iCs w:val="0"/>
          <w:color w:val="000000"/>
          <w:sz w:val="24"/>
          <w:szCs w:val="24"/>
          <w:u w:val="none"/>
        </w:rPr>
        <w:t>236</w:t>
      </w:r>
      <w:r>
        <w:rPr>
          <w:rFonts w:hint="default" w:ascii="Book Antiqua" w:hAnsi="Book Antiqua" w:eastAsia="宋体" w:cs="Book Antiqua"/>
          <w:b w:val="0"/>
          <w:bCs w:val="0"/>
          <w:i w:val="0"/>
          <w:iCs w:val="0"/>
          <w:color w:val="000000"/>
          <w:sz w:val="24"/>
          <w:szCs w:val="24"/>
          <w:u w:val="none"/>
          <w:lang w:val="en-US" w:eastAsia="zh-CN"/>
        </w:rPr>
        <w:t>1</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https://www.wjgnet.com/1948-9366/full/v15/i</w:t>
      </w:r>
      <w:r>
        <w:rPr>
          <w:rFonts w:hint="eastAsia" w:ascii="Book Antiqua" w:hAnsi="Book Antiqua" w:eastAsia="宋体" w:cs="Book Antiqua"/>
          <w:lang w:val="en-US" w:eastAsia="zh-CN"/>
        </w:rPr>
        <w:t>10</w:t>
      </w:r>
      <w:r>
        <w:rPr>
          <w:rFonts w:hint="eastAsia" w:ascii="Book Antiqua" w:hAnsi="Book Antiqua" w:eastAsia="Book Antiqua" w:cs="Book Antiqua"/>
        </w:rPr>
        <w:t>/</w:t>
      </w:r>
      <w:r>
        <w:rPr>
          <w:rFonts w:hint="default" w:ascii="Book Antiqua" w:hAnsi="Book Antiqua" w:eastAsia="宋体" w:cs="Book Antiqua"/>
          <w:b w:val="0"/>
          <w:bCs w:val="0"/>
          <w:i w:val="0"/>
          <w:iCs w:val="0"/>
          <w:color w:val="000000"/>
          <w:sz w:val="24"/>
          <w:szCs w:val="24"/>
          <w:u w:val="none"/>
        </w:rPr>
        <w:t>235</w:t>
      </w:r>
      <w:r>
        <w:rPr>
          <w:rFonts w:hint="default" w:ascii="Book Antiqua" w:hAnsi="Book Antiqua" w:eastAsia="宋体" w:cs="Book Antiqua"/>
          <w:b w:val="0"/>
          <w:bCs w:val="0"/>
          <w:i w:val="0"/>
          <w:iCs w:val="0"/>
          <w:color w:val="000000"/>
          <w:sz w:val="24"/>
          <w:szCs w:val="24"/>
          <w:u w:val="none"/>
          <w:lang w:val="en-US" w:eastAsia="zh-CN"/>
        </w:rPr>
        <w:t>7</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https://dx.doi.org/10.4240/wjgs.v15.i</w:t>
      </w:r>
      <w:r>
        <w:rPr>
          <w:rFonts w:hint="eastAsia" w:ascii="Book Antiqua" w:hAnsi="Book Antiqua" w:eastAsia="宋体" w:cs="Book Antiqua"/>
          <w:lang w:val="en-US" w:eastAsia="zh-CN"/>
        </w:rPr>
        <w:t>10</w:t>
      </w:r>
      <w:r>
        <w:rPr>
          <w:rFonts w:hint="eastAsia" w:ascii="Book Antiqua" w:hAnsi="Book Antiqua" w:eastAsia="Book Antiqua" w:cs="Book Antiqua"/>
        </w:rPr>
        <w:t>.</w:t>
      </w:r>
      <w:r>
        <w:rPr>
          <w:rFonts w:hint="default" w:ascii="Book Antiqua" w:hAnsi="Book Antiqua" w:eastAsia="宋体" w:cs="Book Antiqua"/>
          <w:b w:val="0"/>
          <w:bCs w:val="0"/>
          <w:i w:val="0"/>
          <w:iCs w:val="0"/>
          <w:color w:val="000000"/>
          <w:sz w:val="24"/>
          <w:szCs w:val="24"/>
          <w:u w:val="none"/>
        </w:rPr>
        <w:t>235</w:t>
      </w:r>
      <w:r>
        <w:rPr>
          <w:rFonts w:hint="default" w:ascii="Book Antiqua" w:hAnsi="Book Antiqua" w:eastAsia="宋体" w:cs="Book Antiqua"/>
          <w:b w:val="0"/>
          <w:bCs w:val="0"/>
          <w:i w:val="0"/>
          <w:iCs w:val="0"/>
          <w:color w:val="000000"/>
          <w:sz w:val="24"/>
          <w:szCs w:val="24"/>
          <w:u w:val="none"/>
          <w:lang w:val="en-US" w:eastAsia="zh-CN"/>
        </w:rPr>
        <w:t>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Most patients diagnosed with gastric cancer (GC) have a pathological phenotype of adenocarcinoma, and gastric adenosquamous carcinoma (ASC) is rare. We presented a rare case of gastric ASC with elevated serum alpha-fetoprotein (AFP) level, which may be new subtype of AFP-producing GC. AFP-GC is an aggressive cancer with high incidence of liver or lymph node metastasis. Follow-up detection of serum AFP might be a useful tool to predict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It is well known that gastric cancer (GC) is the fourth most common cancer worldwide with a third highest incidence and mortality in China</w:t>
      </w:r>
      <w:r>
        <w:rPr>
          <w:rFonts w:ascii="Book Antiqua" w:hAnsi="Book Antiqua" w:eastAsia="Book Antiqua" w:cs="Book Antiqua"/>
          <w:color w:val="000000"/>
          <w:vertAlign w:val="superscript"/>
        </w:rPr>
        <w:t>[1]</w:t>
      </w:r>
      <w:r>
        <w:rPr>
          <w:rFonts w:ascii="Book Antiqua" w:hAnsi="Book Antiqua" w:eastAsia="Book Antiqua" w:cs="Book Antiqua"/>
          <w:color w:val="000000"/>
        </w:rPr>
        <w:t>. With a change in population structure and population growth, it is also suggested that the incidence of GC has increased by 25% between 2007 and 2017</w:t>
      </w:r>
      <w:r>
        <w:rPr>
          <w:rFonts w:ascii="Book Antiqua" w:hAnsi="Book Antiqua" w:eastAsia="Book Antiqua" w:cs="Book Antiqua"/>
          <w:color w:val="000000"/>
          <w:vertAlign w:val="superscript"/>
        </w:rPr>
        <w:t>[2]</w:t>
      </w:r>
      <w:r>
        <w:rPr>
          <w:rFonts w:ascii="Book Antiqua" w:hAnsi="Book Antiqua" w:eastAsia="Book Antiqua" w:cs="Book Antiqua"/>
          <w:color w:val="000000"/>
        </w:rPr>
        <w:t>. 1 in 78 women and 1 in 33 men developed GC over a lifetime</w:t>
      </w:r>
      <w:r>
        <w:rPr>
          <w:rFonts w:ascii="Book Antiqua" w:hAnsi="Book Antiqua" w:eastAsia="Book Antiqua" w:cs="Book Antiqua"/>
          <w:color w:val="000000"/>
          <w:vertAlign w:val="superscript"/>
        </w:rPr>
        <w:t>[2]</w:t>
      </w:r>
      <w:r>
        <w:rPr>
          <w:rFonts w:ascii="Book Antiqua" w:hAnsi="Book Antiqua" w:eastAsia="Book Antiqua" w:cs="Book Antiqua"/>
          <w:color w:val="000000"/>
        </w:rPr>
        <w:t>. Most patients diagnosed with gastric carcinoma had a pathological phenotype of adenocarcinoma which has been studied well over the last decades, and National Comprehensive Cancer Network guidelines also present a detailed management strategy for GC with a adenocarcinoma phenotype. However, there also exist other histological types of gastric carcinoma including primary gastric squamous cell carcinoma, carcinoid, and primary adenosquamous carcinoma (ASC) which is characterized by coexisting of adenocarcinoma and squamous carcinoma within the same tumor. Gastric ASC is rare and clinical features of ASC were described largely in case reports or case series.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50-year-old woman presented to our department with a chief complain of a 6-mo history of bloating.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Symptoms started 6-mo before presentation.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She had no basic diseases including heart diseases, respiratory diseases, active or chronic hepatits, liver cirrhosis, and she also denied any prior history of dysphagia, hematemesis, melena, rectal bleeding, hematochezia, or unintentional weight loss.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family history of malignant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On physical examination, the vital signs were as follows: Body temperature, 36.7 </w:t>
      </w:r>
      <w:bookmarkStart w:id="2" w:name="_Hlk106196928"/>
      <w:r>
        <w:rPr>
          <w:rFonts w:ascii="Book Antiqua" w:hAnsi="Book Antiqua" w:eastAsia="Book Antiqua" w:cs="Book Antiqua"/>
          <w:color w:val="000000"/>
        </w:rPr>
        <w:t>°C</w:t>
      </w:r>
      <w:bookmarkEnd w:id="2"/>
      <w:r>
        <w:rPr>
          <w:rFonts w:ascii="Book Antiqua" w:hAnsi="Book Antiqua" w:eastAsia="Book Antiqua" w:cs="Book Antiqua"/>
          <w:color w:val="000000"/>
        </w:rPr>
        <w:t>; blood pressure, 125/76 mmHg; heart rate, 78 beats per min; respiratory rate, 18 breaths per min. Furthermore, the abdomen is flat without touching any lumps, without tenderness, rebound pain, or muscle tension. Digital anal examination was not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Serum tumor markers including </w:t>
      </w:r>
      <w:r>
        <w:rPr>
          <w:rFonts w:ascii="Book Antiqua" w:hAnsi="Book Antiqua" w:eastAsia="Book Antiqua" w:cs="Book Antiqua"/>
        </w:rPr>
        <w:t>carcinoembryonic antigen (CEA), cancer antigen 199 (CA199)</w:t>
      </w:r>
      <w:r>
        <w:rPr>
          <w:rFonts w:ascii="Book Antiqua" w:hAnsi="Book Antiqua" w:eastAsia="Book Antiqua" w:cs="Book Antiqua"/>
          <w:color w:val="000000"/>
        </w:rPr>
        <w:t>, CA724, CA125, and CA242 were all normal, while the level of serum alpha-fetoprotein (AFP) increased to 172 ng/mL. Liver function indicators and pathogenic tests were all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patient further received an enhanced computed tomography scan which demonstrated an invasive lesion close to the pylorus with a still clear margin of the tumor to peripheral organs such as the pancreas and liver (Figure 1). Scattered lymph nodes were visible around, whereas no sign of liver metastasis was discovered.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Combined with the patient’s medical history, the final diagnosis was ASC.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 laparoscopic distant radical gastrectomy was performed after exclusion of surgical contraindications.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Postoperative pathology results showed that the tumor displayed an ulcerated ASC phenotype, 90% of medium to highly-differentiated squamous cell carcinoma, 10% of poorly differentiated adenocarcinoma (Figure 2A) and metastatic lymph nodes (Figure 2B). Surprisingly, the serum level of AFP decreased to normal level on post operation day 5. The tumor cells were positive for CK5/6, p63, and CEA, and negative for AFP (Figure 2C) and Epstein-Barr encoding region.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In this case report, we presented a female patient with gastric ASC who had an elevated serum level of AFP. Although immunohistochemistry staining results for AFP protein in tumor tissues were negative, serum AFP level decreased to normal level after a laparoscopic distant radical gastrectomy in a short period. Therefore, it is possible that gastric ASC in our patient may be accompanied with or even produces soluble AFP. As far as we know, this is the first case of gastric ASC with elevated AFP level partly due to a very low incidence of gastric ASC, which was suggested to account for less than 1% of all gastric malignancies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whole story of gastric ASC has not been fully elucidated and only two case series with a total of 287 cases summarized clinicopathological features of gastric ASC</w:t>
      </w:r>
      <w:r>
        <w:rPr>
          <w:rFonts w:ascii="Book Antiqua" w:hAnsi="Book Antiqua" w:eastAsia="Book Antiqua" w:cs="Book Antiqua"/>
          <w:color w:val="000000"/>
          <w:vertAlign w:val="superscript"/>
        </w:rPr>
        <w:t>[4]</w:t>
      </w:r>
      <w:r>
        <w:rPr>
          <w:rFonts w:ascii="Book Antiqua" w:hAnsi="Book Antiqua" w:eastAsia="Book Antiqua" w:cs="Book Antiqua"/>
          <w:color w:val="000000"/>
        </w:rPr>
        <w:t>. The diagnosis of gastric ASC is supported by the presence of both actinic cheilitis (AC) and ASC components with squamous cell carcinoma (SCC) accounting for at least 25% of tumors. In our case, SCC component accounted for approximately 90% of tumor. In addition, the location of tumor in our case was close to pylorus instead of cardia or esophagus, which was in consistent with previous studies showing the most common location of lower third for gastric ASC</w:t>
      </w:r>
      <w:r>
        <w:rPr>
          <w:rFonts w:ascii="Book Antiqua" w:hAnsi="Book Antiqua" w:eastAsia="Book Antiqua" w:cs="Book Antiqua"/>
          <w:color w:val="000000"/>
          <w:vertAlign w:val="superscript"/>
        </w:rPr>
        <w:t>[4]</w:t>
      </w:r>
      <w:r>
        <w:rPr>
          <w:rFonts w:ascii="Book Antiqua" w:hAnsi="Book Antiqua" w:eastAsia="Book Antiqua" w:cs="Book Antiqua"/>
          <w:color w:val="000000"/>
        </w:rPr>
        <w:t>. No evidence of other AC or SCC was found elsewhere in the body which further confirmed the diagnosis of gastric ASC for our case.</w:t>
      </w:r>
    </w:p>
    <w:p>
      <w:pPr>
        <w:spacing w:line="360" w:lineRule="auto"/>
        <w:ind w:firstLine="240"/>
        <w:jc w:val="both"/>
        <w:rPr>
          <w:rFonts w:ascii="Book Antiqua" w:hAnsi="Book Antiqua"/>
        </w:rPr>
      </w:pPr>
      <w:r>
        <w:rPr>
          <w:rFonts w:ascii="Book Antiqua" w:hAnsi="Book Antiqua" w:eastAsia="Book Antiqua" w:cs="Book Antiqua"/>
          <w:color w:val="000000"/>
        </w:rPr>
        <w:t>It was suggested that gastric ASC was an extremely aggressive cancer and distant metastasis was usually found, with liver being the most common location for distant metastasis</w:t>
      </w:r>
      <w:r>
        <w:rPr>
          <w:rFonts w:ascii="Book Antiqua" w:hAnsi="Book Antiqua" w:eastAsia="Book Antiqua" w:cs="Book Antiqua"/>
          <w:color w:val="000000"/>
          <w:vertAlign w:val="superscript"/>
        </w:rPr>
        <w:t>[3,4]</w:t>
      </w:r>
      <w:r>
        <w:rPr>
          <w:rFonts w:ascii="Book Antiqua" w:hAnsi="Book Antiqua" w:eastAsia="Book Antiqua" w:cs="Book Antiqua"/>
          <w:color w:val="000000"/>
        </w:rPr>
        <w:t>. Detailed analysis showed that both AC and SCC components were capable for distant metastasis. The T stage in our case was T4 which was inconsistent with previous study showing that 52.7% cases were stage T4. Lymph node metastasis also occurred in our case with AC component but not SCC component found in metastatic lymph nodes. It is interesting that AC component in our case only accounted for 10% of the tumor but played a predominant role in lymph node metastasis.</w:t>
      </w:r>
    </w:p>
    <w:p>
      <w:pPr>
        <w:spacing w:line="360" w:lineRule="auto"/>
        <w:ind w:firstLine="240"/>
        <w:jc w:val="both"/>
        <w:rPr>
          <w:rFonts w:ascii="Book Antiqua" w:hAnsi="Book Antiqua"/>
        </w:rPr>
      </w:pPr>
      <w:r>
        <w:rPr>
          <w:rFonts w:ascii="Book Antiqua" w:hAnsi="Book Antiqua" w:eastAsia="Book Antiqua" w:cs="Book Antiqua"/>
          <w:color w:val="000000"/>
        </w:rPr>
        <w:t>Radical resection of tumor remains the optimal treatment for patients without distant metastasis, and the following adjuvant therapy has not been established. Whether to choose chemotherapy or radiotherapy or a combination largely depends on the predominant component presented in gastric ASC. Due to personal reason, this patient refused to receive to any further chemotherapy or radiotherapy. The prognosis of gastric ASC was worse than typical gastric AC with a low 3-year overall survival ranging from 15.4%-32.4%</w:t>
      </w:r>
      <w:r>
        <w:rPr>
          <w:rFonts w:ascii="Book Antiqua" w:hAnsi="Book Antiqua" w:eastAsia="Book Antiqua" w:cs="Book Antiqua"/>
          <w:color w:val="000000"/>
          <w:vertAlign w:val="superscript"/>
        </w:rPr>
        <w:t>[3-5]</w:t>
      </w:r>
      <w:r>
        <w:rPr>
          <w:rFonts w:ascii="Book Antiqua" w:hAnsi="Book Antiqua" w:eastAsia="Book Antiqua" w:cs="Book Antiqua"/>
          <w:color w:val="000000"/>
        </w:rPr>
        <w:t>. The patient in this report died one year after operation.</w:t>
      </w:r>
    </w:p>
    <w:p>
      <w:pPr>
        <w:spacing w:line="360" w:lineRule="auto"/>
        <w:ind w:firstLine="240"/>
        <w:jc w:val="both"/>
        <w:rPr>
          <w:rFonts w:ascii="Book Antiqua" w:hAnsi="Book Antiqua"/>
        </w:rPr>
      </w:pPr>
      <w:r>
        <w:rPr>
          <w:rFonts w:ascii="Book Antiqua" w:hAnsi="Book Antiqua" w:eastAsia="Book Antiqua" w:cs="Book Antiqua"/>
          <w:color w:val="000000"/>
        </w:rPr>
        <w:t>Based on the change of serum AFP in this patient before and after operation, we speculated that gastric ASC in this patient may be a new subtype of AFP-producing GC (AFPGC). Commonly, increased serum level of AFP could be seen in AFPGC or in hepatoid adenocarcinoma of the stomach (HAS). AFPGC is defined as primary GC with serum AFP level more than 20 ng/mL or positive immunohistochemistry staining of AFP in the tumor. The diagnosis of HAS is mainly dependent on the pathological character of hepatocellular carcinoma-like differentiation of GC. We didn’t find any proof of HAS in our case and the biological behavior in our case also partly matched those found in AFPGC. The most common location of AFPGC was gastric antrumand corpus</w:t>
      </w:r>
      <w:r>
        <w:rPr>
          <w:rFonts w:ascii="Book Antiqua" w:hAnsi="Book Antiqua" w:eastAsia="Book Antiqua" w:cs="Book Antiqua"/>
          <w:color w:val="000000"/>
          <w:vertAlign w:val="superscript"/>
        </w:rPr>
        <w:t>[6]</w:t>
      </w:r>
      <w:r>
        <w:rPr>
          <w:rFonts w:ascii="Book Antiqua" w:hAnsi="Book Antiqua" w:eastAsia="Book Antiqua" w:cs="Book Antiqua"/>
          <w:color w:val="000000"/>
        </w:rPr>
        <w:t>, and the serum level of AFP predicted the 5-year overall survival</w:t>
      </w:r>
      <w:r>
        <w:rPr>
          <w:rFonts w:ascii="Book Antiqua" w:hAnsi="Book Antiqua" w:eastAsia="Book Antiqua" w:cs="Book Antiqua"/>
          <w:color w:val="000000"/>
          <w:vertAlign w:val="superscript"/>
        </w:rPr>
        <w:t>[7]</w:t>
      </w:r>
      <w:r>
        <w:rPr>
          <w:rFonts w:ascii="Book Antiqua" w:hAnsi="Book Antiqua" w:eastAsia="Book Antiqua" w:cs="Book Antiqua"/>
          <w:color w:val="000000"/>
        </w:rPr>
        <w:t>. AFPGC is also an aggressive cancer with high incidence of liver or lymph node metastasis</w:t>
      </w:r>
      <w:r>
        <w:rPr>
          <w:rFonts w:ascii="Book Antiqua" w:hAnsi="Book Antiqua" w:eastAsia="Book Antiqua" w:cs="Book Antiqua"/>
          <w:color w:val="000000"/>
          <w:vertAlign w:val="superscript"/>
        </w:rPr>
        <w:t>[7]</w:t>
      </w:r>
      <w:r>
        <w:rPr>
          <w:rFonts w:ascii="Book Antiqua" w:hAnsi="Book Antiqua" w:eastAsia="Book Antiqua" w:cs="Book Antiqua"/>
          <w:color w:val="000000"/>
        </w:rPr>
        <w:t>. We identified an elevation of serum AFP 6 mo after surgery in this patient, and the level of AFP remained high 3 mo before his death. No evidence of liver metastasis was identified during the follow-up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we presented a rare case of gastric ASC with elevated serum AFP level, which may be new subtype of AFP-producing GC. Follow-up detection of serum AFP might be a useful tool to predict patient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Torre LA</w:t>
      </w:r>
      <w:r>
        <w:rPr>
          <w:rFonts w:ascii="Book Antiqua" w:hAnsi="Book Antiqua"/>
        </w:rPr>
        <w:t xml:space="preserve">, Bray F, Siegel RL, Ferlay J, Lortet-Tieulent J, Jemal A. Global cancer statistics, 2012. </w:t>
      </w:r>
      <w:r>
        <w:rPr>
          <w:rFonts w:ascii="Book Antiqua" w:hAnsi="Book Antiqua"/>
          <w:i/>
          <w:iCs/>
        </w:rPr>
        <w:t>CA Cancer J Clin</w:t>
      </w:r>
      <w:r>
        <w:rPr>
          <w:rFonts w:ascii="Book Antiqua" w:hAnsi="Book Antiqua"/>
        </w:rPr>
        <w:t xml:space="preserve"> 2015; </w:t>
      </w:r>
      <w:r>
        <w:rPr>
          <w:rFonts w:ascii="Book Antiqua" w:hAnsi="Book Antiqua"/>
          <w:b/>
          <w:bCs/>
        </w:rPr>
        <w:t>65</w:t>
      </w:r>
      <w:r>
        <w:rPr>
          <w:rFonts w:ascii="Book Antiqua" w:hAnsi="Book Antiqua"/>
        </w:rPr>
        <w:t>: 87-108 [PMID: 25651787 DOI: 10.3322/caac.21262]</w:t>
      </w:r>
    </w:p>
    <w:p>
      <w:pPr>
        <w:spacing w:line="360" w:lineRule="auto"/>
        <w:jc w:val="both"/>
        <w:rPr>
          <w:rFonts w:ascii="Book Antiqua" w:hAnsi="Book Antiqua"/>
        </w:rPr>
      </w:pPr>
      <w:r>
        <w:rPr>
          <w:rFonts w:ascii="Book Antiqua" w:hAnsi="Book Antiqua"/>
        </w:rPr>
        <w:t xml:space="preserve">2 </w:t>
      </w:r>
      <w:r>
        <w:rPr>
          <w:rFonts w:ascii="Book Antiqua" w:hAnsi="Book Antiqua"/>
          <w:b/>
          <w:bCs/>
        </w:rPr>
        <w:t>Global Burden of Disease Cancer Collaboration</w:t>
      </w:r>
      <w:r>
        <w:rPr>
          <w:rFonts w:ascii="Book Antiqua" w:hAnsi="Book Antiqua"/>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F, Jakovljevic M, James S, Javanbakht M, Jee SH, Kasaeian A, Kedir MS, Khader YS, Khang YH, Kim D, Leigh J, Linn S, Lunevicius R, El Razek HMA, Malekzadeh R, Malta DC, Marcenes W, Markos D, Melaku YA, Meles KG, Mendoza W, Mengiste DT, Meretoja TJ, Miller TR, 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Pr>
          <w:rFonts w:ascii="Book Antiqua" w:hAnsi="Book Antiqua"/>
          <w:i/>
          <w:iCs/>
        </w:rPr>
        <w:t>JAMA Oncol</w:t>
      </w:r>
      <w:r>
        <w:rPr>
          <w:rFonts w:ascii="Book Antiqua" w:hAnsi="Book Antiqua"/>
        </w:rPr>
        <w:t xml:space="preserve"> 2017; </w:t>
      </w:r>
      <w:r>
        <w:rPr>
          <w:rFonts w:ascii="Book Antiqua" w:hAnsi="Book Antiqua"/>
          <w:b/>
          <w:bCs/>
        </w:rPr>
        <w:t>3</w:t>
      </w:r>
      <w:r>
        <w:rPr>
          <w:rFonts w:ascii="Book Antiqua" w:hAnsi="Book Antiqua"/>
        </w:rPr>
        <w:t>: 524-548 [PMID: 27918777 DOI: 10.1001/jamaoncol.2016.5688]</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Chen H</w:t>
      </w:r>
      <w:r>
        <w:rPr>
          <w:rFonts w:ascii="Book Antiqua" w:hAnsi="Book Antiqua"/>
        </w:rPr>
        <w:t xml:space="preserve">, Shen C, Yin R, Yin Y, Chen J, Han L, Zhang B, Chen Z, Chen J. Clinicopathological characteristics, diagnosis, treatment, and outcomes of primary gastric adenosquamous carcinoma. </w:t>
      </w:r>
      <w:r>
        <w:rPr>
          <w:rFonts w:ascii="Book Antiqua" w:hAnsi="Book Antiqua"/>
          <w:i/>
          <w:iCs/>
        </w:rPr>
        <w:t>World J Surg Oncol</w:t>
      </w:r>
      <w:r>
        <w:rPr>
          <w:rFonts w:ascii="Book Antiqua" w:hAnsi="Book Antiqua"/>
        </w:rPr>
        <w:t xml:space="preserve"> 2015; </w:t>
      </w:r>
      <w:r>
        <w:rPr>
          <w:rFonts w:ascii="Book Antiqua" w:hAnsi="Book Antiqua"/>
          <w:b/>
          <w:bCs/>
        </w:rPr>
        <w:t>13</w:t>
      </w:r>
      <w:r>
        <w:rPr>
          <w:rFonts w:ascii="Book Antiqua" w:hAnsi="Book Antiqua"/>
        </w:rPr>
        <w:t>: 136 [PMID: 25889482 DOI: 10.1186/s12957-015-0554-1]</w:t>
      </w:r>
    </w:p>
    <w:p>
      <w:pPr>
        <w:spacing w:line="360" w:lineRule="auto"/>
        <w:jc w:val="both"/>
        <w:rPr>
          <w:rFonts w:ascii="Book Antiqua" w:hAnsi="Book Antiqua"/>
        </w:rPr>
      </w:pPr>
      <w:r>
        <w:rPr>
          <w:rFonts w:ascii="Book Antiqua" w:hAnsi="Book Antiqua"/>
        </w:rPr>
        <w:t xml:space="preserve">4 </w:t>
      </w:r>
      <w:r>
        <w:rPr>
          <w:rFonts w:ascii="Book Antiqua" w:hAnsi="Book Antiqua"/>
          <w:b/>
          <w:bCs/>
        </w:rPr>
        <w:t>Feng F</w:t>
      </w:r>
      <w:r>
        <w:rPr>
          <w:rFonts w:ascii="Book Antiqua" w:hAnsi="Book Antiqua"/>
        </w:rPr>
        <w:t xml:space="preserve">, Zheng G, Qi J, Xu G, Wang F, Wang Q, Guo M, Lian X, Zhang H. Clinicopathological features and prognosis of gastric adenosquamous carcinoma.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4597 [PMID: 28676632 DOI: 10.1038/s41598-017-04563-2]</w:t>
      </w:r>
    </w:p>
    <w:p>
      <w:pPr>
        <w:spacing w:line="360" w:lineRule="auto"/>
        <w:jc w:val="both"/>
        <w:rPr>
          <w:rFonts w:ascii="Book Antiqua" w:hAnsi="Book Antiqua"/>
        </w:rPr>
      </w:pPr>
      <w:r>
        <w:rPr>
          <w:rFonts w:ascii="Book Antiqua" w:hAnsi="Book Antiqua"/>
        </w:rPr>
        <w:t xml:space="preserve">5 </w:t>
      </w:r>
      <w:r>
        <w:rPr>
          <w:rFonts w:ascii="Book Antiqua" w:hAnsi="Book Antiqua"/>
          <w:b/>
          <w:bCs/>
        </w:rPr>
        <w:t>Quan J</w:t>
      </w:r>
      <w:r>
        <w:rPr>
          <w:rFonts w:ascii="Book Antiqua" w:hAnsi="Book Antiqua"/>
        </w:rPr>
        <w:t xml:space="preserve">, Zhang R, Liang H, Li F, Liu H. The clinicopathologic and prognostic analysis of adenosquamous and squamous cell carcinoma of the stomach. </w:t>
      </w:r>
      <w:r>
        <w:rPr>
          <w:rFonts w:ascii="Book Antiqua" w:hAnsi="Book Antiqua"/>
          <w:i/>
          <w:iCs/>
        </w:rPr>
        <w:t>Am Surg</w:t>
      </w:r>
      <w:r>
        <w:rPr>
          <w:rFonts w:ascii="Book Antiqua" w:hAnsi="Book Antiqua"/>
        </w:rPr>
        <w:t xml:space="preserve"> 2013; </w:t>
      </w:r>
      <w:r>
        <w:rPr>
          <w:rFonts w:ascii="Book Antiqua" w:hAnsi="Book Antiqua"/>
          <w:b/>
          <w:bCs/>
        </w:rPr>
        <w:t>79</w:t>
      </w:r>
      <w:r>
        <w:rPr>
          <w:rFonts w:ascii="Book Antiqua" w:hAnsi="Book Antiqua"/>
        </w:rPr>
        <w:t>: E206-E208 [PMID: 23635572]</w:t>
      </w:r>
    </w:p>
    <w:p>
      <w:pPr>
        <w:spacing w:line="360" w:lineRule="auto"/>
        <w:jc w:val="both"/>
        <w:rPr>
          <w:rFonts w:ascii="Book Antiqua" w:hAnsi="Book Antiqua"/>
        </w:rPr>
      </w:pPr>
      <w:r>
        <w:rPr>
          <w:rFonts w:ascii="Book Antiqua" w:hAnsi="Book Antiqua"/>
        </w:rPr>
        <w:t xml:space="preserve">6 </w:t>
      </w:r>
      <w:r>
        <w:rPr>
          <w:rFonts w:ascii="Book Antiqua" w:hAnsi="Book Antiqua"/>
          <w:b/>
          <w:bCs/>
        </w:rPr>
        <w:t>Lin HJ</w:t>
      </w:r>
      <w:r>
        <w:rPr>
          <w:rFonts w:ascii="Book Antiqua" w:hAnsi="Book Antiqua"/>
        </w:rPr>
        <w:t xml:space="preserve">, Hsieh YH, Fang WL, Huang KH, Li AF. Clinical manifestations in patients with alpha-fetoprotein-producing gastric cancer. </w:t>
      </w:r>
      <w:r>
        <w:rPr>
          <w:rFonts w:ascii="Book Antiqua" w:hAnsi="Book Antiqua"/>
          <w:i/>
          <w:iCs/>
        </w:rPr>
        <w:t>Curr Oncol</w:t>
      </w:r>
      <w:r>
        <w:rPr>
          <w:rFonts w:ascii="Book Antiqua" w:hAnsi="Book Antiqua"/>
        </w:rPr>
        <w:t xml:space="preserve"> 2014; </w:t>
      </w:r>
      <w:r>
        <w:rPr>
          <w:rFonts w:ascii="Book Antiqua" w:hAnsi="Book Antiqua"/>
          <w:b/>
          <w:bCs/>
        </w:rPr>
        <w:t>21</w:t>
      </w:r>
      <w:r>
        <w:rPr>
          <w:rFonts w:ascii="Book Antiqua" w:hAnsi="Book Antiqua"/>
        </w:rPr>
        <w:t>: e394-e399 [PMID: 24940098 DOI: 10.3747/co.21.1768]</w:t>
      </w:r>
    </w:p>
    <w:p>
      <w:pPr>
        <w:spacing w:line="360" w:lineRule="auto"/>
        <w:jc w:val="both"/>
        <w:rPr>
          <w:rFonts w:ascii="Book Antiqua" w:hAnsi="Book Antiqua"/>
        </w:rPr>
      </w:pPr>
      <w:r>
        <w:rPr>
          <w:rFonts w:ascii="Book Antiqua" w:hAnsi="Book Antiqua"/>
        </w:rPr>
        <w:t xml:space="preserve">7 </w:t>
      </w:r>
      <w:r>
        <w:rPr>
          <w:rFonts w:ascii="Book Antiqua" w:hAnsi="Book Antiqua"/>
          <w:b/>
          <w:bCs/>
        </w:rPr>
        <w:t>Liu X</w:t>
      </w:r>
      <w:r>
        <w:rPr>
          <w:rFonts w:ascii="Book Antiqua" w:hAnsi="Book Antiqua"/>
        </w:rPr>
        <w:t xml:space="preserve">, Cheng Y, Sheng W, Lu H, Xu Y, Long Z, Zhu H, Wang Y. Clinicopathologic features and prognostic factors in alpha-fetoprotein-producing gastric cancers: analysis of 104 cases. </w:t>
      </w:r>
      <w:r>
        <w:rPr>
          <w:rFonts w:ascii="Book Antiqua" w:hAnsi="Book Antiqua"/>
          <w:i/>
          <w:iCs/>
        </w:rPr>
        <w:t>J Surg Oncol</w:t>
      </w:r>
      <w:r>
        <w:rPr>
          <w:rFonts w:ascii="Book Antiqua" w:hAnsi="Book Antiqua"/>
        </w:rPr>
        <w:t xml:space="preserve"> 2010; </w:t>
      </w:r>
      <w:r>
        <w:rPr>
          <w:rFonts w:ascii="Book Antiqua" w:hAnsi="Book Antiqua"/>
          <w:b/>
          <w:bCs/>
        </w:rPr>
        <w:t>102</w:t>
      </w:r>
      <w:r>
        <w:rPr>
          <w:rFonts w:ascii="Book Antiqua" w:hAnsi="Book Antiqua"/>
        </w:rPr>
        <w:t>: 249-255 [PMID: 20740583 DOI: 10.1002/jso.21624]</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212121"/>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in accordance with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June 16,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23,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18,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koganti SB, United States; Kotelevets SM, Russia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Wang JJ</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999105" cy="2552700"/>
            <wp:effectExtent l="0" t="0" r="1270" b="0"/>
            <wp:docPr id="1" name="图片 1" descr="WJGS-15-235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5-2357-g001"/>
                    <pic:cNvPicPr>
                      <a:picLocks noChangeAspect="1"/>
                    </pic:cNvPicPr>
                  </pic:nvPicPr>
                  <pic:blipFill>
                    <a:blip r:embed="rId5"/>
                    <a:stretch>
                      <a:fillRect/>
                    </a:stretch>
                  </pic:blipFill>
                  <pic:spPr>
                    <a:xfrm>
                      <a:off x="0" y="0"/>
                      <a:ext cx="2999105" cy="25527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 Enhanced computed tomography examination of the abdomen.</w:t>
      </w:r>
      <w:r>
        <w:rPr>
          <w:rFonts w:ascii="Book Antiqua" w:hAnsi="Book Antiqua" w:eastAsia="Book Antiqua" w:cs="Book Antiqua"/>
        </w:rPr>
        <w:t xml:space="preserve"> Invasive lesion close to the pylorus can be seen, and the edges between the tumor and peripheral organs such as the pancreas and liver are still clear (arrow).</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Theme="minorEastAsia"/>
          <w:lang w:eastAsia="zh-CN"/>
        </w:rPr>
      </w:pPr>
      <w:bookmarkStart w:id="5" w:name="_GoBack"/>
      <w:r>
        <w:rPr>
          <w:rFonts w:hint="eastAsia" w:ascii="Book Antiqua" w:hAnsi="Book Antiqua" w:eastAsiaTheme="minorEastAsia"/>
          <w:lang w:eastAsia="zh-CN"/>
        </w:rPr>
        <w:drawing>
          <wp:inline distT="0" distB="0" distL="114300" distR="114300">
            <wp:extent cx="5942330" cy="2865755"/>
            <wp:effectExtent l="0" t="0" r="1270" b="1270"/>
            <wp:docPr id="2" name="图片 2" descr="WJGS-15-235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5-2357-g002"/>
                    <pic:cNvPicPr>
                      <a:picLocks noChangeAspect="1"/>
                    </pic:cNvPicPr>
                  </pic:nvPicPr>
                  <pic:blipFill>
                    <a:blip r:embed="rId6"/>
                    <a:stretch>
                      <a:fillRect/>
                    </a:stretch>
                  </pic:blipFill>
                  <pic:spPr>
                    <a:xfrm>
                      <a:off x="0" y="0"/>
                      <a:ext cx="5942330" cy="2865755"/>
                    </a:xfrm>
                    <a:prstGeom prst="rect">
                      <a:avLst/>
                    </a:prstGeom>
                  </pic:spPr>
                </pic:pic>
              </a:graphicData>
            </a:graphic>
          </wp:inline>
        </w:drawing>
      </w:r>
      <w:bookmarkEnd w:id="5"/>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2 </w:t>
      </w:r>
      <w:bookmarkStart w:id="3" w:name="_Hlk142672448"/>
      <w:r>
        <w:rPr>
          <w:rFonts w:ascii="Book Antiqua" w:hAnsi="Book Antiqua" w:eastAsia="Book Antiqua" w:cs="Book Antiqua"/>
          <w:b/>
          <w:bCs/>
        </w:rPr>
        <w:t>Histopathological analysis and immunohistochemical examination</w:t>
      </w:r>
      <w:bookmarkEnd w:id="3"/>
      <w:r>
        <w:rPr>
          <w:rFonts w:ascii="Book Antiqua" w:hAnsi="Book Antiqua" w:eastAsia="Book Antiqua" w:cs="Book Antiqua"/>
          <w:b/>
          <w:bCs/>
        </w:rPr>
        <w:t xml:space="preserve">. </w:t>
      </w:r>
      <w:r>
        <w:rPr>
          <w:rFonts w:ascii="Book Antiqua" w:hAnsi="Book Antiqua" w:eastAsia="Book Antiqua" w:cs="Book Antiqua"/>
        </w:rPr>
        <w:t>A and B:</w:t>
      </w:r>
      <w:r>
        <w:rPr>
          <w:rFonts w:ascii="Book Antiqua" w:hAnsi="Book Antiqua" w:eastAsia="Book Antiqua" w:cs="Book Antiqua"/>
          <w:b/>
          <w:bCs/>
        </w:rPr>
        <w:t xml:space="preserve"> </w:t>
      </w:r>
      <w:r>
        <w:rPr>
          <w:rFonts w:ascii="Book Antiqua" w:hAnsi="Book Antiqua" w:eastAsia="Book Antiqua" w:cs="Book Antiqua"/>
        </w:rPr>
        <w:t>Histopathological analysis and immunohistochemical examination of the resected specimen. Gastric adenosquamous carcinoma (20</w:t>
      </w:r>
      <w:bookmarkStart w:id="4" w:name="_Hlk106196977"/>
      <w:r>
        <w:rPr>
          <w:rFonts w:ascii="Book Antiqua" w:hAnsi="Book Antiqua" w:eastAsia="Book Antiqua" w:cs="Book Antiqua"/>
        </w:rPr>
        <w:t xml:space="preserve"> </w:t>
      </w:r>
      <w:r>
        <w:rPr>
          <w:rFonts w:ascii="Book Antiqua" w:hAnsi="Book Antiqua" w:cs="Tahoma"/>
          <w:bCs/>
          <w:color w:val="000000" w:themeColor="text1"/>
          <w:lang w:val="en-GB"/>
        </w:rPr>
        <w:t>×</w:t>
      </w:r>
      <w:bookmarkEnd w:id="4"/>
      <w:r>
        <w:rPr>
          <w:rFonts w:ascii="Book Antiqua" w:hAnsi="Book Antiqua" w:eastAsia="Book Antiqua" w:cs="Book Antiqua"/>
        </w:rPr>
        <w:t xml:space="preserve">), lymph node metastasis (20 </w:t>
      </w:r>
      <w:r>
        <w:rPr>
          <w:rFonts w:ascii="Book Antiqua" w:hAnsi="Book Antiqua" w:cs="Tahoma"/>
          <w:bCs/>
          <w:color w:val="000000" w:themeColor="text1"/>
          <w:lang w:val="en-GB"/>
        </w:rPr>
        <w:t>×</w:t>
      </w:r>
      <w:r>
        <w:rPr>
          <w:rFonts w:ascii="Book Antiqua" w:hAnsi="Book Antiqua" w:eastAsia="Book Antiqua" w:cs="Book Antiqua"/>
        </w:rPr>
        <w:t>); C:</w:t>
      </w:r>
      <w:r>
        <w:rPr>
          <w:rFonts w:ascii="Book Antiqua" w:hAnsi="Book Antiqua"/>
          <w:lang w:eastAsia="zh-CN"/>
        </w:rPr>
        <w:t xml:space="preserve"> </w:t>
      </w:r>
      <w:r>
        <w:rPr>
          <w:rFonts w:ascii="Book Antiqua" w:hAnsi="Book Antiqua" w:eastAsia="Book Antiqua" w:cs="Book Antiqua"/>
        </w:rPr>
        <w:t xml:space="preserve">Immunohistochemistry staining for alpha-fetoprotein (AFP) of the resected specimen. Immunohistochemistry staining for AFP (10 </w:t>
      </w:r>
      <w:r>
        <w:rPr>
          <w:rFonts w:ascii="Book Antiqua" w:hAnsi="Book Antiqua" w:cs="Tahoma"/>
          <w:bCs/>
          <w:color w:val="000000" w:themeColor="text1"/>
          <w:lang w:val="en-GB"/>
        </w:rPr>
        <w:t>×</w:t>
      </w:r>
      <w:r>
        <w:rPr>
          <w:rFonts w:ascii="Book Antiqua" w:hAnsi="Book Antiqua" w:eastAsia="Book Antiqua" w:cs="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23422F"/>
    <w:rsid w:val="002A4B34"/>
    <w:rsid w:val="003E42BF"/>
    <w:rsid w:val="00453748"/>
    <w:rsid w:val="005132DF"/>
    <w:rsid w:val="00567D05"/>
    <w:rsid w:val="00715215"/>
    <w:rsid w:val="00781766"/>
    <w:rsid w:val="0082363A"/>
    <w:rsid w:val="009156E7"/>
    <w:rsid w:val="00A77B3E"/>
    <w:rsid w:val="00AB7D25"/>
    <w:rsid w:val="00BF3D6A"/>
    <w:rsid w:val="00CA2A55"/>
    <w:rsid w:val="00D85E16"/>
    <w:rsid w:val="00E03B37"/>
    <w:rsid w:val="0B9A5CB6"/>
    <w:rsid w:val="30182773"/>
    <w:rsid w:val="3F24120D"/>
    <w:rsid w:val="40096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9">
    <w:name w:val="font31"/>
    <w:basedOn w:val="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2671</Words>
  <Characters>15225</Characters>
  <Lines>126</Lines>
  <Paragraphs>35</Paragraphs>
  <TotalTime>0</TotalTime>
  <ScaleCrop>false</ScaleCrop>
  <LinksUpToDate>false</LinksUpToDate>
  <CharactersWithSpaces>17861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2023-08-11T10:34:00Z</dcterms:created>
  <dc:creator>10436</dc:creator>
  <cp:lastModifiedBy>xzh</cp:lastModifiedBy>
  <dcterms:modified xsi:type="dcterms:W3CDTF">2023-10-26T13:34:12Z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A65FBE1E24514D1F863DA1AACED920CF_12</vt:lpwstr>
  </property>
</Properties>
</file>