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7203A"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10FBFB8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86340</w:t>
      </w:r>
    </w:p>
    <w:p w14:paraId="2DEE500D"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2A81D7EB" w14:textId="77777777" w:rsidR="002960F5" w:rsidRDefault="002960F5">
      <w:pPr>
        <w:adjustRightInd w:val="0"/>
        <w:snapToGrid w:val="0"/>
        <w:spacing w:line="360" w:lineRule="auto"/>
        <w:jc w:val="both"/>
        <w:rPr>
          <w:rFonts w:ascii="Book Antiqua" w:hAnsi="Book Antiqua" w:cs="Book Antiqua"/>
        </w:rPr>
      </w:pPr>
    </w:p>
    <w:p w14:paraId="52451A00"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Combination therapy with toripalimab and anlotinib in advanced esophageal squamous cell carcinoma: A case report</w:t>
      </w:r>
    </w:p>
    <w:p w14:paraId="400364B7" w14:textId="77777777" w:rsidR="002960F5" w:rsidRDefault="002960F5">
      <w:pPr>
        <w:adjustRightInd w:val="0"/>
        <w:snapToGrid w:val="0"/>
        <w:spacing w:line="360" w:lineRule="auto"/>
        <w:jc w:val="both"/>
        <w:rPr>
          <w:rFonts w:ascii="Book Antiqua" w:hAnsi="Book Antiqua" w:cs="Book Antiqua"/>
        </w:rPr>
      </w:pPr>
    </w:p>
    <w:p w14:paraId="5D3B9DD7"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Chen</w:t>
      </w:r>
      <w:r>
        <w:rPr>
          <w:rFonts w:ascii="Book Antiqua" w:eastAsia="宋体" w:hAnsi="Book Antiqua" w:cs="Book Antiqua"/>
          <w:color w:val="000000"/>
          <w:lang w:eastAsia="zh-CN"/>
        </w:rPr>
        <w:t xml:space="preserve"> SC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Combination therapy for ESCC</w:t>
      </w:r>
    </w:p>
    <w:p w14:paraId="53232762" w14:textId="77777777" w:rsidR="002960F5" w:rsidRDefault="002960F5">
      <w:pPr>
        <w:adjustRightInd w:val="0"/>
        <w:snapToGrid w:val="0"/>
        <w:spacing w:line="360" w:lineRule="auto"/>
        <w:jc w:val="both"/>
        <w:rPr>
          <w:rFonts w:ascii="Book Antiqua" w:hAnsi="Book Antiqua" w:cs="Book Antiqua"/>
        </w:rPr>
      </w:pPr>
    </w:p>
    <w:p w14:paraId="06AAB21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Si</w:t>
      </w:r>
      <w:r>
        <w:rPr>
          <w:rFonts w:ascii="Book Antiqua" w:eastAsia="宋体" w:hAnsi="Book Antiqua" w:cs="Book Antiqua"/>
          <w:color w:val="000000"/>
          <w:lang w:eastAsia="zh-CN"/>
        </w:rPr>
        <w:t>-C</w:t>
      </w:r>
      <w:r>
        <w:rPr>
          <w:rFonts w:ascii="Book Antiqua" w:eastAsia="Book Antiqua" w:hAnsi="Book Antiqua" w:cs="Book Antiqua"/>
          <w:color w:val="000000"/>
        </w:rPr>
        <w:t>ong Chen, Dong</w:t>
      </w:r>
      <w:r>
        <w:rPr>
          <w:rFonts w:ascii="Book Antiqua" w:eastAsia="宋体" w:hAnsi="Book Antiqua" w:cs="Book Antiqua"/>
          <w:color w:val="000000"/>
          <w:lang w:eastAsia="zh-CN"/>
        </w:rPr>
        <w:t>-H</w:t>
      </w:r>
      <w:r>
        <w:rPr>
          <w:rFonts w:ascii="Book Antiqua" w:eastAsia="Book Antiqua" w:hAnsi="Book Antiqua" w:cs="Book Antiqua"/>
          <w:color w:val="000000"/>
        </w:rPr>
        <w:t>eng Ma, Jia</w:t>
      </w:r>
      <w:r>
        <w:rPr>
          <w:rFonts w:ascii="Book Antiqua" w:eastAsia="宋体" w:hAnsi="Book Antiqua" w:cs="Book Antiqua"/>
          <w:color w:val="000000"/>
          <w:lang w:eastAsia="zh-CN"/>
        </w:rPr>
        <w:t>-J</w:t>
      </w:r>
      <w:r>
        <w:rPr>
          <w:rFonts w:ascii="Book Antiqua" w:eastAsia="Book Antiqua" w:hAnsi="Book Antiqua" w:cs="Book Antiqua"/>
          <w:color w:val="000000"/>
        </w:rPr>
        <w:t>ian Zhong</w:t>
      </w:r>
    </w:p>
    <w:p w14:paraId="5D8008BB" w14:textId="77777777" w:rsidR="002960F5" w:rsidRDefault="002960F5">
      <w:pPr>
        <w:adjustRightInd w:val="0"/>
        <w:snapToGrid w:val="0"/>
        <w:spacing w:line="360" w:lineRule="auto"/>
        <w:jc w:val="both"/>
        <w:rPr>
          <w:rFonts w:ascii="Book Antiqua" w:hAnsi="Book Antiqua" w:cs="Book Antiqua"/>
        </w:rPr>
      </w:pPr>
    </w:p>
    <w:p w14:paraId="13DBD3FD" w14:textId="77777777" w:rsidR="002960F5"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Si</w:t>
      </w:r>
      <w:r>
        <w:rPr>
          <w:rFonts w:ascii="Book Antiqua" w:eastAsia="宋体" w:hAnsi="Book Antiqua" w:cs="Book Antiqua"/>
          <w:b/>
          <w:bCs/>
          <w:color w:val="000000"/>
          <w:lang w:eastAsia="zh-CN"/>
        </w:rPr>
        <w:t>-C</w:t>
      </w:r>
      <w:r>
        <w:rPr>
          <w:rFonts w:ascii="Book Antiqua" w:eastAsia="Book Antiqua" w:hAnsi="Book Antiqua" w:cs="Book Antiqua"/>
          <w:b/>
          <w:bCs/>
          <w:color w:val="000000"/>
        </w:rPr>
        <w:t>ong Chen, Dong</w:t>
      </w:r>
      <w:r>
        <w:rPr>
          <w:rFonts w:ascii="Book Antiqua" w:eastAsia="宋体" w:hAnsi="Book Antiqua" w:cs="Book Antiqua"/>
          <w:b/>
          <w:bCs/>
          <w:color w:val="000000"/>
          <w:lang w:eastAsia="zh-CN"/>
        </w:rPr>
        <w:t>-H</w:t>
      </w:r>
      <w:r>
        <w:rPr>
          <w:rFonts w:ascii="Book Antiqua" w:eastAsia="Book Antiqua" w:hAnsi="Book Antiqua" w:cs="Book Antiqua"/>
          <w:b/>
          <w:bCs/>
          <w:color w:val="000000"/>
        </w:rPr>
        <w:t>eng Ma, Jia</w:t>
      </w:r>
      <w:r>
        <w:rPr>
          <w:rFonts w:ascii="Book Antiqua" w:eastAsia="宋体" w:hAnsi="Book Antiqua" w:cs="Book Antiqua"/>
          <w:b/>
          <w:bCs/>
          <w:color w:val="000000"/>
          <w:lang w:eastAsia="zh-CN"/>
        </w:rPr>
        <w:t>-J</w:t>
      </w:r>
      <w:r>
        <w:rPr>
          <w:rFonts w:ascii="Book Antiqua" w:eastAsia="Book Antiqua" w:hAnsi="Book Antiqua" w:cs="Book Antiqua"/>
          <w:b/>
          <w:bCs/>
          <w:color w:val="000000"/>
        </w:rPr>
        <w:t xml:space="preserve">ian Zhong, </w:t>
      </w:r>
      <w:r>
        <w:rPr>
          <w:rFonts w:ascii="Book Antiqua" w:eastAsia="Book Antiqua" w:hAnsi="Book Antiqua" w:cs="Book Antiqua"/>
          <w:color w:val="000000"/>
        </w:rPr>
        <w:t xml:space="preserve">Hepatobiliary and Pancreatic </w:t>
      </w:r>
      <w:r>
        <w:rPr>
          <w:rFonts w:ascii="Book Antiqua" w:eastAsia="宋体" w:hAnsi="Book Antiqua" w:cs="Book Antiqua" w:hint="eastAsia"/>
          <w:color w:val="000000"/>
          <w:lang w:eastAsia="zh-CN"/>
        </w:rPr>
        <w:t>S</w:t>
      </w:r>
      <w:r>
        <w:rPr>
          <w:rFonts w:ascii="Book Antiqua" w:eastAsia="Book Antiqua" w:hAnsi="Book Antiqua" w:cs="Book Antiqua"/>
          <w:color w:val="000000"/>
        </w:rPr>
        <w:t>urgery, Huazhong University of Science and Technology Union Shenzhen Hospital, Shenzhen 518052, Guangdong Province, China</w:t>
      </w:r>
    </w:p>
    <w:p w14:paraId="73605385" w14:textId="77777777" w:rsidR="002960F5" w:rsidRDefault="002960F5">
      <w:pPr>
        <w:adjustRightInd w:val="0"/>
        <w:snapToGrid w:val="0"/>
        <w:spacing w:line="360" w:lineRule="auto"/>
        <w:jc w:val="both"/>
        <w:rPr>
          <w:rFonts w:ascii="Book Antiqua" w:hAnsi="Book Antiqua" w:cs="Book Antiqua"/>
        </w:rPr>
      </w:pPr>
    </w:p>
    <w:p w14:paraId="51710183"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JJ contributed to manuscript writing and editing</w:t>
      </w:r>
      <w:r>
        <w:rPr>
          <w:rFonts w:ascii="Book Antiqua" w:eastAsia="宋体" w:hAnsi="Book Antiqua" w:cs="Book Antiqua"/>
          <w:color w:val="000000"/>
          <w:lang w:eastAsia="zh-CN"/>
        </w:rPr>
        <w:t>;</w:t>
      </w:r>
      <w:r>
        <w:rPr>
          <w:rFonts w:ascii="Book Antiqua" w:eastAsia="Book Antiqua" w:hAnsi="Book Antiqua" w:cs="Book Antiqua"/>
          <w:color w:val="000000"/>
        </w:rPr>
        <w:t xml:space="preserve"> Ma DH contributed to data collection; Chen SC contributed to conceptualization and supervision;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have read and approved the final manuscript.</w:t>
      </w:r>
    </w:p>
    <w:p w14:paraId="7753E384" w14:textId="77777777" w:rsidR="002960F5" w:rsidRDefault="002960F5">
      <w:pPr>
        <w:adjustRightInd w:val="0"/>
        <w:snapToGrid w:val="0"/>
        <w:spacing w:line="360" w:lineRule="auto"/>
        <w:jc w:val="both"/>
        <w:rPr>
          <w:rFonts w:ascii="Book Antiqua" w:hAnsi="Book Antiqua" w:cs="Book Antiqua"/>
        </w:rPr>
      </w:pPr>
    </w:p>
    <w:p w14:paraId="684C327E"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Corresponding author: Jia</w:t>
      </w:r>
      <w:r>
        <w:rPr>
          <w:rFonts w:ascii="Book Antiqua" w:eastAsia="宋体" w:hAnsi="Book Antiqua" w:cs="Book Antiqua"/>
          <w:b/>
          <w:bCs/>
          <w:color w:val="000000"/>
          <w:lang w:eastAsia="zh-CN"/>
        </w:rPr>
        <w:t>-J</w:t>
      </w:r>
      <w:r>
        <w:rPr>
          <w:rFonts w:ascii="Book Antiqua" w:eastAsia="Book Antiqua" w:hAnsi="Book Antiqua" w:cs="Book Antiqua"/>
          <w:b/>
          <w:bCs/>
          <w:color w:val="000000"/>
        </w:rPr>
        <w:t xml:space="preserve">ian Zhong, MM, Surgeon, </w:t>
      </w:r>
      <w:r>
        <w:rPr>
          <w:rFonts w:ascii="Book Antiqua" w:eastAsia="Book Antiqua" w:hAnsi="Book Antiqua" w:cs="Book Antiqua"/>
          <w:color w:val="000000"/>
        </w:rPr>
        <w:t xml:space="preserve">Hepatobiliary and Pancreatic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urgery, Huazhong University of Science and Technology Union Shenzhen Hospital,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89 Taoyuan Road, Nanshan District, Shenzhen 518052, Guangdong Province, China. jjzhong11@163.com</w:t>
      </w:r>
    </w:p>
    <w:p w14:paraId="4E39E935" w14:textId="77777777" w:rsidR="002960F5" w:rsidRDefault="002960F5">
      <w:pPr>
        <w:adjustRightInd w:val="0"/>
        <w:snapToGrid w:val="0"/>
        <w:spacing w:line="360" w:lineRule="auto"/>
        <w:jc w:val="both"/>
        <w:rPr>
          <w:rFonts w:ascii="Book Antiqua" w:hAnsi="Book Antiqua" w:cs="Book Antiqua"/>
        </w:rPr>
      </w:pPr>
    </w:p>
    <w:p w14:paraId="1EB48380"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June 13, 2023</w:t>
      </w:r>
    </w:p>
    <w:p w14:paraId="0E2598E6"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17, 2023</w:t>
      </w:r>
    </w:p>
    <w:p w14:paraId="53676966"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1249B1" w:rsidRPr="001249B1">
        <w:rPr>
          <w:rFonts w:ascii="Book Antiqua" w:eastAsia="Book Antiqua" w:hAnsi="Book Antiqua" w:cs="Book Antiqua"/>
        </w:rPr>
        <w:t>August 23, 2023</w:t>
      </w:r>
    </w:p>
    <w:p w14:paraId="41435096" w14:textId="2AAE3264"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EE66B1">
        <w:rPr>
          <w:rFonts w:ascii="Book Antiqua" w:hAnsi="Book Antiqua"/>
          <w:color w:val="000000"/>
          <w:shd w:val="clear" w:color="auto" w:fill="FFFFFF"/>
        </w:rPr>
        <w:t>September 26, 2023</w:t>
      </w:r>
    </w:p>
    <w:p w14:paraId="4E775EDC" w14:textId="77777777" w:rsidR="002960F5" w:rsidRDefault="002960F5">
      <w:pPr>
        <w:adjustRightInd w:val="0"/>
        <w:snapToGrid w:val="0"/>
        <w:spacing w:line="360" w:lineRule="auto"/>
        <w:jc w:val="both"/>
        <w:rPr>
          <w:rFonts w:ascii="Book Antiqua" w:hAnsi="Book Antiqua" w:cs="Book Antiqua"/>
        </w:rPr>
        <w:sectPr w:rsidR="002960F5">
          <w:footerReference w:type="default" r:id="rId6"/>
          <w:pgSz w:w="12240" w:h="15840"/>
          <w:pgMar w:top="1440" w:right="1440" w:bottom="1440" w:left="1440" w:header="720" w:footer="720" w:gutter="0"/>
          <w:cols w:space="720"/>
          <w:docGrid w:linePitch="360"/>
        </w:sectPr>
      </w:pPr>
    </w:p>
    <w:p w14:paraId="547F0BFE"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8FBE298"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BACKGROUND</w:t>
      </w:r>
    </w:p>
    <w:p w14:paraId="6230BA75" w14:textId="77777777" w:rsidR="002960F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Toripalimab and anlotinib have shown good response in esophageal cancer, with high objective response rate and progression free survival. Thus, they have been approved as second-line or above-line therapy for advanced or unresectable esophageal carcinoma. Combination of these two drugs may have synergistic effects, but evidence of which is lacking.</w:t>
      </w:r>
    </w:p>
    <w:p w14:paraId="026E0129" w14:textId="77777777" w:rsidR="002960F5" w:rsidRDefault="002960F5">
      <w:pPr>
        <w:adjustRightInd w:val="0"/>
        <w:snapToGrid w:val="0"/>
        <w:spacing w:line="360" w:lineRule="auto"/>
        <w:jc w:val="both"/>
        <w:rPr>
          <w:rFonts w:ascii="Book Antiqua" w:hAnsi="Book Antiqua" w:cs="Book Antiqua"/>
        </w:rPr>
      </w:pPr>
    </w:p>
    <w:p w14:paraId="512F2F86"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1A3F1947"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Here, we report on a 73-year-old male, newly diagnosed with advanced esophageal squamous cell carcinoma (ESCC), who received a combination of toripalimab and anlotinib. Complete response was achieved after treatment for 3 mo and remission was maintained up to 14 mo.</w:t>
      </w:r>
    </w:p>
    <w:p w14:paraId="01B96B00" w14:textId="77777777" w:rsidR="002960F5" w:rsidRDefault="002960F5">
      <w:pPr>
        <w:adjustRightInd w:val="0"/>
        <w:snapToGrid w:val="0"/>
        <w:spacing w:line="360" w:lineRule="auto"/>
        <w:jc w:val="both"/>
        <w:rPr>
          <w:rFonts w:ascii="Book Antiqua" w:hAnsi="Book Antiqua" w:cs="Book Antiqua"/>
        </w:rPr>
      </w:pPr>
    </w:p>
    <w:p w14:paraId="414A86F0"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632777E9"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The combination therapy of toripalimab and anlotinib is a promising treatment for unresectable ESCC and related clinical trials are warranted.</w:t>
      </w:r>
    </w:p>
    <w:p w14:paraId="7C300480" w14:textId="77777777" w:rsidR="002960F5" w:rsidRDefault="002960F5">
      <w:pPr>
        <w:adjustRightInd w:val="0"/>
        <w:snapToGrid w:val="0"/>
        <w:spacing w:line="360" w:lineRule="auto"/>
        <w:jc w:val="both"/>
        <w:rPr>
          <w:rFonts w:ascii="Book Antiqua" w:hAnsi="Book Antiqua" w:cs="Book Antiqua"/>
        </w:rPr>
      </w:pPr>
    </w:p>
    <w:p w14:paraId="5929A10D"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Key Words:</w:t>
      </w:r>
      <w:r>
        <w:rPr>
          <w:rFonts w:ascii="Book Antiqua" w:eastAsia="Book Antiqua" w:hAnsi="Book Antiqua" w:cs="Book Antiqua"/>
        </w:rPr>
        <w:t xml:space="preserve"> Esophageal squamous cell carcinoma; Toripalimab; Anlotinib; Complete response; Case report</w:t>
      </w:r>
    </w:p>
    <w:p w14:paraId="78B47CB1" w14:textId="77777777" w:rsidR="00D13F5A" w:rsidRPr="006D4EDA" w:rsidRDefault="00D13F5A" w:rsidP="00D13F5A">
      <w:pPr>
        <w:spacing w:line="360" w:lineRule="auto"/>
        <w:rPr>
          <w:rFonts w:ascii="Book Antiqua" w:eastAsia="Book Antiqua" w:hAnsi="Book Antiqua" w:cs="Book Antiqua"/>
        </w:rPr>
      </w:pPr>
    </w:p>
    <w:p w14:paraId="3F2092F4" w14:textId="77777777" w:rsidR="00D13F5A" w:rsidRPr="006D4EDA" w:rsidRDefault="00D13F5A" w:rsidP="00D13F5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FB26FD5" w14:textId="77777777" w:rsidR="00D13F5A" w:rsidRPr="006D4EDA" w:rsidRDefault="00D13F5A" w:rsidP="00D13F5A">
      <w:pPr>
        <w:spacing w:line="360" w:lineRule="auto"/>
        <w:rPr>
          <w:rFonts w:ascii="Book Antiqua" w:eastAsia="Book Antiqua" w:hAnsi="Book Antiqua" w:cs="Book Antiqua"/>
        </w:rPr>
      </w:pPr>
    </w:p>
    <w:p w14:paraId="20AC945A" w14:textId="496B0AB0" w:rsidR="00D13F5A" w:rsidRDefault="00D13F5A" w:rsidP="00D13F5A">
      <w:pPr>
        <w:spacing w:line="360" w:lineRule="auto"/>
        <w:jc w:val="both"/>
        <w:rPr>
          <w:rFonts w:ascii="Book Antiqua" w:eastAsia="Book Antiqua" w:hAnsi="Book Antiqua" w:cs="Book Antiqua"/>
        </w:rPr>
      </w:pPr>
      <w:r w:rsidRPr="00D13F5A">
        <w:rPr>
          <w:rFonts w:ascii="Book Antiqua" w:eastAsia="Book Antiqua" w:hAnsi="Book Antiqua" w:cs="Book Antiqua"/>
          <w:b/>
          <w:bCs/>
          <w:color w:val="000000"/>
        </w:rPr>
        <w:t>Citation</w:t>
      </w:r>
      <w:r>
        <w:rPr>
          <w:rFonts w:ascii="Book Antiqua" w:eastAsia="Book Antiqua" w:hAnsi="Book Antiqua" w:cs="Book Antiqua"/>
          <w:color w:val="000000"/>
        </w:rPr>
        <w:t>: Chen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w:t>
      </w:r>
      <w:r>
        <w:rPr>
          <w:rFonts w:ascii="Book Antiqua" w:eastAsia="宋体" w:hAnsi="Book Antiqua" w:cs="Book Antiqua"/>
          <w:color w:val="000000"/>
          <w:lang w:eastAsia="zh-CN"/>
        </w:rPr>
        <w:t>C</w:t>
      </w:r>
      <w:r>
        <w:rPr>
          <w:rFonts w:ascii="Book Antiqua" w:eastAsia="Book Antiqua" w:hAnsi="Book Antiqua" w:cs="Book Antiqua"/>
          <w:color w:val="000000"/>
        </w:rPr>
        <w:t>, 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w:t>
      </w:r>
      <w:r>
        <w:rPr>
          <w:rFonts w:ascii="Book Antiqua" w:eastAsia="宋体" w:hAnsi="Book Antiqua" w:cs="Book Antiqua"/>
          <w:color w:val="000000"/>
          <w:lang w:eastAsia="zh-CN"/>
        </w:rPr>
        <w:t>H</w:t>
      </w:r>
      <w:r>
        <w:rPr>
          <w:rFonts w:ascii="Book Antiqua" w:eastAsia="Book Antiqua" w:hAnsi="Book Antiqua" w:cs="Book Antiqua"/>
          <w:color w:val="000000"/>
        </w:rPr>
        <w:t>, Zhong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w:t>
      </w:r>
      <w:r>
        <w:rPr>
          <w:rFonts w:ascii="Book Antiqua" w:eastAsia="宋体" w:hAnsi="Book Antiqua" w:cs="Book Antiqua"/>
          <w:color w:val="000000"/>
          <w:lang w:eastAsia="zh-CN"/>
        </w:rPr>
        <w:t>J</w:t>
      </w:r>
      <w:r>
        <w:rPr>
          <w:rFonts w:ascii="Book Antiqua" w:eastAsia="Book Antiqua" w:hAnsi="Book Antiqua" w:cs="Book Antiqua"/>
        </w:rPr>
        <w:t xml:space="preserve">. Combination therapy with toripalimab and anlotinib in advanced esophageal squamous cell carcinoma: A case report. </w:t>
      </w:r>
      <w:r>
        <w:rPr>
          <w:rFonts w:ascii="Book Antiqua" w:eastAsia="Book Antiqua" w:hAnsi="Book Antiqua" w:cs="Book Antiqua"/>
          <w:i/>
          <w:iCs/>
        </w:rPr>
        <w:t>World J Clin Cases</w:t>
      </w:r>
      <w:r>
        <w:rPr>
          <w:rFonts w:ascii="Book Antiqua" w:eastAsia="Book Antiqua" w:hAnsi="Book Antiqua" w:cs="Book Antiqua"/>
        </w:rPr>
        <w:t xml:space="preserve"> </w:t>
      </w:r>
      <w:r w:rsidRPr="00551EAE">
        <w:rPr>
          <w:rFonts w:ascii="Book Antiqua" w:eastAsia="Book Antiqua" w:hAnsi="Book Antiqua" w:cs="Book Antiqua"/>
        </w:rPr>
        <w:t xml:space="preserve">2023; </w:t>
      </w:r>
      <w:r w:rsidRPr="00B2438C">
        <w:rPr>
          <w:rFonts w:ascii="Book Antiqua" w:eastAsia="Book Antiqua" w:hAnsi="Book Antiqua" w:cs="Book Antiqua"/>
        </w:rPr>
        <w:t xml:space="preserve">11(27): </w:t>
      </w:r>
      <w:r w:rsidRPr="00A3555F">
        <w:rPr>
          <w:rFonts w:ascii="Book Antiqua" w:eastAsia="等线" w:hAnsi="Book Antiqua" w:cs="宋体"/>
          <w:color w:val="000000"/>
        </w:rPr>
        <w:t>6579-6586</w:t>
      </w:r>
    </w:p>
    <w:p w14:paraId="17C4107F" w14:textId="5FF5BC95" w:rsidR="00D13F5A" w:rsidRDefault="00D13F5A" w:rsidP="00D13F5A">
      <w:pPr>
        <w:spacing w:line="360" w:lineRule="auto"/>
        <w:jc w:val="both"/>
        <w:rPr>
          <w:rFonts w:ascii="Book Antiqua" w:eastAsia="Book Antiqua" w:hAnsi="Book Antiqua" w:cs="Book Antiqua"/>
        </w:rPr>
      </w:pPr>
      <w:r w:rsidRPr="00E96235">
        <w:rPr>
          <w:rFonts w:ascii="Book Antiqua" w:eastAsia="Book Antiqua" w:hAnsi="Book Antiqua" w:cs="Book Antiqua"/>
          <w:b/>
          <w:bCs/>
        </w:rPr>
        <w:t>URL</w:t>
      </w:r>
      <w:r w:rsidRPr="00B2438C">
        <w:rPr>
          <w:rFonts w:ascii="Book Antiqua" w:eastAsia="Book Antiqua" w:hAnsi="Book Antiqua" w:cs="Book Antiqua"/>
        </w:rPr>
        <w:t>: https://www.wjgnet.com/2307-8960/full/v11/i27/</w:t>
      </w:r>
      <w:r w:rsidRPr="00A3555F">
        <w:rPr>
          <w:rFonts w:ascii="Book Antiqua" w:eastAsia="等线" w:hAnsi="Book Antiqua" w:cs="宋体"/>
          <w:color w:val="000000"/>
        </w:rPr>
        <w:t>6579</w:t>
      </w:r>
      <w:r w:rsidRPr="00B2438C">
        <w:rPr>
          <w:rFonts w:ascii="Book Antiqua" w:eastAsia="Book Antiqua" w:hAnsi="Book Antiqua" w:cs="Book Antiqua"/>
        </w:rPr>
        <w:t>.htm</w:t>
      </w:r>
    </w:p>
    <w:p w14:paraId="02E5F67B" w14:textId="37A32DEC" w:rsidR="002960F5" w:rsidRDefault="00D13F5A" w:rsidP="00D13F5A">
      <w:pPr>
        <w:adjustRightInd w:val="0"/>
        <w:snapToGrid w:val="0"/>
        <w:spacing w:line="360" w:lineRule="auto"/>
        <w:jc w:val="both"/>
        <w:rPr>
          <w:rFonts w:ascii="Book Antiqua" w:eastAsia="Book Antiqua" w:hAnsi="Book Antiqua" w:cs="Book Antiqua"/>
        </w:rPr>
      </w:pPr>
      <w:r w:rsidRPr="00E96235">
        <w:rPr>
          <w:rFonts w:ascii="Book Antiqua" w:eastAsia="Book Antiqua" w:hAnsi="Book Antiqua" w:cs="Book Antiqua"/>
          <w:b/>
          <w:bCs/>
        </w:rPr>
        <w:t>DOI</w:t>
      </w:r>
      <w:r w:rsidRPr="00B2438C">
        <w:rPr>
          <w:rFonts w:ascii="Book Antiqua" w:eastAsia="Book Antiqua" w:hAnsi="Book Antiqua" w:cs="Book Antiqua"/>
        </w:rPr>
        <w:t>: https://dx.doi.org/10.12998/wjcc.v11.i27.</w:t>
      </w:r>
      <w:r w:rsidRPr="00A3555F">
        <w:rPr>
          <w:rFonts w:ascii="Book Antiqua" w:eastAsia="等线" w:hAnsi="Book Antiqua" w:cs="宋体"/>
          <w:color w:val="000000"/>
        </w:rPr>
        <w:t>6579</w:t>
      </w:r>
    </w:p>
    <w:p w14:paraId="4B2D8E8C" w14:textId="77777777" w:rsidR="002960F5" w:rsidRDefault="002960F5">
      <w:pPr>
        <w:adjustRightInd w:val="0"/>
        <w:snapToGrid w:val="0"/>
        <w:spacing w:line="360" w:lineRule="auto"/>
        <w:jc w:val="both"/>
        <w:rPr>
          <w:rFonts w:ascii="Book Antiqua" w:eastAsia="Book Antiqua" w:hAnsi="Book Antiqua" w:cs="Book Antiqua"/>
        </w:rPr>
      </w:pPr>
    </w:p>
    <w:p w14:paraId="2DC25DBD" w14:textId="77777777" w:rsidR="002960F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Toripalimab</w:t>
      </w:r>
      <w:r>
        <w:rPr>
          <w:rFonts w:ascii="Book Antiqua" w:eastAsia="宋体" w:hAnsi="Book Antiqua" w:cs="Book Antiqua" w:hint="eastAsia"/>
          <w:lang w:eastAsia="zh-CN"/>
        </w:rPr>
        <w:t xml:space="preserve"> </w:t>
      </w:r>
      <w:r>
        <w:rPr>
          <w:rFonts w:ascii="Book Antiqua" w:eastAsia="Book Antiqua" w:hAnsi="Book Antiqua" w:cs="Book Antiqua"/>
        </w:rPr>
        <w:t>and anlotinib</w:t>
      </w:r>
      <w:r>
        <w:rPr>
          <w:rFonts w:ascii="Book Antiqua" w:eastAsia="宋体" w:hAnsi="Book Antiqua" w:cs="Book Antiqua" w:hint="eastAsia"/>
          <w:lang w:eastAsia="zh-CN"/>
        </w:rPr>
        <w:t xml:space="preserve"> </w:t>
      </w:r>
      <w:r>
        <w:rPr>
          <w:rFonts w:ascii="Book Antiqua" w:eastAsia="Book Antiqua" w:hAnsi="Book Antiqua" w:cs="Book Antiqua"/>
        </w:rPr>
        <w:t>have emerged as second</w:t>
      </w:r>
      <w:r>
        <w:rPr>
          <w:rFonts w:ascii="Book Antiqua" w:eastAsia="宋体" w:hAnsi="Book Antiqua" w:cs="Book Antiqua" w:hint="eastAsia"/>
          <w:lang w:eastAsia="zh-CN"/>
        </w:rPr>
        <w:t>-</w:t>
      </w:r>
      <w:r>
        <w:rPr>
          <w:rFonts w:ascii="Book Antiqua" w:eastAsia="Book Antiqua" w:hAnsi="Book Antiqua" w:cs="Book Antiqua"/>
        </w:rPr>
        <w:t>line or above-line treatment options for advanced esophageal cancer. However,</w:t>
      </w:r>
      <w:r>
        <w:rPr>
          <w:rFonts w:ascii="Book Antiqua" w:eastAsia="宋体" w:hAnsi="Book Antiqua" w:cs="Book Antiqua" w:hint="eastAsia"/>
          <w:lang w:eastAsia="zh-CN"/>
        </w:rPr>
        <w:t xml:space="preserve"> </w:t>
      </w:r>
      <w:r>
        <w:rPr>
          <w:rFonts w:ascii="Book Antiqua" w:eastAsia="Book Antiqua" w:hAnsi="Book Antiqua" w:cs="Book Antiqua"/>
        </w:rPr>
        <w:t>their objective remission rates and progression-free survival are low when used alone. We report a case of complete response after combination therapy of toripalimab and anlotinib in a patient newly diagnosed with advanced esophageal squamous cell carcinoma. The patient was in remission for 14 mo.</w:t>
      </w:r>
      <w:r>
        <w:rPr>
          <w:rFonts w:ascii="Book Antiqua" w:eastAsia="宋体" w:hAnsi="Book Antiqua" w:cs="Book Antiqua" w:hint="eastAsia"/>
          <w:lang w:eastAsia="zh-CN"/>
        </w:rPr>
        <w:t xml:space="preserve"> </w:t>
      </w:r>
      <w:r>
        <w:rPr>
          <w:rFonts w:ascii="Book Antiqua" w:eastAsia="Book Antiqua" w:hAnsi="Book Antiqua" w:cs="Book Antiqua"/>
        </w:rPr>
        <w:t>Hence, toripalimab combined with anlotinib may be a new and effective treatment for advanced unresectable esophageal squamous cell cancer.</w:t>
      </w:r>
    </w:p>
    <w:p w14:paraId="1492F414" w14:textId="77777777" w:rsidR="002960F5" w:rsidRDefault="002960F5">
      <w:pPr>
        <w:adjustRightInd w:val="0"/>
        <w:snapToGrid w:val="0"/>
        <w:spacing w:line="360" w:lineRule="auto"/>
        <w:jc w:val="both"/>
        <w:rPr>
          <w:rFonts w:ascii="Book Antiqua" w:hAnsi="Book Antiqua" w:cs="Book Antiqua"/>
        </w:rPr>
      </w:pPr>
    </w:p>
    <w:p w14:paraId="64AA63A1" w14:textId="77777777" w:rsidR="002960F5" w:rsidRDefault="00000000">
      <w:pPr>
        <w:adjustRightInd w:val="0"/>
        <w:snapToGrid w:val="0"/>
        <w:spacing w:line="360" w:lineRule="auto"/>
        <w:jc w:val="both"/>
        <w:rPr>
          <w:rFonts w:ascii="Book Antiqua" w:hAnsi="Book Antiqua" w:cs="Book Antiqua"/>
          <w:u w:val="single"/>
        </w:rPr>
      </w:pPr>
      <w:r>
        <w:rPr>
          <w:rFonts w:ascii="Book Antiqua" w:eastAsia="Book Antiqua" w:hAnsi="Book Antiqua" w:cs="Book Antiqua"/>
          <w:b/>
          <w:caps/>
          <w:color w:val="000000"/>
          <w:u w:val="single"/>
        </w:rPr>
        <w:t>INTRODUCTION</w:t>
      </w:r>
    </w:p>
    <w:p w14:paraId="77BCF273"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Esophageal cancers are diagnosed at an advanced stage in several cases,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most patients with radical operations are prone to relapse and metastasis</w:t>
      </w:r>
      <w:r>
        <w:rPr>
          <w:rFonts w:ascii="Book Antiqua" w:eastAsia="Book Antiqua" w:hAnsi="Book Antiqua" w:cs="Book Antiqua"/>
          <w:color w:val="000000"/>
          <w:vertAlign w:val="superscript"/>
        </w:rPr>
        <w:t>[1]</w:t>
      </w:r>
      <w:r>
        <w:rPr>
          <w:rFonts w:ascii="Book Antiqua" w:eastAsia="Book Antiqua" w:hAnsi="Book Antiqua" w:cs="Book Antiqua"/>
          <w:color w:val="000000"/>
        </w:rPr>
        <w:t>. For unresectable, advanced, or metastatic esophageal cancer, platinum-based chemotherapy regimens have been recommended globally for decades. The median survival duration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on chemotherapy is less than 1 year</w:t>
      </w:r>
      <w:r>
        <w:rPr>
          <w:rFonts w:ascii="Book Antiqua" w:eastAsia="Book Antiqua" w:hAnsi="Book Antiqua" w:cs="Book Antiqua"/>
          <w:color w:val="000000"/>
          <w:vertAlign w:val="superscript"/>
        </w:rPr>
        <w:t>[1]</w:t>
      </w:r>
      <w:r>
        <w:rPr>
          <w:rFonts w:ascii="Book Antiqua" w:eastAsia="Book Antiqua" w:hAnsi="Book Antiqua" w:cs="Book Antiqua"/>
          <w:color w:val="000000"/>
        </w:rPr>
        <w:t>. Compared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poor survival outcomes of chemotherapy, immune checkpoint inhibitors and tyrosine kinase inhibitors have shown promising result. These newer therapies are now being used widely and have resulted in longer overall survival, longer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progression-free survival (PFS), and lasting objective response rates</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26AE1340" w14:textId="77777777" w:rsidR="002960F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Toripalimab exhibited remarkable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anti-tumor activity in a variety of tumor types such as nasopharyngeal carcinoma, malignant melanoma, esophageal squamous cell carcinoma (ESCC), and other tumors by inhibiting the </w:t>
      </w:r>
      <w:r>
        <w:rPr>
          <w:rFonts w:ascii="Book Antiqua" w:eastAsia="宋体" w:hAnsi="Book Antiqua" w:cs="Book Antiqua" w:hint="eastAsia"/>
          <w:color w:val="000000"/>
          <w:lang w:eastAsia="zh-CN"/>
        </w:rPr>
        <w:t>p</w:t>
      </w:r>
      <w:r>
        <w:rPr>
          <w:rFonts w:ascii="Book Antiqua" w:eastAsia="Book Antiqua" w:hAnsi="Book Antiqua" w:cs="Book Antiqua"/>
          <w:color w:val="000000"/>
        </w:rPr>
        <w:t>rogrammed cell death protein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PD-1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/programmed death ligand-1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PD-L1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pathway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promoting apoptosis</w:t>
      </w:r>
      <w:r>
        <w:rPr>
          <w:rFonts w:ascii="Book Antiqua" w:eastAsia="Book Antiqua" w:hAnsi="Book Antiqua" w:cs="Book Antiqua"/>
          <w:color w:val="000000"/>
          <w:vertAlign w:val="superscript"/>
        </w:rPr>
        <w:t>[2]</w:t>
      </w:r>
      <w:r>
        <w:rPr>
          <w:rFonts w:ascii="Book Antiqua" w:eastAsia="Book Antiqua" w:hAnsi="Book Antiqua" w:cs="Book Antiqua"/>
          <w:color w:val="000000"/>
        </w:rPr>
        <w:t>. Anlotinib is a new, oral, small molecule and multi-targeting tyrosine kinase inhibitor. It targets vascular endothelial growth factor receptor (VEGFR), fibroblast growth factor receptor (FGFR), and platelet-derived growth factor receptors (PDGFR), thereby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inhibiting tumor angiogenesis and cell proliferation</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7F254042" w14:textId="77777777" w:rsidR="002960F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relevant studies on combined therapy with toripalimab and anlotinib in advanced ESCC are limited</w:t>
      </w:r>
      <w:r>
        <w:rPr>
          <w:rFonts w:ascii="Book Antiqua" w:eastAsia="Book Antiqua" w:hAnsi="Book Antiqua" w:cs="Book Antiqua"/>
          <w:color w:val="000000"/>
          <w:vertAlign w:val="superscript"/>
        </w:rPr>
        <w:t>[4-6]</w:t>
      </w:r>
      <w:r>
        <w:rPr>
          <w:rFonts w:ascii="Book Antiqua" w:eastAsia="Book Antiqua" w:hAnsi="Book Antiqua" w:cs="Book Antiqua"/>
          <w:color w:val="000000"/>
        </w:rPr>
        <w:t>. Here we report a patient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newly diagnosed ESCC,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who </w:t>
      </w:r>
      <w:r>
        <w:rPr>
          <w:rFonts w:ascii="Book Antiqua" w:eastAsia="Book Antiqua" w:hAnsi="Book Antiqua" w:cs="Book Antiqua"/>
          <w:color w:val="000000"/>
        </w:rPr>
        <w:lastRenderedPageBreak/>
        <w:t>achieved complete response (CR) after 5 cycles of combination therapy with toripalimab and anlotinib and was in remission for up to 14 mo.</w:t>
      </w:r>
    </w:p>
    <w:p w14:paraId="531F2527" w14:textId="77777777" w:rsidR="002960F5" w:rsidRDefault="002960F5">
      <w:pPr>
        <w:adjustRightInd w:val="0"/>
        <w:snapToGrid w:val="0"/>
        <w:spacing w:line="360" w:lineRule="auto"/>
        <w:jc w:val="both"/>
        <w:rPr>
          <w:rFonts w:ascii="Book Antiqua" w:eastAsia="Book Antiqua" w:hAnsi="Book Antiqua" w:cs="Book Antiqua"/>
          <w:color w:val="000000"/>
        </w:rPr>
      </w:pPr>
    </w:p>
    <w:p w14:paraId="6CE128B3" w14:textId="77777777" w:rsidR="002960F5" w:rsidRDefault="00000000">
      <w:pPr>
        <w:adjustRightInd w:val="0"/>
        <w:snapToGrid w:val="0"/>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CASE PRESENTATION</w:t>
      </w:r>
    </w:p>
    <w:p w14:paraId="14E34B93" w14:textId="77777777" w:rsidR="002960F5"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Chief complaints</w:t>
      </w:r>
    </w:p>
    <w:p w14:paraId="6ED6F348"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72-year-old man complaining of pain in the upper abdomen for a period of 1 mo was admitted to the hospital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February 11, 2022.</w:t>
      </w:r>
    </w:p>
    <w:p w14:paraId="474009CA" w14:textId="77777777" w:rsidR="002960F5" w:rsidRDefault="002960F5">
      <w:pPr>
        <w:adjustRightInd w:val="0"/>
        <w:snapToGrid w:val="0"/>
        <w:spacing w:line="360" w:lineRule="auto"/>
        <w:jc w:val="both"/>
        <w:rPr>
          <w:rFonts w:ascii="Book Antiqua" w:hAnsi="Book Antiqua" w:cs="Book Antiqua"/>
        </w:rPr>
      </w:pPr>
    </w:p>
    <w:p w14:paraId="7EC4754D"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51D512E4"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clinical symptoms of vague upper abdominal pain started 1 mo ago with no apparent cause.</w:t>
      </w:r>
    </w:p>
    <w:p w14:paraId="7642A1D9" w14:textId="77777777" w:rsidR="002960F5" w:rsidRDefault="002960F5">
      <w:pPr>
        <w:adjustRightInd w:val="0"/>
        <w:snapToGrid w:val="0"/>
        <w:spacing w:line="360" w:lineRule="auto"/>
        <w:jc w:val="both"/>
        <w:rPr>
          <w:rFonts w:ascii="Book Antiqua" w:hAnsi="Book Antiqua" w:cs="Book Antiqua"/>
        </w:rPr>
      </w:pPr>
    </w:p>
    <w:p w14:paraId="7547E6A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6269B44B"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was previously in good health.</w:t>
      </w:r>
    </w:p>
    <w:p w14:paraId="0C3690AB" w14:textId="77777777" w:rsidR="002960F5" w:rsidRDefault="002960F5">
      <w:pPr>
        <w:adjustRightInd w:val="0"/>
        <w:snapToGrid w:val="0"/>
        <w:spacing w:line="360" w:lineRule="auto"/>
        <w:jc w:val="both"/>
        <w:rPr>
          <w:rFonts w:ascii="Book Antiqua" w:hAnsi="Book Antiqua" w:cs="Book Antiqua"/>
        </w:rPr>
      </w:pPr>
    </w:p>
    <w:p w14:paraId="2458A76C"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781B8FA8"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had no personal or</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family history of cancer or liver diseases.</w:t>
      </w:r>
    </w:p>
    <w:p w14:paraId="54630D6D" w14:textId="77777777" w:rsidR="002960F5" w:rsidRDefault="002960F5">
      <w:pPr>
        <w:adjustRightInd w:val="0"/>
        <w:snapToGrid w:val="0"/>
        <w:spacing w:line="360" w:lineRule="auto"/>
        <w:jc w:val="both"/>
        <w:rPr>
          <w:rFonts w:ascii="Book Antiqua" w:hAnsi="Book Antiqua" w:cs="Book Antiqua"/>
        </w:rPr>
      </w:pPr>
    </w:p>
    <w:p w14:paraId="7706EFED"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602F556D"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abdomen was flat and tender, with no pressure or rebound pain throughout the abdomen. No abdominal masses were detected through palpation.</w:t>
      </w:r>
    </w:p>
    <w:p w14:paraId="12ED1A08" w14:textId="77777777" w:rsidR="002960F5" w:rsidRDefault="002960F5">
      <w:pPr>
        <w:adjustRightInd w:val="0"/>
        <w:snapToGrid w:val="0"/>
        <w:spacing w:line="360" w:lineRule="auto"/>
        <w:jc w:val="both"/>
        <w:rPr>
          <w:rFonts w:ascii="Book Antiqua" w:hAnsi="Book Antiqua" w:cs="Book Antiqua"/>
        </w:rPr>
      </w:pPr>
    </w:p>
    <w:p w14:paraId="2D0C59C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4DDE16D1"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Tumor markers suggested increased levels of cytokeratin</w:t>
      </w:r>
      <w:r>
        <w:rPr>
          <w:rFonts w:ascii="Book Antiqua" w:eastAsia="宋体" w:hAnsi="Book Antiqua" w:cs="Book Antiqua" w:hint="eastAsia"/>
          <w:color w:val="000000"/>
          <w:lang w:eastAsia="zh-CN"/>
        </w:rPr>
        <w:t>-</w:t>
      </w:r>
      <w:r>
        <w:rPr>
          <w:rFonts w:ascii="Book Antiqua" w:eastAsia="Book Antiqua" w:hAnsi="Book Antiqua" w:cs="Book Antiqua"/>
          <w:color w:val="000000"/>
        </w:rPr>
        <w:t>19</w:t>
      </w:r>
      <w:r>
        <w:rPr>
          <w:rFonts w:ascii="Book Antiqua" w:eastAsia="宋体" w:hAnsi="Book Antiqua" w:cs="Book Antiqua" w:hint="eastAsia"/>
          <w:color w:val="000000"/>
          <w:lang w:eastAsia="zh-CN"/>
        </w:rPr>
        <w:t>-</w:t>
      </w:r>
      <w:r>
        <w:rPr>
          <w:rFonts w:ascii="Book Antiqua" w:eastAsia="Book Antiqua" w:hAnsi="Book Antiqua" w:cs="Book Antiqua"/>
          <w:color w:val="000000"/>
        </w:rPr>
        <w:t>fragment (42.3 ng/mL), squamous cell carcinoma antigen (4.6 ng/mL), carbohydrate antigen 125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(168.3 U/mL), and carbohydrate antigen 199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(44.4 U/mL).</w:t>
      </w:r>
    </w:p>
    <w:p w14:paraId="5C1E27BE" w14:textId="77777777" w:rsidR="002960F5" w:rsidRDefault="002960F5">
      <w:pPr>
        <w:adjustRightInd w:val="0"/>
        <w:snapToGrid w:val="0"/>
        <w:spacing w:line="360" w:lineRule="auto"/>
        <w:jc w:val="both"/>
        <w:rPr>
          <w:rFonts w:ascii="Book Antiqua" w:hAnsi="Book Antiqua" w:cs="Book Antiqua"/>
        </w:rPr>
      </w:pPr>
    </w:p>
    <w:p w14:paraId="0BE7795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4A27E0B7"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The gastroscope showed a protruded lesion with an ulcer located at the middle and distal esophagus (Figure 1). Subsequently,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presence of infiltrative squamous cell carcinoma was confirmed through endoscopic biopsy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2). </w:t>
      </w:r>
      <w:r>
        <w:rPr>
          <w:rFonts w:ascii="Book Antiqua" w:eastAsia="宋体" w:hAnsi="Book Antiqua" w:cs="Book Antiqua" w:hint="eastAsia"/>
          <w:color w:val="000000"/>
          <w:lang w:eastAsia="zh-CN"/>
        </w:rPr>
        <w:t xml:space="preserve">Positron emission tomography/computed tomography (CT) </w:t>
      </w:r>
      <w:r>
        <w:rPr>
          <w:rFonts w:ascii="Book Antiqua" w:eastAsia="Book Antiqua" w:hAnsi="Book Antiqua" w:cs="Book Antiqua"/>
          <w:color w:val="000000"/>
        </w:rPr>
        <w:t xml:space="preserve">showed a 5.2 cm </w:t>
      </w:r>
      <w:r>
        <w:rPr>
          <w:rFonts w:ascii="Arial" w:eastAsia="Book Antiqua" w:hAnsi="Arial" w:cs="Arial"/>
          <w:color w:val="000000"/>
        </w:rPr>
        <w:t>×</w:t>
      </w:r>
      <w:r>
        <w:rPr>
          <w:rFonts w:ascii="Book Antiqua" w:eastAsia="Book Antiqua" w:hAnsi="Book Antiqua" w:cs="Book Antiqua"/>
          <w:color w:val="000000"/>
        </w:rPr>
        <w:t xml:space="preserve"> 4.4 cm </w:t>
      </w:r>
      <w:r>
        <w:rPr>
          <w:rFonts w:ascii="Arial" w:eastAsia="Book Antiqua" w:hAnsi="Arial" w:cs="Arial"/>
          <w:color w:val="000000"/>
        </w:rPr>
        <w:t>×</w:t>
      </w:r>
      <w:r>
        <w:rPr>
          <w:rFonts w:ascii="Book Antiqua" w:eastAsia="Book Antiqua" w:hAnsi="Book Antiqua" w:cs="Book Antiqua"/>
          <w:color w:val="000000"/>
        </w:rPr>
        <w:t xml:space="preserve"> 5.4 cm hypermetabolic mass located in the body of pancreas, and thickened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middle and lower segments of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esophagus. Additionally, hypermetabolic and multiple lymph nodes were observed in the right mediastinum, hilum, surrounding pancreas, retroperitoneum, and the surrounding hepatogastric ligament (Figure 3).</w:t>
      </w:r>
    </w:p>
    <w:p w14:paraId="76E4B6F3" w14:textId="77777777" w:rsidR="002960F5" w:rsidRDefault="002960F5">
      <w:pPr>
        <w:adjustRightInd w:val="0"/>
        <w:snapToGrid w:val="0"/>
        <w:spacing w:line="360" w:lineRule="auto"/>
        <w:jc w:val="both"/>
        <w:rPr>
          <w:rFonts w:ascii="Book Antiqua" w:hAnsi="Book Antiqua" w:cs="Book Antiqua"/>
          <w:u w:val="single"/>
        </w:rPr>
      </w:pPr>
    </w:p>
    <w:p w14:paraId="3F4B8CC0" w14:textId="77777777" w:rsidR="002960F5" w:rsidRDefault="00000000">
      <w:pPr>
        <w:adjustRightInd w:val="0"/>
        <w:snapToGrid w:val="0"/>
        <w:spacing w:line="360" w:lineRule="auto"/>
        <w:jc w:val="both"/>
        <w:rPr>
          <w:rFonts w:ascii="Book Antiqua" w:hAnsi="Book Antiqua" w:cs="Book Antiqua"/>
          <w:u w:val="single"/>
        </w:rPr>
      </w:pPr>
      <w:r>
        <w:rPr>
          <w:rFonts w:ascii="Book Antiqua" w:eastAsia="Book Antiqua" w:hAnsi="Book Antiqua" w:cs="Book Antiqua"/>
          <w:b/>
          <w:caps/>
          <w:color w:val="000000"/>
          <w:u w:val="single"/>
        </w:rPr>
        <w:t>FINAL DIAGNOSIS</w:t>
      </w:r>
    </w:p>
    <w:p w14:paraId="506380FC"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Laparoscopic biopsy was performed to identify the primary tumor and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combined pancreatic metastases. During the operation, a hardened texture was noted on the body of the pancreas, therefore, few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lymph nodes near the common hepatic artery were resected and sent for pathological examination. The pathologic findings revealed lymphatic metastasis of esophageal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carcinoma (Figure 2C</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D). This patient was diagnosed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ESCC based 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gastroscopy and pathological examination findings. Imaging findings suggested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multiple lymph node metastases in the abdomen and distal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areas. Consequently, he was diagnosed with advanced and unresectable ESCC.</w:t>
      </w:r>
    </w:p>
    <w:p w14:paraId="14581838" w14:textId="77777777" w:rsidR="002960F5" w:rsidRDefault="002960F5">
      <w:pPr>
        <w:adjustRightInd w:val="0"/>
        <w:snapToGrid w:val="0"/>
        <w:spacing w:line="360" w:lineRule="auto"/>
        <w:jc w:val="both"/>
        <w:rPr>
          <w:rFonts w:ascii="Book Antiqua" w:hAnsi="Book Antiqua" w:cs="Book Antiqua"/>
        </w:rPr>
      </w:pPr>
    </w:p>
    <w:p w14:paraId="12A5D990" w14:textId="77777777" w:rsidR="002960F5" w:rsidRDefault="00000000">
      <w:pPr>
        <w:adjustRightInd w:val="0"/>
        <w:snapToGrid w:val="0"/>
        <w:spacing w:line="360" w:lineRule="auto"/>
        <w:jc w:val="both"/>
        <w:rPr>
          <w:rFonts w:ascii="Book Antiqua" w:hAnsi="Book Antiqua" w:cs="Book Antiqua"/>
          <w:u w:val="single"/>
        </w:rPr>
      </w:pPr>
      <w:r>
        <w:rPr>
          <w:rFonts w:ascii="Book Antiqua" w:eastAsia="Book Antiqua" w:hAnsi="Book Antiqua" w:cs="Book Antiqua"/>
          <w:b/>
          <w:caps/>
          <w:color w:val="000000"/>
          <w:u w:val="single"/>
        </w:rPr>
        <w:t>TREATMENT</w:t>
      </w:r>
    </w:p>
    <w:p w14:paraId="7F982C25"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According to the patient</w:t>
      </w:r>
      <w:r>
        <w:rPr>
          <w:rFonts w:ascii="Book Antiqua" w:eastAsia="宋体" w:hAnsi="Book Antiqua" w:cs="Book Antiqua"/>
          <w:color w:val="000000"/>
          <w:lang w:eastAsia="zh-CN"/>
        </w:rPr>
        <w:t>’</w:t>
      </w:r>
      <w:r>
        <w:rPr>
          <w:rFonts w:ascii="Book Antiqua" w:eastAsia="Book Antiqua" w:hAnsi="Book Antiqua" w:cs="Book Antiqua"/>
          <w:color w:val="000000"/>
        </w:rPr>
        <w:t>s condition and wishes, he was administered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toripalimab intravenously (240 mg administered on day 1 of every 3</w:t>
      </w:r>
      <w:r>
        <w:rPr>
          <w:rFonts w:ascii="Book Antiqua" w:eastAsia="宋体" w:hAnsi="Book Antiqua" w:cs="Book Antiqua" w:hint="eastAsia"/>
          <w:color w:val="000000"/>
          <w:lang w:eastAsia="zh-CN"/>
        </w:rPr>
        <w:t>-</w:t>
      </w:r>
      <w:r>
        <w:rPr>
          <w:rFonts w:ascii="Book Antiqua" w:eastAsia="Book Antiqua" w:hAnsi="Book Antiqua" w:cs="Book Antiqua"/>
          <w:color w:val="000000"/>
        </w:rPr>
        <w:t>w</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 cycle) combined with anlotinib orally (12 mg administered on days 1</w:t>
      </w:r>
      <w:r>
        <w:rPr>
          <w:rFonts w:ascii="Book Antiqua" w:eastAsia="宋体" w:hAnsi="Book Antiqua" w:cs="Book Antiqua" w:hint="eastAsia"/>
          <w:color w:val="000000"/>
          <w:lang w:eastAsia="zh-CN"/>
        </w:rPr>
        <w:t>-</w:t>
      </w:r>
      <w:r>
        <w:rPr>
          <w:rFonts w:ascii="Book Antiqua" w:eastAsia="Book Antiqua" w:hAnsi="Book Antiqua" w:cs="Book Antiqua"/>
          <w:color w:val="000000"/>
        </w:rPr>
        <w:t>14 of every 3</w:t>
      </w:r>
      <w:r>
        <w:rPr>
          <w:rFonts w:ascii="Book Antiqua" w:eastAsia="宋体" w:hAnsi="Book Antiqua" w:cs="Book Antiqua" w:hint="eastAsia"/>
          <w:color w:val="000000"/>
          <w:lang w:eastAsia="zh-CN"/>
        </w:rPr>
        <w:t>-</w:t>
      </w:r>
      <w:r>
        <w:rPr>
          <w:rFonts w:ascii="Book Antiqua" w:eastAsia="Book Antiqua" w:hAnsi="Book Antiqua" w:cs="Book Antiqua"/>
          <w:color w:val="000000"/>
        </w:rPr>
        <w:t>wk cycle) post-operatively.</w:t>
      </w:r>
    </w:p>
    <w:p w14:paraId="0BE2888C" w14:textId="77777777" w:rsidR="002960F5" w:rsidRDefault="002960F5">
      <w:pPr>
        <w:adjustRightInd w:val="0"/>
        <w:snapToGrid w:val="0"/>
        <w:spacing w:line="360" w:lineRule="auto"/>
        <w:jc w:val="both"/>
        <w:rPr>
          <w:rFonts w:ascii="Book Antiqua" w:hAnsi="Book Antiqua" w:cs="Book Antiqua"/>
        </w:rPr>
      </w:pPr>
    </w:p>
    <w:p w14:paraId="0C9D1524" w14:textId="77777777" w:rsidR="002960F5" w:rsidRDefault="00000000">
      <w:pPr>
        <w:adjustRightInd w:val="0"/>
        <w:snapToGrid w:val="0"/>
        <w:spacing w:line="360" w:lineRule="auto"/>
        <w:jc w:val="both"/>
        <w:rPr>
          <w:rFonts w:ascii="Book Antiqua" w:hAnsi="Book Antiqua" w:cs="Book Antiqua"/>
          <w:u w:val="single"/>
        </w:rPr>
      </w:pPr>
      <w:r>
        <w:rPr>
          <w:rFonts w:ascii="Book Antiqua" w:eastAsia="Book Antiqua" w:hAnsi="Book Antiqua" w:cs="Book Antiqua"/>
          <w:b/>
          <w:caps/>
          <w:color w:val="000000"/>
          <w:u w:val="single"/>
        </w:rPr>
        <w:t>OUTCOME AND FOLLOW-UP</w:t>
      </w:r>
    </w:p>
    <w:p w14:paraId="0140B4FD"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Within 1 mo of starting the combination therapy, tumor markers decreased to normal levels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CT reexamination showed a shrinkage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tumor mass and lymph nodes (Figure 4A</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B). After 3 mo of treatment, repeated endoscopy showed that the esophageal tumor had diminished or disappeared, and repeated CT also revealed the </w:t>
      </w:r>
      <w:r>
        <w:rPr>
          <w:rFonts w:ascii="Book Antiqua" w:eastAsia="Book Antiqua" w:hAnsi="Book Antiqua" w:cs="Book Antiqua"/>
          <w:color w:val="000000"/>
        </w:rPr>
        <w:lastRenderedPageBreak/>
        <w:t>disappearance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tumor and metastatic lymph nodes (Figure 4C</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D). CR was achieved according to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esponse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valuation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riteria in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olid </w:t>
      </w:r>
      <w:r>
        <w:rPr>
          <w:rFonts w:ascii="Book Antiqua" w:eastAsia="宋体" w:hAnsi="Book Antiqua" w:cs="Book Antiqua" w:hint="eastAsia"/>
          <w:color w:val="000000"/>
          <w:lang w:eastAsia="zh-CN"/>
        </w:rPr>
        <w:t>t</w:t>
      </w:r>
      <w:r>
        <w:rPr>
          <w:rFonts w:ascii="Book Antiqua" w:eastAsia="Book Antiqua" w:hAnsi="Book Antiqua" w:cs="Book Antiqua"/>
          <w:color w:val="000000"/>
        </w:rPr>
        <w:t>umors criteria 1.1</w:t>
      </w:r>
      <w:r>
        <w:rPr>
          <w:rFonts w:ascii="Book Antiqua" w:eastAsia="Book Antiqua" w:hAnsi="Book Antiqua" w:cs="Book Antiqua"/>
          <w:color w:val="000000"/>
          <w:vertAlign w:val="superscript"/>
        </w:rPr>
        <w:t>[7]</w:t>
      </w:r>
      <w:r>
        <w:rPr>
          <w:rFonts w:ascii="Book Antiqua" w:eastAsia="Book Antiqua" w:hAnsi="Book Antiqua" w:cs="Book Antiqua"/>
          <w:color w:val="000000"/>
        </w:rPr>
        <w:t>. Based on CT reexamination, the patient was in remission for up to 14 mo since the initiation of combination therapy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4E</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F).</w:t>
      </w:r>
    </w:p>
    <w:p w14:paraId="2A6BF626" w14:textId="77777777" w:rsidR="002960F5" w:rsidRDefault="002960F5">
      <w:pPr>
        <w:adjustRightInd w:val="0"/>
        <w:snapToGrid w:val="0"/>
        <w:spacing w:line="360" w:lineRule="auto"/>
        <w:jc w:val="both"/>
        <w:rPr>
          <w:rFonts w:ascii="Book Antiqua" w:hAnsi="Book Antiqua" w:cs="Book Antiqua"/>
        </w:rPr>
      </w:pPr>
    </w:p>
    <w:p w14:paraId="0ACED80A" w14:textId="77777777" w:rsidR="002960F5" w:rsidRDefault="00000000">
      <w:pPr>
        <w:adjustRightInd w:val="0"/>
        <w:snapToGrid w:val="0"/>
        <w:spacing w:line="360" w:lineRule="auto"/>
        <w:jc w:val="both"/>
        <w:rPr>
          <w:rFonts w:ascii="Book Antiqua" w:hAnsi="Book Antiqua" w:cs="Book Antiqua"/>
          <w:u w:val="single"/>
        </w:rPr>
      </w:pPr>
      <w:r>
        <w:rPr>
          <w:rFonts w:ascii="Book Antiqua" w:eastAsia="Book Antiqua" w:hAnsi="Book Antiqua" w:cs="Book Antiqua"/>
          <w:b/>
          <w:caps/>
          <w:color w:val="000000"/>
          <w:u w:val="single"/>
        </w:rPr>
        <w:t>DISCUSSION</w:t>
      </w:r>
    </w:p>
    <w:p w14:paraId="3C42BA82"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PD</w:t>
      </w:r>
      <w:r>
        <w:rPr>
          <w:rFonts w:ascii="Book Antiqua" w:eastAsia="宋体" w:hAnsi="Book Antiqua" w:cs="Book Antiqua" w:hint="eastAsia"/>
          <w:color w:val="000000"/>
          <w:lang w:eastAsia="zh-CN"/>
        </w:rPr>
        <w:t>-</w:t>
      </w:r>
      <w:r>
        <w:rPr>
          <w:rFonts w:ascii="Book Antiqua" w:eastAsia="Book Antiqua" w:hAnsi="Book Antiqua" w:cs="Book Antiqua"/>
          <w:color w:val="000000"/>
        </w:rPr>
        <w:t>1, an inhibitory transmembrane protein, is widely expressed on T, B, natural killer, and myeloid-derived suppressor cells. By binding to its receptors PD-L1/L2, PD-1 can inhibit T cell activation or proliferation, which leads to tumor immune escape</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Nivolumab and pembrolizumab bind to the N-terminal loop and the CʹD loop of PD-1 respectively</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Comparatively, toripalimab binds to the FG loop of PD-1 and blocks the PD-1 pathway, ultimately promoting apoptosis of tumor cells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NCT02915432 concluded that toripalimab displayed potential anticancer activity with a manageable safety profile in chemotherapy drug resistant ESCC</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JUPITER-06, a double-blind and multicenter phase III clinical trial, involving 514 advanced ESCC patients revealed that compared to a simple chemotherapy (paclitaxel plus cisplatin) regimen, toripalimab combined with chemotherapy had higher overall response rate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(69.3%</w:t>
      </w:r>
      <w:r>
        <w:rPr>
          <w:rFonts w:ascii="Book Antiqua" w:eastAsia="Book Antiqua" w:hAnsi="Book Antiqua" w:cs="Book Antiqua"/>
          <w:i/>
          <w:iCs/>
          <w:color w:val="000000"/>
        </w:rPr>
        <w:t xml:space="preserve"> vs. </w:t>
      </w:r>
      <w:r>
        <w:rPr>
          <w:rFonts w:ascii="Book Antiqua" w:eastAsia="Book Antiqua" w:hAnsi="Book Antiqua" w:cs="Book Antiqua"/>
          <w:color w:val="000000"/>
        </w:rPr>
        <w:t xml:space="preserve">52.1%) and PFS (5.7 </w:t>
      </w:r>
      <w:r>
        <w:rPr>
          <w:rFonts w:ascii="Book Antiqua" w:eastAsia="Book Antiqua" w:hAnsi="Book Antiqua" w:cs="Book Antiqua"/>
          <w:i/>
          <w:iCs/>
          <w:color w:val="000000"/>
        </w:rPr>
        <w:t>vs.</w:t>
      </w:r>
      <w:r>
        <w:rPr>
          <w:rFonts w:ascii="Book Antiqua" w:eastAsia="Book Antiqua" w:hAnsi="Book Antiqua" w:cs="Book Antiqua"/>
          <w:color w:val="000000"/>
        </w:rPr>
        <w:t xml:space="preserve"> 5.5 mo)</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The studies of NCT03985670</w:t>
      </w:r>
      <w:r>
        <w:rPr>
          <w:rFonts w:ascii="Book Antiqua" w:eastAsia="Book Antiqua" w:hAnsi="Book Antiqua" w:cs="Book Antiqua"/>
          <w:color w:val="000000"/>
          <w:szCs w:val="36"/>
          <w:vertAlign w:val="superscript"/>
        </w:rPr>
        <w:t>[11]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further support the synergistic effectiveness of toripalimab plus chemotherapy in the treatment of advanced esophageal cancer.</w:t>
      </w:r>
    </w:p>
    <w:p w14:paraId="66F9D844" w14:textId="77777777" w:rsidR="002960F5"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Anlotinib inhibits tumor angiogenesis and cancer cell proliferation by inhibiting VEGFR2, PDGFRβ, FGFR1, and downstream extracellular signal-regulated kinase signal transduction</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In a double-blind randomized phase II clinical trial (NCT02649361) involving 165 patients with recurrent or metastatic ESCC who were previously treated with chemotherapy, anlotinib was used to treat 110 patients, and the remaining 55 patients were given a placebo. The trial reported a prolonged PFS (3.02 </w:t>
      </w:r>
      <w:r>
        <w:rPr>
          <w:rFonts w:ascii="Book Antiqua" w:eastAsia="Book Antiqua" w:hAnsi="Book Antiqua" w:cs="Book Antiqua"/>
          <w:i/>
          <w:iCs/>
          <w:color w:val="000000"/>
        </w:rPr>
        <w:t>vs.</w:t>
      </w:r>
      <w:r>
        <w:rPr>
          <w:rFonts w:ascii="Book Antiqua" w:eastAsia="Book Antiqua" w:hAnsi="Book Antiqua" w:cs="Book Antiqua"/>
          <w:color w:val="000000"/>
        </w:rPr>
        <w:t xml:space="preserve"> 1.41 mo) in patients who received anlotinib</w:t>
      </w:r>
      <w:r>
        <w:rPr>
          <w:rFonts w:ascii="Book Antiqua" w:eastAsia="Book Antiqua" w:hAnsi="Book Antiqua" w:cs="Book Antiqua"/>
          <w:color w:val="000000"/>
          <w:vertAlign w:val="superscript"/>
        </w:rPr>
        <w:t>[12]</w:t>
      </w:r>
      <w:r>
        <w:rPr>
          <w:rFonts w:ascii="Book Antiqua" w:eastAsia="Book Antiqua" w:hAnsi="Book Antiqua" w:cs="Book Antiqua"/>
          <w:color w:val="000000"/>
        </w:rPr>
        <w:t>. A multicenter, single-arm, phase II clinical trial (NCT04063683), involving 47 patients with previously untreated metastatic or unresectable locally advanced ESCC is currently underway, wherein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anlotinib in </w:t>
      </w:r>
      <w:r>
        <w:rPr>
          <w:rFonts w:ascii="Book Antiqua" w:eastAsia="Book Antiqua" w:hAnsi="Book Antiqua" w:cs="Book Antiqua"/>
          <w:color w:val="000000"/>
        </w:rPr>
        <w:lastRenderedPageBreak/>
        <w:t>combination with a chemotherapy regimen (paclitaxel and cisplatin) is being used for treatment. The preliminary results of this trial have shown a high ORR (74.1%) with the most significant adverse reactions being myelosuppression (18.5%) and hypertension (7.4%)</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These studies support the use of anlotinib as second-line treatment for advanced ESCC, either as monotherapy or in combination with chemotherapy.</w:t>
      </w:r>
    </w:p>
    <w:p w14:paraId="19EA925B" w14:textId="77777777" w:rsidR="002960F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Previous studies have demonstrated the potential synergistic anti-tumor effects of immunotherapy and targeted therapies, which were closely linked to the tumor microenvironment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Intratumoral angiogenesis is essential for tumors to survive and grow. Dilated and fragile neovascularization predisposes the tumor tissue to hypoperfusion, thus leading to intratumoral hypoxia and acidosis</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Hypoxia and acidosis suppress anti</w:t>
      </w:r>
      <w:r>
        <w:rPr>
          <w:rFonts w:ascii="Book Antiqua" w:eastAsia="宋体" w:hAnsi="Book Antiqua" w:cs="Book Antiqua" w:hint="eastAsia"/>
          <w:color w:val="000000"/>
          <w:lang w:eastAsia="zh-CN"/>
        </w:rPr>
        <w:t>-</w:t>
      </w:r>
      <w:r>
        <w:rPr>
          <w:rFonts w:ascii="Book Antiqua" w:eastAsia="Book Antiqua" w:hAnsi="Book Antiqua" w:cs="Book Antiqua"/>
          <w:color w:val="000000"/>
        </w:rPr>
        <w:t>tumor immunity by the aggregation of immune suppressor cells (Treg and regulatory B cells) and by inhibiting the activation of immune effector cells (activated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and NK cells)</w:t>
      </w:r>
      <w:r>
        <w:rPr>
          <w:rFonts w:ascii="Book Antiqua" w:eastAsia="Book Antiqua" w:hAnsi="Book Antiqua" w:cs="Book Antiqua"/>
          <w:color w:val="000000"/>
          <w:vertAlign w:val="superscript"/>
        </w:rPr>
        <w:t>[15]</w:t>
      </w:r>
      <w:r>
        <w:rPr>
          <w:rFonts w:ascii="Book Antiqua" w:eastAsia="Book Antiqua" w:hAnsi="Book Antiqua" w:cs="Book Antiqua"/>
          <w:color w:val="000000"/>
        </w:rPr>
        <w:t>. In addition, increased vascular permeability and lymphatic drainage disorders increase the interstitial pressure around the tumor, which inhibits the delivery of drugs and immune effector cells to tumor</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combination of amlotinib and teraplizumab exerted a synergistic anti</w:t>
      </w:r>
      <w:r>
        <w:rPr>
          <w:rFonts w:ascii="Book Antiqua" w:eastAsia="宋体" w:hAnsi="Book Antiqua" w:cs="Book Antiqua" w:hint="eastAsia"/>
          <w:color w:val="000000"/>
          <w:lang w:eastAsia="zh-CN"/>
        </w:rPr>
        <w:t>-</w:t>
      </w:r>
      <w:r>
        <w:rPr>
          <w:rFonts w:ascii="Book Antiqua" w:eastAsia="Book Antiqua" w:hAnsi="Book Antiqua" w:cs="Book Antiqua"/>
          <w:color w:val="000000"/>
        </w:rPr>
        <w:t>tumor effect.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Anlotinib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normalizes the tumor vasculature, upregulates the adhesion molecules in the tumor endothelium and induces a relatively immune-supportive tumor microenvironment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by inhibiting VEGFR. Furthermore, anlotinib promotes the differentiation and maturation of dendritic cells, enhancing their ability to present tumor antigens to 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a consequence,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activation and penetration of the effector T cells in tumor cells are enhanced, which improves the efficacy of toripalimab</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56FD64E1" w14:textId="02A65B13" w:rsidR="002960F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Combination anti</w:t>
      </w:r>
      <w:r>
        <w:rPr>
          <w:rFonts w:ascii="Book Antiqua" w:eastAsia="宋体" w:hAnsi="Book Antiqua" w:cs="Book Antiqua" w:hint="eastAsia"/>
          <w:color w:val="000000"/>
          <w:lang w:eastAsia="zh-CN"/>
        </w:rPr>
        <w:t>-</w:t>
      </w:r>
      <w:r>
        <w:rPr>
          <w:rFonts w:ascii="Book Antiqua" w:eastAsia="Book Antiqua" w:hAnsi="Book Antiqua" w:cs="Book Antiqua"/>
          <w:color w:val="000000"/>
        </w:rPr>
        <w:t>PD</w:t>
      </w:r>
      <w:r>
        <w:rPr>
          <w:rFonts w:ascii="Book Antiqua" w:eastAsia="宋体" w:hAnsi="Book Antiqua" w:cs="Book Antiqua" w:hint="eastAsia"/>
          <w:color w:val="000000"/>
          <w:lang w:eastAsia="zh-CN"/>
        </w:rPr>
        <w:t>-</w:t>
      </w:r>
      <w:r>
        <w:rPr>
          <w:rFonts w:ascii="Book Antiqua" w:eastAsia="Book Antiqua" w:hAnsi="Book Antiqua" w:cs="Book Antiqua"/>
          <w:color w:val="000000"/>
        </w:rPr>
        <w:t>1 and targeted therapy is increasingly widely used for treatment of several malignancies such as gastric cancer, non-small cell lung cancer, and liver cancer, but its use is uncommon in ESCC</w:t>
      </w:r>
      <w:r>
        <w:rPr>
          <w:rFonts w:ascii="Book Antiqua" w:eastAsia="Book Antiqua" w:hAnsi="Book Antiqua" w:cs="Book Antiqua"/>
          <w:color w:val="000000"/>
          <w:vertAlign w:val="superscript"/>
        </w:rPr>
        <w:t>[18-20]</w:t>
      </w:r>
      <w:r>
        <w:rPr>
          <w:rFonts w:ascii="Book Antiqua" w:eastAsia="Book Antiqua" w:hAnsi="Book Antiqua" w:cs="Book Antiqua"/>
          <w:color w:val="000000"/>
        </w:rPr>
        <w:t xml:space="preserve">.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retrospectively reviewed and analyzed 98 patients with advanced ESCC, wherein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48 patients were administered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anlotinib plus an anti-PD-1 and remaining 50 patients received anlotinib monotherapy. Overall, patients receiving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combination therapy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a longer PFS (5.4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3.0 mo) with a higher ORR (23.9% </w:t>
      </w:r>
      <w:r>
        <w:rPr>
          <w:rFonts w:ascii="Book Antiqua" w:eastAsia="Book Antiqua" w:hAnsi="Book Antiqua" w:cs="Book Antiqua"/>
          <w:i/>
          <w:iCs/>
          <w:color w:val="000000"/>
        </w:rPr>
        <w:t>vs.</w:t>
      </w:r>
      <w:r>
        <w:rPr>
          <w:rFonts w:ascii="Book Antiqua" w:eastAsia="Book Antiqua" w:hAnsi="Book Antiqua" w:cs="Book Antiqua"/>
          <w:color w:val="000000"/>
        </w:rPr>
        <w:t xml:space="preserve"> 10.4%) than the patients receiving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anlotinib </w:t>
      </w:r>
      <w:r>
        <w:rPr>
          <w:rFonts w:ascii="Book Antiqua" w:eastAsia="Book Antiqua" w:hAnsi="Book Antiqua" w:cs="Book Antiqua"/>
          <w:color w:val="000000"/>
        </w:rPr>
        <w:lastRenderedPageBreak/>
        <w:t>monotherapy</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Additionally, Tang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reported that a postoperative recurrent ESCC patient receiving a combination therapy of nivolumab and anlotinib showed CR. Similarly, Jiang </w:t>
      </w:r>
      <w:r>
        <w:rPr>
          <w:rFonts w:ascii="Book Antiqua" w:eastAsia="宋体" w:hAnsi="Book Antiqua" w:cs="Book Antiqua" w:hint="eastAsia"/>
          <w:color w:val="000000"/>
          <w:lang w:eastAsia="zh-CN"/>
        </w:rPr>
        <w:t>and Zhang</w:t>
      </w:r>
      <w:r>
        <w:rPr>
          <w:rFonts w:ascii="Book Antiqua" w:eastAsia="Book Antiqua" w:hAnsi="Book Antiqua" w:cs="Book Antiqua"/>
          <w:color w:val="000000"/>
          <w:vertAlign w:val="superscript"/>
        </w:rPr>
        <w:t>[4]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reported that a patient with chemo</w:t>
      </w:r>
      <w:r>
        <w:rPr>
          <w:rFonts w:ascii="Book Antiqua" w:eastAsia="宋体" w:hAnsi="Book Antiqua" w:cs="Book Antiqua" w:hint="eastAsia"/>
          <w:color w:val="000000"/>
          <w:lang w:eastAsia="zh-CN"/>
        </w:rPr>
        <w:t>-</w:t>
      </w:r>
      <w:r>
        <w:rPr>
          <w:rFonts w:ascii="Book Antiqua" w:eastAsia="Book Antiqua" w:hAnsi="Book Antiqua" w:cs="Book Antiqua"/>
          <w:color w:val="000000"/>
        </w:rPr>
        <w:t>resistant small</w:t>
      </w:r>
      <w:r>
        <w:rPr>
          <w:rFonts w:ascii="Book Antiqua" w:eastAsia="宋体" w:hAnsi="Book Antiqua" w:cs="Book Antiqua" w:hint="eastAsia"/>
          <w:color w:val="000000"/>
          <w:lang w:eastAsia="zh-CN"/>
        </w:rPr>
        <w:t>-</w:t>
      </w:r>
      <w:r>
        <w:rPr>
          <w:rFonts w:ascii="Book Antiqua" w:eastAsia="Book Antiqua" w:hAnsi="Book Antiqua" w:cs="Book Antiqua"/>
          <w:color w:val="000000"/>
        </w:rPr>
        <w:t>cell carcinoma of the esophagus achieved CR after 3 mo of toripalimab plus anlotinib. Our study is the first report where toripalimab in combination with anlotinib is being used as the first</w:t>
      </w:r>
      <w:r>
        <w:rPr>
          <w:rFonts w:ascii="Book Antiqua" w:eastAsia="宋体" w:hAnsi="Book Antiqua" w:cs="Book Antiqua" w:hint="eastAsia"/>
          <w:color w:val="000000"/>
          <w:lang w:eastAsia="zh-CN"/>
        </w:rPr>
        <w:t>-</w:t>
      </w:r>
      <w:r>
        <w:rPr>
          <w:rFonts w:ascii="Book Antiqua" w:eastAsia="Book Antiqua" w:hAnsi="Book Antiqua" w:cs="Book Antiqua"/>
          <w:color w:val="000000"/>
        </w:rPr>
        <w:t>line treatment for advanced or unresectable ESCC. The patient showed CR in 3 mo and has been in remission for up to 14 mo of follow-up with no treatment-related adverse events.</w:t>
      </w:r>
    </w:p>
    <w:p w14:paraId="5213F1F1" w14:textId="77777777" w:rsidR="002960F5"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 potential for drug resistance and side effects associated with long-term drug use is a concern, although this did not occur in our case. In addition, since medical insurance can only reimburse a percentage of the cost, the long-term use of such high-priced drugs can further increase the financial burden of patients.</w:t>
      </w:r>
    </w:p>
    <w:p w14:paraId="62357B19" w14:textId="77777777" w:rsidR="002960F5" w:rsidRDefault="002960F5">
      <w:pPr>
        <w:adjustRightInd w:val="0"/>
        <w:snapToGrid w:val="0"/>
        <w:spacing w:line="360" w:lineRule="auto"/>
        <w:jc w:val="both"/>
        <w:rPr>
          <w:rFonts w:ascii="Book Antiqua" w:hAnsi="Book Antiqua" w:cs="Book Antiqua"/>
        </w:rPr>
      </w:pPr>
    </w:p>
    <w:p w14:paraId="38C0520A"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51808F2"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Our case report suggests that the combination of toripalimab and anlotinib may be a potential treatment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option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advanced or unresectable ESCC. Clinical trials studying the use of this combination for treating ESCC should be conducted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future to further verify these findings.</w:t>
      </w:r>
    </w:p>
    <w:p w14:paraId="461C1869" w14:textId="77777777" w:rsidR="002960F5" w:rsidRDefault="002960F5">
      <w:pPr>
        <w:adjustRightInd w:val="0"/>
        <w:snapToGrid w:val="0"/>
        <w:spacing w:line="360" w:lineRule="auto"/>
        <w:jc w:val="both"/>
        <w:rPr>
          <w:rFonts w:ascii="Book Antiqua" w:hAnsi="Book Antiqua" w:cs="Book Antiqua"/>
        </w:rPr>
      </w:pPr>
    </w:p>
    <w:p w14:paraId="3EE14E95"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64908D2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He S</w:t>
      </w:r>
      <w:r>
        <w:rPr>
          <w:rFonts w:ascii="Book Antiqua" w:eastAsia="Book Antiqua" w:hAnsi="Book Antiqua" w:cs="Book Antiqua"/>
        </w:rPr>
        <w:t xml:space="preserve">, Xu J, Liu X, Zhen Y. Advances and challenges in the treatment of esophageal cancer. </w:t>
      </w:r>
      <w:r>
        <w:rPr>
          <w:rFonts w:ascii="Book Antiqua" w:eastAsia="Book Antiqua" w:hAnsi="Book Antiqua" w:cs="Book Antiqua"/>
          <w:i/>
          <w:iCs/>
        </w:rPr>
        <w:t>Acta Pharm Sin B</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3379-3392 [PMID: 34900524 DOI: 10.1016/j.apsb.2021.03.008]</w:t>
      </w:r>
    </w:p>
    <w:p w14:paraId="188522DC"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Zhang L</w:t>
      </w:r>
      <w:r>
        <w:rPr>
          <w:rFonts w:ascii="Book Antiqua" w:eastAsia="Book Antiqua" w:hAnsi="Book Antiqua" w:cs="Book Antiqua"/>
        </w:rPr>
        <w:t xml:space="preserve">, Hao B, Geng Z, Geng Q. Toripalimab: the First Domestic Anti-Tumor PD-1 Antibody in China.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730666 [PMID: 35095833 DOI: 10.3389/fimmu.2021.730666]</w:t>
      </w:r>
    </w:p>
    <w:p w14:paraId="46972325"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Shen G</w:t>
      </w:r>
      <w:r>
        <w:rPr>
          <w:rFonts w:ascii="Book Antiqua" w:eastAsia="Book Antiqua" w:hAnsi="Book Antiqua" w:cs="Book Antiqua"/>
        </w:rPr>
        <w:t xml:space="preserve">, Zheng F, Ren D, Du F, Dong Q, Wang Z, Zhao F, Ahmad R, Zhao J. Anlotinib: a novel multi-targeting tyrosine kinase inhibitor in clinical development. </w:t>
      </w:r>
      <w:r>
        <w:rPr>
          <w:rFonts w:ascii="Book Antiqua" w:eastAsia="Book Antiqua" w:hAnsi="Book Antiqua" w:cs="Book Antiqua"/>
          <w:i/>
          <w:iCs/>
        </w:rPr>
        <w:t>J Hematol Oncol</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120 [PMID: 30231931 DOI: 10.1186/s13045-018-0664-7]</w:t>
      </w:r>
    </w:p>
    <w:p w14:paraId="2F2C1863"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4 </w:t>
      </w:r>
      <w:r>
        <w:rPr>
          <w:rFonts w:ascii="Book Antiqua" w:eastAsia="Book Antiqua" w:hAnsi="Book Antiqua" w:cs="Book Antiqua"/>
          <w:b/>
          <w:bCs/>
        </w:rPr>
        <w:t>Jiang M</w:t>
      </w:r>
      <w:r>
        <w:rPr>
          <w:rFonts w:ascii="Book Antiqua" w:eastAsia="Book Antiqua" w:hAnsi="Book Antiqua" w:cs="Book Antiqua"/>
        </w:rPr>
        <w:t xml:space="preserve">, Zhang X. Antiangiogenesis Combined with Immunotherapy to Treat Advanced Small-Cell Carcinoma of the Esophagus Resistant to Chemotherapy: According to the Guidance of Next-Generation Sequencing. </w:t>
      </w:r>
      <w:r>
        <w:rPr>
          <w:rFonts w:ascii="Book Antiqua" w:eastAsia="Book Antiqua" w:hAnsi="Book Antiqua" w:cs="Book Antiqua"/>
          <w:i/>
          <w:iCs/>
        </w:rPr>
        <w:t>Onco Targets Ther</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1613-1621 [PMID: 33688208 DOI: 10.2147/OTT.S293733]</w:t>
      </w:r>
    </w:p>
    <w:p w14:paraId="49B04E8E"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Liu Y</w:t>
      </w:r>
      <w:r>
        <w:rPr>
          <w:rFonts w:ascii="Book Antiqua" w:eastAsia="Book Antiqua" w:hAnsi="Book Antiqua" w:cs="Book Antiqua"/>
        </w:rPr>
        <w:t xml:space="preserve">, Ge Q, Xu S, Li K, Liu Y. Efficacy and safety of anlotinib plus programmed death-1 blockade </w:t>
      </w:r>
      <w:r>
        <w:rPr>
          <w:rFonts w:ascii="Book Antiqua" w:eastAsia="宋体" w:hAnsi="Book Antiqua" w:cs="Book Antiqua" w:hint="eastAsia"/>
          <w:lang w:eastAsia="zh-CN"/>
        </w:rPr>
        <w:t>verus</w:t>
      </w:r>
      <w:r>
        <w:rPr>
          <w:rFonts w:ascii="Book Antiqua" w:eastAsia="Book Antiqua" w:hAnsi="Book Antiqua" w:cs="Book Antiqua"/>
        </w:rPr>
        <w:t xml:space="preserve"> anlotinib monotherapy as second or further-line treatment in advanced esophageal squamous cell carcinoma: A retrospective study.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942678 [PMID: 36059654 DOI: 10.3389/fonc.2022.942678]</w:t>
      </w:r>
    </w:p>
    <w:p w14:paraId="0BC26718"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Tang Y</w:t>
      </w:r>
      <w:r>
        <w:rPr>
          <w:rFonts w:ascii="Book Antiqua" w:eastAsia="Book Antiqua" w:hAnsi="Book Antiqua" w:cs="Book Antiqua"/>
        </w:rPr>
        <w:t xml:space="preserve">, Ou Z, Yao Z, Qiao G. A case report of immune checkpoint inhibitor nivolumab combined with anti-angiogenesis agent anlotinib for advanced esophageal squamous cell carcinoma.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e17164 [PMID: 31577707 DOI: 10.1097/MD.0000000000017164]</w:t>
      </w:r>
    </w:p>
    <w:p w14:paraId="3BF9BE77"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Schwartz LH</w:t>
      </w:r>
      <w:r>
        <w:rPr>
          <w:rFonts w:ascii="Book Antiqua" w:eastAsia="Book Antiqua" w:hAnsi="Book Antiqua" w:cs="Book Antiqua"/>
        </w:rPr>
        <w:t xml:space="preserve">, Litière S, de Vries E, Ford R, Gwyther S, Mandrekar S, Shankar L, Bogaerts J, Chen A, Dancey J, Hayes W, Hodi FS, Hoekstra OS, Huang EP, Lin N, Liu Y, Therasse P, Wolchok JD, Seymour L. RECIST 1.1-Update and clarification: From the RECIST committee. </w:t>
      </w:r>
      <w:r>
        <w:rPr>
          <w:rFonts w:ascii="Book Antiqua" w:eastAsia="Book Antiqua" w:hAnsi="Book Antiqua" w:cs="Book Antiqua"/>
          <w:i/>
          <w:iCs/>
        </w:rPr>
        <w:t>Eur J Cancer</w:t>
      </w:r>
      <w:r>
        <w:rPr>
          <w:rFonts w:ascii="Book Antiqua" w:eastAsia="Book Antiqua" w:hAnsi="Book Antiqua" w:cs="Book Antiqua"/>
        </w:rPr>
        <w:t xml:space="preserve"> 2016; </w:t>
      </w:r>
      <w:r>
        <w:rPr>
          <w:rFonts w:ascii="Book Antiqua" w:eastAsia="Book Antiqua" w:hAnsi="Book Antiqua" w:cs="Book Antiqua"/>
          <w:b/>
          <w:bCs/>
        </w:rPr>
        <w:t>62</w:t>
      </w:r>
      <w:r>
        <w:rPr>
          <w:rFonts w:ascii="Book Antiqua" w:eastAsia="Book Antiqua" w:hAnsi="Book Antiqua" w:cs="Book Antiqua"/>
        </w:rPr>
        <w:t>: 132-137 [PMID: 27189322 DOI: 10.1016/j.ejca.2016.03.081]</w:t>
      </w:r>
    </w:p>
    <w:p w14:paraId="770C9E4A"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Thuss-Patience P</w:t>
      </w:r>
      <w:r>
        <w:rPr>
          <w:rFonts w:ascii="Book Antiqua" w:eastAsia="Book Antiqua" w:hAnsi="Book Antiqua" w:cs="Book Antiqua"/>
        </w:rPr>
        <w:t xml:space="preserve">, Stein A. Immunotherapy in Squamous Cell Cancer of the Esophagus. </w:t>
      </w:r>
      <w:r>
        <w:rPr>
          <w:rFonts w:ascii="Book Antiqua" w:eastAsia="Book Antiqua" w:hAnsi="Book Antiqua" w:cs="Book Antiqua"/>
          <w:i/>
          <w:iCs/>
        </w:rPr>
        <w:t>Curr Oncol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2461-2471 [PMID: 35448174 DOI: 10.3390/curroncol29040200]</w:t>
      </w:r>
    </w:p>
    <w:p w14:paraId="3A216C87"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Wang F,</w:t>
      </w:r>
      <w:r>
        <w:rPr>
          <w:rFonts w:ascii="Book Antiqua" w:eastAsia="Book Antiqua" w:hAnsi="Book Antiqua" w:cs="Book Antiqua"/>
        </w:rPr>
        <w:t xml:space="preserve"> Ren C, Zhao Q, Xu N, Shen L, Dai G, Yuan X, Chen Y, Yang S, Shi J, Hu X, Lin X, Zhang Q, Feng J, Ba Y, Liu Y, Li W, Shu Y, Wang F and Xu R-h. Association of frequent amplification of chromosome 11q13 in esophageal squamous cell cancer with clinical benefit to immune check point blockade. </w:t>
      </w:r>
      <w:r>
        <w:rPr>
          <w:rFonts w:ascii="Book Antiqua" w:eastAsia="Book Antiqua" w:hAnsi="Book Antiqua" w:cs="Book Antiqua"/>
          <w:i/>
          <w:iCs/>
        </w:rPr>
        <w:t>Journal of Clinical Oncolog</w:t>
      </w:r>
      <w:r>
        <w:rPr>
          <w:rFonts w:ascii="Book Antiqua" w:eastAsia="Book Antiqua" w:hAnsi="Book Antiqua" w:cs="Book Antiqua"/>
        </w:rPr>
        <w:t xml:space="preserve">y 2019; </w:t>
      </w:r>
      <w:r>
        <w:rPr>
          <w:rFonts w:ascii="Book Antiqua" w:eastAsia="Book Antiqua" w:hAnsi="Book Antiqua" w:cs="Book Antiqua"/>
          <w:b/>
          <w:bCs/>
        </w:rPr>
        <w:t>37</w:t>
      </w:r>
      <w:r>
        <w:rPr>
          <w:rFonts w:ascii="Book Antiqua" w:eastAsia="Book Antiqua" w:hAnsi="Book Antiqua" w:cs="Book Antiqua"/>
        </w:rPr>
        <w:t>: 4036-4036 [DOI: 10.1200/JCO.2019.37.15_suppl.4036]</w:t>
      </w:r>
    </w:p>
    <w:p w14:paraId="2F4D4365"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Yamamoto S</w:t>
      </w:r>
      <w:r>
        <w:rPr>
          <w:rFonts w:ascii="Book Antiqua" w:eastAsia="Book Antiqua" w:hAnsi="Book Antiqua" w:cs="Book Antiqua"/>
        </w:rPr>
        <w:t xml:space="preserve">, Kato K. JUPITER-06 establishes immune checkpoint inhibitors as essential first-line drugs for the treatment of advanced esophageal squamous cell carcinoma. </w:t>
      </w:r>
      <w:r>
        <w:rPr>
          <w:rFonts w:ascii="Book Antiqua" w:eastAsia="Book Antiqua" w:hAnsi="Book Antiqua" w:cs="Book Antiqua"/>
          <w:i/>
          <w:iCs/>
        </w:rPr>
        <w:t>Cancer Cell</w:t>
      </w:r>
      <w:r>
        <w:rPr>
          <w:rFonts w:ascii="Book Antiqua" w:eastAsia="Book Antiqua" w:hAnsi="Book Antiqua" w:cs="Book Antiqua"/>
        </w:rPr>
        <w:t xml:space="preserve"> 2022; </w:t>
      </w:r>
      <w:r>
        <w:rPr>
          <w:rFonts w:ascii="Book Antiqua" w:eastAsia="Book Antiqua" w:hAnsi="Book Antiqua" w:cs="Book Antiqua"/>
          <w:b/>
          <w:bCs/>
        </w:rPr>
        <w:t>40</w:t>
      </w:r>
      <w:r>
        <w:rPr>
          <w:rFonts w:ascii="Book Antiqua" w:eastAsia="Book Antiqua" w:hAnsi="Book Antiqua" w:cs="Book Antiqua"/>
        </w:rPr>
        <w:t>: 238-240 [PMID: 35245448 DOI: 10.1016/j.ccell.2022.02.009]</w:t>
      </w:r>
    </w:p>
    <w:p w14:paraId="421F570D"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11 </w:t>
      </w:r>
      <w:r>
        <w:rPr>
          <w:rFonts w:ascii="Book Antiqua" w:eastAsia="Book Antiqua" w:hAnsi="Book Antiqua" w:cs="Book Antiqua"/>
          <w:b/>
          <w:bCs/>
        </w:rPr>
        <w:t>Xing W</w:t>
      </w:r>
      <w:r>
        <w:rPr>
          <w:rFonts w:ascii="Book Antiqua" w:eastAsia="Book Antiqua" w:hAnsi="Book Antiqua" w:cs="Book Antiqua"/>
        </w:rPr>
        <w:t xml:space="preserve">, Zhao L, Zheng Y, Liu B, Liu X, Li T, Zhang Y, Ma B, Yang Y, Shang Y, Fu X, Liang G, Yuan D, Qu J, Chai X, Zhang H, Wang Z, Lin H, Liu L, Ren X, Zhang J, Gao Q. The Sequence of Chemotherapy and Toripalimab Might Influence the Efficacy of Neoadjuvant Chemoimmunotherapy in Locally Advanced Esophageal Squamous Cell Cancer-A Phase II Study.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772450 [PMID: 34938292 DOI: 10.3389/fimmu.2021.772450]</w:t>
      </w:r>
    </w:p>
    <w:p w14:paraId="475B7400"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Huang J</w:t>
      </w:r>
      <w:r>
        <w:rPr>
          <w:rFonts w:ascii="Book Antiqua" w:eastAsia="Book Antiqua" w:hAnsi="Book Antiqua" w:cs="Book Antiqua"/>
        </w:rPr>
        <w:t xml:space="preserve">, Xiao J, Fang W, Lu P, Fan Q, Shu Y, Feng J, Zhang S, Ba Y, Zhao Y, Liu Y, Bai C, Bai Y, Tang Y, Song Y, He J. Anlotinib for previously treated advanced or metastatic esophageal squamous cell carcinoma: A double-blind randomized phase 2 trial. </w:t>
      </w:r>
      <w:r>
        <w:rPr>
          <w:rFonts w:ascii="Book Antiqua" w:eastAsia="Book Antiqua" w:hAnsi="Book Antiqua" w:cs="Book Antiqua"/>
          <w:i/>
          <w:iCs/>
        </w:rPr>
        <w:t>Cancer Med</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1681-1689 [PMID: 33586360 DOI: 10.1002/cam4.3771]</w:t>
      </w:r>
    </w:p>
    <w:p w14:paraId="1A7DFB85"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Wang J,</w:t>
      </w:r>
      <w:r>
        <w:rPr>
          <w:rFonts w:ascii="Book Antiqua" w:eastAsia="Book Antiqua" w:hAnsi="Book Antiqua" w:cs="Book Antiqua"/>
        </w:rPr>
        <w:t xml:space="preserve"> Luo S, Li N, Wu T, Hong Y, Guo Y, Cheng Y, Li B and Tan B. Update results of paclitaxel and cisplatin in combination with anlotinib as first-line regimen for advanced esophageal squamous cell carcinoma (ESCC): A multicenter, single-arm, open-label phase Ⅱ clinical trial. </w:t>
      </w:r>
      <w:r>
        <w:rPr>
          <w:rFonts w:ascii="Book Antiqua" w:eastAsia="Book Antiqua" w:hAnsi="Book Antiqua" w:cs="Book Antiqua"/>
          <w:i/>
          <w:iCs/>
        </w:rPr>
        <w:t>Journal of Clinical Oncology</w:t>
      </w:r>
      <w:r>
        <w:rPr>
          <w:rFonts w:ascii="Book Antiqua" w:eastAsia="Book Antiqua" w:hAnsi="Book Antiqua" w:cs="Book Antiqua"/>
        </w:rPr>
        <w:t xml:space="preserve"> 2021; </w:t>
      </w:r>
      <w:r>
        <w:rPr>
          <w:rFonts w:ascii="Book Antiqua" w:eastAsia="Book Antiqua" w:hAnsi="Book Antiqua" w:cs="Book Antiqua"/>
          <w:b/>
          <w:bCs/>
        </w:rPr>
        <w:t>39</w:t>
      </w:r>
      <w:r>
        <w:rPr>
          <w:rFonts w:ascii="Book Antiqua" w:eastAsia="Book Antiqua" w:hAnsi="Book Antiqua" w:cs="Book Antiqua"/>
        </w:rPr>
        <w:t>: 181-181 [DOI: 10.1200/JCO.2021.39.3_suppl.181]</w:t>
      </w:r>
    </w:p>
    <w:p w14:paraId="6E26D6C9"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Guo CX</w:t>
      </w:r>
      <w:r>
        <w:rPr>
          <w:rFonts w:ascii="Book Antiqua" w:eastAsia="Book Antiqua" w:hAnsi="Book Antiqua" w:cs="Book Antiqua"/>
        </w:rPr>
        <w:t xml:space="preserve">, Huang X, Xu J, Zhang XZ, Shen YN, Liang TB, Bai XL. Combined targeted therapy and immunotherapy for cancer treatment. </w:t>
      </w:r>
      <w:r>
        <w:rPr>
          <w:rFonts w:ascii="Book Antiqua" w:eastAsia="Book Antiqua" w:hAnsi="Book Antiqua" w:cs="Book Antiqua"/>
          <w:i/>
          <w:iCs/>
        </w:rPr>
        <w:t>World J Clin Cases</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7643-7652 [PMID: 34621816 DOI: 10.12998/wjcc.v9.i26.7643]</w:t>
      </w:r>
    </w:p>
    <w:p w14:paraId="630AC312"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Viallard C</w:t>
      </w:r>
      <w:r>
        <w:rPr>
          <w:rFonts w:ascii="Book Antiqua" w:eastAsia="Book Antiqua" w:hAnsi="Book Antiqua" w:cs="Book Antiqua"/>
        </w:rPr>
        <w:t xml:space="preserve">, Larrivée B. Tumor angiogenesis and vascular normalization: alternative therapeutic targets. </w:t>
      </w:r>
      <w:r>
        <w:rPr>
          <w:rFonts w:ascii="Book Antiqua" w:eastAsia="Book Antiqua" w:hAnsi="Book Antiqua" w:cs="Book Antiqua"/>
          <w:i/>
          <w:iCs/>
        </w:rPr>
        <w:t>Angiogenesis</w:t>
      </w:r>
      <w:r>
        <w:rPr>
          <w:rFonts w:ascii="Book Antiqua" w:eastAsia="Book Antiqua" w:hAnsi="Book Antiqua" w:cs="Book Antiqua"/>
        </w:rPr>
        <w:t xml:space="preserve"> 2017; </w:t>
      </w:r>
      <w:r>
        <w:rPr>
          <w:rFonts w:ascii="Book Antiqua" w:eastAsia="Book Antiqua" w:hAnsi="Book Antiqua" w:cs="Book Antiqua"/>
          <w:b/>
          <w:bCs/>
        </w:rPr>
        <w:t>20</w:t>
      </w:r>
      <w:r>
        <w:rPr>
          <w:rFonts w:ascii="Book Antiqua" w:eastAsia="Book Antiqua" w:hAnsi="Book Antiqua" w:cs="Book Antiqua"/>
        </w:rPr>
        <w:t>: 409-426 [PMID: 28660302 DOI: 10.1007/s10456-017-9562-9]</w:t>
      </w:r>
    </w:p>
    <w:p w14:paraId="2EEA72AA"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Fukumura D</w:t>
      </w:r>
      <w:r>
        <w:rPr>
          <w:rFonts w:ascii="Book Antiqua" w:eastAsia="Book Antiqua" w:hAnsi="Book Antiqua" w:cs="Book Antiqua"/>
        </w:rPr>
        <w:t xml:space="preserve">, Kloepper J, Amoozgar Z, Duda DG, Jain RK. Enhancing cancer immunotherapy using antiangiogenics: opportunities and challenges. </w:t>
      </w:r>
      <w:r>
        <w:rPr>
          <w:rFonts w:ascii="Book Antiqua" w:eastAsia="Book Antiqua" w:hAnsi="Book Antiqua" w:cs="Book Antiqua"/>
          <w:i/>
          <w:iCs/>
        </w:rPr>
        <w:t>Nat Rev Clin Oncol</w:t>
      </w:r>
      <w:r>
        <w:rPr>
          <w:rFonts w:ascii="Book Antiqua" w:eastAsia="Book Antiqua" w:hAnsi="Book Antiqua" w:cs="Book Antiqua"/>
        </w:rPr>
        <w:t xml:space="preserve"> 2018; </w:t>
      </w:r>
      <w:r>
        <w:rPr>
          <w:rFonts w:ascii="Book Antiqua" w:eastAsia="Book Antiqua" w:hAnsi="Book Antiqua" w:cs="Book Antiqua"/>
          <w:b/>
          <w:bCs/>
        </w:rPr>
        <w:t>15</w:t>
      </w:r>
      <w:r>
        <w:rPr>
          <w:rFonts w:ascii="Book Antiqua" w:eastAsia="Book Antiqua" w:hAnsi="Book Antiqua" w:cs="Book Antiqua"/>
        </w:rPr>
        <w:t>: 325-340 [PMID: 29508855 DOI: 10.1038/nrclinonc.2018.29]</w:t>
      </w:r>
    </w:p>
    <w:p w14:paraId="733DB786"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Ramjiawan RR</w:t>
      </w:r>
      <w:r>
        <w:rPr>
          <w:rFonts w:ascii="Book Antiqua" w:eastAsia="Book Antiqua" w:hAnsi="Book Antiqua" w:cs="Book Antiqua"/>
        </w:rPr>
        <w:t xml:space="preserve">, Griffioen AW, Duda DG. Anti-angiogenesis for cancer revisited: Is there a role for combinations with immunotherapy? </w:t>
      </w:r>
      <w:r>
        <w:rPr>
          <w:rFonts w:ascii="Book Antiqua" w:eastAsia="Book Antiqua" w:hAnsi="Book Antiqua" w:cs="Book Antiqua"/>
          <w:i/>
          <w:iCs/>
        </w:rPr>
        <w:t>Angiogenesis</w:t>
      </w:r>
      <w:r>
        <w:rPr>
          <w:rFonts w:ascii="Book Antiqua" w:eastAsia="Book Antiqua" w:hAnsi="Book Antiqua" w:cs="Book Antiqua"/>
        </w:rPr>
        <w:t xml:space="preserve"> 2017; </w:t>
      </w:r>
      <w:r>
        <w:rPr>
          <w:rFonts w:ascii="Book Antiqua" w:eastAsia="Book Antiqua" w:hAnsi="Book Antiqua" w:cs="Book Antiqua"/>
          <w:b/>
          <w:bCs/>
        </w:rPr>
        <w:t>20</w:t>
      </w:r>
      <w:r>
        <w:rPr>
          <w:rFonts w:ascii="Book Antiqua" w:eastAsia="Book Antiqua" w:hAnsi="Book Antiqua" w:cs="Book Antiqua"/>
        </w:rPr>
        <w:t>: 185-204 [PMID: 28361267 DOI: 10.1007/s10456-017-9552-y]</w:t>
      </w:r>
    </w:p>
    <w:p w14:paraId="21B692BB"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Reck M</w:t>
      </w:r>
      <w:r>
        <w:rPr>
          <w:rFonts w:ascii="Book Antiqua" w:eastAsia="Book Antiqua" w:hAnsi="Book Antiqua" w:cs="Book Antiqua"/>
        </w:rPr>
        <w:t xml:space="preserve">, Mok TSK, Nishio M, Jotte RM, Cappuzzo F, Orlandi F, Stroyakovskiy D, Nogami N, Rodríguez-Abreu D, Moro-Sibilot D, Thomas CA, Barlesi F, Finley G, Lee A, </w:t>
      </w:r>
      <w:r>
        <w:rPr>
          <w:rFonts w:ascii="Book Antiqua" w:eastAsia="Book Antiqua" w:hAnsi="Book Antiqua" w:cs="Book Antiqua"/>
        </w:rPr>
        <w:lastRenderedPageBreak/>
        <w:t xml:space="preserve">Coleman S, Deng Y, Kowanetz M, Shankar G, Lin W, Socinski MA; IMpower150 Study Group. Atezolizumab plus bevacizumab and chemotherapy in non-small-cell lung cancer (IMpower150): key subgroup analyses of patients with EGFR mutations or baseline liver metastases in a randomised, open-label phase 3 trial. </w:t>
      </w:r>
      <w:r>
        <w:rPr>
          <w:rFonts w:ascii="Book Antiqua" w:eastAsia="Book Antiqua" w:hAnsi="Book Antiqua" w:cs="Book Antiqua"/>
          <w:i/>
          <w:iCs/>
        </w:rPr>
        <w:t>Lancet Respir Med</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387-401 [PMID: 30922878 DOI: 10.1016/S2213-2600(19)30084-0]</w:t>
      </w:r>
    </w:p>
    <w:p w14:paraId="7427DDEE"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He W</w:t>
      </w:r>
      <w:r>
        <w:rPr>
          <w:rFonts w:ascii="Book Antiqua" w:eastAsia="Book Antiqua" w:hAnsi="Book Antiqua" w:cs="Book Antiqua"/>
        </w:rPr>
        <w:t xml:space="preserve">, Leng X, Mao T, Luo X, Zhou L, Yan J, Peng L, Fang Q, Liu G, Wei X, Wang K, Wang C, Zhang S, Zhang X, Shen X, Huang D, Yi H, Bei T, She X, Xiao W, Han Y. Toripalimab Plus Paclitaxel and Carboplatin as Neoadjuvant Therapy in Locally Advanced Resectable Esophageal Squamous Cell Carcinoma. </w:t>
      </w:r>
      <w:r>
        <w:rPr>
          <w:rFonts w:ascii="Book Antiqua" w:eastAsia="Book Antiqua" w:hAnsi="Book Antiqua" w:cs="Book Antiqua"/>
          <w:i/>
          <w:iCs/>
        </w:rPr>
        <w:t>Oncologist</w:t>
      </w:r>
      <w:r>
        <w:rPr>
          <w:rFonts w:ascii="Book Antiqua" w:eastAsia="Book Antiqua" w:hAnsi="Book Antiqua" w:cs="Book Antiqua"/>
        </w:rPr>
        <w:t xml:space="preserve"> 2022; </w:t>
      </w:r>
      <w:r>
        <w:rPr>
          <w:rFonts w:ascii="Book Antiqua" w:eastAsia="Book Antiqua" w:hAnsi="Book Antiqua" w:cs="Book Antiqua"/>
          <w:b/>
          <w:bCs/>
        </w:rPr>
        <w:t>27</w:t>
      </w:r>
      <w:r>
        <w:rPr>
          <w:rFonts w:ascii="Book Antiqua" w:eastAsia="Book Antiqua" w:hAnsi="Book Antiqua" w:cs="Book Antiqua"/>
        </w:rPr>
        <w:t>: e18-e28 [PMID: 35305102 DOI: 10.1093/oncolo/oyab011]</w:t>
      </w:r>
    </w:p>
    <w:p w14:paraId="3879F709"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Han C</w:t>
      </w:r>
      <w:r>
        <w:rPr>
          <w:rFonts w:ascii="Book Antiqua" w:eastAsia="Book Antiqua" w:hAnsi="Book Antiqua" w:cs="Book Antiqua"/>
        </w:rPr>
        <w:t xml:space="preserve">, Ye S, Hu C, Shen L, Qin Q, Bai Y, Yang S, Bai C, Zang A, Jiao S, Bai L. Clinical Activity and Safety of Penpulimab (Anti-PD-1) With Anlotinib as First-Line Therapy for Unresectable Hepatocellular Carcinoma: An Open-Label, Multicenter, Phase Ib/II Trial (AK105-203).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684867 [PMID: 34327136 DOI: 10.3389/fonc.2021.684867]</w:t>
      </w:r>
    </w:p>
    <w:p w14:paraId="3A06EC9C" w14:textId="77777777" w:rsidR="002960F5" w:rsidRDefault="002960F5">
      <w:pPr>
        <w:adjustRightInd w:val="0"/>
        <w:snapToGrid w:val="0"/>
        <w:spacing w:line="360" w:lineRule="auto"/>
        <w:jc w:val="both"/>
        <w:rPr>
          <w:rFonts w:ascii="Book Antiqua" w:hAnsi="Book Antiqua" w:cs="Book Antiqua"/>
        </w:rPr>
        <w:sectPr w:rsidR="002960F5">
          <w:pgSz w:w="12240" w:h="15840"/>
          <w:pgMar w:top="1440" w:right="1440" w:bottom="1440" w:left="1440" w:header="720" w:footer="720" w:gutter="0"/>
          <w:cols w:space="720"/>
          <w:docGrid w:linePitch="360"/>
        </w:sectPr>
      </w:pPr>
    </w:p>
    <w:p w14:paraId="36AFFC6E"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1873E70C" w14:textId="77777777" w:rsidR="002960F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31737E18" w14:textId="77777777" w:rsidR="002960F5" w:rsidRDefault="002960F5">
      <w:pPr>
        <w:adjustRightInd w:val="0"/>
        <w:snapToGrid w:val="0"/>
        <w:spacing w:line="360" w:lineRule="auto"/>
        <w:jc w:val="both"/>
        <w:rPr>
          <w:rFonts w:ascii="Book Antiqua" w:hAnsi="Book Antiqua" w:cs="Book Antiqua"/>
        </w:rPr>
      </w:pPr>
    </w:p>
    <w:p w14:paraId="36B9242E" w14:textId="77777777" w:rsidR="002960F5" w:rsidRDefault="00000000">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rPr>
        <w:t xml:space="preserve">Conflict-of-interest statement: </w:t>
      </w:r>
      <w:r>
        <w:rPr>
          <w:rFonts w:ascii="Book Antiqua" w:hAnsi="Book Antiqua" w:cs="TimesNewRomanPSMT"/>
          <w:lang w:val="en-GB"/>
        </w:rPr>
        <w:t>The authors declare that they have no conflict of interest.</w:t>
      </w:r>
    </w:p>
    <w:p w14:paraId="77ADBACB" w14:textId="77777777" w:rsidR="002960F5" w:rsidRDefault="002960F5">
      <w:pPr>
        <w:adjustRightInd w:val="0"/>
        <w:snapToGrid w:val="0"/>
        <w:spacing w:line="360" w:lineRule="auto"/>
        <w:jc w:val="both"/>
        <w:rPr>
          <w:rFonts w:ascii="Book Antiqua" w:hAnsi="Book Antiqua" w:cs="Book Antiqua"/>
        </w:rPr>
      </w:pPr>
    </w:p>
    <w:p w14:paraId="5EE405E4" w14:textId="77777777" w:rsidR="002960F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6CC2D750" w14:textId="77777777" w:rsidR="002960F5" w:rsidRDefault="002960F5">
      <w:pPr>
        <w:adjustRightInd w:val="0"/>
        <w:snapToGrid w:val="0"/>
        <w:spacing w:line="360" w:lineRule="auto"/>
        <w:jc w:val="both"/>
        <w:rPr>
          <w:rFonts w:ascii="Book Antiqua" w:eastAsia="Book Antiqua" w:hAnsi="Book Antiqua" w:cs="Book Antiqua"/>
        </w:rPr>
      </w:pPr>
    </w:p>
    <w:p w14:paraId="09CB0FF4"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2FA8BB" w14:textId="77777777" w:rsidR="002960F5" w:rsidRDefault="002960F5">
      <w:pPr>
        <w:adjustRightInd w:val="0"/>
        <w:snapToGrid w:val="0"/>
        <w:spacing w:line="360" w:lineRule="auto"/>
        <w:jc w:val="both"/>
        <w:rPr>
          <w:rFonts w:ascii="Book Antiqua" w:hAnsi="Book Antiqua" w:cs="Book Antiqua"/>
        </w:rPr>
      </w:pPr>
    </w:p>
    <w:p w14:paraId="1568E467" w14:textId="77777777" w:rsidR="002960F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40F0E6B" w14:textId="77777777" w:rsidR="002960F5" w:rsidRDefault="002960F5">
      <w:pPr>
        <w:adjustRightInd w:val="0"/>
        <w:snapToGrid w:val="0"/>
        <w:spacing w:line="360" w:lineRule="auto"/>
        <w:jc w:val="both"/>
        <w:rPr>
          <w:rFonts w:ascii="Book Antiqua" w:eastAsia="Book Antiqua" w:hAnsi="Book Antiqua" w:cs="Book Antiqua"/>
        </w:rPr>
      </w:pPr>
    </w:p>
    <w:p w14:paraId="00A91842"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2145957" w14:textId="77777777" w:rsidR="002960F5" w:rsidRDefault="002960F5">
      <w:pPr>
        <w:adjustRightInd w:val="0"/>
        <w:snapToGrid w:val="0"/>
        <w:spacing w:line="360" w:lineRule="auto"/>
        <w:jc w:val="both"/>
        <w:rPr>
          <w:rFonts w:ascii="Book Antiqua" w:hAnsi="Book Antiqua" w:cs="Book Antiqua"/>
        </w:rPr>
      </w:pPr>
    </w:p>
    <w:p w14:paraId="11B455B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June 13, 2023</w:t>
      </w:r>
    </w:p>
    <w:p w14:paraId="4E4A380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8, 2023</w:t>
      </w:r>
    </w:p>
    <w:p w14:paraId="10556FB8" w14:textId="581F7CF8"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EE66B1" w:rsidRPr="001249B1">
        <w:rPr>
          <w:rFonts w:ascii="Book Antiqua" w:eastAsia="Book Antiqua" w:hAnsi="Book Antiqua" w:cs="Book Antiqua"/>
        </w:rPr>
        <w:t>August 23, 2023</w:t>
      </w:r>
    </w:p>
    <w:p w14:paraId="38AB9845" w14:textId="77777777" w:rsidR="002960F5" w:rsidRDefault="002960F5">
      <w:pPr>
        <w:adjustRightInd w:val="0"/>
        <w:snapToGrid w:val="0"/>
        <w:spacing w:line="360" w:lineRule="auto"/>
        <w:jc w:val="both"/>
        <w:rPr>
          <w:rFonts w:ascii="Book Antiqua" w:hAnsi="Book Antiqua" w:cs="Book Antiqua"/>
        </w:rPr>
      </w:pPr>
    </w:p>
    <w:p w14:paraId="29FD7246" w14:textId="77777777" w:rsidR="002960F5"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7B15ADC9"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9B8E75E"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1590B1A1"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6AFB34F8"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B (Very good): B</w:t>
      </w:r>
    </w:p>
    <w:p w14:paraId="422BF2D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2B113AB1"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D</w:t>
      </w:r>
    </w:p>
    <w:p w14:paraId="4F055E6F"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1C04A2C4" w14:textId="77777777" w:rsidR="002960F5" w:rsidRDefault="002960F5">
      <w:pPr>
        <w:adjustRightInd w:val="0"/>
        <w:snapToGrid w:val="0"/>
        <w:spacing w:line="360" w:lineRule="auto"/>
        <w:jc w:val="both"/>
        <w:rPr>
          <w:rFonts w:ascii="Book Antiqua" w:hAnsi="Book Antiqua" w:cs="Book Antiqua"/>
        </w:rPr>
      </w:pPr>
    </w:p>
    <w:p w14:paraId="6BEE1D25" w14:textId="77777777" w:rsidR="002960F5" w:rsidRDefault="00000000">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Christodoulidis G, Greece; Nagahara H, Japan</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EE66B1" w:rsidRPr="00EE66B1">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EE66B1" w:rsidRPr="00EE66B1">
        <w:t xml:space="preserve"> </w:t>
      </w:r>
      <w:r w:rsidR="00EE66B1" w:rsidRPr="00EE66B1">
        <w:rPr>
          <w:rFonts w:ascii="Book Antiqua" w:eastAsia="Book Antiqua" w:hAnsi="Book Antiqua" w:cs="Book Antiqua"/>
          <w:bCs/>
          <w:color w:val="000000"/>
        </w:rPr>
        <w:t>Cai YX</w:t>
      </w:r>
      <w:r w:rsidRPr="00EE66B1">
        <w:rPr>
          <w:rFonts w:ascii="Book Antiqua" w:eastAsia="Book Antiqua" w:hAnsi="Book Antiqua" w:cs="Book Antiqua"/>
          <w:bCs/>
          <w:color w:val="000000"/>
        </w:rPr>
        <w:t xml:space="preserve"> </w:t>
      </w:r>
    </w:p>
    <w:p w14:paraId="78E4F5E4" w14:textId="44A39E9C" w:rsidR="00EE66B1" w:rsidRDefault="00EE66B1">
      <w:pPr>
        <w:adjustRightInd w:val="0"/>
        <w:snapToGrid w:val="0"/>
        <w:spacing w:line="360" w:lineRule="auto"/>
        <w:jc w:val="both"/>
        <w:rPr>
          <w:rFonts w:ascii="Book Antiqua" w:hAnsi="Book Antiqua" w:cs="Book Antiqua"/>
        </w:rPr>
        <w:sectPr w:rsidR="00EE66B1">
          <w:pgSz w:w="12240" w:h="15840"/>
          <w:pgMar w:top="1440" w:right="1440" w:bottom="1440" w:left="1440" w:header="720" w:footer="720" w:gutter="0"/>
          <w:cols w:space="720"/>
          <w:docGrid w:linePitch="360"/>
        </w:sectPr>
      </w:pPr>
    </w:p>
    <w:p w14:paraId="02BA30FB" w14:textId="77777777" w:rsidR="002960F5"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14:paraId="3BF5B81E" w14:textId="1C39741D" w:rsidR="002960F5" w:rsidRDefault="004F3D60">
      <w:pPr>
        <w:adjustRightInd w:val="0"/>
        <w:snapToGrid w:val="0"/>
        <w:spacing w:line="360" w:lineRule="auto"/>
        <w:jc w:val="center"/>
        <w:rPr>
          <w:rFonts w:ascii="Book Antiqua" w:eastAsia="Book Antiqua" w:hAnsi="Book Antiqua" w:cs="Book Antiqua"/>
          <w:b/>
          <w:bCs/>
          <w:color w:val="000000"/>
        </w:rPr>
      </w:pPr>
      <w:r>
        <w:rPr>
          <w:noProof/>
        </w:rPr>
        <w:drawing>
          <wp:inline distT="0" distB="0" distL="0" distR="0" wp14:anchorId="5F0DD6B3" wp14:editId="54742FAE">
            <wp:extent cx="4218305" cy="4398010"/>
            <wp:effectExtent l="0" t="0" r="0" b="0"/>
            <wp:docPr id="5499055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8305" cy="4398010"/>
                    </a:xfrm>
                    <a:prstGeom prst="rect">
                      <a:avLst/>
                    </a:prstGeom>
                    <a:noFill/>
                    <a:ln>
                      <a:noFill/>
                    </a:ln>
                  </pic:spPr>
                </pic:pic>
              </a:graphicData>
            </a:graphic>
          </wp:inline>
        </w:drawing>
      </w:r>
    </w:p>
    <w:p w14:paraId="5CA533CF"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Results of endoscopy. </w:t>
      </w:r>
      <w:r>
        <w:rPr>
          <w:rFonts w:ascii="Book Antiqua" w:eastAsia="Book Antiqua" w:hAnsi="Book Antiqua" w:cs="Book Antiqua"/>
          <w:color w:val="000000"/>
        </w:rPr>
        <w:t>A: The lesion located at the middle and lower parts of the esophagus before therapy; B: Image after endoscopic biopsy; C: Tumor shrank or disappeared after 3 mo of combined toripalimab and anlotinib therapy; D: Staining magnifying endoscope after 3 mo of the combination therapy.</w:t>
      </w:r>
    </w:p>
    <w:p w14:paraId="48C18608" w14:textId="77777777" w:rsidR="002960F5" w:rsidRDefault="002960F5">
      <w:pPr>
        <w:adjustRightInd w:val="0"/>
        <w:snapToGrid w:val="0"/>
        <w:spacing w:line="360" w:lineRule="auto"/>
        <w:jc w:val="both"/>
        <w:rPr>
          <w:rFonts w:ascii="Book Antiqua" w:eastAsia="Book Antiqua" w:hAnsi="Book Antiqua" w:cs="Book Antiqua"/>
          <w:color w:val="000000"/>
        </w:rPr>
      </w:pPr>
    </w:p>
    <w:p w14:paraId="433FC815" w14:textId="045B5D8D" w:rsidR="002960F5" w:rsidRDefault="004F3D60">
      <w:pPr>
        <w:adjustRightInd w:val="0"/>
        <w:snapToGrid w:val="0"/>
        <w:spacing w:line="360" w:lineRule="auto"/>
        <w:jc w:val="center"/>
        <w:rPr>
          <w:rFonts w:ascii="Book Antiqua" w:eastAsia="Book Antiqua" w:hAnsi="Book Antiqua" w:cs="Book Antiqua"/>
          <w:color w:val="000000"/>
        </w:rPr>
      </w:pPr>
      <w:r>
        <w:rPr>
          <w:noProof/>
        </w:rPr>
        <w:lastRenderedPageBreak/>
        <w:drawing>
          <wp:inline distT="0" distB="0" distL="0" distR="0" wp14:anchorId="32DCEFF8" wp14:editId="7FD97541">
            <wp:extent cx="5628005" cy="3891915"/>
            <wp:effectExtent l="0" t="0" r="0" b="0"/>
            <wp:docPr id="16503492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005" cy="3891915"/>
                    </a:xfrm>
                    <a:prstGeom prst="rect">
                      <a:avLst/>
                    </a:prstGeom>
                    <a:noFill/>
                    <a:ln>
                      <a:noFill/>
                    </a:ln>
                  </pic:spPr>
                </pic:pic>
              </a:graphicData>
            </a:graphic>
          </wp:inline>
        </w:drawing>
      </w:r>
    </w:p>
    <w:p w14:paraId="00EBAC0B" w14:textId="77777777" w:rsidR="002960F5" w:rsidRDefault="00000000">
      <w:pPr>
        <w:adjustRightInd w:val="0"/>
        <w:snapToGrid w:val="0"/>
        <w:spacing w:line="360" w:lineRule="auto"/>
        <w:jc w:val="both"/>
        <w:rPr>
          <w:rFonts w:ascii="Book Antiqua" w:eastAsia="Book Antiqua" w:hAnsi="Book Antiqua" w:cs="Book Antiqua"/>
          <w:color w:val="000000"/>
          <w:shd w:val="clear" w:color="auto" w:fill="FFFF00"/>
        </w:rPr>
      </w:pPr>
      <w:r>
        <w:rPr>
          <w:rFonts w:ascii="Book Antiqua" w:eastAsia="Book Antiqua" w:hAnsi="Book Antiqua" w:cs="Book Antiqua"/>
          <w:b/>
          <w:bCs/>
          <w:color w:val="000000"/>
        </w:rPr>
        <w:t>Figure 2 Histopathological examination by hematoxylin</w:t>
      </w:r>
      <w:r>
        <w:rPr>
          <w:rFonts w:ascii="Book Antiqua" w:eastAsia="宋体" w:hAnsi="Book Antiqua" w:cs="Book Antiqua"/>
          <w:b/>
          <w:bCs/>
          <w:color w:val="000000"/>
          <w:lang w:eastAsia="zh-CN"/>
        </w:rPr>
        <w:t>-</w:t>
      </w:r>
      <w:r>
        <w:rPr>
          <w:rFonts w:ascii="Book Antiqua" w:eastAsia="Book Antiqua" w:hAnsi="Book Antiqua" w:cs="Book Antiqua"/>
          <w:b/>
          <w:bCs/>
          <w:color w:val="000000"/>
        </w:rPr>
        <w:t>eosin staining.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A</w:t>
      </w:r>
      <w:r>
        <w:rPr>
          <w:rFonts w:ascii="Book Antiqua" w:eastAsia="宋体" w:hAnsi="Book Antiqua" w:cs="Book Antiqua"/>
          <w:color w:val="000000"/>
          <w:lang w:eastAsia="zh-CN"/>
        </w:rPr>
        <w:t xml:space="preserve"> and</w:t>
      </w:r>
      <w:r>
        <w:rPr>
          <w:rFonts w:ascii="Book Antiqua" w:eastAsia="Book Antiqua" w:hAnsi="Book Antiqua" w:cs="Book Antiqua"/>
          <w:color w:val="000000"/>
        </w:rPr>
        <w:t xml:space="preserve"> B</w:t>
      </w:r>
      <w:r>
        <w:rPr>
          <w:rFonts w:ascii="Book Antiqua" w:eastAsia="宋体" w:hAnsi="Book Antiqua" w:cs="Book Antiqua"/>
          <w:color w:val="000000"/>
          <w:lang w:eastAsia="zh-CN"/>
        </w:rPr>
        <w:t>:</w:t>
      </w:r>
      <w:r>
        <w:rPr>
          <w:rFonts w:ascii="Book Antiqua" w:eastAsia="Book Antiqua" w:hAnsi="Book Antiqua" w:cs="Book Antiqua"/>
          <w:color w:val="000000"/>
        </w:rPr>
        <w:t xml:space="preserve"> Heterogeneous proliferation of tissue squamous epithelium. The heterogeneous cells break through the basement membrane and infiltrate below the mesenchyme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(40</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200</w:t>
      </w:r>
      <w:r>
        <w:rPr>
          <w:rFonts w:ascii="Book Antiqua" w:eastAsia="宋体" w:hAnsi="Book Antiqua" w:cs="Book Antiqua"/>
          <w:color w:val="000000"/>
          <w:lang w:eastAsia="zh-CN"/>
        </w:rPr>
        <w:t xml:space="preserve"> </w:t>
      </w:r>
      <w:r>
        <w:rPr>
          <w:rFonts w:ascii="Book Antiqua" w:eastAsia="Book Antiqua" w:hAnsi="Book Antiqua" w:cs="Book Antiqua"/>
          <w:color w:val="000000"/>
        </w:rPr>
        <w:t>×); C</w:t>
      </w:r>
      <w:r>
        <w:rPr>
          <w:rFonts w:ascii="Book Antiqua" w:eastAsia="宋体" w:hAnsi="Book Antiqua" w:cs="Book Antiqua" w:hint="eastAsia"/>
          <w:color w:val="000000"/>
          <w:lang w:eastAsia="zh-CN"/>
        </w:rPr>
        <w:t xml:space="preserve"> and D</w:t>
      </w:r>
      <w:r>
        <w:rPr>
          <w:rFonts w:ascii="Book Antiqua" w:eastAsia="Book Antiqua" w:hAnsi="Book Antiqua" w:cs="Book Antiqua"/>
          <w:color w:val="000000"/>
        </w:rPr>
        <w:t>: The squamous epithelial cells were markedly heterogeneous and showed infiltrative growth, and a little lymphoid tissue was seen in their periphery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(40</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200</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p>
    <w:p w14:paraId="6C33D060" w14:textId="77777777" w:rsidR="002960F5" w:rsidRDefault="002960F5">
      <w:pPr>
        <w:adjustRightInd w:val="0"/>
        <w:snapToGrid w:val="0"/>
        <w:spacing w:line="360" w:lineRule="auto"/>
        <w:jc w:val="both"/>
        <w:rPr>
          <w:rFonts w:ascii="Book Antiqua" w:eastAsia="Book Antiqua" w:hAnsi="Book Antiqua" w:cs="Book Antiqua"/>
          <w:color w:val="000000"/>
          <w:shd w:val="clear" w:color="auto" w:fill="FFFF00"/>
        </w:rPr>
      </w:pPr>
    </w:p>
    <w:p w14:paraId="1ACDDD6D" w14:textId="538075DA" w:rsidR="002960F5" w:rsidRDefault="004F3D60">
      <w:pPr>
        <w:adjustRightInd w:val="0"/>
        <w:snapToGrid w:val="0"/>
        <w:spacing w:line="360" w:lineRule="auto"/>
        <w:jc w:val="both"/>
        <w:rPr>
          <w:rFonts w:ascii="Book Antiqua" w:eastAsia="Book Antiqua" w:hAnsi="Book Antiqua" w:cs="Book Antiqua"/>
          <w:color w:val="000000"/>
          <w:shd w:val="clear" w:color="auto" w:fill="FFFF00"/>
        </w:rPr>
      </w:pPr>
      <w:r>
        <w:rPr>
          <w:noProof/>
        </w:rPr>
        <w:lastRenderedPageBreak/>
        <w:drawing>
          <wp:inline distT="0" distB="0" distL="0" distR="0" wp14:anchorId="6E280ADB" wp14:editId="7AA0A4A6">
            <wp:extent cx="5769610" cy="7810500"/>
            <wp:effectExtent l="0" t="0" r="0" b="0"/>
            <wp:docPr id="593664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9610" cy="7810500"/>
                    </a:xfrm>
                    <a:prstGeom prst="rect">
                      <a:avLst/>
                    </a:prstGeom>
                    <a:noFill/>
                    <a:ln>
                      <a:noFill/>
                    </a:ln>
                  </pic:spPr>
                </pic:pic>
              </a:graphicData>
            </a:graphic>
          </wp:inline>
        </w:drawing>
      </w:r>
    </w:p>
    <w:p w14:paraId="66B468D9"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3 Positron emission tomography/computed tomography scan images before the treatment. </w:t>
      </w:r>
      <w:r>
        <w:rPr>
          <w:rFonts w:ascii="Book Antiqua" w:eastAsia="Book Antiqua" w:hAnsi="Book Antiqua" w:cs="Book Antiqua"/>
          <w:color w:val="000000"/>
        </w:rPr>
        <w:t xml:space="preserve">Two hypermetabolic shadows were respectively seen in each of the lower and middle esophagus (T6-9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 and the body of the pancreas, which were diagnosed as malignancies. Multiple enlarged and hypermetabolic lymph nodes were located in the right mediastinum, hilum, surrounding pancreas, retroperitoneum, and the surrounding hepatogastric ligament.</w:t>
      </w:r>
    </w:p>
    <w:p w14:paraId="32274D43" w14:textId="77777777" w:rsidR="002960F5" w:rsidRDefault="002960F5">
      <w:pPr>
        <w:adjustRightInd w:val="0"/>
        <w:snapToGrid w:val="0"/>
        <w:spacing w:line="360" w:lineRule="auto"/>
        <w:jc w:val="both"/>
        <w:rPr>
          <w:rFonts w:ascii="Book Antiqua" w:eastAsia="Book Antiqua" w:hAnsi="Book Antiqua" w:cs="Book Antiqua"/>
          <w:color w:val="000000"/>
        </w:rPr>
      </w:pPr>
    </w:p>
    <w:p w14:paraId="28CBC38E" w14:textId="77777777" w:rsidR="002960F5" w:rsidRDefault="002960F5">
      <w:pPr>
        <w:adjustRightInd w:val="0"/>
        <w:snapToGrid w:val="0"/>
        <w:spacing w:line="360" w:lineRule="auto"/>
        <w:jc w:val="both"/>
        <w:rPr>
          <w:rFonts w:ascii="Book Antiqua" w:eastAsia="Book Antiqua" w:hAnsi="Book Antiqua" w:cs="Book Antiqua"/>
          <w:color w:val="000000"/>
        </w:rPr>
      </w:pPr>
    </w:p>
    <w:p w14:paraId="2C19EB9D" w14:textId="77777777" w:rsidR="002960F5" w:rsidRDefault="002960F5">
      <w:pPr>
        <w:adjustRightInd w:val="0"/>
        <w:snapToGrid w:val="0"/>
        <w:spacing w:line="360" w:lineRule="auto"/>
        <w:jc w:val="both"/>
        <w:rPr>
          <w:rFonts w:ascii="Book Antiqua" w:eastAsia="Book Antiqua" w:hAnsi="Book Antiqua" w:cs="Book Antiqua"/>
          <w:color w:val="000000"/>
        </w:rPr>
      </w:pPr>
    </w:p>
    <w:p w14:paraId="7970B562" w14:textId="77777777" w:rsidR="002960F5" w:rsidRDefault="002960F5">
      <w:pPr>
        <w:adjustRightInd w:val="0"/>
        <w:snapToGrid w:val="0"/>
        <w:spacing w:line="360" w:lineRule="auto"/>
        <w:jc w:val="both"/>
        <w:rPr>
          <w:rFonts w:ascii="Book Antiqua" w:eastAsia="Book Antiqua" w:hAnsi="Book Antiqua" w:cs="Book Antiqua"/>
          <w:color w:val="000000"/>
        </w:rPr>
      </w:pPr>
    </w:p>
    <w:p w14:paraId="73EB5826" w14:textId="77777777" w:rsidR="002960F5" w:rsidRDefault="002960F5">
      <w:pPr>
        <w:adjustRightInd w:val="0"/>
        <w:snapToGrid w:val="0"/>
        <w:spacing w:line="360" w:lineRule="auto"/>
        <w:jc w:val="both"/>
        <w:rPr>
          <w:rFonts w:ascii="Book Antiqua" w:eastAsia="Book Antiqua" w:hAnsi="Book Antiqua" w:cs="Book Antiqua"/>
          <w:color w:val="000000"/>
        </w:rPr>
      </w:pPr>
    </w:p>
    <w:p w14:paraId="26A1AB35" w14:textId="77777777" w:rsidR="002960F5" w:rsidRDefault="002960F5">
      <w:pPr>
        <w:adjustRightInd w:val="0"/>
        <w:snapToGrid w:val="0"/>
        <w:spacing w:line="360" w:lineRule="auto"/>
        <w:jc w:val="both"/>
        <w:rPr>
          <w:rFonts w:ascii="Book Antiqua" w:eastAsia="Book Antiqua" w:hAnsi="Book Antiqua" w:cs="Book Antiqua"/>
          <w:color w:val="000000"/>
        </w:rPr>
      </w:pPr>
    </w:p>
    <w:p w14:paraId="2331DE68" w14:textId="77777777" w:rsidR="002960F5" w:rsidRDefault="002960F5">
      <w:pPr>
        <w:adjustRightInd w:val="0"/>
        <w:snapToGrid w:val="0"/>
        <w:spacing w:line="360" w:lineRule="auto"/>
        <w:jc w:val="both"/>
        <w:rPr>
          <w:rFonts w:ascii="Book Antiqua" w:eastAsia="Book Antiqua" w:hAnsi="Book Antiqua" w:cs="Book Antiqua"/>
          <w:color w:val="000000"/>
        </w:rPr>
      </w:pPr>
    </w:p>
    <w:p w14:paraId="4B2E0091" w14:textId="455F50CE" w:rsidR="002960F5" w:rsidRDefault="004F3D60">
      <w:pPr>
        <w:adjustRightInd w:val="0"/>
        <w:snapToGrid w:val="0"/>
        <w:spacing w:line="360" w:lineRule="auto"/>
        <w:jc w:val="both"/>
        <w:rPr>
          <w:rFonts w:ascii="Book Antiqua" w:eastAsia="Book Antiqua" w:hAnsi="Book Antiqua" w:cs="Book Antiqua"/>
          <w:color w:val="000000"/>
        </w:rPr>
      </w:pPr>
      <w:r>
        <w:rPr>
          <w:noProof/>
        </w:rPr>
        <w:lastRenderedPageBreak/>
        <w:drawing>
          <wp:inline distT="0" distB="0" distL="0" distR="0" wp14:anchorId="6AB98DAF" wp14:editId="74ABB737">
            <wp:extent cx="5475605" cy="5655310"/>
            <wp:effectExtent l="0" t="0" r="0" b="0"/>
            <wp:docPr id="10838450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605" cy="5655310"/>
                    </a:xfrm>
                    <a:prstGeom prst="rect">
                      <a:avLst/>
                    </a:prstGeom>
                    <a:noFill/>
                    <a:ln>
                      <a:noFill/>
                    </a:ln>
                  </pic:spPr>
                </pic:pic>
              </a:graphicData>
            </a:graphic>
          </wp:inline>
        </w:drawing>
      </w:r>
    </w:p>
    <w:p w14:paraId="3ED88AC6" w14:textId="77777777" w:rsidR="002960F5"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Enhanced computed tomography scan images during therapy.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B: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 after combined toripalimab and anlotinib therapy, the esophagus lesion and metastatic lymph nodes shrunk; C</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D: The tumor and metastatic lymph nodes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were disappeared after 3 mo of combination therapy; E</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F: The tumor and metastatic lymph nodes have been disappeared for up to 14 mo since the initiation of combination therapy.</w:t>
      </w:r>
    </w:p>
    <w:p w14:paraId="1CB0D286" w14:textId="77777777" w:rsidR="00D13F5A" w:rsidRDefault="00D13F5A">
      <w:pPr>
        <w:adjustRightInd w:val="0"/>
        <w:snapToGrid w:val="0"/>
        <w:spacing w:line="360" w:lineRule="auto"/>
        <w:jc w:val="both"/>
        <w:rPr>
          <w:rFonts w:ascii="Book Antiqua" w:eastAsia="Book Antiqua" w:hAnsi="Book Antiqua" w:cs="Book Antiqua"/>
          <w:color w:val="000000"/>
        </w:rPr>
      </w:pPr>
    </w:p>
    <w:p w14:paraId="15F73E46" w14:textId="0D3FF110" w:rsidR="00D13F5A" w:rsidRDefault="00D13F5A">
      <w:pPr>
        <w:adjustRightInd w:val="0"/>
        <w:snapToGrid w:val="0"/>
        <w:spacing w:line="360" w:lineRule="auto"/>
        <w:jc w:val="both"/>
        <w:rPr>
          <w:rFonts w:ascii="Book Antiqua" w:eastAsia="Book Antiqua" w:hAnsi="Book Antiqua" w:cs="Book Antiqua"/>
          <w:color w:val="000000"/>
        </w:rPr>
      </w:pPr>
    </w:p>
    <w:p w14:paraId="690F97E6" w14:textId="77777777" w:rsidR="00D13F5A" w:rsidRPr="006D4EDA" w:rsidRDefault="00D13F5A" w:rsidP="00D13F5A">
      <w:pPr>
        <w:snapToGrid w:val="0"/>
        <w:ind w:leftChars="100" w:left="240"/>
        <w:jc w:val="center"/>
        <w:rPr>
          <w:rFonts w:ascii="Book Antiqua" w:hAnsi="Book Antiqua"/>
        </w:rPr>
      </w:pPr>
      <w:r>
        <w:rPr>
          <w:rFonts w:ascii="Book Antiqua" w:eastAsia="Book Antiqua" w:hAnsi="Book Antiqua" w:cs="Book Antiqua"/>
          <w:color w:val="000000"/>
        </w:rPr>
        <w:br w:type="page"/>
      </w:r>
    </w:p>
    <w:p w14:paraId="16434F63" w14:textId="77777777" w:rsidR="00D13F5A" w:rsidRPr="006D4EDA" w:rsidRDefault="00D13F5A" w:rsidP="00D13F5A">
      <w:pPr>
        <w:snapToGrid w:val="0"/>
        <w:ind w:leftChars="100" w:left="240"/>
        <w:jc w:val="center"/>
        <w:rPr>
          <w:rFonts w:ascii="Book Antiqua" w:hAnsi="Book Antiqua"/>
        </w:rPr>
      </w:pPr>
    </w:p>
    <w:p w14:paraId="2F4953F8" w14:textId="77777777" w:rsidR="00D13F5A" w:rsidRPr="006D4EDA" w:rsidRDefault="00D13F5A" w:rsidP="00D13F5A">
      <w:pPr>
        <w:snapToGrid w:val="0"/>
        <w:ind w:leftChars="100" w:left="240"/>
        <w:jc w:val="center"/>
        <w:rPr>
          <w:rFonts w:ascii="Book Antiqua" w:hAnsi="Book Antiqua"/>
        </w:rPr>
      </w:pPr>
    </w:p>
    <w:p w14:paraId="2B27241E" w14:textId="77777777" w:rsidR="00D13F5A" w:rsidRPr="006D4EDA" w:rsidRDefault="00D13F5A" w:rsidP="00D13F5A">
      <w:pPr>
        <w:snapToGrid w:val="0"/>
        <w:ind w:leftChars="100" w:left="240"/>
        <w:jc w:val="center"/>
        <w:rPr>
          <w:rFonts w:ascii="Book Antiqua" w:hAnsi="Book Antiqua"/>
        </w:rPr>
      </w:pPr>
    </w:p>
    <w:p w14:paraId="17A15044" w14:textId="77777777" w:rsidR="00D13F5A" w:rsidRPr="006D4EDA" w:rsidRDefault="00D13F5A" w:rsidP="00D13F5A">
      <w:pPr>
        <w:snapToGrid w:val="0"/>
        <w:ind w:leftChars="100" w:left="240"/>
        <w:jc w:val="center"/>
        <w:rPr>
          <w:rFonts w:ascii="Book Antiqua" w:hAnsi="Book Antiqua"/>
        </w:rPr>
      </w:pPr>
      <w:r w:rsidRPr="006D4EDA">
        <w:rPr>
          <w:rFonts w:ascii="Book Antiqua" w:hAnsi="Book Antiqua"/>
          <w:noProof/>
        </w:rPr>
        <w:drawing>
          <wp:inline distT="0" distB="0" distL="0" distR="0" wp14:anchorId="674D797B" wp14:editId="223A645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291117A" w14:textId="77777777" w:rsidR="00D13F5A" w:rsidRPr="006D4EDA" w:rsidRDefault="00D13F5A" w:rsidP="00D13F5A">
      <w:pPr>
        <w:snapToGrid w:val="0"/>
        <w:ind w:leftChars="100" w:left="240"/>
        <w:jc w:val="center"/>
        <w:rPr>
          <w:rFonts w:ascii="Book Antiqua" w:hAnsi="Book Antiqua"/>
        </w:rPr>
      </w:pPr>
    </w:p>
    <w:p w14:paraId="325847D1" w14:textId="77777777" w:rsidR="00D13F5A" w:rsidRPr="006D4EDA" w:rsidRDefault="00D13F5A" w:rsidP="00D13F5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FC7F63D" w14:textId="77777777" w:rsidR="00D13F5A" w:rsidRPr="006D4EDA" w:rsidRDefault="00D13F5A" w:rsidP="00D13F5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53E6FC8" w14:textId="77777777" w:rsidR="00D13F5A" w:rsidRPr="006D4EDA" w:rsidRDefault="00D13F5A" w:rsidP="00D13F5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7531B9B" w14:textId="77777777" w:rsidR="00D13F5A" w:rsidRPr="006D4EDA" w:rsidRDefault="00D13F5A" w:rsidP="00D13F5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A56DBE2" w14:textId="77777777" w:rsidR="00D13F5A" w:rsidRPr="006D4EDA" w:rsidRDefault="00D13F5A" w:rsidP="00D13F5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13E2705" w14:textId="77777777" w:rsidR="00D13F5A" w:rsidRPr="006D4EDA" w:rsidRDefault="00D13F5A" w:rsidP="00D13F5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86BD452" w14:textId="77777777" w:rsidR="00D13F5A" w:rsidRPr="006D4EDA" w:rsidRDefault="00D13F5A" w:rsidP="00D13F5A">
      <w:pPr>
        <w:snapToGrid w:val="0"/>
        <w:ind w:leftChars="100" w:left="240"/>
        <w:jc w:val="center"/>
        <w:rPr>
          <w:rFonts w:ascii="Book Antiqua" w:hAnsi="Book Antiqua"/>
        </w:rPr>
      </w:pPr>
    </w:p>
    <w:p w14:paraId="2BBCF7AD" w14:textId="77777777" w:rsidR="00D13F5A" w:rsidRPr="006D4EDA" w:rsidRDefault="00D13F5A" w:rsidP="00D13F5A">
      <w:pPr>
        <w:snapToGrid w:val="0"/>
        <w:ind w:leftChars="100" w:left="240"/>
        <w:jc w:val="center"/>
        <w:rPr>
          <w:rFonts w:ascii="Book Antiqua" w:hAnsi="Book Antiqua"/>
        </w:rPr>
      </w:pPr>
    </w:p>
    <w:p w14:paraId="0B766FEF" w14:textId="77777777" w:rsidR="00D13F5A" w:rsidRPr="006D4EDA" w:rsidRDefault="00D13F5A" w:rsidP="00D13F5A">
      <w:pPr>
        <w:snapToGrid w:val="0"/>
        <w:ind w:leftChars="100" w:left="240"/>
        <w:jc w:val="center"/>
        <w:rPr>
          <w:rFonts w:ascii="Book Antiqua" w:hAnsi="Book Antiqua"/>
        </w:rPr>
      </w:pPr>
    </w:p>
    <w:p w14:paraId="59B0CD42" w14:textId="77777777" w:rsidR="00D13F5A" w:rsidRPr="006D4EDA" w:rsidRDefault="00D13F5A" w:rsidP="00D13F5A">
      <w:pPr>
        <w:snapToGrid w:val="0"/>
        <w:ind w:leftChars="100" w:left="240"/>
        <w:jc w:val="center"/>
        <w:rPr>
          <w:rFonts w:ascii="Book Antiqua" w:hAnsi="Book Antiqua"/>
        </w:rPr>
      </w:pPr>
      <w:r w:rsidRPr="006D4EDA">
        <w:rPr>
          <w:rFonts w:ascii="Book Antiqua" w:hAnsi="Book Antiqua"/>
          <w:noProof/>
        </w:rPr>
        <w:drawing>
          <wp:inline distT="0" distB="0" distL="0" distR="0" wp14:anchorId="35280C5D" wp14:editId="5C6F0C7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BF47F9" w14:textId="77777777" w:rsidR="00D13F5A" w:rsidRPr="006D4EDA" w:rsidRDefault="00D13F5A" w:rsidP="00D13F5A">
      <w:pPr>
        <w:snapToGrid w:val="0"/>
        <w:ind w:leftChars="100" w:left="240"/>
        <w:jc w:val="center"/>
        <w:rPr>
          <w:rFonts w:ascii="Book Antiqua" w:hAnsi="Book Antiqua"/>
        </w:rPr>
      </w:pPr>
    </w:p>
    <w:p w14:paraId="3B3903FC" w14:textId="77777777" w:rsidR="00D13F5A" w:rsidRPr="006D4EDA" w:rsidRDefault="00D13F5A" w:rsidP="00D13F5A">
      <w:pPr>
        <w:snapToGrid w:val="0"/>
        <w:ind w:leftChars="100" w:left="240"/>
        <w:jc w:val="center"/>
        <w:rPr>
          <w:rFonts w:ascii="Book Antiqua" w:hAnsi="Book Antiqua"/>
        </w:rPr>
      </w:pPr>
    </w:p>
    <w:p w14:paraId="155A9D03" w14:textId="77777777" w:rsidR="00D13F5A" w:rsidRPr="006D4EDA" w:rsidRDefault="00D13F5A" w:rsidP="00D13F5A">
      <w:pPr>
        <w:snapToGrid w:val="0"/>
        <w:ind w:leftChars="100" w:left="240"/>
        <w:jc w:val="center"/>
        <w:rPr>
          <w:rFonts w:ascii="Book Antiqua" w:hAnsi="Book Antiqua"/>
        </w:rPr>
      </w:pPr>
    </w:p>
    <w:p w14:paraId="504633FC" w14:textId="77777777" w:rsidR="00D13F5A" w:rsidRPr="006D4EDA" w:rsidRDefault="00D13F5A" w:rsidP="00D13F5A">
      <w:pPr>
        <w:snapToGrid w:val="0"/>
        <w:ind w:leftChars="100" w:left="240"/>
        <w:jc w:val="center"/>
        <w:rPr>
          <w:rFonts w:ascii="Book Antiqua" w:hAnsi="Book Antiqua"/>
        </w:rPr>
      </w:pPr>
    </w:p>
    <w:p w14:paraId="304537B8" w14:textId="77777777" w:rsidR="00D13F5A" w:rsidRPr="006D4EDA" w:rsidRDefault="00D13F5A" w:rsidP="00D13F5A">
      <w:pPr>
        <w:snapToGrid w:val="0"/>
        <w:ind w:leftChars="100" w:left="240"/>
        <w:jc w:val="center"/>
        <w:rPr>
          <w:rFonts w:ascii="Book Antiqua" w:hAnsi="Book Antiqua"/>
        </w:rPr>
      </w:pPr>
    </w:p>
    <w:p w14:paraId="6A775A45" w14:textId="77777777" w:rsidR="00D13F5A" w:rsidRPr="006D4EDA" w:rsidRDefault="00D13F5A" w:rsidP="00D13F5A">
      <w:pPr>
        <w:snapToGrid w:val="0"/>
        <w:ind w:leftChars="100" w:left="240"/>
        <w:jc w:val="center"/>
        <w:rPr>
          <w:rFonts w:ascii="Book Antiqua" w:hAnsi="Book Antiqua"/>
        </w:rPr>
      </w:pPr>
    </w:p>
    <w:p w14:paraId="7FCEED64" w14:textId="77777777" w:rsidR="00D13F5A" w:rsidRPr="006D4EDA" w:rsidRDefault="00D13F5A" w:rsidP="00D13F5A">
      <w:pPr>
        <w:snapToGrid w:val="0"/>
        <w:ind w:leftChars="100" w:left="240"/>
        <w:jc w:val="center"/>
        <w:rPr>
          <w:rFonts w:ascii="Book Antiqua" w:hAnsi="Book Antiqua"/>
        </w:rPr>
      </w:pPr>
    </w:p>
    <w:p w14:paraId="40761DD9" w14:textId="77777777" w:rsidR="00D13F5A" w:rsidRPr="006D4EDA" w:rsidRDefault="00D13F5A" w:rsidP="00D13F5A">
      <w:pPr>
        <w:snapToGrid w:val="0"/>
        <w:ind w:leftChars="100" w:left="240"/>
        <w:jc w:val="center"/>
        <w:rPr>
          <w:rFonts w:ascii="Book Antiqua" w:hAnsi="Book Antiqua"/>
        </w:rPr>
      </w:pPr>
    </w:p>
    <w:p w14:paraId="0E63E5E0" w14:textId="77777777" w:rsidR="00D13F5A" w:rsidRPr="006D4EDA" w:rsidRDefault="00D13F5A" w:rsidP="00D13F5A">
      <w:pPr>
        <w:snapToGrid w:val="0"/>
        <w:ind w:leftChars="100" w:left="240"/>
        <w:jc w:val="center"/>
        <w:rPr>
          <w:rFonts w:ascii="Book Antiqua" w:hAnsi="Book Antiqua"/>
        </w:rPr>
      </w:pPr>
    </w:p>
    <w:p w14:paraId="29768643" w14:textId="77777777" w:rsidR="00D13F5A" w:rsidRPr="006D4EDA" w:rsidRDefault="00D13F5A" w:rsidP="00D13F5A">
      <w:pPr>
        <w:snapToGrid w:val="0"/>
        <w:ind w:leftChars="100" w:left="240"/>
        <w:jc w:val="right"/>
        <w:rPr>
          <w:rFonts w:ascii="Book Antiqua" w:hAnsi="Book Antiqua"/>
          <w:color w:val="000000" w:themeColor="text1"/>
        </w:rPr>
      </w:pPr>
    </w:p>
    <w:p w14:paraId="4309818C" w14:textId="77777777" w:rsidR="00D13F5A" w:rsidRPr="006D4EDA" w:rsidRDefault="00D13F5A" w:rsidP="00D13F5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EBB9D17" w14:textId="77777777" w:rsidR="00D13F5A" w:rsidRPr="006D4EDA" w:rsidRDefault="00D13F5A" w:rsidP="00D13F5A">
      <w:pPr>
        <w:rPr>
          <w:rFonts w:ascii="Book Antiqua" w:hAnsi="Book Antiqua" w:cs="Book Antiqua"/>
          <w:b/>
          <w:bCs/>
          <w:color w:val="000000"/>
        </w:rPr>
      </w:pPr>
    </w:p>
    <w:p w14:paraId="6C65822D" w14:textId="5E867543" w:rsidR="00D13F5A" w:rsidRDefault="00D13F5A">
      <w:pPr>
        <w:adjustRightInd w:val="0"/>
        <w:snapToGrid w:val="0"/>
        <w:spacing w:line="360" w:lineRule="auto"/>
        <w:jc w:val="both"/>
        <w:rPr>
          <w:rFonts w:ascii="Book Antiqua" w:hAnsi="Book Antiqua" w:cs="Book Antiqua"/>
        </w:rPr>
      </w:pPr>
    </w:p>
    <w:sectPr w:rsidR="00D13F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B4C62" w14:textId="77777777" w:rsidR="001936D2" w:rsidRDefault="001936D2">
      <w:r>
        <w:separator/>
      </w:r>
    </w:p>
  </w:endnote>
  <w:endnote w:type="continuationSeparator" w:id="0">
    <w:p w14:paraId="4EEB3E23" w14:textId="77777777" w:rsidR="001936D2" w:rsidRDefault="0019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575275"/>
    </w:sdtPr>
    <w:sdtEndPr>
      <w:rPr>
        <w:rFonts w:ascii="Book Antiqua" w:hAnsi="Book Antiqua"/>
      </w:rPr>
    </w:sdtEndPr>
    <w:sdtContent>
      <w:sdt>
        <w:sdtPr>
          <w:id w:val="860082579"/>
        </w:sdtPr>
        <w:sdtEndPr>
          <w:rPr>
            <w:rFonts w:ascii="Book Antiqua" w:hAnsi="Book Antiqua"/>
          </w:rPr>
        </w:sdtEndPr>
        <w:sdtContent>
          <w:p w14:paraId="5CA576D7" w14:textId="77777777" w:rsidR="002960F5" w:rsidRDefault="00000000">
            <w:pPr>
              <w:pStyle w:val="a3"/>
              <w:jc w:val="right"/>
              <w:rPr>
                <w:rFonts w:ascii="Book Antiqua" w:hAnsi="Book Antiqua"/>
              </w:rPr>
            </w:pPr>
            <w:r>
              <w:rPr>
                <w:rFonts w:ascii="Book Antiqua" w:hAnsi="Book Antiqua"/>
                <w:lang w:val="zh-CN" w:eastAsia="zh-CN"/>
              </w:rPr>
              <w:t xml:space="preserve"> </w:t>
            </w:r>
            <w:r>
              <w:rPr>
                <w:rFonts w:ascii="Book Antiqua" w:hAnsi="Book Antiqua"/>
                <w:bCs/>
                <w:sz w:val="24"/>
              </w:rPr>
              <w:fldChar w:fldCharType="begin"/>
            </w:r>
            <w:r>
              <w:rPr>
                <w:rFonts w:ascii="Book Antiqua" w:hAnsi="Book Antiqua"/>
                <w:bCs/>
              </w:rPr>
              <w:instrText>PAGE</w:instrText>
            </w:r>
            <w:r>
              <w:rPr>
                <w:rFonts w:ascii="Book Antiqua" w:hAnsi="Book Antiqua"/>
                <w:bCs/>
                <w:sz w:val="24"/>
              </w:rPr>
              <w:fldChar w:fldCharType="separate"/>
            </w:r>
            <w:r>
              <w:rPr>
                <w:rFonts w:ascii="Book Antiqua" w:hAnsi="Book Antiqua"/>
                <w:bCs/>
              </w:rPr>
              <w:t>1</w:t>
            </w:r>
            <w:r>
              <w:rPr>
                <w:rFonts w:ascii="Book Antiqua" w:hAnsi="Book Antiqua"/>
                <w:bCs/>
                <w:sz w:val="24"/>
              </w:rPr>
              <w:fldChar w:fldCharType="end"/>
            </w:r>
            <w:r>
              <w:rPr>
                <w:rFonts w:ascii="Book Antiqua" w:hAnsi="Book Antiqua"/>
                <w:lang w:val="zh-CN" w:eastAsia="zh-CN"/>
              </w:rPr>
              <w:t xml:space="preserve"> / </w:t>
            </w:r>
            <w:r>
              <w:rPr>
                <w:rFonts w:ascii="Book Antiqua" w:hAnsi="Book Antiqua"/>
                <w:bCs/>
                <w:sz w:val="24"/>
              </w:rPr>
              <w:fldChar w:fldCharType="begin"/>
            </w:r>
            <w:r>
              <w:rPr>
                <w:rFonts w:ascii="Book Antiqua" w:hAnsi="Book Antiqua"/>
                <w:bCs/>
              </w:rPr>
              <w:instrText>NUMPAGES</w:instrText>
            </w:r>
            <w:r>
              <w:rPr>
                <w:rFonts w:ascii="Book Antiqua" w:hAnsi="Book Antiqua"/>
                <w:bCs/>
                <w:sz w:val="24"/>
              </w:rPr>
              <w:fldChar w:fldCharType="separate"/>
            </w:r>
            <w:r>
              <w:rPr>
                <w:rFonts w:ascii="Book Antiqua" w:hAnsi="Book Antiqua"/>
                <w:bCs/>
              </w:rPr>
              <w:t>17</w:t>
            </w:r>
            <w:r>
              <w:rPr>
                <w:rFonts w:ascii="Book Antiqua" w:hAnsi="Book Antiqua"/>
                <w:bCs/>
                <w:sz w:val="24"/>
              </w:rPr>
              <w:fldChar w:fldCharType="end"/>
            </w:r>
          </w:p>
        </w:sdtContent>
      </w:sdt>
    </w:sdtContent>
  </w:sdt>
  <w:p w14:paraId="52CD02D3" w14:textId="77777777" w:rsidR="002960F5" w:rsidRDefault="002960F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5011C" w14:textId="77777777" w:rsidR="001936D2" w:rsidRDefault="001936D2">
      <w:r>
        <w:separator/>
      </w:r>
    </w:p>
  </w:footnote>
  <w:footnote w:type="continuationSeparator" w:id="0">
    <w:p w14:paraId="1921F6B2" w14:textId="77777777" w:rsidR="001936D2" w:rsidRDefault="001936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1249B1"/>
    <w:rsid w:val="00175262"/>
    <w:rsid w:val="001936D2"/>
    <w:rsid w:val="002960F5"/>
    <w:rsid w:val="00361C4D"/>
    <w:rsid w:val="004F3D60"/>
    <w:rsid w:val="00536025"/>
    <w:rsid w:val="006633B6"/>
    <w:rsid w:val="00971A38"/>
    <w:rsid w:val="00A77B3E"/>
    <w:rsid w:val="00BF706B"/>
    <w:rsid w:val="00CA2A55"/>
    <w:rsid w:val="00D13F5A"/>
    <w:rsid w:val="00EE66B1"/>
    <w:rsid w:val="00F1694E"/>
    <w:rsid w:val="00F85402"/>
    <w:rsid w:val="01A71FD9"/>
    <w:rsid w:val="03595555"/>
    <w:rsid w:val="04531FA4"/>
    <w:rsid w:val="05D47115"/>
    <w:rsid w:val="0620235A"/>
    <w:rsid w:val="072365A6"/>
    <w:rsid w:val="07EF7F4D"/>
    <w:rsid w:val="08B65C4C"/>
    <w:rsid w:val="0A0A75A9"/>
    <w:rsid w:val="0A621193"/>
    <w:rsid w:val="0B1D330C"/>
    <w:rsid w:val="0B534CB3"/>
    <w:rsid w:val="0C85560D"/>
    <w:rsid w:val="0CD914B5"/>
    <w:rsid w:val="0E395442"/>
    <w:rsid w:val="0ED2440E"/>
    <w:rsid w:val="0F0E18EA"/>
    <w:rsid w:val="10973B61"/>
    <w:rsid w:val="111331E7"/>
    <w:rsid w:val="1178129C"/>
    <w:rsid w:val="1300779B"/>
    <w:rsid w:val="130B7EEE"/>
    <w:rsid w:val="13A20852"/>
    <w:rsid w:val="13EB044B"/>
    <w:rsid w:val="16443E43"/>
    <w:rsid w:val="165C118C"/>
    <w:rsid w:val="17516817"/>
    <w:rsid w:val="178D35C8"/>
    <w:rsid w:val="17A27073"/>
    <w:rsid w:val="1AC217DA"/>
    <w:rsid w:val="1C1B73F4"/>
    <w:rsid w:val="1D210A3A"/>
    <w:rsid w:val="1E1E4F79"/>
    <w:rsid w:val="1E2C58E8"/>
    <w:rsid w:val="1E694AB7"/>
    <w:rsid w:val="1E7F010E"/>
    <w:rsid w:val="1F973235"/>
    <w:rsid w:val="1FB75686"/>
    <w:rsid w:val="201E3957"/>
    <w:rsid w:val="202A5E57"/>
    <w:rsid w:val="20AE4CDA"/>
    <w:rsid w:val="20FF72E4"/>
    <w:rsid w:val="21AD6D40"/>
    <w:rsid w:val="21F04E7F"/>
    <w:rsid w:val="22010E3A"/>
    <w:rsid w:val="22A01F0E"/>
    <w:rsid w:val="22E5250A"/>
    <w:rsid w:val="23C91E2B"/>
    <w:rsid w:val="26CC7C68"/>
    <w:rsid w:val="273F48DE"/>
    <w:rsid w:val="288B3B53"/>
    <w:rsid w:val="2A84085A"/>
    <w:rsid w:val="2B2C33CC"/>
    <w:rsid w:val="2BFD08C4"/>
    <w:rsid w:val="2CD94E8D"/>
    <w:rsid w:val="2CF25F4F"/>
    <w:rsid w:val="2EA65243"/>
    <w:rsid w:val="2FA01C92"/>
    <w:rsid w:val="2FCC2A87"/>
    <w:rsid w:val="301F34FF"/>
    <w:rsid w:val="30422D49"/>
    <w:rsid w:val="31B1462B"/>
    <w:rsid w:val="31D67BED"/>
    <w:rsid w:val="338B4A07"/>
    <w:rsid w:val="367774C5"/>
    <w:rsid w:val="37215DAE"/>
    <w:rsid w:val="37710FF7"/>
    <w:rsid w:val="3810197F"/>
    <w:rsid w:val="38C764E2"/>
    <w:rsid w:val="38F27D95"/>
    <w:rsid w:val="3AC456C9"/>
    <w:rsid w:val="3B4200A1"/>
    <w:rsid w:val="3B5D137F"/>
    <w:rsid w:val="3C187054"/>
    <w:rsid w:val="3CDE204C"/>
    <w:rsid w:val="3E3D0FF4"/>
    <w:rsid w:val="3E42660A"/>
    <w:rsid w:val="3EA90437"/>
    <w:rsid w:val="3F0D6C18"/>
    <w:rsid w:val="40BF3F42"/>
    <w:rsid w:val="40C81049"/>
    <w:rsid w:val="412A5860"/>
    <w:rsid w:val="42446DF5"/>
    <w:rsid w:val="43DB1093"/>
    <w:rsid w:val="43F6411F"/>
    <w:rsid w:val="442567B2"/>
    <w:rsid w:val="469814BD"/>
    <w:rsid w:val="47A81BD4"/>
    <w:rsid w:val="4910358D"/>
    <w:rsid w:val="492360B3"/>
    <w:rsid w:val="49284D7B"/>
    <w:rsid w:val="493E459E"/>
    <w:rsid w:val="49997A26"/>
    <w:rsid w:val="4BB24DCF"/>
    <w:rsid w:val="4BC92119"/>
    <w:rsid w:val="4C7C718B"/>
    <w:rsid w:val="4D4D383A"/>
    <w:rsid w:val="4D7D140D"/>
    <w:rsid w:val="4E5E4D9B"/>
    <w:rsid w:val="4EF86F9D"/>
    <w:rsid w:val="500656EA"/>
    <w:rsid w:val="505C7A00"/>
    <w:rsid w:val="50770396"/>
    <w:rsid w:val="510A2FB8"/>
    <w:rsid w:val="52410C5B"/>
    <w:rsid w:val="5314011E"/>
    <w:rsid w:val="53650979"/>
    <w:rsid w:val="5472334E"/>
    <w:rsid w:val="553B4087"/>
    <w:rsid w:val="55766E6E"/>
    <w:rsid w:val="56892BD1"/>
    <w:rsid w:val="572528F9"/>
    <w:rsid w:val="59605E6B"/>
    <w:rsid w:val="5B01367D"/>
    <w:rsid w:val="5B6B6D49"/>
    <w:rsid w:val="5C125416"/>
    <w:rsid w:val="5C4B310C"/>
    <w:rsid w:val="5D3715D8"/>
    <w:rsid w:val="5EE70DDC"/>
    <w:rsid w:val="5EF62DCD"/>
    <w:rsid w:val="5F2C67EF"/>
    <w:rsid w:val="60123C37"/>
    <w:rsid w:val="608C5797"/>
    <w:rsid w:val="61565DA5"/>
    <w:rsid w:val="616058B1"/>
    <w:rsid w:val="62D32D75"/>
    <w:rsid w:val="633D0FCB"/>
    <w:rsid w:val="659550EE"/>
    <w:rsid w:val="6635067F"/>
    <w:rsid w:val="66EA76BB"/>
    <w:rsid w:val="66F145A6"/>
    <w:rsid w:val="67EC2FBF"/>
    <w:rsid w:val="686F60CA"/>
    <w:rsid w:val="697F058F"/>
    <w:rsid w:val="6A527A52"/>
    <w:rsid w:val="6DCC3677"/>
    <w:rsid w:val="6F3E2352"/>
    <w:rsid w:val="6FE4739E"/>
    <w:rsid w:val="700E441B"/>
    <w:rsid w:val="70253512"/>
    <w:rsid w:val="707324D0"/>
    <w:rsid w:val="72A44BC2"/>
    <w:rsid w:val="734D7008"/>
    <w:rsid w:val="737F118B"/>
    <w:rsid w:val="75047B9A"/>
    <w:rsid w:val="768C7E47"/>
    <w:rsid w:val="76EF03D6"/>
    <w:rsid w:val="772C33D8"/>
    <w:rsid w:val="77DE46D3"/>
    <w:rsid w:val="77F43EF6"/>
    <w:rsid w:val="78632E2A"/>
    <w:rsid w:val="78C57641"/>
    <w:rsid w:val="79C773E8"/>
    <w:rsid w:val="7A230AC3"/>
    <w:rsid w:val="7B615D46"/>
    <w:rsid w:val="7B707D38"/>
    <w:rsid w:val="7BFF730D"/>
    <w:rsid w:val="7C32323F"/>
    <w:rsid w:val="7C456945"/>
    <w:rsid w:val="7CD2057E"/>
    <w:rsid w:val="7D254B52"/>
    <w:rsid w:val="7DBF4FA6"/>
    <w:rsid w:val="7E4D4360"/>
    <w:rsid w:val="7E906943"/>
    <w:rsid w:val="7EFB0260"/>
    <w:rsid w:val="7F280929"/>
    <w:rsid w:val="7FFA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29241"/>
  <w15:docId w15:val="{088E58C5-C9D5-4D16-8485-82188C2FE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a4">
    <w:name w:val="页脚 字符"/>
    <w:basedOn w:val="a0"/>
    <w:link w:val="a3"/>
    <w:uiPriority w:val="99"/>
    <w:qFormat/>
    <w:rPr>
      <w:rFonts w:eastAsia="Times New Roman"/>
      <w:sz w:val="18"/>
      <w:szCs w:val="24"/>
      <w:lang w:eastAsia="en-US"/>
    </w:rPr>
  </w:style>
  <w:style w:type="paragraph" w:styleId="a6">
    <w:name w:val="Revision"/>
    <w:hidden/>
    <w:uiPriority w:val="99"/>
    <w:unhideWhenUsed/>
    <w:rsid w:val="001249B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3361</Words>
  <Characters>19164</Characters>
  <Application>Microsoft Office Word</Application>
  <DocSecurity>0</DocSecurity>
  <Lines>159</Lines>
  <Paragraphs>44</Paragraphs>
  <ScaleCrop>false</ScaleCrop>
  <Company>BPG</Company>
  <LinksUpToDate>false</LinksUpToDate>
  <CharactersWithSpaces>22481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8</cp:revision>
  <dcterms:created xsi:type="dcterms:W3CDTF">2023-08-19T06:59:00Z</dcterms:created>
  <dcterms:modified xsi:type="dcterms:W3CDTF">2023-09-15T03:57:00Z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CED72848A69A46A2A63BB4D2BFF4B630_12</vt:lpwstr>
  </property>
</Properties>
</file>