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5485C"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34C5FBAA"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86605</w:t>
      </w:r>
    </w:p>
    <w:p w14:paraId="2A54878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07E0B0B9" w14:textId="77777777" w:rsidR="00181EA5" w:rsidRDefault="00181EA5">
      <w:pPr>
        <w:adjustRightInd w:val="0"/>
        <w:snapToGrid w:val="0"/>
        <w:spacing w:line="360" w:lineRule="auto"/>
        <w:jc w:val="both"/>
        <w:rPr>
          <w:rFonts w:ascii="Book Antiqua" w:hAnsi="Book Antiqua" w:cs="Book Antiqua"/>
        </w:rPr>
      </w:pPr>
    </w:p>
    <w:p w14:paraId="51E858C9" w14:textId="77777777" w:rsidR="00181EA5"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Response of </w:t>
      </w:r>
      <w:r>
        <w:rPr>
          <w:rFonts w:ascii="Book Antiqua" w:eastAsia="宋体" w:hAnsi="Book Antiqua" w:cs="Book Antiqua"/>
          <w:b/>
          <w:bCs/>
          <w:color w:val="000000"/>
          <w:lang w:eastAsia="zh-CN"/>
        </w:rPr>
        <w:t>c</w:t>
      </w:r>
      <w:r>
        <w:rPr>
          <w:rFonts w:ascii="Book Antiqua" w:eastAsia="Book Antiqua" w:hAnsi="Book Antiqua" w:cs="Book Antiqua"/>
          <w:b/>
          <w:bCs/>
          <w:color w:val="000000"/>
        </w:rPr>
        <w:t xml:space="preserve">holangiocarcinoma with </w:t>
      </w:r>
      <w:r>
        <w:rPr>
          <w:rFonts w:ascii="Book Antiqua" w:eastAsia="宋体" w:hAnsi="Book Antiqua" w:cs="Book Antiqua"/>
          <w:b/>
          <w:bCs/>
          <w:color w:val="000000"/>
          <w:lang w:eastAsia="zh-CN"/>
        </w:rPr>
        <w:t>e</w:t>
      </w:r>
      <w:r>
        <w:rPr>
          <w:rFonts w:ascii="Book Antiqua" w:eastAsia="Book Antiqua" w:hAnsi="Book Antiqua" w:cs="Book Antiqua"/>
          <w:b/>
          <w:bCs/>
          <w:color w:val="000000"/>
        </w:rPr>
        <w:t xml:space="preserve">pigastric </w:t>
      </w:r>
      <w:r>
        <w:rPr>
          <w:rFonts w:ascii="Book Antiqua" w:eastAsia="宋体" w:hAnsi="Book Antiqua" w:cs="Book Antiqua"/>
          <w:b/>
          <w:bCs/>
          <w:color w:val="000000"/>
          <w:lang w:eastAsia="zh-CN"/>
        </w:rPr>
        <w:t>m</w:t>
      </w:r>
      <w:r>
        <w:rPr>
          <w:rFonts w:ascii="Book Antiqua" w:eastAsia="Book Antiqua" w:hAnsi="Book Antiqua" w:cs="Book Antiqua"/>
          <w:b/>
          <w:bCs/>
          <w:color w:val="000000"/>
        </w:rPr>
        <w:t xml:space="preserve">etastasis to </w:t>
      </w:r>
      <w:proofErr w:type="spellStart"/>
      <w:r>
        <w:rPr>
          <w:rFonts w:ascii="Book Antiqua" w:eastAsia="宋体" w:hAnsi="Book Antiqua" w:cs="Book Antiqua"/>
          <w:b/>
          <w:bCs/>
          <w:color w:val="000000"/>
          <w:lang w:eastAsia="zh-CN"/>
        </w:rPr>
        <w:t>l</w:t>
      </w:r>
      <w:r>
        <w:rPr>
          <w:rFonts w:ascii="Book Antiqua" w:eastAsia="Book Antiqua" w:hAnsi="Book Antiqua" w:cs="Book Antiqua"/>
          <w:b/>
          <w:bCs/>
          <w:color w:val="000000"/>
        </w:rPr>
        <w:t>envatinib</w:t>
      </w:r>
      <w:proofErr w:type="spellEnd"/>
      <w:r>
        <w:rPr>
          <w:rFonts w:ascii="Book Antiqua" w:eastAsia="Book Antiqua" w:hAnsi="Book Antiqua" w:cs="Book Antiqua"/>
          <w:b/>
          <w:bCs/>
          <w:color w:val="000000"/>
        </w:rPr>
        <w:t xml:space="preserve"> plus </w:t>
      </w:r>
      <w:proofErr w:type="spellStart"/>
      <w:r>
        <w:rPr>
          <w:rFonts w:ascii="Book Antiqua" w:eastAsia="宋体" w:hAnsi="Book Antiqua" w:cs="Book Antiqua"/>
          <w:b/>
          <w:bCs/>
          <w:color w:val="000000"/>
          <w:lang w:eastAsia="zh-CN"/>
        </w:rPr>
        <w:t>s</w:t>
      </w:r>
      <w:r>
        <w:rPr>
          <w:rFonts w:ascii="Book Antiqua" w:eastAsia="Book Antiqua" w:hAnsi="Book Antiqua" w:cs="Book Antiqua"/>
          <w:b/>
          <w:bCs/>
          <w:color w:val="000000"/>
        </w:rPr>
        <w:t>intilimab</w:t>
      </w:r>
      <w:proofErr w:type="spellEnd"/>
      <w:r>
        <w:rPr>
          <w:rFonts w:ascii="Book Antiqua" w:eastAsia="宋体" w:hAnsi="Book Antiqua" w:cs="Book Antiqua"/>
          <w:b/>
          <w:bCs/>
          <w:color w:val="000000"/>
          <w:lang w:eastAsia="zh-CN"/>
        </w:rPr>
        <w:t>: A case report and review of literature</w:t>
      </w:r>
    </w:p>
    <w:p w14:paraId="59A2FDF8" w14:textId="77777777" w:rsidR="00181EA5" w:rsidRDefault="00181EA5">
      <w:pPr>
        <w:adjustRightInd w:val="0"/>
        <w:snapToGrid w:val="0"/>
        <w:spacing w:line="360" w:lineRule="auto"/>
        <w:jc w:val="both"/>
        <w:rPr>
          <w:rFonts w:ascii="Book Antiqua" w:hAnsi="Book Antiqua" w:cs="Book Antiqua"/>
        </w:rPr>
      </w:pPr>
    </w:p>
    <w:p w14:paraId="5CF602F6" w14:textId="77777777" w:rsidR="00181EA5" w:rsidRDefault="00000000">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Luo</w:t>
      </w:r>
      <w:r>
        <w:rPr>
          <w:rFonts w:ascii="Book Antiqua" w:eastAsia="宋体" w:hAnsi="Book Antiqua" w:cs="Book Antiqua" w:hint="eastAsia"/>
          <w:color w:val="000000"/>
          <w:lang w:eastAsia="zh-CN"/>
        </w:rPr>
        <w:t xml:space="preserve"> WH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Lenvatinib plus </w:t>
      </w:r>
      <w:proofErr w:type="spellStart"/>
      <w:r>
        <w:rPr>
          <w:rFonts w:ascii="Book Antiqua" w:eastAsia="宋体" w:hAnsi="Book Antiqua" w:cs="Book Antiqua" w:hint="eastAsia"/>
          <w:color w:val="000000"/>
          <w:lang w:eastAsia="zh-CN"/>
        </w:rPr>
        <w:t>s</w:t>
      </w:r>
      <w:r>
        <w:rPr>
          <w:rFonts w:ascii="Book Antiqua" w:eastAsia="Book Antiqua" w:hAnsi="Book Antiqua" w:cs="Book Antiqua"/>
          <w:color w:val="000000"/>
        </w:rPr>
        <w:t>intilimab</w:t>
      </w:r>
      <w:proofErr w:type="spellEnd"/>
      <w:r>
        <w:rPr>
          <w:rFonts w:ascii="Book Antiqua" w:eastAsia="Book Antiqua" w:hAnsi="Book Antiqua" w:cs="Book Antiqua"/>
          <w:color w:val="000000"/>
        </w:rPr>
        <w:t xml:space="preserve"> for </w:t>
      </w:r>
      <w:r>
        <w:rPr>
          <w:rFonts w:ascii="Book Antiqua" w:eastAsia="宋体" w:hAnsi="Book Antiqua" w:cs="Book Antiqua" w:hint="eastAsia"/>
          <w:color w:val="000000"/>
          <w:lang w:eastAsia="zh-CN"/>
        </w:rPr>
        <w:t>CCA</w:t>
      </w:r>
    </w:p>
    <w:p w14:paraId="64DC7879" w14:textId="77777777" w:rsidR="00181EA5" w:rsidRDefault="00181EA5">
      <w:pPr>
        <w:adjustRightInd w:val="0"/>
        <w:snapToGrid w:val="0"/>
        <w:spacing w:line="360" w:lineRule="auto"/>
        <w:jc w:val="both"/>
        <w:rPr>
          <w:rFonts w:ascii="Book Antiqua" w:eastAsia="宋体" w:hAnsi="Book Antiqua" w:cs="Book Antiqua"/>
          <w:color w:val="000000"/>
          <w:lang w:eastAsia="zh-CN"/>
        </w:rPr>
      </w:pPr>
    </w:p>
    <w:p w14:paraId="7906A361"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Wen-Hui Luo, Shao-Jun Li, Xue-Feng Wang</w:t>
      </w:r>
    </w:p>
    <w:p w14:paraId="0EB6AFE3" w14:textId="77777777" w:rsidR="00181EA5" w:rsidRDefault="00181EA5">
      <w:pPr>
        <w:adjustRightInd w:val="0"/>
        <w:snapToGrid w:val="0"/>
        <w:spacing w:line="360" w:lineRule="auto"/>
        <w:jc w:val="both"/>
        <w:rPr>
          <w:rFonts w:ascii="Book Antiqua" w:hAnsi="Book Antiqua" w:cs="Book Antiqua"/>
        </w:rPr>
      </w:pPr>
    </w:p>
    <w:p w14:paraId="11863D75" w14:textId="77777777" w:rsidR="00181EA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Wen-Hui Luo, Shao-Jun Li, Xue-Feng Wang, </w:t>
      </w:r>
      <w:r>
        <w:rPr>
          <w:rFonts w:ascii="Book Antiqua" w:eastAsia="Book Antiqua" w:hAnsi="Book Antiqua" w:cs="Book Antiqua"/>
          <w:color w:val="000000"/>
        </w:rPr>
        <w:t xml:space="preserve">The Second Department of Hepatobiliary Surgery, Yantai </w:t>
      </w:r>
      <w:proofErr w:type="spellStart"/>
      <w:r>
        <w:rPr>
          <w:rFonts w:ascii="Book Antiqua" w:eastAsia="Book Antiqua" w:hAnsi="Book Antiqua" w:cs="Book Antiqua"/>
          <w:color w:val="000000"/>
        </w:rPr>
        <w:t>Yuhuangding</w:t>
      </w:r>
      <w:proofErr w:type="spellEnd"/>
      <w:r>
        <w:rPr>
          <w:rFonts w:ascii="Book Antiqua" w:eastAsia="Book Antiqua" w:hAnsi="Book Antiqua" w:cs="Book Antiqua"/>
          <w:color w:val="000000"/>
        </w:rPr>
        <w:t xml:space="preserve"> Hospital, Yantai 264000, Shandong Province, China</w:t>
      </w:r>
    </w:p>
    <w:p w14:paraId="65F06880" w14:textId="77777777" w:rsidR="00181EA5" w:rsidRDefault="00181EA5">
      <w:pPr>
        <w:adjustRightInd w:val="0"/>
        <w:snapToGrid w:val="0"/>
        <w:spacing w:line="360" w:lineRule="auto"/>
        <w:jc w:val="both"/>
        <w:rPr>
          <w:rFonts w:ascii="Book Antiqua" w:eastAsia="Book Antiqua" w:hAnsi="Book Antiqua" w:cs="Book Antiqua"/>
          <w:color w:val="000000"/>
        </w:rPr>
      </w:pPr>
    </w:p>
    <w:p w14:paraId="52E5DCC7" w14:textId="77777777" w:rsidR="00181EA5" w:rsidRDefault="00000000">
      <w:pPr>
        <w:adjustRightInd w:val="0"/>
        <w:snapToGrid w:val="0"/>
        <w:spacing w:line="360" w:lineRule="auto"/>
        <w:jc w:val="both"/>
        <w:rPr>
          <w:rFonts w:ascii="Book Antiqua" w:hAnsi="Book Antiqua" w:cs="Book Antiqua"/>
        </w:rPr>
      </w:pPr>
      <w:r>
        <w:rPr>
          <w:rFonts w:ascii="Book Antiqua" w:hAnsi="Book Antiqua" w:cs="Book Antiqua"/>
          <w:b/>
          <w:bCs/>
        </w:rPr>
        <w:t xml:space="preserve">Co-first authors: </w:t>
      </w:r>
      <w:r>
        <w:rPr>
          <w:rFonts w:ascii="Book Antiqua" w:eastAsia="Book Antiqua" w:hAnsi="Book Antiqua" w:cs="Book Antiqua"/>
          <w:color w:val="000000"/>
        </w:rPr>
        <w:t>Wen-Hui Luo</w:t>
      </w:r>
      <w:r>
        <w:rPr>
          <w:rFonts w:ascii="Book Antiqua" w:hAnsi="Book Antiqua" w:cs="Book Antiqua"/>
        </w:rPr>
        <w:t xml:space="preserve"> and </w:t>
      </w:r>
      <w:r>
        <w:rPr>
          <w:rFonts w:ascii="Book Antiqua" w:eastAsia="Book Antiqua" w:hAnsi="Book Antiqua" w:cs="Book Antiqua"/>
          <w:color w:val="000000"/>
        </w:rPr>
        <w:t>Shao-Jun Li</w:t>
      </w:r>
      <w:r>
        <w:rPr>
          <w:rFonts w:ascii="Book Antiqua" w:hAnsi="Book Antiqua" w:cs="Book Antiqua"/>
        </w:rPr>
        <w:t>.</w:t>
      </w:r>
    </w:p>
    <w:p w14:paraId="575395CF" w14:textId="77777777" w:rsidR="00181EA5" w:rsidRDefault="00181EA5">
      <w:pPr>
        <w:adjustRightInd w:val="0"/>
        <w:snapToGrid w:val="0"/>
        <w:spacing w:line="360" w:lineRule="auto"/>
        <w:jc w:val="both"/>
        <w:rPr>
          <w:rFonts w:ascii="Book Antiqua" w:hAnsi="Book Antiqua" w:cs="Book Antiqua"/>
        </w:rPr>
      </w:pPr>
    </w:p>
    <w:p w14:paraId="3CA70608" w14:textId="77777777" w:rsidR="00181EA5" w:rsidRDefault="00000000">
      <w:pPr>
        <w:adjustRightInd w:val="0"/>
        <w:snapToGrid w:val="0"/>
        <w:spacing w:line="360" w:lineRule="auto"/>
        <w:jc w:val="both"/>
        <w:rPr>
          <w:rFonts w:ascii="Book Antiqua" w:eastAsia="Book Antiqua" w:hAnsi="Book Antiqua" w:cs="Book Antiqua"/>
          <w:color w:val="000000"/>
          <w:shd w:val="clear" w:color="auto" w:fill="FCFDFE"/>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hint="eastAsia"/>
          <w:color w:val="000000"/>
          <w:shd w:val="clear" w:color="auto" w:fill="FCFDFE"/>
        </w:rPr>
        <w:t>Li SJ provided insights into the direction of this study and assisted in the writing. For example, Li SJ and two other authors proposed at the beginning of the article that liver is an immunological preferential organ with strong immune tolerance, which may affect the development of metastatic tumors. During the writing process, Li SJ collected images, such as Figure 1 for magnetic resonance imaging images of patients before surgery, Figure 2 for baseline magnetic resonance imaging images before targeted immunotherapy, and Figure 4 for magnetic resonance imaging images of different tumor sites after treatment, to find out typical and clear pictures, and labeled typical lesions in the figures at each stage.</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hint="eastAsia"/>
          <w:color w:val="000000"/>
          <w:shd w:val="clear" w:color="auto" w:fill="FCFDFE"/>
        </w:rPr>
        <w:t xml:space="preserve">Additionally, he provided necessary help for literature search, such as finding new articles on targeted immunization of cholangiocarcinoma. After the completion of the </w:t>
      </w:r>
      <w:proofErr w:type="spellStart"/>
      <w:r>
        <w:rPr>
          <w:rFonts w:ascii="Book Antiqua" w:eastAsia="Book Antiqua" w:hAnsi="Book Antiqua" w:cs="Book Antiqua" w:hint="eastAsia"/>
          <w:color w:val="000000"/>
          <w:shd w:val="clear" w:color="auto" w:fill="FCFDFE"/>
        </w:rPr>
        <w:t>writting</w:t>
      </w:r>
      <w:proofErr w:type="spellEnd"/>
      <w:r>
        <w:rPr>
          <w:rFonts w:ascii="Book Antiqua" w:eastAsia="Book Antiqua" w:hAnsi="Book Antiqua" w:cs="Book Antiqua" w:hint="eastAsia"/>
          <w:color w:val="000000"/>
          <w:shd w:val="clear" w:color="auto" w:fill="FCFDFE"/>
        </w:rPr>
        <w:t xml:space="preserve">, the co-first authors reviewed the paper and corrected language logic problems. When looking for a </w:t>
      </w:r>
      <w:r>
        <w:rPr>
          <w:rFonts w:ascii="Book Antiqua" w:eastAsia="Book Antiqua" w:hAnsi="Book Antiqua" w:cs="Book Antiqua" w:hint="eastAsia"/>
          <w:color w:val="000000"/>
          <w:shd w:val="clear" w:color="auto" w:fill="FCFDFE"/>
        </w:rPr>
        <w:lastRenderedPageBreak/>
        <w:t>journal to submit our study, we have sought for the opinions of Li SJ and we all think it is appropriate to submit our article to the World Journal of Gastrointestinal Oncology.</w:t>
      </w:r>
    </w:p>
    <w:p w14:paraId="6E9F46F5" w14:textId="77777777" w:rsidR="00181EA5" w:rsidRDefault="00181EA5">
      <w:pPr>
        <w:adjustRightInd w:val="0"/>
        <w:snapToGrid w:val="0"/>
        <w:spacing w:line="360" w:lineRule="auto"/>
        <w:jc w:val="both"/>
        <w:rPr>
          <w:rFonts w:ascii="Book Antiqua" w:eastAsia="Book Antiqua" w:hAnsi="Book Antiqua" w:cs="Book Antiqua"/>
          <w:color w:val="000000"/>
          <w:shd w:val="clear" w:color="auto" w:fill="FCFDFE"/>
        </w:rPr>
      </w:pPr>
    </w:p>
    <w:p w14:paraId="6F720DFA"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Xue-Feng Wang, MD, Associate Chief Physician, Doctor, </w:t>
      </w:r>
      <w:r>
        <w:rPr>
          <w:rFonts w:ascii="Book Antiqua" w:eastAsia="Book Antiqua" w:hAnsi="Book Antiqua" w:cs="Book Antiqua"/>
          <w:color w:val="000000"/>
        </w:rPr>
        <w:t xml:space="preserve">The Second Department of Hepatobiliary Surgery, Yantai </w:t>
      </w:r>
      <w:proofErr w:type="spellStart"/>
      <w:r>
        <w:rPr>
          <w:rFonts w:ascii="Book Antiqua" w:eastAsia="Book Antiqua" w:hAnsi="Book Antiqua" w:cs="Book Antiqua"/>
          <w:color w:val="000000"/>
        </w:rPr>
        <w:t>Yuhuangding</w:t>
      </w:r>
      <w:proofErr w:type="spellEnd"/>
      <w:r>
        <w:rPr>
          <w:rFonts w:ascii="Book Antiqua" w:eastAsia="Book Antiqua" w:hAnsi="Book Antiqua" w:cs="Book Antiqua"/>
          <w:color w:val="000000"/>
        </w:rPr>
        <w:t xml:space="preserve"> Hospital,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 xml:space="preserve">20 </w:t>
      </w:r>
      <w:proofErr w:type="spellStart"/>
      <w:r>
        <w:rPr>
          <w:rFonts w:ascii="Book Antiqua" w:eastAsia="Book Antiqua" w:hAnsi="Book Antiqua" w:cs="Book Antiqua"/>
          <w:color w:val="000000"/>
        </w:rPr>
        <w:t>Yuhuangding</w:t>
      </w:r>
      <w:proofErr w:type="spellEnd"/>
      <w:r>
        <w:rPr>
          <w:rFonts w:ascii="Book Antiqua" w:eastAsia="Book Antiqua" w:hAnsi="Book Antiqua" w:cs="Book Antiqua"/>
          <w:color w:val="000000"/>
        </w:rPr>
        <w:t xml:space="preserve"> East Road, </w:t>
      </w:r>
      <w:proofErr w:type="spellStart"/>
      <w:r>
        <w:rPr>
          <w:rFonts w:ascii="Book Antiqua" w:eastAsia="Book Antiqua" w:hAnsi="Book Antiqua" w:cs="Book Antiqua"/>
          <w:color w:val="000000"/>
        </w:rPr>
        <w:t>Zhifu</w:t>
      </w:r>
      <w:proofErr w:type="spellEnd"/>
      <w:r>
        <w:rPr>
          <w:rFonts w:ascii="Book Antiqua" w:eastAsia="Book Antiqua" w:hAnsi="Book Antiqua" w:cs="Book Antiqua"/>
          <w:color w:val="000000"/>
        </w:rPr>
        <w:t xml:space="preserve"> District, Yantai 264000, Shandong Province, China. seasonslo@126.com</w:t>
      </w:r>
    </w:p>
    <w:p w14:paraId="058F1C18" w14:textId="77777777" w:rsidR="00181EA5" w:rsidRDefault="00181EA5">
      <w:pPr>
        <w:adjustRightInd w:val="0"/>
        <w:snapToGrid w:val="0"/>
        <w:spacing w:line="360" w:lineRule="auto"/>
        <w:jc w:val="both"/>
        <w:rPr>
          <w:rFonts w:ascii="Book Antiqua" w:hAnsi="Book Antiqua" w:cs="Book Antiqua"/>
        </w:rPr>
      </w:pPr>
    </w:p>
    <w:p w14:paraId="5E358A53"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July 6, 2023</w:t>
      </w:r>
    </w:p>
    <w:p w14:paraId="4708888A"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September 15, 2023</w:t>
      </w:r>
    </w:p>
    <w:p w14:paraId="2D6AEFAC" w14:textId="0328A829"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ins w:id="0" w:author="Jin-Lei Wang" w:date="2023-09-28T13:55:00Z">
        <w:r w:rsidR="00245FC0" w:rsidRPr="00245FC0">
          <w:rPr>
            <w:rFonts w:ascii="Book Antiqua" w:eastAsia="Book Antiqua" w:hAnsi="Book Antiqua" w:cs="Book Antiqua"/>
          </w:rPr>
          <w:t>September 28, 2023</w:t>
        </w:r>
      </w:ins>
    </w:p>
    <w:p w14:paraId="7A7975A5"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20A324D1" w14:textId="77777777" w:rsidR="00181EA5" w:rsidRDefault="00181EA5">
      <w:pPr>
        <w:adjustRightInd w:val="0"/>
        <w:snapToGrid w:val="0"/>
        <w:spacing w:line="360" w:lineRule="auto"/>
        <w:jc w:val="both"/>
        <w:rPr>
          <w:rFonts w:ascii="Book Antiqua" w:hAnsi="Book Antiqua" w:cs="Book Antiqua"/>
        </w:rPr>
        <w:sectPr w:rsidR="00181EA5">
          <w:footerReference w:type="default" r:id="rId6"/>
          <w:pgSz w:w="12240" w:h="15840"/>
          <w:pgMar w:top="1440" w:right="1440" w:bottom="1440" w:left="1440" w:header="720" w:footer="720" w:gutter="0"/>
          <w:cols w:space="720"/>
          <w:docGrid w:linePitch="360"/>
        </w:sectPr>
      </w:pPr>
    </w:p>
    <w:p w14:paraId="2DC832B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744EEA60"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128258C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hd w:val="clear" w:color="auto" w:fill="FCFDFE"/>
        </w:rPr>
        <w:t>Cholangiocarcinoma</w:t>
      </w:r>
      <w:r>
        <w:rPr>
          <w:rFonts w:ascii="Book Antiqua" w:eastAsia="宋体" w:hAnsi="Book Antiqua" w:cs="Book Antiqua" w:hint="eastAsia"/>
          <w:shd w:val="clear" w:color="auto" w:fill="FCFDFE"/>
          <w:lang w:eastAsia="zh-CN"/>
        </w:rPr>
        <w:t xml:space="preserve"> (CCA) </w:t>
      </w:r>
      <w:r>
        <w:rPr>
          <w:rFonts w:ascii="Book Antiqua" w:eastAsia="Book Antiqua" w:hAnsi="Book Antiqua" w:cs="Book Antiqua"/>
          <w:shd w:val="clear" w:color="auto" w:fill="FCFDFE"/>
        </w:rPr>
        <w:t xml:space="preserve">poses a significant clinical challenge due to its low radical resection rate and a propensity for high postoperative recurrence, resulting in a poor dismal. Although the combination of targeted therapy and immunotherapy has demonstrated notable efficacy in several solid tumors recently, however, its application in </w:t>
      </w:r>
      <w:r>
        <w:rPr>
          <w:rFonts w:ascii="Book Antiqua" w:eastAsia="宋体" w:hAnsi="Book Antiqua" w:cs="Book Antiqua" w:hint="eastAsia"/>
          <w:shd w:val="clear" w:color="auto" w:fill="FCFDFE"/>
          <w:lang w:eastAsia="zh-CN"/>
        </w:rPr>
        <w:t>CCA</w:t>
      </w:r>
      <w:r>
        <w:rPr>
          <w:rFonts w:ascii="Book Antiqua" w:eastAsia="Book Antiqua" w:hAnsi="Book Antiqua" w:cs="Book Antiqua"/>
          <w:shd w:val="clear" w:color="auto" w:fill="FCFDFE"/>
        </w:rPr>
        <w:t xml:space="preserve"> remains underexplored and poorly documented.</w:t>
      </w:r>
    </w:p>
    <w:p w14:paraId="2D951739" w14:textId="77777777" w:rsidR="00181EA5" w:rsidRDefault="00181EA5">
      <w:pPr>
        <w:adjustRightInd w:val="0"/>
        <w:snapToGrid w:val="0"/>
        <w:spacing w:line="360" w:lineRule="auto"/>
        <w:jc w:val="both"/>
        <w:rPr>
          <w:rFonts w:ascii="Book Antiqua" w:hAnsi="Book Antiqua" w:cs="Book Antiqua"/>
        </w:rPr>
      </w:pPr>
    </w:p>
    <w:p w14:paraId="4BA8B761"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CASE SUMMARY</w:t>
      </w:r>
    </w:p>
    <w:p w14:paraId="228FDDA1"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hd w:val="clear" w:color="auto" w:fill="FCFDFE"/>
        </w:rPr>
        <w:t xml:space="preserve">This case report describes a patient diagnosed with stage IV </w:t>
      </w:r>
      <w:r>
        <w:rPr>
          <w:rFonts w:ascii="Book Antiqua" w:eastAsia="宋体" w:hAnsi="Book Antiqua" w:cs="Book Antiqua" w:hint="eastAsia"/>
          <w:shd w:val="clear" w:color="auto" w:fill="FCFDFE"/>
          <w:lang w:eastAsia="zh-CN"/>
        </w:rPr>
        <w:t>CCA</w:t>
      </w:r>
      <w:r>
        <w:rPr>
          <w:rFonts w:ascii="Book Antiqua" w:eastAsia="Book Antiqua" w:hAnsi="Book Antiqua" w:cs="Book Antiqua"/>
          <w:shd w:val="clear" w:color="auto" w:fill="FCFDFE"/>
        </w:rPr>
        <w:t xml:space="preserve">, accompanied by liver and abdominal wall metastases, who underwent palliative surgery. Subsequently, the patient received two cycles of treatment combining </w:t>
      </w:r>
      <w:proofErr w:type="spellStart"/>
      <w:r>
        <w:rPr>
          <w:rFonts w:ascii="Book Antiqua" w:eastAsia="Book Antiqua" w:hAnsi="Book Antiqua" w:cs="Book Antiqua"/>
          <w:shd w:val="clear" w:color="auto" w:fill="FCFDFE"/>
        </w:rPr>
        <w:t>lenvatinib</w:t>
      </w:r>
      <w:proofErr w:type="spellEnd"/>
      <w:r>
        <w:rPr>
          <w:rFonts w:ascii="Book Antiqua" w:eastAsia="Book Antiqua" w:hAnsi="Book Antiqua" w:cs="Book Antiqua"/>
          <w:shd w:val="clear" w:color="auto" w:fill="FCFDFE"/>
        </w:rPr>
        <w:t xml:space="preserve"> with </w:t>
      </w:r>
      <w:proofErr w:type="spellStart"/>
      <w:r>
        <w:rPr>
          <w:rFonts w:ascii="Book Antiqua" w:eastAsia="Book Antiqua" w:hAnsi="Book Antiqua" w:cs="Book Antiqua"/>
          <w:shd w:val="clear" w:color="auto" w:fill="FCFDFE"/>
        </w:rPr>
        <w:t>sintilimab</w:t>
      </w:r>
      <w:proofErr w:type="spellEnd"/>
      <w:r>
        <w:rPr>
          <w:rFonts w:ascii="Book Antiqua" w:eastAsia="Book Antiqua" w:hAnsi="Book Antiqua" w:cs="Book Antiqua"/>
          <w:shd w:val="clear" w:color="auto" w:fill="FCFDFE"/>
        </w:rPr>
        <w:t>, which resulted in a reduction in abdominal wall metastasis, while intrahepatic metastasis displayed progression. This unexpected observation illustrates different responses of intrahepatic and extrahepatic metastases to the same therapy.</w:t>
      </w:r>
    </w:p>
    <w:p w14:paraId="043637B8" w14:textId="77777777" w:rsidR="00181EA5" w:rsidRDefault="00181EA5">
      <w:pPr>
        <w:adjustRightInd w:val="0"/>
        <w:snapToGrid w:val="0"/>
        <w:spacing w:line="360" w:lineRule="auto"/>
        <w:jc w:val="both"/>
        <w:rPr>
          <w:rFonts w:ascii="Book Antiqua" w:hAnsi="Book Antiqua" w:cs="Book Antiqua"/>
        </w:rPr>
      </w:pPr>
    </w:p>
    <w:p w14:paraId="2F04333C"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4F2E50C6"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hd w:val="clear" w:color="auto" w:fill="FCFDFE"/>
        </w:rPr>
        <w:t xml:space="preserve">Lenvatinib combined with </w:t>
      </w:r>
      <w:proofErr w:type="spellStart"/>
      <w:r>
        <w:rPr>
          <w:rFonts w:ascii="Book Antiqua" w:eastAsia="Book Antiqua" w:hAnsi="Book Antiqua" w:cs="Book Antiqua"/>
          <w:shd w:val="clear" w:color="auto" w:fill="FCFDFE"/>
        </w:rPr>
        <w:t>sintilimab</w:t>
      </w:r>
      <w:proofErr w:type="spellEnd"/>
      <w:r>
        <w:rPr>
          <w:rFonts w:ascii="Book Antiqua" w:eastAsia="Book Antiqua" w:hAnsi="Book Antiqua" w:cs="Book Antiqua"/>
          <w:shd w:val="clear" w:color="auto" w:fill="FCFDFE"/>
        </w:rPr>
        <w:t xml:space="preserve"> shows promise as a potential treatment strategy for advanced </w:t>
      </w:r>
      <w:r>
        <w:rPr>
          <w:rFonts w:ascii="Book Antiqua" w:eastAsia="宋体" w:hAnsi="Book Antiqua" w:cs="Book Antiqua" w:hint="eastAsia"/>
          <w:shd w:val="clear" w:color="auto" w:fill="FCFDFE"/>
          <w:lang w:eastAsia="zh-CN"/>
        </w:rPr>
        <w:t>CCA</w:t>
      </w:r>
      <w:r>
        <w:rPr>
          <w:rFonts w:ascii="Book Antiqua" w:eastAsia="Book Antiqua" w:hAnsi="Book Antiqua" w:cs="Book Antiqua"/>
          <w:shd w:val="clear" w:color="auto" w:fill="FCFDFE"/>
        </w:rPr>
        <w:t>. Genetic testing for related driver and/or passenger mutations, as well as an analysis of tumor immune microenvironment analysis, is crucial for optimizing drug combinations and eventually addressing the issue of non-response in specific metastatic sites.</w:t>
      </w:r>
    </w:p>
    <w:p w14:paraId="3EDD9CD0" w14:textId="77777777" w:rsidR="00181EA5" w:rsidRDefault="00181EA5">
      <w:pPr>
        <w:adjustRightInd w:val="0"/>
        <w:snapToGrid w:val="0"/>
        <w:spacing w:line="360" w:lineRule="auto"/>
        <w:jc w:val="both"/>
        <w:rPr>
          <w:rFonts w:ascii="Book Antiqua" w:eastAsia="Book Antiqua" w:hAnsi="Book Antiqua" w:cs="Book Antiqua"/>
          <w:b/>
          <w:bCs/>
          <w:szCs w:val="21"/>
        </w:rPr>
      </w:pPr>
    </w:p>
    <w:p w14:paraId="56D5AC15"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Key Words: </w:t>
      </w:r>
      <w:r>
        <w:rPr>
          <w:rFonts w:ascii="Book Antiqua" w:eastAsia="Book Antiqua" w:hAnsi="Book Antiqua" w:cs="Book Antiqua"/>
          <w:shd w:val="clear" w:color="auto" w:fill="FCFDFE"/>
        </w:rPr>
        <w:t>Cholangiocarcinoma</w:t>
      </w:r>
      <w:r>
        <w:rPr>
          <w:rFonts w:ascii="Book Antiqua" w:eastAsia="宋体" w:hAnsi="Book Antiqua" w:cs="Book Antiqua" w:hint="eastAsia"/>
          <w:shd w:val="clear" w:color="auto" w:fill="FCFDFE"/>
          <w:lang w:eastAsia="zh-CN"/>
        </w:rPr>
        <w:t>;</w:t>
      </w:r>
      <w:r>
        <w:rPr>
          <w:rFonts w:ascii="Book Antiqua" w:eastAsia="Book Antiqua" w:hAnsi="Book Antiqua" w:cs="Book Antiqua"/>
          <w:shd w:val="clear" w:color="auto" w:fill="FCFDFE"/>
        </w:rPr>
        <w:t xml:space="preserve"> Immune</w:t>
      </w:r>
      <w:r>
        <w:rPr>
          <w:rFonts w:ascii="Book Antiqua" w:eastAsia="宋体" w:hAnsi="Book Antiqua" w:cs="Book Antiqua" w:hint="eastAsia"/>
          <w:shd w:val="clear" w:color="auto" w:fill="FCFDFE"/>
          <w:lang w:eastAsia="zh-CN"/>
        </w:rPr>
        <w:t>-</w:t>
      </w:r>
      <w:r>
        <w:rPr>
          <w:rFonts w:ascii="Book Antiqua" w:eastAsia="Book Antiqua" w:hAnsi="Book Antiqua" w:cs="Book Antiqua"/>
          <w:shd w:val="clear" w:color="auto" w:fill="FCFDFE"/>
        </w:rPr>
        <w:t>checkpoint</w:t>
      </w:r>
      <w:r>
        <w:rPr>
          <w:rFonts w:ascii="Book Antiqua" w:eastAsia="宋体" w:hAnsi="Book Antiqua" w:cs="Book Antiqua" w:hint="eastAsia"/>
          <w:shd w:val="clear" w:color="auto" w:fill="FCFDFE"/>
          <w:lang w:eastAsia="zh-CN"/>
        </w:rPr>
        <w:t>-</w:t>
      </w:r>
      <w:r>
        <w:rPr>
          <w:rFonts w:ascii="Book Antiqua" w:eastAsia="Book Antiqua" w:hAnsi="Book Antiqua" w:cs="Book Antiqua"/>
          <w:shd w:val="clear" w:color="auto" w:fill="FCFDFE"/>
        </w:rPr>
        <w:t>inhibitor</w:t>
      </w:r>
      <w:r>
        <w:rPr>
          <w:rFonts w:ascii="Book Antiqua" w:eastAsia="宋体" w:hAnsi="Book Antiqua" w:cs="Book Antiqua" w:hint="eastAsia"/>
          <w:shd w:val="clear" w:color="auto" w:fill="FCFDFE"/>
          <w:lang w:eastAsia="zh-CN"/>
        </w:rPr>
        <w:t>;</w:t>
      </w:r>
      <w:r>
        <w:rPr>
          <w:rFonts w:ascii="Book Antiqua" w:eastAsia="Book Antiqua" w:hAnsi="Book Antiqua" w:cs="Book Antiqua"/>
          <w:shd w:val="clear" w:color="auto" w:fill="FCFDFE"/>
        </w:rPr>
        <w:t xml:space="preserve"> Lenvatinib</w:t>
      </w:r>
      <w:r>
        <w:rPr>
          <w:rFonts w:ascii="Book Antiqua" w:eastAsia="宋体" w:hAnsi="Book Antiqua" w:cs="Book Antiqua" w:hint="eastAsia"/>
          <w:shd w:val="clear" w:color="auto" w:fill="FCFDFE"/>
          <w:lang w:eastAsia="zh-CN"/>
        </w:rPr>
        <w:t>;</w:t>
      </w:r>
      <w:r>
        <w:rPr>
          <w:rFonts w:ascii="Book Antiqua" w:eastAsia="Book Antiqua" w:hAnsi="Book Antiqua" w:cs="Book Antiqua"/>
          <w:shd w:val="clear" w:color="auto" w:fill="FCFDFE"/>
        </w:rPr>
        <w:t xml:space="preserve"> </w:t>
      </w:r>
      <w:proofErr w:type="spellStart"/>
      <w:r>
        <w:rPr>
          <w:rFonts w:ascii="Book Antiqua" w:eastAsia="Book Antiqua" w:hAnsi="Book Antiqua" w:cs="Book Antiqua"/>
          <w:shd w:val="clear" w:color="auto" w:fill="FCFDFE"/>
        </w:rPr>
        <w:t>Sintilimab</w:t>
      </w:r>
      <w:proofErr w:type="spellEnd"/>
      <w:r>
        <w:rPr>
          <w:rFonts w:ascii="Book Antiqua" w:eastAsia="宋体" w:hAnsi="Book Antiqua" w:cs="Book Antiqua" w:hint="eastAsia"/>
          <w:shd w:val="clear" w:color="auto" w:fill="FCFDFE"/>
          <w:lang w:eastAsia="zh-CN"/>
        </w:rPr>
        <w:t>;</w:t>
      </w:r>
      <w:r>
        <w:rPr>
          <w:rFonts w:ascii="Book Antiqua" w:eastAsia="Book Antiqua" w:hAnsi="Book Antiqua" w:cs="Book Antiqua"/>
          <w:shd w:val="clear" w:color="auto" w:fill="FCFDFE"/>
        </w:rPr>
        <w:t xml:space="preserve"> </w:t>
      </w:r>
      <w:r>
        <w:rPr>
          <w:rFonts w:ascii="Book Antiqua" w:eastAsia="宋体" w:hAnsi="Book Antiqua" w:cs="Book Antiqua" w:hint="eastAsia"/>
          <w:shd w:val="clear" w:color="auto" w:fill="FCFDFE"/>
          <w:lang w:eastAsia="zh-CN"/>
        </w:rPr>
        <w:t>E</w:t>
      </w:r>
      <w:r>
        <w:rPr>
          <w:rFonts w:ascii="Book Antiqua" w:eastAsia="Book Antiqua" w:hAnsi="Book Antiqua" w:cs="Book Antiqua"/>
          <w:shd w:val="clear" w:color="auto" w:fill="FCFDFE"/>
        </w:rPr>
        <w:t>pigastric</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metastasis</w:t>
      </w:r>
      <w:r>
        <w:rPr>
          <w:rFonts w:ascii="Book Antiqua" w:eastAsia="宋体" w:hAnsi="Book Antiqua" w:cs="Book Antiqua" w:hint="eastAsia"/>
          <w:shd w:val="clear" w:color="auto" w:fill="FCFDFE"/>
          <w:lang w:eastAsia="zh-CN"/>
        </w:rPr>
        <w:t>;</w:t>
      </w:r>
      <w:r>
        <w:rPr>
          <w:rFonts w:ascii="Book Antiqua" w:eastAsia="Book Antiqua" w:hAnsi="Book Antiqua" w:cs="Book Antiqua"/>
          <w:shd w:val="clear" w:color="auto" w:fill="FCFDFE"/>
        </w:rPr>
        <w:t xml:space="preserve"> Immunotherapy</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Case report</w:t>
      </w:r>
    </w:p>
    <w:p w14:paraId="5E377745" w14:textId="77777777" w:rsidR="00181EA5" w:rsidRDefault="00181EA5">
      <w:pPr>
        <w:adjustRightInd w:val="0"/>
        <w:snapToGrid w:val="0"/>
        <w:spacing w:line="360" w:lineRule="auto"/>
        <w:jc w:val="both"/>
        <w:rPr>
          <w:rFonts w:ascii="Book Antiqua" w:hAnsi="Book Antiqua" w:cs="Book Antiqua"/>
        </w:rPr>
      </w:pPr>
    </w:p>
    <w:p w14:paraId="10E78383"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Luo WH, Li SJ, Wang XF. Response of cholangiocarcinoma with epigastric metastasis to </w:t>
      </w:r>
      <w:proofErr w:type="spellStart"/>
      <w:r>
        <w:rPr>
          <w:rFonts w:ascii="Book Antiqua" w:eastAsia="Book Antiqua" w:hAnsi="Book Antiqua" w:cs="Book Antiqua"/>
        </w:rPr>
        <w:t>lenvatinib</w:t>
      </w:r>
      <w:proofErr w:type="spellEnd"/>
      <w:r>
        <w:rPr>
          <w:rFonts w:ascii="Book Antiqua" w:eastAsia="Book Antiqua" w:hAnsi="Book Antiqua" w:cs="Book Antiqua"/>
        </w:rPr>
        <w:t xml:space="preserve"> plus </w:t>
      </w:r>
      <w:proofErr w:type="spellStart"/>
      <w:r>
        <w:rPr>
          <w:rFonts w:ascii="Book Antiqua" w:eastAsia="Book Antiqua" w:hAnsi="Book Antiqua" w:cs="Book Antiqua"/>
        </w:rPr>
        <w:t>sintilimab</w:t>
      </w:r>
      <w:proofErr w:type="spellEnd"/>
      <w:r>
        <w:rPr>
          <w:rFonts w:ascii="Book Antiqua" w:eastAsia="Book Antiqua" w:hAnsi="Book Antiqua" w:cs="Book Antiqua"/>
        </w:rPr>
        <w:t xml:space="preserve">: A case report and review of literature.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2023; In press</w:t>
      </w:r>
    </w:p>
    <w:p w14:paraId="1CACEC38" w14:textId="77777777" w:rsidR="00181EA5" w:rsidRDefault="00181EA5">
      <w:pPr>
        <w:adjustRightInd w:val="0"/>
        <w:snapToGrid w:val="0"/>
        <w:spacing w:line="360" w:lineRule="auto"/>
        <w:jc w:val="both"/>
        <w:rPr>
          <w:rFonts w:ascii="Book Antiqua" w:hAnsi="Book Antiqua" w:cs="Book Antiqua"/>
        </w:rPr>
      </w:pPr>
    </w:p>
    <w:p w14:paraId="30EED997"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Core Tip: </w:t>
      </w:r>
      <w:r>
        <w:rPr>
          <w:rFonts w:ascii="Book Antiqua" w:eastAsia="Book Antiqua" w:hAnsi="Book Antiqua" w:cs="Book Antiqua"/>
          <w:shd w:val="clear" w:color="auto" w:fill="FCFDFE"/>
        </w:rPr>
        <w:t>Cholangiocarcinoma</w:t>
      </w:r>
      <w:r>
        <w:rPr>
          <w:rFonts w:ascii="Book Antiqua" w:eastAsia="宋体" w:hAnsi="Book Antiqua" w:cs="Book Antiqua" w:hint="eastAsia"/>
          <w:shd w:val="clear" w:color="auto" w:fill="FCFDFE"/>
          <w:lang w:eastAsia="zh-CN"/>
        </w:rPr>
        <w:t xml:space="preserve"> (CCA)</w:t>
      </w:r>
      <w:r>
        <w:rPr>
          <w:rFonts w:ascii="Book Antiqua" w:eastAsia="Book Antiqua" w:hAnsi="Book Antiqua" w:cs="Book Antiqua"/>
          <w:shd w:val="clear" w:color="auto" w:fill="FCFDFE"/>
        </w:rPr>
        <w:t xml:space="preserve"> is a highly lethal hepatobiliary neoplasm. This report presents a case with advanced </w:t>
      </w:r>
      <w:r>
        <w:rPr>
          <w:rFonts w:ascii="Book Antiqua" w:eastAsia="宋体" w:hAnsi="Book Antiqua" w:cs="Book Antiqua" w:hint="eastAsia"/>
          <w:shd w:val="clear" w:color="auto" w:fill="FCFDFE"/>
          <w:lang w:eastAsia="zh-CN"/>
        </w:rPr>
        <w:t>CCA</w:t>
      </w:r>
      <w:r>
        <w:rPr>
          <w:rFonts w:ascii="Book Antiqua" w:eastAsia="Book Antiqua" w:hAnsi="Book Antiqua" w:cs="Book Antiqua"/>
          <w:shd w:val="clear" w:color="auto" w:fill="FCFDFE"/>
        </w:rPr>
        <w:t xml:space="preserve"> who received immunotherapy, revealing differences in treatment responses between intrahepatic vs. extrahepatic epigastric metastatic sites. This hitherto unreported phenomenon prompted us to investigate the differential outcomes of these metastatic patterns following treatment with </w:t>
      </w:r>
      <w:proofErr w:type="spellStart"/>
      <w:r>
        <w:rPr>
          <w:rFonts w:ascii="Book Antiqua" w:eastAsia="Book Antiqua" w:hAnsi="Book Antiqua" w:cs="Book Antiqua"/>
          <w:shd w:val="clear" w:color="auto" w:fill="FCFDFE"/>
        </w:rPr>
        <w:t>lenvatinib</w:t>
      </w:r>
      <w:proofErr w:type="spellEnd"/>
      <w:r>
        <w:rPr>
          <w:rFonts w:ascii="Book Antiqua" w:eastAsia="Book Antiqua" w:hAnsi="Book Antiqua" w:cs="Book Antiqua"/>
          <w:shd w:val="clear" w:color="auto" w:fill="FCFDFE"/>
        </w:rPr>
        <w:t xml:space="preserve"> combined with </w:t>
      </w:r>
      <w:proofErr w:type="spellStart"/>
      <w:r>
        <w:rPr>
          <w:rFonts w:ascii="Book Antiqua" w:eastAsia="Book Antiqua" w:hAnsi="Book Antiqua" w:cs="Book Antiqua"/>
          <w:shd w:val="clear" w:color="auto" w:fill="FCFDFE"/>
        </w:rPr>
        <w:t>sintilimab</w:t>
      </w:r>
      <w:proofErr w:type="spellEnd"/>
      <w:r>
        <w:rPr>
          <w:rFonts w:ascii="Book Antiqua" w:eastAsia="Book Antiqua" w:hAnsi="Book Antiqua" w:cs="Book Antiqua"/>
          <w:shd w:val="clear" w:color="auto" w:fill="FCFDFE"/>
        </w:rPr>
        <w:t>, culminating in a summary report elucidating potential underlying mechanisms.</w:t>
      </w:r>
    </w:p>
    <w:p w14:paraId="561E4700" w14:textId="77777777" w:rsidR="00181EA5" w:rsidRDefault="00181EA5">
      <w:pPr>
        <w:adjustRightInd w:val="0"/>
        <w:snapToGrid w:val="0"/>
        <w:spacing w:line="360" w:lineRule="auto"/>
        <w:jc w:val="both"/>
        <w:rPr>
          <w:rFonts w:ascii="Book Antiqua" w:hAnsi="Book Antiqua" w:cs="Book Antiqua"/>
        </w:rPr>
      </w:pPr>
    </w:p>
    <w:p w14:paraId="6296C056"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4C5D8E50"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hd w:val="clear" w:color="auto" w:fill="FCFDFE"/>
        </w:rPr>
        <w:t>Cholangiocarcinoma</w:t>
      </w:r>
      <w:r>
        <w:rPr>
          <w:rFonts w:ascii="Book Antiqua" w:eastAsia="宋体" w:hAnsi="Book Antiqua" w:cs="Book Antiqua" w:hint="eastAsia"/>
          <w:shd w:val="clear" w:color="auto" w:fill="FCFDFE"/>
          <w:lang w:eastAsia="zh-CN"/>
        </w:rPr>
        <w:t xml:space="preserve"> (CCA)</w:t>
      </w:r>
      <w:r>
        <w:rPr>
          <w:rFonts w:ascii="Book Antiqua" w:eastAsia="Book Antiqua" w:hAnsi="Book Antiqua" w:cs="Book Antiqua"/>
          <w:color w:val="000000"/>
          <w:shd w:val="clear" w:color="auto" w:fill="FCFDFE"/>
        </w:rPr>
        <w:t>, characterized by its high lethality within the hepatobiliary malignancy spectrum,</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traditionally necessitates surgical management as the primary therapeutic approach. However, due to multifaceted clinical considerations, only about 50% of patients with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are considered suitable candidates for surgical intervention based on preoperative </w:t>
      </w:r>
      <w:proofErr w:type="gramStart"/>
      <w:r>
        <w:rPr>
          <w:rFonts w:ascii="Book Antiqua" w:eastAsia="Book Antiqua" w:hAnsi="Book Antiqua" w:cs="Book Antiqua"/>
          <w:color w:val="000000"/>
          <w:shd w:val="clear" w:color="auto" w:fill="FCFDFE"/>
        </w:rPr>
        <w:t>assessment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CFDFE"/>
        </w:rPr>
        <w:t>Moreover, surgical procedures often unveil multiple tumor metastases, thereby limiting the feasibility of surgical resection to a mere 30</w:t>
      </w:r>
      <w:proofErr w:type="gramStart"/>
      <w:r>
        <w:rPr>
          <w:rFonts w:ascii="Book Antiqua" w:eastAsia="Book Antiqua" w:hAnsi="Book Antiqua" w:cs="Book Antiqua"/>
          <w:color w:val="000000"/>
          <w:shd w:val="clear" w:color="auto" w:fill="FCFDFE"/>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Even with surgical intervention, the persistent risk of locoregional recurrence or lymph node metastasis rate remains high. Currently, chemotherapy is the first-line treatment for advanced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yet it yields suboptimal </w:t>
      </w:r>
      <w:proofErr w:type="gramStart"/>
      <w:r>
        <w:rPr>
          <w:rFonts w:ascii="Book Antiqua" w:eastAsia="Book Antiqua" w:hAnsi="Book Antiqua" w:cs="Book Antiqua"/>
          <w:color w:val="000000"/>
          <w:shd w:val="clear" w:color="auto" w:fill="FCFDFE"/>
        </w:rPr>
        <w:t>outcomes</w:t>
      </w:r>
      <w:r>
        <w:rPr>
          <w:rFonts w:ascii="Book Antiqua" w:eastAsia="Book Antiqua" w:hAnsi="Book Antiqua" w:cs="Book Antiqua"/>
          <w:color w:val="000000"/>
          <w:szCs w:val="36"/>
          <w:shd w:val="clear" w:color="auto" w:fill="FCFDFE"/>
          <w:vertAlign w:val="superscript"/>
        </w:rPr>
        <w:t>[</w:t>
      </w:r>
      <w:proofErr w:type="gramEnd"/>
      <w:r>
        <w:rPr>
          <w:rFonts w:ascii="Book Antiqua" w:eastAsia="Book Antiqua" w:hAnsi="Book Antiqua" w:cs="Book Antiqua"/>
          <w:color w:val="000000"/>
          <w:szCs w:val="36"/>
          <w:shd w:val="clear" w:color="auto" w:fill="FCFDFE"/>
          <w:vertAlign w:val="superscript"/>
        </w:rPr>
        <w:t>3]</w:t>
      </w:r>
      <w:r>
        <w:rPr>
          <w:rFonts w:ascii="Book Antiqua" w:eastAsia="Book Antiqua" w:hAnsi="Book Antiqua" w:cs="Book Antiqua"/>
          <w:color w:val="000000"/>
          <w:shd w:val="clear" w:color="auto" w:fill="FCFDFE"/>
        </w:rPr>
        <w:t>.</w:t>
      </w:r>
    </w:p>
    <w:p w14:paraId="3C29828E"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CFDFE"/>
        </w:rPr>
        <w:t>The emergence of immunotherapy, particularly immune-checkpoint-inhibitor</w:t>
      </w:r>
      <w:r>
        <w:rPr>
          <w:rFonts w:ascii="Book Antiqua" w:eastAsia="宋体" w:hAnsi="Book Antiqua" w:cs="Book Antiqua" w:hint="eastAsia"/>
          <w:color w:val="000000"/>
          <w:shd w:val="clear" w:color="auto" w:fill="FCFDFE"/>
          <w:lang w:eastAsia="zh-CN"/>
        </w:rPr>
        <w:t>s</w:t>
      </w:r>
      <w:r>
        <w:rPr>
          <w:rFonts w:ascii="Book Antiqua" w:eastAsia="Book Antiqua" w:hAnsi="Book Antiqua" w:cs="Book Antiqua"/>
          <w:color w:val="000000"/>
          <w:shd w:val="clear" w:color="auto" w:fill="FCFDFE"/>
        </w:rPr>
        <w:t xml:space="preserve"> (ICIs), has ignited optimism for patients with </w:t>
      </w:r>
      <w:proofErr w:type="gramStart"/>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Previous studies on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have underscored the superiority of combined immune-based intervention strategies over conventional chemotherapy.</w:t>
      </w:r>
    </w:p>
    <w:p w14:paraId="1F826638"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CFDFE"/>
        </w:rPr>
        <w:t xml:space="preserve">In this report, we present a case of advanced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that underwent palliative surgery followed by combined immunotherapy. Surprisingly, </w:t>
      </w:r>
      <w:r>
        <w:rPr>
          <w:rFonts w:ascii="Book Antiqua" w:eastAsia="Book Antiqua" w:hAnsi="Book Antiqua" w:cs="Book Antiqua"/>
          <w:color w:val="000000"/>
        </w:rPr>
        <w:t>differences</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in treatment responses were observed between intrahepatic metastases and those having extrahepatic epigastric metastases were observed. To the best of our knowledge, this phenomenon has not been previously reported.</w:t>
      </w:r>
    </w:p>
    <w:p w14:paraId="689823A5" w14:textId="77777777" w:rsidR="00181EA5" w:rsidRDefault="00181EA5">
      <w:pPr>
        <w:adjustRightInd w:val="0"/>
        <w:snapToGrid w:val="0"/>
        <w:spacing w:line="360" w:lineRule="auto"/>
        <w:ind w:firstLine="420"/>
        <w:jc w:val="both"/>
        <w:rPr>
          <w:rFonts w:ascii="Book Antiqua" w:hAnsi="Book Antiqua" w:cs="Book Antiqua"/>
        </w:rPr>
      </w:pPr>
    </w:p>
    <w:p w14:paraId="2F9C5EB6"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CASE PRESENTATION</w:t>
      </w:r>
    </w:p>
    <w:p w14:paraId="1CEA49EE"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6322F2D2"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 79-year-old male presented to our outpatient clinic for cutaneous scleral jaundice.</w:t>
      </w:r>
    </w:p>
    <w:p w14:paraId="4ECA4771" w14:textId="77777777" w:rsidR="00181EA5" w:rsidRDefault="00181EA5">
      <w:pPr>
        <w:adjustRightInd w:val="0"/>
        <w:snapToGrid w:val="0"/>
        <w:spacing w:line="360" w:lineRule="auto"/>
        <w:jc w:val="both"/>
        <w:rPr>
          <w:rFonts w:ascii="Book Antiqua" w:hAnsi="Book Antiqua" w:cs="Book Antiqua"/>
        </w:rPr>
      </w:pPr>
    </w:p>
    <w:p w14:paraId="41239C22"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0E299547"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CFDFE"/>
        </w:rPr>
        <w:t>Over the past two weeks, the patient experienced a weight loss of 3 kg. He reported no fever or abdominal pain.</w:t>
      </w:r>
    </w:p>
    <w:p w14:paraId="6C507EDC" w14:textId="77777777" w:rsidR="00181EA5" w:rsidRDefault="00181EA5">
      <w:pPr>
        <w:adjustRightInd w:val="0"/>
        <w:snapToGrid w:val="0"/>
        <w:spacing w:line="360" w:lineRule="auto"/>
        <w:jc w:val="both"/>
        <w:rPr>
          <w:rFonts w:ascii="Book Antiqua" w:hAnsi="Book Antiqua" w:cs="Book Antiqua"/>
        </w:rPr>
      </w:pPr>
    </w:p>
    <w:p w14:paraId="671FB55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467D5294"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Three years ago, the patient underwent “atrial fibrillation radiofrequency ablation” for “atrial fibrillation”.</w:t>
      </w:r>
    </w:p>
    <w:p w14:paraId="50D5CE88" w14:textId="77777777" w:rsidR="00181EA5" w:rsidRDefault="00181EA5">
      <w:pPr>
        <w:adjustRightInd w:val="0"/>
        <w:snapToGrid w:val="0"/>
        <w:spacing w:line="360" w:lineRule="auto"/>
        <w:jc w:val="both"/>
        <w:rPr>
          <w:rFonts w:ascii="Book Antiqua" w:hAnsi="Book Antiqua" w:cs="Book Antiqua"/>
        </w:rPr>
      </w:pPr>
    </w:p>
    <w:p w14:paraId="35611E49"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69D3990E"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patient had no relevant family medical history.</w:t>
      </w:r>
    </w:p>
    <w:p w14:paraId="75A39350" w14:textId="77777777" w:rsidR="00181EA5" w:rsidRDefault="00181EA5">
      <w:pPr>
        <w:adjustRightInd w:val="0"/>
        <w:snapToGrid w:val="0"/>
        <w:spacing w:line="360" w:lineRule="auto"/>
        <w:jc w:val="both"/>
        <w:rPr>
          <w:rFonts w:ascii="Book Antiqua" w:hAnsi="Book Antiqua" w:cs="Book Antiqua"/>
        </w:rPr>
      </w:pPr>
    </w:p>
    <w:p w14:paraId="1F574D1D"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73361E7C"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patient had cutaneous scleral jaundice, and no other abnormalities were observed.</w:t>
      </w:r>
    </w:p>
    <w:p w14:paraId="7E3C69CA" w14:textId="77777777" w:rsidR="00181EA5" w:rsidRDefault="00181EA5">
      <w:pPr>
        <w:adjustRightInd w:val="0"/>
        <w:snapToGrid w:val="0"/>
        <w:spacing w:line="360" w:lineRule="auto"/>
        <w:jc w:val="both"/>
        <w:rPr>
          <w:rFonts w:ascii="Book Antiqua" w:hAnsi="Book Antiqua" w:cs="Book Antiqua"/>
        </w:rPr>
      </w:pPr>
    </w:p>
    <w:p w14:paraId="6EB35634"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70FEF16A"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laboratory workup showed the following results: </w:t>
      </w:r>
      <w:r>
        <w:rPr>
          <w:rFonts w:ascii="Book Antiqua" w:eastAsia="宋体" w:hAnsi="Book Antiqua" w:cs="Book Antiqua" w:hint="eastAsia"/>
          <w:color w:val="000000"/>
          <w:lang w:eastAsia="zh-CN"/>
        </w:rPr>
        <w:t>T</w:t>
      </w:r>
      <w:r>
        <w:rPr>
          <w:rFonts w:ascii="Book Antiqua" w:eastAsia="Book Antiqua" w:hAnsi="Book Antiqua" w:cs="Book Antiqua"/>
          <w:color w:val="000000"/>
        </w:rPr>
        <w:t>otal bilirubin, 271.8</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lang w:eastAsia="zh-CN"/>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/L (reference range, 3.2</w:t>
      </w:r>
      <w:r>
        <w:rPr>
          <w:rFonts w:ascii="Book Antiqua" w:eastAsia="宋体" w:hAnsi="Book Antiqua" w:cs="Book Antiqua" w:hint="eastAsia"/>
          <w:color w:val="000000"/>
          <w:lang w:eastAsia="zh-CN"/>
        </w:rPr>
        <w:t>-</w:t>
      </w:r>
      <w:r>
        <w:rPr>
          <w:rFonts w:ascii="Book Antiqua" w:eastAsia="Book Antiqua" w:hAnsi="Book Antiqua" w:cs="Book Antiqua"/>
          <w:color w:val="000000"/>
        </w:rPr>
        <w:t>23.5</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color w:val="000000"/>
          <w:lang w:eastAsia="zh-CN"/>
        </w:rPr>
        <w:t>μ</w:t>
      </w:r>
      <w:r>
        <w:rPr>
          <w:rFonts w:ascii="Book Antiqua" w:eastAsia="Book Antiqua" w:hAnsi="Book Antiqua" w:cs="Book Antiqua"/>
          <w:color w:val="000000"/>
        </w:rPr>
        <w:t>mol</w:t>
      </w:r>
      <w:proofErr w:type="spellEnd"/>
      <w:r>
        <w:rPr>
          <w:rFonts w:ascii="Book Antiqua" w:eastAsia="Book Antiqua" w:hAnsi="Book Antiqua" w:cs="Book Antiqua"/>
          <w:color w:val="000000"/>
        </w:rPr>
        <w:t>/L); aspartate aminotransferase, 277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 (reference range, 15</w:t>
      </w:r>
      <w:r>
        <w:rPr>
          <w:rFonts w:ascii="Book Antiqua" w:eastAsia="宋体" w:hAnsi="Book Antiqua" w:cs="Book Antiqua" w:hint="eastAsia"/>
          <w:color w:val="000000"/>
          <w:lang w:eastAsia="zh-CN"/>
        </w:rPr>
        <w:t>-</w:t>
      </w:r>
      <w:r>
        <w:rPr>
          <w:rFonts w:ascii="Book Antiqua" w:eastAsia="Book Antiqua" w:hAnsi="Book Antiqua" w:cs="Book Antiqua"/>
          <w:color w:val="000000"/>
        </w:rPr>
        <w:t>40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 alanine aminotransferase, 535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 (reference range, 9</w:t>
      </w:r>
      <w:r>
        <w:rPr>
          <w:rFonts w:ascii="Book Antiqua" w:eastAsia="宋体" w:hAnsi="Book Antiqua" w:cs="Book Antiqua" w:hint="eastAsia"/>
          <w:color w:val="000000"/>
          <w:lang w:eastAsia="zh-CN"/>
        </w:rPr>
        <w:t>-</w:t>
      </w:r>
      <w:r>
        <w:rPr>
          <w:rFonts w:ascii="Book Antiqua" w:eastAsia="Book Antiqua" w:hAnsi="Book Antiqua" w:cs="Book Antiqua"/>
          <w:color w:val="000000"/>
        </w:rPr>
        <w:t>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 albumin, 35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g/L (reference range, 40</w:t>
      </w:r>
      <w:r>
        <w:rPr>
          <w:rFonts w:ascii="Book Antiqua" w:eastAsia="宋体" w:hAnsi="Book Antiqua" w:cs="Book Antiqua" w:hint="eastAsia"/>
          <w:color w:val="000000"/>
          <w:lang w:eastAsia="zh-CN"/>
        </w:rPr>
        <w:t>-</w:t>
      </w:r>
      <w:r>
        <w:rPr>
          <w:rFonts w:ascii="Book Antiqua" w:eastAsia="Book Antiqua" w:hAnsi="Book Antiqua" w:cs="Book Antiqua"/>
          <w:color w:val="000000"/>
        </w:rPr>
        <w:t>55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g/L); and </w:t>
      </w:r>
      <w:r>
        <w:rPr>
          <w:rFonts w:ascii="Book Antiqua" w:eastAsia="宋体" w:hAnsi="Book Antiqua" w:cs="Book Antiqua" w:hint="eastAsia"/>
          <w:color w:val="000000"/>
          <w:lang w:eastAsia="zh-CN"/>
        </w:rPr>
        <w:t>g</w:t>
      </w:r>
      <w:r>
        <w:rPr>
          <w:rFonts w:ascii="Book Antiqua" w:eastAsia="Book Antiqua" w:hAnsi="Book Antiqua" w:cs="Book Antiqua"/>
          <w:color w:val="000000"/>
        </w:rPr>
        <w:t>lycoprotein,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19</w:t>
      </w:r>
      <w:r>
        <w:rPr>
          <w:rFonts w:ascii="Book Antiqua" w:eastAsia="宋体" w:hAnsi="Book Antiqua" w:cs="Book Antiqua" w:hint="eastAsia"/>
          <w:color w:val="000000"/>
          <w:lang w:eastAsia="zh-CN"/>
        </w:rPr>
        <w:t>-</w:t>
      </w:r>
      <w:r>
        <w:rPr>
          <w:rFonts w:ascii="Book Antiqua" w:eastAsia="Book Antiqua" w:hAnsi="Book Antiqua" w:cs="Book Antiqua"/>
          <w:color w:val="000000"/>
        </w:rPr>
        <w:t>9 102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U/mL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(reference range, 0</w:t>
      </w:r>
      <w:r>
        <w:rPr>
          <w:rFonts w:ascii="Book Antiqua" w:eastAsia="宋体" w:hAnsi="Book Antiqua" w:cs="Book Antiqua" w:hint="eastAsia"/>
          <w:color w:val="000000"/>
          <w:lang w:eastAsia="zh-CN"/>
        </w:rPr>
        <w:t>-</w:t>
      </w:r>
      <w:r>
        <w:rPr>
          <w:rFonts w:ascii="Book Antiqua" w:eastAsia="Book Antiqua" w:hAnsi="Book Antiqua" w:cs="Book Antiqua"/>
          <w:color w:val="000000"/>
        </w:rPr>
        <w:t>39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U/L).</w:t>
      </w:r>
    </w:p>
    <w:p w14:paraId="7F805854" w14:textId="77777777" w:rsidR="00181EA5" w:rsidRDefault="00181EA5">
      <w:pPr>
        <w:adjustRightInd w:val="0"/>
        <w:snapToGrid w:val="0"/>
        <w:spacing w:line="360" w:lineRule="auto"/>
        <w:jc w:val="both"/>
        <w:rPr>
          <w:rFonts w:ascii="Book Antiqua" w:hAnsi="Book Antiqua" w:cs="Book Antiqua"/>
        </w:rPr>
      </w:pPr>
    </w:p>
    <w:p w14:paraId="79C99336"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Imaging examinations</w:t>
      </w:r>
    </w:p>
    <w:p w14:paraId="452172D5"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Contrast-enhanced magnetic resonance imaging (MRI) of the hepatobiliary system revealed a carcinoma measuring 1.1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cm in the middle and lower bile duct, with an unclear boundary, a high </w:t>
      </w:r>
      <w:r>
        <w:rPr>
          <w:rFonts w:ascii="Book Antiqua" w:eastAsia="宋体" w:hAnsi="Book Antiqua" w:cs="Book Antiqua" w:hint="eastAsia"/>
          <w:color w:val="000000"/>
          <w:lang w:eastAsia="zh-CN"/>
        </w:rPr>
        <w:t>d</w:t>
      </w:r>
      <w:r>
        <w:rPr>
          <w:rFonts w:ascii="Book Antiqua" w:eastAsia="Book Antiqua" w:hAnsi="Book Antiqua" w:cs="Book Antiqua"/>
          <w:color w:val="000000"/>
        </w:rPr>
        <w:t>iffusion-</w:t>
      </w: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eighted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maging signal, moderately </w:t>
      </w:r>
      <w:r>
        <w:rPr>
          <w:rFonts w:ascii="Book Antiqua" w:eastAsia="Book Antiqua" w:hAnsi="Book Antiqua" w:cs="Book Antiqua"/>
          <w:color w:val="000000"/>
        </w:rPr>
        <w:lastRenderedPageBreak/>
        <w:t xml:space="preserve">heterogeneous enhancement, and the presence of an enlarged retroperitoneal lymph node in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roup 13 measuring 1.5 cm (Figure 1). This presentation led to the consideration of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rPr>
        <w:t xml:space="preserve"> with lymph node metastasis. Preoperative examination suggested a tumor marker carbohydrate antigen 19-9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(CA19-9)</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&gt;</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1000 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Following a multidisciplinary discussion, the patient received palliative surgery involving laparoscopic </w:t>
      </w:r>
      <w:proofErr w:type="spellStart"/>
      <w:r>
        <w:rPr>
          <w:rFonts w:ascii="Book Antiqua" w:eastAsia="Book Antiqua" w:hAnsi="Book Antiqua" w:cs="Book Antiqua"/>
          <w:color w:val="000000"/>
        </w:rPr>
        <w:t>choledochojejunostomy</w:t>
      </w:r>
      <w:proofErr w:type="spellEnd"/>
      <w:r>
        <w:rPr>
          <w:rFonts w:ascii="Book Antiqua" w:eastAsia="Book Antiqua" w:hAnsi="Book Antiqua" w:cs="Book Antiqua"/>
          <w:color w:val="000000"/>
        </w:rPr>
        <w:t xml:space="preserve"> for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rPr>
        <w:t xml:space="preserve"> on August 13, 2021.</w:t>
      </w:r>
    </w:p>
    <w:p w14:paraId="2F3F24BB"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On January 6, 2022, approximately five months after surgical treatment, a mass was identified in the right epigastric region. Contrast-enhanced abdominal computed tomography (CT) revealed a carcinoma measuring 1.1 cm in diameter in the middle and lower bile duct, along with a retroperitoneal metastatic lymph node measuring 1.3 cm, exhibiting minimal change compared to previous measurements. However, new intrahepatic metastases were identified, including a metastatic carcinoma measuring 0.5 cm × 0.4 cm in the left lateral lobe of the liver and another measuring 1.3 cm × 1.2 cm in the fifth segment of the right lobe of the liver. Furthermore, metastasis in the right epigastric subcutaneous fat layer metastases measuring 2.0 cm × 1.9 cm was also observed (Figure 2). A needle biopsy confirmed that the right epigastric metastasis was infiltrative adenocarcinoma consistent with metastatic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rPr>
        <w:t xml:space="preserve"> (Figure 3). The patient declined the administration of gemcitabine plus cisplatin.</w:t>
      </w:r>
    </w:p>
    <w:p w14:paraId="2470DB20"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On January 31, 2022 (six months postoperatively), the patient initiated the first cycle of combined immunotherapy, receiving oral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at a dosage of 8 mg once daily and intravenous </w:t>
      </w:r>
      <w:proofErr w:type="spellStart"/>
      <w:r>
        <w:rPr>
          <w:rFonts w:ascii="Book Antiqua" w:eastAsia="Book Antiqua" w:hAnsi="Book Antiqua" w:cs="Book Antiqua"/>
          <w:color w:val="000000"/>
        </w:rPr>
        <w:t>sintilimab</w:t>
      </w:r>
      <w:proofErr w:type="spellEnd"/>
      <w:r>
        <w:rPr>
          <w:rFonts w:ascii="Book Antiqua" w:eastAsia="Book Antiqua" w:hAnsi="Book Antiqua" w:cs="Book Antiqua"/>
          <w:color w:val="000000"/>
        </w:rPr>
        <w:t xml:space="preserve"> at a dosage of 200 mg every three weeks. The patient completed two treatment cycles. Following the second cycle, a contrast-enhanced abdominal CT scan on March 15, 2022, revealed a carcinoma measuring 1.1 cm in the bile duct and a retroperitoneal metastatic lymph node measuring 1.3 cm in size. Notably, the right epigastric metastases significantly reduced in size to 0.4 cm × 0.5 cm. However, the intrahepatic metastases displayed an increase in size compared to previous measurements, with metastatic carcinoma in the left lateral lobe of the liver measuring 0.9 cm × 0.9 cm and the other measuring 1.8 cm × 1.7 cm in the fifth segment of the right lobe of the liver (Figure 4).</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CA19-9 decreased to 105.5 U/mL</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after targeted </w:t>
      </w:r>
      <w:r>
        <w:rPr>
          <w:rFonts w:ascii="Book Antiqua" w:eastAsia="Book Antiqua" w:hAnsi="Book Antiqua" w:cs="Book Antiqua"/>
          <w:color w:val="000000"/>
        </w:rPr>
        <w:lastRenderedPageBreak/>
        <w:t>immunotherapy.</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We recommended interventional therapy to control the progression of intrahepatic metastases, but the patient declined and opted to suspend the abovementioned treatments.</w:t>
      </w:r>
    </w:p>
    <w:p w14:paraId="18930F27" w14:textId="77777777" w:rsidR="00181EA5" w:rsidRDefault="00181EA5">
      <w:pPr>
        <w:adjustRightInd w:val="0"/>
        <w:snapToGrid w:val="0"/>
        <w:spacing w:line="360" w:lineRule="auto"/>
        <w:ind w:firstLine="420"/>
        <w:jc w:val="both"/>
        <w:rPr>
          <w:rFonts w:ascii="Book Antiqua" w:hAnsi="Book Antiqua" w:cs="Book Antiqua"/>
        </w:rPr>
      </w:pPr>
    </w:p>
    <w:p w14:paraId="5CB90B4E"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41F39BC2"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On August 8, 2021, the patient was diagnosed with distal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rPr>
        <w:t xml:space="preserve"> (T3N1M0).</w:t>
      </w:r>
    </w:p>
    <w:p w14:paraId="39AB34F3" w14:textId="77777777" w:rsidR="00181EA5" w:rsidRDefault="00181EA5">
      <w:pPr>
        <w:adjustRightInd w:val="0"/>
        <w:snapToGrid w:val="0"/>
        <w:spacing w:line="360" w:lineRule="auto"/>
        <w:jc w:val="both"/>
        <w:rPr>
          <w:rFonts w:ascii="Book Antiqua" w:hAnsi="Book Antiqua" w:cs="Book Antiqua"/>
        </w:rPr>
      </w:pPr>
    </w:p>
    <w:p w14:paraId="781B0F16"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411EC3C4"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On January 31, 2022 (six months postoperatively), the patient initiated the first cycle of combined immunotherapy, receiving oral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at a dosage of 8 mg once daily and intravenous </w:t>
      </w:r>
      <w:proofErr w:type="spellStart"/>
      <w:r>
        <w:rPr>
          <w:rFonts w:ascii="Book Antiqua" w:eastAsia="Book Antiqua" w:hAnsi="Book Antiqua" w:cs="Book Antiqua"/>
          <w:color w:val="000000"/>
        </w:rPr>
        <w:t>sintilimab</w:t>
      </w:r>
      <w:proofErr w:type="spellEnd"/>
      <w:r>
        <w:rPr>
          <w:rFonts w:ascii="Book Antiqua" w:eastAsia="Book Antiqua" w:hAnsi="Book Antiqua" w:cs="Book Antiqua"/>
          <w:color w:val="000000"/>
        </w:rPr>
        <w:t xml:space="preserve"> at a dosage of 200 mg every three weeks. The patient completed two treatment cycles.</w:t>
      </w:r>
    </w:p>
    <w:p w14:paraId="54490AF2" w14:textId="77777777" w:rsidR="00181EA5" w:rsidRDefault="00181EA5">
      <w:pPr>
        <w:adjustRightInd w:val="0"/>
        <w:snapToGrid w:val="0"/>
        <w:spacing w:line="360" w:lineRule="auto"/>
        <w:jc w:val="both"/>
        <w:rPr>
          <w:rFonts w:ascii="Book Antiqua" w:hAnsi="Book Antiqua" w:cs="Book Antiqua"/>
        </w:rPr>
      </w:pPr>
    </w:p>
    <w:p w14:paraId="1135D077"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588B23F2" w14:textId="77777777" w:rsidR="00181EA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Unfortunately, the patient passed away six months after commencing combined targeted immunotherapy. To assess the therapeutic progress, a comparison was made with the initial. Various aspects were evaluated, including the primary lesions, retroperitoneal lymph node metastases, epigastric metastases, and intrahepatic metastases. The post-immunotherapy assessments adhered to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Response Evaluation Criteria in Solid Tumors (RECIST) 1.1.</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patient’s treatment process is shown in Figure 5.</w:t>
      </w:r>
    </w:p>
    <w:p w14:paraId="6CEED606" w14:textId="77777777" w:rsidR="00181EA5" w:rsidRDefault="00181EA5">
      <w:pPr>
        <w:adjustRightInd w:val="0"/>
        <w:snapToGrid w:val="0"/>
        <w:spacing w:line="360" w:lineRule="auto"/>
        <w:jc w:val="both"/>
        <w:rPr>
          <w:rFonts w:ascii="Book Antiqua" w:hAnsi="Book Antiqua" w:cs="Book Antiqua"/>
        </w:rPr>
      </w:pPr>
    </w:p>
    <w:p w14:paraId="21959F97"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04181DA1" w14:textId="77777777" w:rsidR="00181EA5" w:rsidRDefault="00000000">
      <w:pPr>
        <w:adjustRightInd w:val="0"/>
        <w:snapToGrid w:val="0"/>
        <w:spacing w:line="360" w:lineRule="auto"/>
        <w:jc w:val="both"/>
        <w:rPr>
          <w:rFonts w:ascii="Book Antiqua" w:hAnsi="Book Antiqua" w:cs="Book Antiqua"/>
        </w:rPr>
      </w:pP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s represent a heterogeneous group of malignancies originating from the epithelial cells of the bile ducts, manifesting as solid tumors that can occur anywhere along the biliary tree, including intrahepatic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and extrahepatic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These cancers are characterized by their aggressive biological behavior, often remain latent until reaching advanced stages, and are associated with a high postoperative recurrence rate of up to 67%, a 5-year survival rate of below 5%, even after surgical </w:t>
      </w:r>
      <w:proofErr w:type="gramStart"/>
      <w:r>
        <w:rPr>
          <w:rFonts w:ascii="Book Antiqua" w:eastAsia="Book Antiqua" w:hAnsi="Book Antiqua" w:cs="Book Antiqua"/>
          <w:color w:val="000000"/>
          <w:shd w:val="clear" w:color="auto" w:fill="FCFDFE"/>
        </w:rPr>
        <w:t>intervention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Currently, </w:t>
      </w:r>
      <w:r>
        <w:rPr>
          <w:rFonts w:ascii="Book Antiqua" w:eastAsia="Book Antiqua" w:hAnsi="Book Antiqua" w:cs="Book Antiqua"/>
          <w:color w:val="000000"/>
          <w:shd w:val="clear" w:color="auto" w:fill="FCFDFE"/>
        </w:rPr>
        <w:lastRenderedPageBreak/>
        <w:t xml:space="preserve">the primary therapeutic approach for metastatic or recurrent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involves the combination of gemcitabine and </w:t>
      </w:r>
      <w:proofErr w:type="gramStart"/>
      <w:r>
        <w:rPr>
          <w:rFonts w:ascii="Book Antiqua" w:eastAsia="Book Antiqua" w:hAnsi="Book Antiqua" w:cs="Book Antiqua"/>
          <w:color w:val="000000"/>
          <w:shd w:val="clear" w:color="auto" w:fill="FCFDFE"/>
        </w:rPr>
        <w:t>cisplatin</w:t>
      </w:r>
      <w:r>
        <w:rPr>
          <w:rFonts w:ascii="Book Antiqua" w:eastAsia="Book Antiqua" w:hAnsi="Book Antiqua" w:cs="Book Antiqua"/>
          <w:color w:val="000000"/>
          <w:szCs w:val="36"/>
          <w:shd w:val="clear" w:color="auto" w:fill="FCFDFE"/>
          <w:vertAlign w:val="superscript"/>
        </w:rPr>
        <w:t>[</w:t>
      </w:r>
      <w:proofErr w:type="gramEnd"/>
      <w:r>
        <w:rPr>
          <w:rFonts w:ascii="Book Antiqua" w:eastAsia="Book Antiqua" w:hAnsi="Book Antiqua" w:cs="Book Antiqua"/>
          <w:color w:val="000000"/>
          <w:szCs w:val="36"/>
          <w:shd w:val="clear" w:color="auto" w:fill="FCFDFE"/>
          <w:vertAlign w:val="superscript"/>
        </w:rPr>
        <w:t>7]</w:t>
      </w:r>
      <w:r>
        <w:rPr>
          <w:rFonts w:ascii="Book Antiqua" w:eastAsia="Book Antiqua" w:hAnsi="Book Antiqua" w:cs="Book Antiqua"/>
          <w:color w:val="000000"/>
          <w:shd w:val="clear" w:color="auto" w:fill="FCFDFE"/>
        </w:rPr>
        <w:t xml:space="preserve">. However,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exhibits limited sensitivity to chemotherapy, resulting in a median survival of only 6 to 8 </w:t>
      </w:r>
      <w:proofErr w:type="spellStart"/>
      <w:proofErr w:type="gramStart"/>
      <w:r>
        <w:rPr>
          <w:rFonts w:ascii="Book Antiqua" w:eastAsia="Book Antiqua" w:hAnsi="Book Antiqua" w:cs="Book Antiqua"/>
          <w:color w:val="000000"/>
          <w:shd w:val="clear" w:color="auto" w:fill="FCFDFE"/>
        </w:rPr>
        <w:t>mo</w:t>
      </w:r>
      <w:proofErr w:type="spellEnd"/>
      <w:r>
        <w:rPr>
          <w:rFonts w:ascii="Book Antiqua" w:eastAsia="Book Antiqua" w:hAnsi="Book Antiqua" w:cs="Book Antiqua"/>
          <w:color w:val="000000"/>
          <w:szCs w:val="36"/>
          <w:shd w:val="clear" w:color="auto" w:fill="FCFDFE"/>
          <w:vertAlign w:val="superscript"/>
        </w:rPr>
        <w:t>[</w:t>
      </w:r>
      <w:proofErr w:type="gramEnd"/>
      <w:r>
        <w:rPr>
          <w:rFonts w:ascii="Book Antiqua" w:eastAsia="Book Antiqua" w:hAnsi="Book Antiqua" w:cs="Book Antiqua"/>
          <w:color w:val="000000"/>
          <w:szCs w:val="36"/>
          <w:shd w:val="clear" w:color="auto" w:fill="FCFDFE"/>
          <w:vertAlign w:val="superscript"/>
        </w:rPr>
        <w:t>8]</w:t>
      </w:r>
      <w:r>
        <w:rPr>
          <w:rFonts w:ascii="Book Antiqua" w:eastAsia="Book Antiqua" w:hAnsi="Book Antiqua" w:cs="Book Antiqua"/>
          <w:color w:val="000000"/>
          <w:shd w:val="clear" w:color="auto" w:fill="FCFDFE"/>
        </w:rPr>
        <w:t>. Therefore, there is an urgent need for innovative treatments to improve patient survival rates and enhance their quality of life.</w:t>
      </w:r>
    </w:p>
    <w:p w14:paraId="2C355EB0"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CFDFE"/>
        </w:rPr>
        <w:t xml:space="preserve">In recent years, the field of oncology and immunology has witnessed significant advancements, particularly in the realm of immunotherapy, which has demonstrated remarkable efficacy in treating solid tumors. Multiple studies have suggested a close association between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and chronic inflammation, as well as the tumor immune </w:t>
      </w:r>
      <w:proofErr w:type="gramStart"/>
      <w:r>
        <w:rPr>
          <w:rFonts w:ascii="Book Antiqua" w:eastAsia="Book Antiqua" w:hAnsi="Book Antiqua" w:cs="Book Antiqua"/>
          <w:color w:val="000000"/>
          <w:shd w:val="clear" w:color="auto" w:fill="FCFDFE"/>
        </w:rPr>
        <w:t>microenvironment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The presence of specific immune cells typed within the tumor milieu significantly influences therapeutic response and overall prognosis. For instance, Marks </w:t>
      </w:r>
      <w:r>
        <w:rPr>
          <w:rFonts w:ascii="Book Antiqua" w:eastAsia="宋体" w:hAnsi="Book Antiqua" w:cs="Book Antiqua" w:hint="eastAsia"/>
          <w:color w:val="000000"/>
          <w:shd w:val="clear" w:color="auto" w:fill="FCFDFE"/>
          <w:lang w:eastAsia="zh-CN"/>
        </w:rPr>
        <w:t xml:space="preserve">and </w:t>
      </w:r>
      <w:proofErr w:type="gramStart"/>
      <w:r>
        <w:rPr>
          <w:rFonts w:ascii="Book Antiqua" w:eastAsia="Book Antiqua" w:hAnsi="Book Antiqua" w:cs="Book Antiqua"/>
          <w:color w:val="000000"/>
          <w:shd w:val="clear" w:color="auto" w:fill="FCFDFE"/>
        </w:rPr>
        <w:t>Yee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reported that 70% to 87% of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cases exhibit macrophage infiltration, resulting in the release of proinflammatory and angiogenic factors that facilitate tumor growth. Conversely, a predominance of </w:t>
      </w:r>
      <w:proofErr w:type="spellStart"/>
      <w:r>
        <w:rPr>
          <w:rFonts w:ascii="Book Antiqua" w:eastAsia="Book Antiqua" w:hAnsi="Book Antiqua" w:cs="Book Antiqua"/>
          <w:color w:val="000000"/>
          <w:shd w:val="clear" w:color="auto" w:fill="FCFDFE"/>
        </w:rPr>
        <w:t>intratumoral</w:t>
      </w:r>
      <w:proofErr w:type="spellEnd"/>
      <w:r>
        <w:rPr>
          <w:rFonts w:ascii="Book Antiqua" w:eastAsia="Book Antiqua" w:hAnsi="Book Antiqua" w:cs="Book Antiqua"/>
          <w:color w:val="000000"/>
          <w:shd w:val="clear" w:color="auto" w:fill="FCFDFE"/>
        </w:rPr>
        <w:t xml:space="preserve"> lymphocyte infiltration, such as increased CD4</w:t>
      </w:r>
      <w:r>
        <w:rPr>
          <w:rFonts w:ascii="Book Antiqua" w:eastAsia="Book Antiqua" w:hAnsi="Book Antiqua" w:cs="Book Antiqua"/>
          <w:color w:val="000000"/>
          <w:szCs w:val="36"/>
          <w:shd w:val="clear" w:color="auto" w:fill="FCFDFE"/>
          <w:vertAlign w:val="superscript"/>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and CD8</w:t>
      </w:r>
      <w:r>
        <w:rPr>
          <w:rFonts w:ascii="Book Antiqua" w:eastAsia="Book Antiqua" w:hAnsi="Book Antiqua" w:cs="Book Antiqua"/>
          <w:color w:val="000000"/>
          <w:szCs w:val="36"/>
          <w:shd w:val="clear" w:color="auto" w:fill="FCFDFE"/>
          <w:vertAlign w:val="superscript"/>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T cells, is indicative of a more favorable </w:t>
      </w:r>
      <w:proofErr w:type="gramStart"/>
      <w:r>
        <w:rPr>
          <w:rFonts w:ascii="Book Antiqua" w:eastAsia="Book Antiqua" w:hAnsi="Book Antiqua" w:cs="Book Antiqua"/>
          <w:color w:val="000000"/>
          <w:shd w:val="clear" w:color="auto" w:fill="FCFDFE"/>
        </w:rPr>
        <w:t>prognosis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w:t>
      </w:r>
    </w:p>
    <w:p w14:paraId="167E5E6E"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CFDFE"/>
        </w:rPr>
        <w:t xml:space="preserve">In our case, the emergence of intrahepatic metastases and epigastric metastases occurred five months after the patient underwent palliative surgery for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Although </w:t>
      </w:r>
      <w:proofErr w:type="spellStart"/>
      <w:r>
        <w:rPr>
          <w:rFonts w:ascii="Book Antiqua" w:eastAsia="Book Antiqua" w:hAnsi="Book Antiqua" w:cs="Book Antiqua"/>
          <w:color w:val="000000"/>
          <w:shd w:val="clear" w:color="auto" w:fill="FCFDFE"/>
        </w:rPr>
        <w:t>lenvatinib</w:t>
      </w:r>
      <w:proofErr w:type="spellEnd"/>
      <w:r>
        <w:rPr>
          <w:rFonts w:ascii="Book Antiqua" w:eastAsia="Book Antiqua" w:hAnsi="Book Antiqua" w:cs="Book Antiqua"/>
          <w:color w:val="000000"/>
          <w:shd w:val="clear" w:color="auto" w:fill="FCFDFE"/>
        </w:rPr>
        <w:t xml:space="preserve"> plus </w:t>
      </w:r>
      <w:proofErr w:type="spellStart"/>
      <w:r>
        <w:rPr>
          <w:rFonts w:ascii="Book Antiqua" w:eastAsia="Book Antiqua" w:hAnsi="Book Antiqua" w:cs="Book Antiqua"/>
          <w:color w:val="000000"/>
          <w:shd w:val="clear" w:color="auto" w:fill="FCFDFE"/>
        </w:rPr>
        <w:t>sintilimab</w:t>
      </w:r>
      <w:proofErr w:type="spellEnd"/>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is typically prioritized as an anti-tumor treatment option, it is important to note that </w:t>
      </w:r>
      <w:proofErr w:type="spellStart"/>
      <w:r>
        <w:rPr>
          <w:rFonts w:ascii="Book Antiqua" w:eastAsia="Book Antiqua" w:hAnsi="Book Antiqua" w:cs="Book Antiqua"/>
          <w:color w:val="000000"/>
          <w:shd w:val="clear" w:color="auto" w:fill="FCFDFE"/>
        </w:rPr>
        <w:t>lenvatinib</w:t>
      </w:r>
      <w:proofErr w:type="spellEnd"/>
      <w:r>
        <w:rPr>
          <w:rFonts w:ascii="Book Antiqua" w:eastAsia="Book Antiqua" w:hAnsi="Book Antiqua" w:cs="Book Antiqua"/>
          <w:color w:val="000000"/>
          <w:shd w:val="clear" w:color="auto" w:fill="FCFDFE"/>
        </w:rPr>
        <w:t xml:space="preserve"> is a multitargeted tyrosine kinase inhibitor (TKI) focused on inhibiting vascular endothelial growth factor (VEGF) and fibroblast growth factor (FGF) </w:t>
      </w:r>
      <w:proofErr w:type="gramStart"/>
      <w:r>
        <w:rPr>
          <w:rFonts w:ascii="Book Antiqua" w:eastAsia="Book Antiqua" w:hAnsi="Book Antiqua" w:cs="Book Antiqua"/>
          <w:color w:val="000000"/>
          <w:shd w:val="clear" w:color="auto" w:fill="FCFDFE"/>
        </w:rPr>
        <w:t>receptors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shd w:val="clear" w:color="auto" w:fill="FCFDFE"/>
        </w:rPr>
        <w:t xml:space="preserve">. Many studies have revealed that </w:t>
      </w:r>
      <w:proofErr w:type="spellStart"/>
      <w:r>
        <w:rPr>
          <w:rFonts w:ascii="Book Antiqua" w:eastAsia="Book Antiqua" w:hAnsi="Book Antiqua" w:cs="Book Antiqua"/>
          <w:color w:val="000000"/>
          <w:shd w:val="clear" w:color="auto" w:fill="FCFDFE"/>
        </w:rPr>
        <w:t>lenvatinib</w:t>
      </w:r>
      <w:proofErr w:type="spellEnd"/>
      <w:r>
        <w:rPr>
          <w:rFonts w:ascii="Book Antiqua" w:eastAsia="Book Antiqua" w:hAnsi="Book Antiqua" w:cs="Book Antiqua"/>
          <w:color w:val="000000"/>
          <w:shd w:val="clear" w:color="auto" w:fill="FCFDFE"/>
        </w:rPr>
        <w:t xml:space="preserve"> enhances the anti-tumor activity of T lymphocytes within the tumor immune microenvironment, primarily through its anti-angiogenic properties, thereby augmenting the effectiveness of programmed cell death-1(PD-1)</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blockade</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such as </w:t>
      </w:r>
      <w:proofErr w:type="spellStart"/>
      <w:proofErr w:type="gramStart"/>
      <w:r>
        <w:rPr>
          <w:rFonts w:ascii="Book Antiqua" w:eastAsia="Book Antiqua" w:hAnsi="Book Antiqua" w:cs="Book Antiqua"/>
          <w:color w:val="000000"/>
          <w:shd w:val="clear" w:color="auto" w:fill="FCFDFE"/>
        </w:rPr>
        <w:t>sintilimab</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12-14]</w:t>
      </w:r>
      <w:r>
        <w:rPr>
          <w:rFonts w:ascii="Book Antiqua" w:eastAsia="Book Antiqua" w:hAnsi="Book Antiqua" w:cs="Book Antiqua"/>
          <w:color w:val="000000"/>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For example, Kato </w:t>
      </w:r>
      <w:r>
        <w:rPr>
          <w:rFonts w:ascii="Book Antiqua" w:eastAsia="Book Antiqua" w:hAnsi="Book Antiqua" w:cs="Book Antiqua"/>
          <w:i/>
          <w:iCs/>
          <w:color w:val="000000"/>
          <w:shd w:val="clear" w:color="auto" w:fill="FCFDFE"/>
        </w:rPr>
        <w:t xml:space="preserve">et </w:t>
      </w:r>
      <w:proofErr w:type="gramStart"/>
      <w:r>
        <w:rPr>
          <w:rFonts w:ascii="Book Antiqua" w:eastAsia="Book Antiqua" w:hAnsi="Book Antiqua" w:cs="Book Antiqua"/>
          <w:i/>
          <w:iCs/>
          <w:color w:val="000000"/>
          <w:shd w:val="clear" w:color="auto" w:fill="FCFDFE"/>
        </w:rPr>
        <w:t>al</w:t>
      </w:r>
      <w:r>
        <w:rPr>
          <w:rFonts w:ascii="Book Antiqua" w:eastAsia="Book Antiqua" w:hAnsi="Book Antiqua" w:cs="Book Antiqua"/>
          <w:color w:val="000000"/>
          <w:szCs w:val="36"/>
          <w:shd w:val="clear" w:color="auto" w:fill="FCFDFE"/>
          <w:vertAlign w:val="superscript"/>
        </w:rPr>
        <w:t>[</w:t>
      </w:r>
      <w:proofErr w:type="gramEnd"/>
      <w:r>
        <w:rPr>
          <w:rFonts w:ascii="Book Antiqua" w:eastAsia="Book Antiqua" w:hAnsi="Book Antiqua" w:cs="Book Antiqua"/>
          <w:color w:val="000000"/>
          <w:szCs w:val="36"/>
          <w:shd w:val="clear" w:color="auto" w:fill="FCFDFE"/>
          <w:vertAlign w:val="superscript"/>
        </w:rPr>
        <w:t>15]</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explored the immunomodulatory effects of </w:t>
      </w:r>
      <w:proofErr w:type="spellStart"/>
      <w:r>
        <w:rPr>
          <w:rFonts w:ascii="Book Antiqua" w:eastAsia="Book Antiqua" w:hAnsi="Book Antiqua" w:cs="Book Antiqua"/>
          <w:color w:val="000000"/>
          <w:shd w:val="clear" w:color="auto" w:fill="FCFDFE"/>
        </w:rPr>
        <w:t>lenvatinib</w:t>
      </w:r>
      <w:proofErr w:type="spellEnd"/>
      <w:r>
        <w:rPr>
          <w:rFonts w:ascii="Book Antiqua" w:eastAsia="Book Antiqua" w:hAnsi="Book Antiqua" w:cs="Book Antiqua"/>
          <w:color w:val="000000"/>
          <w:shd w:val="clear" w:color="auto" w:fill="FCFDFE"/>
        </w:rPr>
        <w:t xml:space="preserve"> during the anti-tumor process and uncovered its ability to increase the proportion of T cells in the tumor microenvironment. It achieved this by reducing tumor-associated macrophages and increasing the percentage of activated CD8</w:t>
      </w:r>
      <w:r>
        <w:rPr>
          <w:rFonts w:ascii="Book Antiqua" w:eastAsia="Book Antiqua" w:hAnsi="Book Antiqua" w:cs="Book Antiqua"/>
          <w:color w:val="000000"/>
          <w:szCs w:val="36"/>
          <w:shd w:val="clear" w:color="auto" w:fill="FCFDFE"/>
          <w:vertAlign w:val="superscript"/>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T cells that secrete interferon-γ</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 and granzyme B, ultimately triggering the host immune response against tumor cells. </w:t>
      </w:r>
      <w:r>
        <w:rPr>
          <w:rFonts w:ascii="Book Antiqua" w:eastAsia="Book Antiqua" w:hAnsi="Book Antiqua" w:cs="Book Antiqua"/>
          <w:color w:val="000000"/>
          <w:shd w:val="clear" w:color="auto" w:fill="FCFDFE"/>
        </w:rPr>
        <w:lastRenderedPageBreak/>
        <w:t xml:space="preserve">Additionally, Okazaki </w:t>
      </w:r>
      <w:r>
        <w:rPr>
          <w:rFonts w:ascii="Book Antiqua" w:eastAsia="Book Antiqua" w:hAnsi="Book Antiqua" w:cs="Book Antiqua"/>
          <w:i/>
          <w:iCs/>
          <w:color w:val="000000"/>
          <w:shd w:val="clear" w:color="auto" w:fill="FCFDFE"/>
        </w:rPr>
        <w:t>et al</w:t>
      </w:r>
      <w:r>
        <w:rPr>
          <w:rFonts w:ascii="Book Antiqua" w:eastAsia="Book Antiqua" w:hAnsi="Book Antiqua" w:cs="Book Antiqua"/>
          <w:color w:val="000000"/>
          <w:shd w:val="clear" w:color="auto" w:fill="FCFDFE"/>
        </w:rPr>
        <w:t xml:space="preserve"> </w:t>
      </w:r>
      <w:r>
        <w:rPr>
          <w:rFonts w:ascii="Book Antiqua" w:eastAsia="Book Antiqua" w:hAnsi="Book Antiqua" w:cs="Book Antiqua"/>
          <w:color w:val="000000"/>
          <w:szCs w:val="36"/>
          <w:vertAlign w:val="superscript"/>
        </w:rPr>
        <w:t>[16]</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highlighted that although </w:t>
      </w:r>
      <w:proofErr w:type="spellStart"/>
      <w:r>
        <w:rPr>
          <w:rFonts w:ascii="Book Antiqua" w:eastAsia="Book Antiqua" w:hAnsi="Book Antiqua" w:cs="Book Antiqua"/>
          <w:color w:val="000000"/>
          <w:shd w:val="clear" w:color="auto" w:fill="FCFDFE"/>
        </w:rPr>
        <w:t>lenvatinib</w:t>
      </w:r>
      <w:proofErr w:type="spellEnd"/>
      <w:r>
        <w:rPr>
          <w:rFonts w:ascii="Book Antiqua" w:eastAsia="Book Antiqua" w:hAnsi="Book Antiqua" w:cs="Book Antiqua"/>
          <w:color w:val="000000"/>
          <w:shd w:val="clear" w:color="auto" w:fill="FCFDFE"/>
        </w:rPr>
        <w:t xml:space="preserve"> plays a vital role in controlling tumor cells, the immune escape mechanisms of tumor cells pose significant risks for tumor recurrence. These mechanisms involve inadequate numbers of effective CD8</w:t>
      </w:r>
      <w:r>
        <w:rPr>
          <w:rFonts w:ascii="Book Antiqua" w:eastAsia="Book Antiqua" w:hAnsi="Book Antiqua" w:cs="Book Antiqua"/>
          <w:color w:val="000000"/>
          <w:szCs w:val="36"/>
          <w:shd w:val="clear" w:color="auto" w:fill="FCFDFE"/>
          <w:vertAlign w:val="superscript"/>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T cells or the failure of CD8</w:t>
      </w:r>
      <w:r>
        <w:rPr>
          <w:rFonts w:ascii="Book Antiqua" w:eastAsia="Book Antiqua" w:hAnsi="Book Antiqua" w:cs="Book Antiqua"/>
          <w:color w:val="000000"/>
          <w:szCs w:val="36"/>
          <w:shd w:val="clear" w:color="auto" w:fill="FCFDFE"/>
          <w:vertAlign w:val="superscript"/>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T cells to recognize tumor antigens. The PD-1 signaling pathway is a key regulator of CD8</w:t>
      </w:r>
      <w:r>
        <w:rPr>
          <w:rFonts w:ascii="Book Antiqua" w:eastAsia="Book Antiqua" w:hAnsi="Book Antiqua" w:cs="Book Antiqua"/>
          <w:color w:val="000000"/>
          <w:szCs w:val="36"/>
          <w:shd w:val="clear" w:color="auto" w:fill="FCFDFE"/>
          <w:vertAlign w:val="superscript"/>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T cell exhaustion. However, using PD-1 blockade alone in patients with solid cancer yields an overall response rate of only around 20% to 30</w:t>
      </w:r>
      <w:proofErr w:type="gramStart"/>
      <w:r>
        <w:rPr>
          <w:rFonts w:ascii="Book Antiqua" w:eastAsia="Book Antiqua" w:hAnsi="Book Antiqua" w:cs="Book Antiqua"/>
          <w:color w:val="000000"/>
          <w:shd w:val="clear" w:color="auto" w:fill="FCFDFE"/>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17-19]</w:t>
      </w:r>
      <w:r>
        <w:rPr>
          <w:rFonts w:ascii="Book Antiqua" w:eastAsia="Book Antiqua" w:hAnsi="Book Antiqua" w:cs="Book Antiqua"/>
          <w:color w:val="000000"/>
        </w:rPr>
        <w:t>.</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Chen </w:t>
      </w:r>
      <w:r>
        <w:rPr>
          <w:rFonts w:ascii="Book Antiqua" w:eastAsia="Book Antiqua" w:hAnsi="Book Antiqua" w:cs="Book Antiqua"/>
          <w:i/>
          <w:iCs/>
          <w:color w:val="000000"/>
          <w:shd w:val="clear" w:color="auto" w:fill="FCFDFE"/>
        </w:rPr>
        <w:t xml:space="preserve">et </w:t>
      </w:r>
      <w:proofErr w:type="gramStart"/>
      <w:r>
        <w:rPr>
          <w:rFonts w:ascii="Book Antiqua" w:eastAsia="Book Antiqua" w:hAnsi="Book Antiqua" w:cs="Book Antiqua"/>
          <w:i/>
          <w:iCs/>
          <w:color w:val="000000"/>
          <w:shd w:val="clear" w:color="auto" w:fill="FCFDFE"/>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suggested that the combination of </w:t>
      </w:r>
      <w:proofErr w:type="spellStart"/>
      <w:r>
        <w:rPr>
          <w:rFonts w:ascii="Book Antiqua" w:eastAsia="Book Antiqua" w:hAnsi="Book Antiqua" w:cs="Book Antiqua"/>
          <w:color w:val="000000"/>
          <w:shd w:val="clear" w:color="auto" w:fill="FCFDFE"/>
        </w:rPr>
        <w:t>lenvatinib</w:t>
      </w:r>
      <w:proofErr w:type="spellEnd"/>
      <w:r>
        <w:rPr>
          <w:rFonts w:ascii="Book Antiqua" w:eastAsia="Book Antiqua" w:hAnsi="Book Antiqua" w:cs="Book Antiqua"/>
          <w:color w:val="000000"/>
          <w:shd w:val="clear" w:color="auto" w:fill="FCFDFE"/>
        </w:rPr>
        <w:t xml:space="preserve"> plus PD-1 blocker in the treatment of unresectable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achieved an objective response rate of 42.1%, with a median survival time of 17.7 mo. The growing body of evidence supports this approach as a promising treatment </w:t>
      </w:r>
      <w:proofErr w:type="gramStart"/>
      <w:r>
        <w:rPr>
          <w:rFonts w:ascii="Book Antiqua" w:eastAsia="Book Antiqua" w:hAnsi="Book Antiqua" w:cs="Book Antiqua"/>
          <w:color w:val="000000"/>
          <w:shd w:val="clear" w:color="auto" w:fill="FCFDFE"/>
        </w:rPr>
        <w:t>option</w:t>
      </w:r>
      <w:r>
        <w:rPr>
          <w:rFonts w:ascii="Book Antiqua" w:eastAsia="Book Antiqua" w:hAnsi="Book Antiqua" w:cs="Book Antiqua"/>
          <w:color w:val="000000"/>
          <w:szCs w:val="36"/>
          <w:shd w:val="clear" w:color="auto" w:fill="FCFDFE"/>
          <w:vertAlign w:val="superscript"/>
        </w:rPr>
        <w:t>[</w:t>
      </w:r>
      <w:proofErr w:type="gramEnd"/>
      <w:r>
        <w:rPr>
          <w:rFonts w:ascii="Book Antiqua" w:eastAsia="Book Antiqua" w:hAnsi="Book Antiqua" w:cs="Book Antiqua"/>
          <w:color w:val="000000"/>
          <w:szCs w:val="36"/>
          <w:shd w:val="clear" w:color="auto" w:fill="FCFDFE"/>
          <w:vertAlign w:val="superscript"/>
        </w:rPr>
        <w:t>21,22]</w:t>
      </w:r>
      <w:r>
        <w:rPr>
          <w:rFonts w:ascii="Book Antiqua" w:eastAsia="Book Antiqua" w:hAnsi="Book Antiqua" w:cs="Book Antiqua"/>
          <w:color w:val="000000"/>
          <w:shd w:val="clear" w:color="auto" w:fill="FCFDFE"/>
        </w:rPr>
        <w:t xml:space="preserve">. This perspective greatly influenced our decision to administer </w:t>
      </w:r>
      <w:proofErr w:type="spellStart"/>
      <w:r>
        <w:rPr>
          <w:rFonts w:ascii="Book Antiqua" w:eastAsia="Book Antiqua" w:hAnsi="Book Antiqua" w:cs="Book Antiqua"/>
          <w:color w:val="000000"/>
          <w:shd w:val="clear" w:color="auto" w:fill="FCFDFE"/>
        </w:rPr>
        <w:t>lenvatinib</w:t>
      </w:r>
      <w:proofErr w:type="spellEnd"/>
      <w:r>
        <w:rPr>
          <w:rFonts w:ascii="Book Antiqua" w:eastAsia="Book Antiqua" w:hAnsi="Book Antiqua" w:cs="Book Antiqua"/>
          <w:color w:val="000000"/>
          <w:shd w:val="clear" w:color="auto" w:fill="FCFDFE"/>
        </w:rPr>
        <w:t xml:space="preserve"> combined with </w:t>
      </w:r>
      <w:proofErr w:type="spellStart"/>
      <w:r>
        <w:rPr>
          <w:rFonts w:ascii="Book Antiqua" w:eastAsia="Book Antiqua" w:hAnsi="Book Antiqua" w:cs="Book Antiqua"/>
          <w:color w:val="000000"/>
          <w:shd w:val="clear" w:color="auto" w:fill="FCFDFE"/>
        </w:rPr>
        <w:t>sintilimab</w:t>
      </w:r>
      <w:proofErr w:type="spellEnd"/>
      <w:r>
        <w:rPr>
          <w:rFonts w:ascii="Book Antiqua" w:eastAsia="Book Antiqua" w:hAnsi="Book Antiqua" w:cs="Book Antiqua"/>
          <w:color w:val="000000"/>
          <w:shd w:val="clear" w:color="auto" w:fill="FCFDFE"/>
        </w:rPr>
        <w:t xml:space="preserve"> to our patient.</w:t>
      </w:r>
    </w:p>
    <w:p w14:paraId="08F9694C"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CFDFE"/>
        </w:rPr>
        <w:t>After two cycles of treatment, a positive therapeutic effect was evident. The primary bile duct carcinoma and retroperitoneal metastatic lymph nodes achieved stable disease as per RECIST 1.1. Notably, there was a significant decrease in the size of the epigastric metastasis, resulting in a complete response where the lesions shrank to less than 1 cm in the short axis. These favorable treatment outcomes were observed. However, it was surprising to note that the intrahepatic metastases exhibited progressive disease. The subsequent CT scan conducted after treatment revealed an increase in size from 1.3 cm × 1.2 cm to 1.8 cm × 1.7 cm in the metastases within the liver’s fifth segment, and from 0.5 cm ×</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0.4 cm to 0.9 cm × 0.9 cm in metastases within the left lateral lobe. The inconsistent responses observed in different metastatic tumor sites to the same treatment regimen warrant further analysis. Upon a thorough review of the relevant literature, previous studies have consistently highlighted significant differences in the tumor immune microenvironments between intrahepatic and extrahepatic </w:t>
      </w:r>
      <w:proofErr w:type="gramStart"/>
      <w:r>
        <w:rPr>
          <w:rFonts w:ascii="Book Antiqua" w:eastAsia="Book Antiqua" w:hAnsi="Book Antiqua" w:cs="Book Antiqua"/>
          <w:color w:val="000000"/>
          <w:shd w:val="clear" w:color="auto" w:fill="FCFDFE"/>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shd w:val="clear" w:color="auto" w:fill="FCFDFE"/>
        </w:rPr>
        <w:t xml:space="preserve">. The liver exhibits characteristics of immune </w:t>
      </w:r>
      <w:proofErr w:type="gramStart"/>
      <w:r>
        <w:rPr>
          <w:rFonts w:ascii="Book Antiqua" w:eastAsia="Book Antiqua" w:hAnsi="Book Antiqua" w:cs="Book Antiqua"/>
          <w:color w:val="000000"/>
          <w:shd w:val="clear" w:color="auto" w:fill="FCFDFE"/>
        </w:rPr>
        <w:t>tolerance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shd w:val="clear" w:color="auto" w:fill="FCFDFE"/>
        </w:rPr>
        <w:t xml:space="preserve">, rendering it largely unresponsive to most antigens. As a result, the immune microenvironment in the liver, where the tumor resides, tends to be suppressed. This state inhibits immune cells from effectively recognizing tumor cells or results in an </w:t>
      </w:r>
      <w:r>
        <w:rPr>
          <w:rFonts w:ascii="Book Antiqua" w:eastAsia="Book Antiqua" w:hAnsi="Book Antiqua" w:cs="Book Antiqua"/>
          <w:color w:val="000000"/>
          <w:shd w:val="clear" w:color="auto" w:fill="FCFDFE"/>
        </w:rPr>
        <w:lastRenderedPageBreak/>
        <w:t>insufficient activation of immune cells, ultimately facilitating immune evasion by liver tumors and allowing for their continued progression. Lu</w:t>
      </w:r>
      <w:r>
        <w:rPr>
          <w:rFonts w:ascii="Book Antiqua" w:eastAsia="宋体" w:hAnsi="Book Antiqua" w:cs="Book Antiqua" w:hint="eastAsia"/>
          <w:color w:val="000000"/>
          <w:shd w:val="clear" w:color="auto" w:fill="FCFDFE"/>
          <w:lang w:eastAsia="zh-CN"/>
        </w:rPr>
        <w:t xml:space="preserve"> </w:t>
      </w:r>
      <w:r>
        <w:rPr>
          <w:rFonts w:ascii="Book Antiqua" w:eastAsia="宋体" w:hAnsi="Book Antiqua" w:cs="Book Antiqua" w:hint="eastAsia"/>
          <w:i/>
          <w:iCs/>
          <w:color w:val="000000"/>
          <w:shd w:val="clear" w:color="auto" w:fill="FCFDFE"/>
          <w:lang w:eastAsia="zh-CN"/>
        </w:rPr>
        <w:t xml:space="preserve">et </w:t>
      </w:r>
      <w:proofErr w:type="gramStart"/>
      <w:r>
        <w:rPr>
          <w:rFonts w:ascii="Book Antiqua" w:eastAsia="宋体" w:hAnsi="Book Antiqua" w:cs="Book Antiqua" w:hint="eastAsia"/>
          <w:i/>
          <w:iCs/>
          <w:color w:val="000000"/>
          <w:shd w:val="clear" w:color="auto" w:fill="FCFDFE"/>
          <w:lang w:eastAsia="zh-CN"/>
        </w:rPr>
        <w:t>al</w:t>
      </w:r>
      <w:r>
        <w:rPr>
          <w:rFonts w:ascii="Book Antiqua" w:eastAsia="Book Antiqua" w:hAnsi="Book Antiqua" w:cs="Book Antiqua"/>
          <w:color w:val="000000"/>
          <w:szCs w:val="36"/>
          <w:shd w:val="clear" w:color="auto" w:fill="FCFDFE"/>
          <w:vertAlign w:val="superscript"/>
        </w:rPr>
        <w:t>[</w:t>
      </w:r>
      <w:proofErr w:type="gramEnd"/>
      <w:r>
        <w:rPr>
          <w:rFonts w:ascii="Book Antiqua" w:eastAsia="Book Antiqua" w:hAnsi="Book Antiqua" w:cs="Book Antiqua"/>
          <w:color w:val="000000"/>
          <w:shd w:val="clear" w:color="auto" w:fill="FCFDFE"/>
          <w:vertAlign w:val="superscript"/>
        </w:rPr>
        <w:t>25</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rPr>
        <w:t xml:space="preserve"> elaborated on the suppressive state of the immune microenvironment in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In contrast, the immune microenvironment in extrahepatic tumors may lean toward an immune-activated state, rendering them more susceptible to attack by activated immune cells and the anti-angiogenesis effects of targeted immune drugs. This dynamic can ultimately lead to tumor regression.</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Lu</w:t>
      </w:r>
      <w:r>
        <w:rPr>
          <w:rFonts w:ascii="Book Antiqua" w:eastAsia="宋体" w:hAnsi="Book Antiqua" w:cs="Book Antiqua" w:hint="eastAsia"/>
          <w:color w:val="000000"/>
          <w:shd w:val="clear" w:color="auto" w:fill="FCFDFE"/>
          <w:lang w:eastAsia="zh-CN"/>
        </w:rPr>
        <w:t xml:space="preserve"> </w:t>
      </w:r>
      <w:r>
        <w:rPr>
          <w:rFonts w:ascii="Book Antiqua" w:eastAsia="宋体" w:hAnsi="Book Antiqua" w:cs="Book Antiqua" w:hint="eastAsia"/>
          <w:i/>
          <w:iCs/>
          <w:color w:val="000000"/>
          <w:shd w:val="clear" w:color="auto" w:fill="FCFDFE"/>
          <w:lang w:eastAsia="zh-CN"/>
        </w:rPr>
        <w:t xml:space="preserve">et </w:t>
      </w:r>
      <w:proofErr w:type="gramStart"/>
      <w:r>
        <w:rPr>
          <w:rFonts w:ascii="Book Antiqua" w:eastAsia="宋体" w:hAnsi="Book Antiqua" w:cs="Book Antiqua" w:hint="eastAsia"/>
          <w:i/>
          <w:iCs/>
          <w:color w:val="000000"/>
          <w:shd w:val="clear" w:color="auto" w:fill="FCFDFE"/>
          <w:lang w:eastAsia="zh-CN"/>
        </w:rPr>
        <w:t>al</w:t>
      </w:r>
      <w:r>
        <w:rPr>
          <w:rFonts w:ascii="Book Antiqua" w:eastAsia="Book Antiqua" w:hAnsi="Book Antiqua" w:cs="Book Antiqua"/>
          <w:color w:val="000000"/>
          <w:szCs w:val="36"/>
          <w:shd w:val="clear" w:color="auto" w:fill="FCFDFE"/>
          <w:vertAlign w:val="superscript"/>
        </w:rPr>
        <w:t>[</w:t>
      </w:r>
      <w:proofErr w:type="gramEnd"/>
      <w:r>
        <w:rPr>
          <w:rFonts w:ascii="Book Antiqua" w:eastAsia="Book Antiqua" w:hAnsi="Book Antiqua" w:cs="Book Antiqua"/>
          <w:color w:val="000000"/>
          <w:shd w:val="clear" w:color="auto" w:fill="FCFDFE"/>
          <w:vertAlign w:val="superscript"/>
        </w:rPr>
        <w:t>25</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rPr>
        <w:t xml:space="preserve"> also underscored the notable resistance of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cells and the</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broader</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overall liver microenvironment to immunotherapies that demonstrate efficacy</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in other cancer sites, thereby necessitating the use of treatment combinations.</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Lenvatinib can inhibit tumor angiogenesis by targeting VEGF</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and FGF to exert anti-tumor </w:t>
      </w:r>
      <w:proofErr w:type="gramStart"/>
      <w:r>
        <w:rPr>
          <w:rFonts w:ascii="Book Antiqua" w:eastAsia="Book Antiqua" w:hAnsi="Book Antiqua" w:cs="Book Antiqua"/>
          <w:color w:val="000000"/>
          <w:shd w:val="clear" w:color="auto" w:fill="FCFDFE"/>
        </w:rPr>
        <w:t>effects</w:t>
      </w:r>
      <w:r>
        <w:rPr>
          <w:rFonts w:ascii="Book Antiqua" w:eastAsia="Book Antiqua" w:hAnsi="Book Antiqua" w:cs="Book Antiqua"/>
          <w:color w:val="000000"/>
          <w:szCs w:val="36"/>
          <w:shd w:val="clear" w:color="auto" w:fill="FCFDFE"/>
          <w:vertAlign w:val="superscript"/>
        </w:rPr>
        <w:t>[</w:t>
      </w:r>
      <w:proofErr w:type="gramEnd"/>
      <w:r>
        <w:rPr>
          <w:rFonts w:ascii="Book Antiqua" w:eastAsia="Book Antiqua" w:hAnsi="Book Antiqua" w:cs="Book Antiqua"/>
          <w:color w:val="000000"/>
          <w:shd w:val="clear" w:color="auto" w:fill="FCFDFE"/>
          <w:vertAlign w:val="superscript"/>
        </w:rPr>
        <w:t>26</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rPr>
        <w:t xml:space="preserve">. </w:t>
      </w:r>
      <w:proofErr w:type="spellStart"/>
      <w:r>
        <w:rPr>
          <w:rFonts w:ascii="Book Antiqua" w:eastAsia="Book Antiqua" w:hAnsi="Book Antiqua" w:cs="Book Antiqua"/>
          <w:color w:val="000000"/>
          <w:shd w:val="clear" w:color="auto" w:fill="FCFDFE"/>
        </w:rPr>
        <w:t>Sintilimab</w:t>
      </w:r>
      <w:proofErr w:type="spellEnd"/>
      <w:r>
        <w:rPr>
          <w:rFonts w:ascii="Book Antiqua" w:eastAsia="Book Antiqua" w:hAnsi="Book Antiqua" w:cs="Book Antiqua"/>
          <w:color w:val="000000"/>
          <w:shd w:val="clear" w:color="auto" w:fill="FCFDFE"/>
        </w:rPr>
        <w:t xml:space="preserve">, an </w:t>
      </w:r>
      <w:r>
        <w:rPr>
          <w:rFonts w:ascii="Book Antiqua" w:eastAsia="宋体" w:hAnsi="Book Antiqua" w:cs="Book Antiqua" w:hint="eastAsia"/>
          <w:color w:val="000000"/>
          <w:shd w:val="clear" w:color="auto" w:fill="FCFDFE"/>
          <w:lang w:eastAsia="zh-CN"/>
        </w:rPr>
        <w:t>i</w:t>
      </w:r>
      <w:r>
        <w:rPr>
          <w:rFonts w:ascii="Book Antiqua" w:eastAsia="Book Antiqua" w:hAnsi="Book Antiqua" w:cs="Book Antiqua"/>
          <w:color w:val="000000"/>
          <w:shd w:val="clear" w:color="auto" w:fill="FCFDFE"/>
        </w:rPr>
        <w:t>mmunoglobulin G4 immunoglobulin that binds to PD-1,</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acts as an </w:t>
      </w:r>
      <w:r>
        <w:rPr>
          <w:rFonts w:ascii="Book Antiqua" w:hAnsi="Book Antiqua" w:cs="Book Antiqua"/>
        </w:rPr>
        <w:t>ICI</w:t>
      </w:r>
      <w:r>
        <w:rPr>
          <w:rFonts w:ascii="Book Antiqua" w:eastAsia="Book Antiqua" w:hAnsi="Book Antiqua" w:cs="Book Antiqua"/>
          <w:color w:val="000000"/>
          <w:shd w:val="clear" w:color="auto" w:fill="FCFDFE"/>
        </w:rPr>
        <w:t xml:space="preserve"> by selectively blocking the interaction between PD-1 expressed on activated T cells and its ligands,</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PD-1 </w:t>
      </w:r>
      <w:r>
        <w:rPr>
          <w:rFonts w:ascii="Book Antiqua" w:eastAsia="宋体" w:hAnsi="Book Antiqua" w:cs="Book Antiqua" w:hint="eastAsia"/>
          <w:color w:val="000000"/>
          <w:shd w:val="clear" w:color="auto" w:fill="FCFDFE"/>
          <w:lang w:eastAsia="zh-CN"/>
        </w:rPr>
        <w:t>l</w:t>
      </w:r>
      <w:r>
        <w:rPr>
          <w:rFonts w:ascii="Book Antiqua" w:eastAsia="Book Antiqua" w:hAnsi="Book Antiqua" w:cs="Book Antiqua"/>
          <w:color w:val="000000"/>
          <w:shd w:val="clear" w:color="auto" w:fill="FCFDFE"/>
        </w:rPr>
        <w:t xml:space="preserve">igand 1 (PD-L1) or PD-1 </w:t>
      </w:r>
      <w:r>
        <w:rPr>
          <w:rFonts w:ascii="Book Antiqua" w:eastAsia="宋体" w:hAnsi="Book Antiqua" w:cs="Book Antiqua" w:hint="eastAsia"/>
          <w:color w:val="000000"/>
          <w:shd w:val="clear" w:color="auto" w:fill="FCFDFE"/>
          <w:lang w:eastAsia="zh-CN"/>
        </w:rPr>
        <w:t>l</w:t>
      </w:r>
      <w:r>
        <w:rPr>
          <w:rFonts w:ascii="Book Antiqua" w:eastAsia="Book Antiqua" w:hAnsi="Book Antiqua" w:cs="Book Antiqua"/>
          <w:color w:val="000000"/>
          <w:shd w:val="clear" w:color="auto" w:fill="FCFDFE"/>
        </w:rPr>
        <w:t>igand 2,</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expressed on immune cells and tumor cells. In studies involving</w:t>
      </w:r>
      <w:r>
        <w:rPr>
          <w:rFonts w:ascii="Book Antiqua" w:eastAsia="宋体" w:hAnsi="Book Antiqua" w:cs="Book Antiqua" w:hint="eastAsia"/>
          <w:color w:val="000000"/>
          <w:shd w:val="clear" w:color="auto" w:fill="FCFDFE"/>
          <w:lang w:eastAsia="zh-CN"/>
        </w:rPr>
        <w:t xml:space="preserve">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samples</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PD-L1 expression was found to range from</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9% to 72%, and from 46% to 63% in extrahepatic </w:t>
      </w:r>
      <w:proofErr w:type="gramStart"/>
      <w:r>
        <w:rPr>
          <w:rFonts w:ascii="Book Antiqua" w:eastAsia="Book Antiqua" w:hAnsi="Book Antiqua" w:cs="Book Antiqua"/>
          <w:color w:val="000000"/>
          <w:shd w:val="clear" w:color="auto" w:fill="FCFDFE"/>
        </w:rPr>
        <w:t>metastases</w:t>
      </w:r>
      <w:r>
        <w:rPr>
          <w:rFonts w:ascii="Book Antiqua" w:eastAsia="Book Antiqua" w:hAnsi="Book Antiqua" w:cs="Book Antiqua"/>
          <w:color w:val="000000"/>
          <w:szCs w:val="36"/>
          <w:shd w:val="clear" w:color="auto" w:fill="FCFDFE"/>
          <w:vertAlign w:val="superscript"/>
        </w:rPr>
        <w:t>[</w:t>
      </w:r>
      <w:proofErr w:type="gramEnd"/>
      <w:r>
        <w:rPr>
          <w:rFonts w:ascii="Book Antiqua" w:eastAsia="Book Antiqua" w:hAnsi="Book Antiqua" w:cs="Book Antiqua"/>
          <w:color w:val="000000"/>
          <w:shd w:val="clear" w:color="auto" w:fill="FCFDFE"/>
          <w:vertAlign w:val="superscript"/>
        </w:rPr>
        <w:t>27-29</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rPr>
        <w:t>. Haffner found that although</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PD-L1 expression</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was rare</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in primary tumors, it exhibited increased rates in metastatic </w:t>
      </w:r>
      <w:proofErr w:type="gramStart"/>
      <w:r>
        <w:rPr>
          <w:rFonts w:ascii="Book Antiqua" w:eastAsia="Book Antiqua" w:hAnsi="Book Antiqua" w:cs="Book Antiqua"/>
          <w:color w:val="000000"/>
          <w:shd w:val="clear" w:color="auto" w:fill="FCFDFE"/>
        </w:rPr>
        <w:t>tumors</w:t>
      </w:r>
      <w:r>
        <w:rPr>
          <w:rFonts w:ascii="Book Antiqua" w:eastAsia="Book Antiqua" w:hAnsi="Book Antiqua" w:cs="Book Antiqua"/>
          <w:color w:val="000000"/>
          <w:szCs w:val="36"/>
          <w:shd w:val="clear" w:color="auto" w:fill="FCFDFE"/>
          <w:vertAlign w:val="superscript"/>
        </w:rPr>
        <w:t>[</w:t>
      </w:r>
      <w:proofErr w:type="gramEnd"/>
      <w:r>
        <w:rPr>
          <w:rFonts w:ascii="Book Antiqua" w:eastAsia="Book Antiqua" w:hAnsi="Book Antiqua" w:cs="Book Antiqua"/>
          <w:color w:val="000000"/>
          <w:shd w:val="clear" w:color="auto" w:fill="FCFDFE"/>
          <w:vertAlign w:val="superscript"/>
        </w:rPr>
        <w:t>30</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rPr>
        <w:t>. Kim</w:t>
      </w:r>
      <w:r>
        <w:rPr>
          <w:rFonts w:ascii="Book Antiqua" w:eastAsia="宋体" w:hAnsi="Book Antiqua" w:cs="Book Antiqua" w:hint="eastAsia"/>
          <w:color w:val="000000"/>
          <w:shd w:val="clear" w:color="auto" w:fill="FCFDFE"/>
          <w:lang w:eastAsia="zh-CN"/>
        </w:rPr>
        <w:t xml:space="preserve"> </w:t>
      </w:r>
      <w:r>
        <w:rPr>
          <w:rFonts w:ascii="Book Antiqua" w:eastAsia="宋体" w:hAnsi="Book Antiqua" w:cs="Book Antiqua" w:hint="eastAsia"/>
          <w:i/>
          <w:iCs/>
          <w:color w:val="000000"/>
          <w:shd w:val="clear" w:color="auto" w:fill="FCFDFE"/>
          <w:lang w:eastAsia="zh-CN"/>
        </w:rPr>
        <w:t xml:space="preserve">et </w:t>
      </w:r>
      <w:proofErr w:type="gramStart"/>
      <w:r>
        <w:rPr>
          <w:rFonts w:ascii="Book Antiqua" w:eastAsia="宋体" w:hAnsi="Book Antiqua" w:cs="Book Antiqua" w:hint="eastAsia"/>
          <w:i/>
          <w:iCs/>
          <w:color w:val="000000"/>
          <w:shd w:val="clear" w:color="auto" w:fill="FCFDFE"/>
          <w:lang w:eastAsia="zh-CN"/>
        </w:rPr>
        <w:t>al</w:t>
      </w:r>
      <w:r>
        <w:rPr>
          <w:rFonts w:ascii="Book Antiqua" w:eastAsia="Book Antiqua" w:hAnsi="Book Antiqua" w:cs="Book Antiqua"/>
          <w:color w:val="000000"/>
          <w:szCs w:val="36"/>
          <w:shd w:val="clear" w:color="auto" w:fill="FCFDFE"/>
          <w:vertAlign w:val="superscript"/>
        </w:rPr>
        <w:t>[</w:t>
      </w:r>
      <w:proofErr w:type="gramEnd"/>
      <w:r>
        <w:rPr>
          <w:rFonts w:ascii="Book Antiqua" w:eastAsia="Book Antiqua" w:hAnsi="Book Antiqua" w:cs="Book Antiqua"/>
          <w:color w:val="000000"/>
          <w:shd w:val="clear" w:color="auto" w:fill="FCFDFE"/>
          <w:vertAlign w:val="superscript"/>
        </w:rPr>
        <w:t>31</w:t>
      </w:r>
      <w:r>
        <w:rPr>
          <w:rFonts w:ascii="Book Antiqua" w:eastAsia="Book Antiqua" w:hAnsi="Book Antiqua" w:cs="Book Antiqua"/>
          <w:color w:val="000000"/>
          <w:szCs w:val="36"/>
          <w:shd w:val="clear" w:color="auto" w:fill="FCFDFE"/>
          <w:vertAlign w:val="superscript"/>
        </w:rPr>
        <w:t>]</w:t>
      </w:r>
      <w:r>
        <w:rPr>
          <w:rFonts w:ascii="Book Antiqua" w:eastAsia="Book Antiqua" w:hAnsi="Book Antiqua" w:cs="Book Antiqua"/>
          <w:color w:val="000000"/>
          <w:shd w:val="clear" w:color="auto" w:fill="FCFDFE"/>
        </w:rPr>
        <w:t xml:space="preserve"> found that positive expression of PD-L1 expression in tumors was associated with significantly prolonged progression-free survival. This variability may elucidate the disparate</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responses</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of intrahepatic and extrahepatic tumors to targeted immunotherapy in the current case, potentially stemming from differences in the expression rates of molecular targets between the primary and metastatic tumors. However, further</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investigation, including</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molecular profiling</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and immune checkpoint molecule</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detection,</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is warranted for definitive confirmation.</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Unfortunately, the patient declined these tests due to financial constraints.</w:t>
      </w:r>
    </w:p>
    <w:p w14:paraId="63493916" w14:textId="77777777" w:rsidR="00181EA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CFDFE"/>
        </w:rPr>
        <w:t xml:space="preserve">In this case, we have gained valuable insights into the use of TKI drugs combined with </w:t>
      </w:r>
      <w:r>
        <w:rPr>
          <w:rFonts w:ascii="Book Antiqua" w:hAnsi="Book Antiqua" w:cs="Book Antiqua"/>
        </w:rPr>
        <w:t>ICI</w:t>
      </w:r>
      <w:r>
        <w:rPr>
          <w:rFonts w:ascii="Book Antiqua" w:eastAsia="Book Antiqua" w:hAnsi="Book Antiqua" w:cs="Book Antiqua"/>
          <w:color w:val="000000"/>
          <w:shd w:val="clear" w:color="auto" w:fill="FCFDFE"/>
        </w:rPr>
        <w:t xml:space="preserve">s for the treatment of advanced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Moving forward, we will continue to focus on exploring</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molecular profiling</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 xml:space="preserve">and tumor microenvironment research in similar cases. This will enhance our understanding of the immune evasion observed in intrahepatic metastases, enable us to identify more appropriate targeted </w:t>
      </w:r>
      <w:r>
        <w:rPr>
          <w:rFonts w:ascii="Book Antiqua" w:eastAsia="Book Antiqua" w:hAnsi="Book Antiqua" w:cs="Book Antiqua"/>
          <w:color w:val="000000"/>
          <w:shd w:val="clear" w:color="auto" w:fill="FCFDFE"/>
        </w:rPr>
        <w:lastRenderedPageBreak/>
        <w:t>immunotherapeutic drugs, overcome the barriers in the intrahepatic microenvironment, and ultimately achieve enhanced anti-tumor efficacy. Additionally, in cases where immune therapy fails to yield the expected results, more direct invasive approaches, such as transcatheter hepatic artery embolization or radiofrequency ablation, may be considered for treating intrahepatic tumors.</w:t>
      </w:r>
    </w:p>
    <w:p w14:paraId="0B1FEED7" w14:textId="77777777" w:rsidR="00181EA5" w:rsidRDefault="00181EA5">
      <w:pPr>
        <w:adjustRightInd w:val="0"/>
        <w:snapToGrid w:val="0"/>
        <w:spacing w:line="360" w:lineRule="auto"/>
        <w:jc w:val="both"/>
        <w:rPr>
          <w:rFonts w:ascii="Book Antiqua" w:hAnsi="Book Antiqua" w:cs="Book Antiqua"/>
        </w:rPr>
      </w:pPr>
    </w:p>
    <w:p w14:paraId="631A6C85"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07C20FEC"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hd w:val="clear" w:color="auto" w:fill="FCFDFE"/>
        </w:rPr>
        <w:t xml:space="preserve">In conclusion, the use of </w:t>
      </w:r>
      <w:proofErr w:type="spellStart"/>
      <w:r>
        <w:rPr>
          <w:rFonts w:ascii="Book Antiqua" w:eastAsia="Book Antiqua" w:hAnsi="Book Antiqua" w:cs="Book Antiqua"/>
          <w:color w:val="000000"/>
          <w:shd w:val="clear" w:color="auto" w:fill="FCFDFE"/>
        </w:rPr>
        <w:t>lenvatinib</w:t>
      </w:r>
      <w:proofErr w:type="spellEnd"/>
      <w:r>
        <w:rPr>
          <w:rFonts w:ascii="Book Antiqua" w:eastAsia="Book Antiqua" w:hAnsi="Book Antiqua" w:cs="Book Antiqua"/>
          <w:color w:val="000000"/>
          <w:shd w:val="clear" w:color="auto" w:fill="FCFDFE"/>
        </w:rPr>
        <w:t xml:space="preserve"> plus </w:t>
      </w:r>
      <w:proofErr w:type="spellStart"/>
      <w:r>
        <w:rPr>
          <w:rFonts w:ascii="Book Antiqua" w:eastAsia="Book Antiqua" w:hAnsi="Book Antiqua" w:cs="Book Antiqua"/>
          <w:color w:val="000000"/>
          <w:shd w:val="clear" w:color="auto" w:fill="FCFDFE"/>
        </w:rPr>
        <w:t>sintilimab</w:t>
      </w:r>
      <w:proofErr w:type="spellEnd"/>
      <w:r>
        <w:rPr>
          <w:rFonts w:ascii="Book Antiqua" w:eastAsia="Book Antiqua" w:hAnsi="Book Antiqua" w:cs="Book Antiqua"/>
          <w:color w:val="000000"/>
          <w:shd w:val="clear" w:color="auto" w:fill="FCFDFE"/>
        </w:rPr>
        <w:t xml:space="preserve"> for the treatment of advanced </w:t>
      </w:r>
      <w:r>
        <w:rPr>
          <w:rFonts w:ascii="Book Antiqua" w:eastAsia="宋体" w:hAnsi="Book Antiqua" w:cs="Book Antiqua" w:hint="eastAsia"/>
          <w:shd w:val="clear" w:color="auto" w:fill="FCFDFE"/>
          <w:lang w:eastAsia="zh-CN"/>
        </w:rPr>
        <w:t>CCA</w:t>
      </w:r>
      <w:r>
        <w:rPr>
          <w:rFonts w:ascii="Book Antiqua" w:eastAsia="Book Antiqua" w:hAnsi="Book Antiqua" w:cs="Book Antiqua"/>
          <w:color w:val="000000"/>
          <w:shd w:val="clear" w:color="auto" w:fill="FCFDFE"/>
        </w:rPr>
        <w:t xml:space="preserve"> has yielded inconsistent responses across different metastatic tumor sites.</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The prospects of refining the treatment response lie in the potential adjustments to the drug regimen through molecular profiling</w:t>
      </w:r>
      <w:r>
        <w:rPr>
          <w:rFonts w:ascii="Book Antiqua" w:eastAsia="宋体" w:hAnsi="Book Antiqua" w:cs="Book Antiqua" w:hint="eastAsia"/>
          <w:color w:val="000000"/>
          <w:shd w:val="clear" w:color="auto" w:fill="FCFDFE"/>
          <w:lang w:eastAsia="zh-CN"/>
        </w:rPr>
        <w:t xml:space="preserve"> </w:t>
      </w:r>
      <w:r>
        <w:rPr>
          <w:rFonts w:ascii="Book Antiqua" w:eastAsia="Book Antiqua" w:hAnsi="Book Antiqua" w:cs="Book Antiqua"/>
          <w:color w:val="000000"/>
          <w:shd w:val="clear" w:color="auto" w:fill="FCFDFE"/>
        </w:rPr>
        <w:t>and in-depth analysis of the tumor microenvironment.</w:t>
      </w:r>
    </w:p>
    <w:p w14:paraId="3AE98FE6" w14:textId="77777777" w:rsidR="00181EA5" w:rsidRDefault="00181EA5">
      <w:pPr>
        <w:adjustRightInd w:val="0"/>
        <w:snapToGrid w:val="0"/>
        <w:spacing w:line="360" w:lineRule="auto"/>
        <w:jc w:val="both"/>
        <w:rPr>
          <w:rFonts w:ascii="Book Antiqua" w:hAnsi="Book Antiqua" w:cs="Book Antiqua"/>
        </w:rPr>
      </w:pPr>
    </w:p>
    <w:p w14:paraId="2D42491E"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62FBC037"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Brandi G</w:t>
      </w:r>
      <w:r>
        <w:rPr>
          <w:rFonts w:ascii="Book Antiqua" w:eastAsia="Book Antiqua" w:hAnsi="Book Antiqua" w:cs="Book Antiqua"/>
        </w:rPr>
        <w:t xml:space="preserve">, Rizzo A, </w:t>
      </w:r>
      <w:proofErr w:type="spellStart"/>
      <w:r>
        <w:rPr>
          <w:rFonts w:ascii="Book Antiqua" w:eastAsia="Book Antiqua" w:hAnsi="Book Antiqua" w:cs="Book Antiqua"/>
        </w:rPr>
        <w:t>Dall'Olio</w:t>
      </w:r>
      <w:proofErr w:type="spellEnd"/>
      <w:r>
        <w:rPr>
          <w:rFonts w:ascii="Book Antiqua" w:eastAsia="Book Antiqua" w:hAnsi="Book Antiqua" w:cs="Book Antiqua"/>
        </w:rPr>
        <w:t xml:space="preserve"> FG, </w:t>
      </w:r>
      <w:proofErr w:type="spellStart"/>
      <w:r>
        <w:rPr>
          <w:rFonts w:ascii="Book Antiqua" w:eastAsia="Book Antiqua" w:hAnsi="Book Antiqua" w:cs="Book Antiqua"/>
        </w:rPr>
        <w:t>Felicani</w:t>
      </w:r>
      <w:proofErr w:type="spellEnd"/>
      <w:r>
        <w:rPr>
          <w:rFonts w:ascii="Book Antiqua" w:eastAsia="Book Antiqua" w:hAnsi="Book Antiqua" w:cs="Book Antiqua"/>
        </w:rPr>
        <w:t xml:space="preserve"> C, Ercolani G, Cescon M, Frega G, </w:t>
      </w:r>
      <w:proofErr w:type="spellStart"/>
      <w:r>
        <w:rPr>
          <w:rFonts w:ascii="Book Antiqua" w:eastAsia="Book Antiqua" w:hAnsi="Book Antiqua" w:cs="Book Antiqua"/>
        </w:rPr>
        <w:t>Tavolari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Palloni</w:t>
      </w:r>
      <w:proofErr w:type="spellEnd"/>
      <w:r>
        <w:rPr>
          <w:rFonts w:ascii="Book Antiqua" w:eastAsia="Book Antiqua" w:hAnsi="Book Antiqua" w:cs="Book Antiqua"/>
        </w:rPr>
        <w:t xml:space="preserve"> A, De Lorenzo S, </w:t>
      </w:r>
      <w:proofErr w:type="spellStart"/>
      <w:r>
        <w:rPr>
          <w:rFonts w:ascii="Book Antiqua" w:eastAsia="Book Antiqua" w:hAnsi="Book Antiqua" w:cs="Book Antiqua"/>
        </w:rPr>
        <w:t>Abbati</w:t>
      </w:r>
      <w:proofErr w:type="spellEnd"/>
      <w:r>
        <w:rPr>
          <w:rFonts w:ascii="Book Antiqua" w:eastAsia="Book Antiqua" w:hAnsi="Book Antiqua" w:cs="Book Antiqua"/>
        </w:rPr>
        <w:t xml:space="preserve"> F, Mollica V, Ricci AD, Serra C. Percutaneous radiofrequency ablation in intrahepatic cholangiocarcinoma: a retrospective single-center experience. </w:t>
      </w:r>
      <w:r>
        <w:rPr>
          <w:rFonts w:ascii="Book Antiqua" w:eastAsia="Book Antiqua" w:hAnsi="Book Antiqua" w:cs="Book Antiqua"/>
          <w:i/>
          <w:iCs/>
        </w:rPr>
        <w:t>Int J Hyperthermia</w:t>
      </w:r>
      <w:r>
        <w:rPr>
          <w:rFonts w:ascii="Book Antiqua" w:eastAsia="Book Antiqua" w:hAnsi="Book Antiqua" w:cs="Book Antiqua"/>
        </w:rPr>
        <w:t xml:space="preserve"> 2020; </w:t>
      </w:r>
      <w:r>
        <w:rPr>
          <w:rFonts w:ascii="Book Antiqua" w:eastAsia="Book Antiqua" w:hAnsi="Book Antiqua" w:cs="Book Antiqua"/>
          <w:b/>
          <w:bCs/>
        </w:rPr>
        <w:t>37</w:t>
      </w:r>
      <w:r>
        <w:rPr>
          <w:rFonts w:ascii="Book Antiqua" w:eastAsia="Book Antiqua" w:hAnsi="Book Antiqua" w:cs="Book Antiqua"/>
        </w:rPr>
        <w:t>: 479-485 [PMID: 32396398 DOI: 10.1080/02656736.2020.1763484]</w:t>
      </w:r>
    </w:p>
    <w:p w14:paraId="6F09E049"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Kelley RK</w:t>
      </w:r>
      <w:r>
        <w:rPr>
          <w:rFonts w:ascii="Book Antiqua" w:eastAsia="Book Antiqua" w:hAnsi="Book Antiqua" w:cs="Book Antiqua"/>
        </w:rPr>
        <w:t xml:space="preserve">, Bridgewater J, Gores GJ, Zhu AX. Systemic therapies for intrahepatic cholangiocarcinoma. </w:t>
      </w:r>
      <w:r>
        <w:rPr>
          <w:rFonts w:ascii="Book Antiqua" w:eastAsia="Book Antiqua" w:hAnsi="Book Antiqua" w:cs="Book Antiqua"/>
          <w:i/>
          <w:iCs/>
        </w:rPr>
        <w:t>J Hepatol</w:t>
      </w:r>
      <w:r>
        <w:rPr>
          <w:rFonts w:ascii="Book Antiqua" w:eastAsia="Book Antiqua" w:hAnsi="Book Antiqua" w:cs="Book Antiqua"/>
        </w:rPr>
        <w:t xml:space="preserve"> 2020; </w:t>
      </w:r>
      <w:r>
        <w:rPr>
          <w:rFonts w:ascii="Book Antiqua" w:eastAsia="Book Antiqua" w:hAnsi="Book Antiqua" w:cs="Book Antiqua"/>
          <w:b/>
          <w:bCs/>
        </w:rPr>
        <w:t>72</w:t>
      </w:r>
      <w:r>
        <w:rPr>
          <w:rFonts w:ascii="Book Antiqua" w:eastAsia="Book Antiqua" w:hAnsi="Book Antiqua" w:cs="Book Antiqua"/>
        </w:rPr>
        <w:t>: 353-363 [PMID: 31954497 DOI: 10.1016/j.jhep.2019.10.009]</w:t>
      </w:r>
    </w:p>
    <w:p w14:paraId="68EE3658"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Valle J</w:t>
      </w:r>
      <w:r>
        <w:rPr>
          <w:rFonts w:ascii="Book Antiqua" w:eastAsia="Book Antiqua" w:hAnsi="Book Antiqua" w:cs="Book Antiqua"/>
        </w:rPr>
        <w:t xml:space="preserve">, Wasan H, Palmer DH, Cunningham D, Anthoney A, </w:t>
      </w:r>
      <w:proofErr w:type="spellStart"/>
      <w:r>
        <w:rPr>
          <w:rFonts w:ascii="Book Antiqua" w:eastAsia="Book Antiqua" w:hAnsi="Book Antiqua" w:cs="Book Antiqua"/>
        </w:rPr>
        <w:t>Maraveyas</w:t>
      </w:r>
      <w:proofErr w:type="spellEnd"/>
      <w:r>
        <w:rPr>
          <w:rFonts w:ascii="Book Antiqua" w:eastAsia="Book Antiqua" w:hAnsi="Book Antiqua" w:cs="Book Antiqua"/>
        </w:rPr>
        <w:t xml:space="preserve"> A, Madhusudan S, Iveson T, Hughes S, Pereira SP, Roughton M, Bridgewater J; ABC-02 Trial Investigators. Cisplatin plus gemcitabine </w:t>
      </w:r>
      <w:r>
        <w:rPr>
          <w:rFonts w:ascii="Book Antiqua" w:eastAsia="宋体" w:hAnsi="Book Antiqua" w:cs="Book Antiqua" w:hint="eastAsia"/>
          <w:lang w:eastAsia="zh-CN"/>
        </w:rPr>
        <w:t>versus</w:t>
      </w:r>
      <w:r>
        <w:rPr>
          <w:rFonts w:ascii="Book Antiqua" w:eastAsia="Book Antiqua" w:hAnsi="Book Antiqua" w:cs="Book Antiqua"/>
        </w:rPr>
        <w:t xml:space="preserve"> gemcitabine for biliary tract cancer. </w:t>
      </w:r>
      <w:r>
        <w:rPr>
          <w:rFonts w:ascii="Book Antiqua" w:eastAsia="Book Antiqua" w:hAnsi="Book Antiqua" w:cs="Book Antiqua"/>
          <w:i/>
          <w:iCs/>
        </w:rPr>
        <w:t>N Engl J Med</w:t>
      </w:r>
      <w:r>
        <w:rPr>
          <w:rFonts w:ascii="Book Antiqua" w:eastAsia="Book Antiqua" w:hAnsi="Book Antiqua" w:cs="Book Antiqua"/>
        </w:rPr>
        <w:t xml:space="preserve"> 2010; </w:t>
      </w:r>
      <w:r>
        <w:rPr>
          <w:rFonts w:ascii="Book Antiqua" w:eastAsia="Book Antiqua" w:hAnsi="Book Antiqua" w:cs="Book Antiqua"/>
          <w:b/>
          <w:bCs/>
        </w:rPr>
        <w:t>362</w:t>
      </w:r>
      <w:r>
        <w:rPr>
          <w:rFonts w:ascii="Book Antiqua" w:eastAsia="Book Antiqua" w:hAnsi="Book Antiqua" w:cs="Book Antiqua"/>
        </w:rPr>
        <w:t>: 1273-1281 [PMID: 20375404 DOI: 10.1056/NEJMoa0908721]</w:t>
      </w:r>
    </w:p>
    <w:p w14:paraId="15A7C87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Vaddepally</w:t>
      </w:r>
      <w:proofErr w:type="spellEnd"/>
      <w:r>
        <w:rPr>
          <w:rFonts w:ascii="Book Antiqua" w:eastAsia="Book Antiqua" w:hAnsi="Book Antiqua" w:cs="Book Antiqua"/>
          <w:b/>
          <w:bCs/>
        </w:rPr>
        <w:t xml:space="preserve"> RK</w:t>
      </w:r>
      <w:r>
        <w:rPr>
          <w:rFonts w:ascii="Book Antiqua" w:eastAsia="Book Antiqua" w:hAnsi="Book Antiqua" w:cs="Book Antiqua"/>
        </w:rPr>
        <w:t xml:space="preserve">, Kharel P, Pandey R, </w:t>
      </w:r>
      <w:proofErr w:type="spellStart"/>
      <w:r>
        <w:rPr>
          <w:rFonts w:ascii="Book Antiqua" w:eastAsia="Book Antiqua" w:hAnsi="Book Antiqua" w:cs="Book Antiqua"/>
        </w:rPr>
        <w:t>Garje</w:t>
      </w:r>
      <w:proofErr w:type="spellEnd"/>
      <w:r>
        <w:rPr>
          <w:rFonts w:ascii="Book Antiqua" w:eastAsia="Book Antiqua" w:hAnsi="Book Antiqua" w:cs="Book Antiqua"/>
        </w:rPr>
        <w:t xml:space="preserve"> R, Chandra AB. Review of Indications of FDA-Approved Immune Checkpoint Inhibitors per NCCN Guidelines with the Level of Evidence. </w:t>
      </w:r>
      <w:r>
        <w:rPr>
          <w:rFonts w:ascii="Book Antiqua" w:eastAsia="Book Antiqua" w:hAnsi="Book Antiqua" w:cs="Book Antiqua"/>
          <w:i/>
          <w:iCs/>
        </w:rPr>
        <w:t>Cancers (Basel)</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xml:space="preserve"> [PMID: 32245016 DOI: 10.3390/cancers12030738]</w:t>
      </w:r>
    </w:p>
    <w:p w14:paraId="60C2C97C"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5 </w:t>
      </w:r>
      <w:r>
        <w:rPr>
          <w:rFonts w:ascii="Book Antiqua" w:eastAsia="Book Antiqua" w:hAnsi="Book Antiqua" w:cs="Book Antiqua"/>
          <w:b/>
          <w:bCs/>
        </w:rPr>
        <w:t>Chai Y</w:t>
      </w:r>
      <w:r>
        <w:rPr>
          <w:rFonts w:ascii="Book Antiqua" w:eastAsia="Book Antiqua" w:hAnsi="Book Antiqua" w:cs="Book Antiqua"/>
        </w:rPr>
        <w:t xml:space="preserve">. Immunotherapy of biliary tract cancer. </w:t>
      </w:r>
      <w:proofErr w:type="spellStart"/>
      <w:r>
        <w:rPr>
          <w:rFonts w:ascii="Book Antiqua" w:eastAsia="Book Antiqua" w:hAnsi="Book Antiqua" w:cs="Book Antiqua"/>
          <w:i/>
          <w:iCs/>
        </w:rPr>
        <w:t>Tumour</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2016; </w:t>
      </w:r>
      <w:r>
        <w:rPr>
          <w:rFonts w:ascii="Book Antiqua" w:eastAsia="Book Antiqua" w:hAnsi="Book Antiqua" w:cs="Book Antiqua"/>
          <w:b/>
          <w:bCs/>
        </w:rPr>
        <w:t>37</w:t>
      </w:r>
      <w:r>
        <w:rPr>
          <w:rFonts w:ascii="Book Antiqua" w:eastAsia="Book Antiqua" w:hAnsi="Book Antiqua" w:cs="Book Antiqua"/>
        </w:rPr>
        <w:t>: 2817-2821 [PMID: 26729196 DOI: 10.1007/s13277-015-4743-x]</w:t>
      </w:r>
    </w:p>
    <w:p w14:paraId="2BB879B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Valle JW</w:t>
      </w:r>
      <w:r>
        <w:rPr>
          <w:rFonts w:ascii="Book Antiqua" w:eastAsia="Book Antiqua" w:hAnsi="Book Antiqua" w:cs="Book Antiqua"/>
        </w:rPr>
        <w:t xml:space="preserve">, Lamarca A, Goyal L, </w:t>
      </w:r>
      <w:proofErr w:type="spellStart"/>
      <w:r>
        <w:rPr>
          <w:rFonts w:ascii="Book Antiqua" w:eastAsia="Book Antiqua" w:hAnsi="Book Antiqua" w:cs="Book Antiqua"/>
        </w:rPr>
        <w:t>Barriuso</w:t>
      </w:r>
      <w:proofErr w:type="spellEnd"/>
      <w:r>
        <w:rPr>
          <w:rFonts w:ascii="Book Antiqua" w:eastAsia="Book Antiqua" w:hAnsi="Book Antiqua" w:cs="Book Antiqua"/>
        </w:rPr>
        <w:t xml:space="preserve"> J, Zhu AX. New Horizons for Precision Medicine in Biliary Tract Cancers. </w:t>
      </w:r>
      <w:r>
        <w:rPr>
          <w:rFonts w:ascii="Book Antiqua" w:eastAsia="Book Antiqua" w:hAnsi="Book Antiqua" w:cs="Book Antiqua"/>
          <w:i/>
          <w:iCs/>
        </w:rPr>
        <w:t xml:space="preserve">Cancer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943-962 [PMID: 28818953 DOI: 10.1158/2159-8290.CD-17-0245]</w:t>
      </w:r>
    </w:p>
    <w:p w14:paraId="5F22D30C"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Malenica I</w:t>
      </w:r>
      <w:r>
        <w:rPr>
          <w:rFonts w:ascii="Book Antiqua" w:eastAsia="Book Antiqua" w:hAnsi="Book Antiqua" w:cs="Book Antiqua"/>
        </w:rPr>
        <w:t xml:space="preserve">, </w:t>
      </w:r>
      <w:proofErr w:type="spellStart"/>
      <w:r>
        <w:rPr>
          <w:rFonts w:ascii="Book Antiqua" w:eastAsia="Book Antiqua" w:hAnsi="Book Antiqua" w:cs="Book Antiqua"/>
        </w:rPr>
        <w:t>Donadon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Lleo</w:t>
      </w:r>
      <w:proofErr w:type="spellEnd"/>
      <w:r>
        <w:rPr>
          <w:rFonts w:ascii="Book Antiqua" w:eastAsia="Book Antiqua" w:hAnsi="Book Antiqua" w:cs="Book Antiqua"/>
        </w:rPr>
        <w:t xml:space="preserve"> A. Molecular and Immunological Characterization of Biliary Tract Cancers: A Paradigm Shift Towards a Personalized Medicine. </w:t>
      </w:r>
      <w:r>
        <w:rPr>
          <w:rFonts w:ascii="Book Antiqua" w:eastAsia="Book Antiqua" w:hAnsi="Book Antiqua" w:cs="Book Antiqua"/>
          <w:i/>
          <w:iCs/>
        </w:rPr>
        <w:t>Cancers (Basel)</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xml:space="preserve"> [PMID: 32781527 DOI: 10.3390/cancers12082190]</w:t>
      </w:r>
    </w:p>
    <w:p w14:paraId="56076493"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Park JO</w:t>
      </w:r>
      <w:r>
        <w:rPr>
          <w:rFonts w:ascii="Book Antiqua" w:eastAsia="Book Antiqua" w:hAnsi="Book Antiqua" w:cs="Book Antiqua"/>
        </w:rPr>
        <w:t xml:space="preserve">, Oh DY, Hsu C, Chen JS, Chen LT, Orlando M, Kim JS, Lim HY. Gemcitabine Plus Cisplatin for Advanced Biliary Tract Cancer: A Systematic Review. </w:t>
      </w:r>
      <w:r>
        <w:rPr>
          <w:rFonts w:ascii="Book Antiqua" w:eastAsia="Book Antiqua" w:hAnsi="Book Antiqua" w:cs="Book Antiqua"/>
          <w:i/>
          <w:iCs/>
        </w:rPr>
        <w:t>Cancer Res Treat</w:t>
      </w:r>
      <w:r>
        <w:rPr>
          <w:rFonts w:ascii="Book Antiqua" w:eastAsia="Book Antiqua" w:hAnsi="Book Antiqua" w:cs="Book Antiqua"/>
        </w:rPr>
        <w:t xml:space="preserve"> 2015; </w:t>
      </w:r>
      <w:r>
        <w:rPr>
          <w:rFonts w:ascii="Book Antiqua" w:eastAsia="Book Antiqua" w:hAnsi="Book Antiqua" w:cs="Book Antiqua"/>
          <w:b/>
          <w:bCs/>
        </w:rPr>
        <w:t>47</w:t>
      </w:r>
      <w:r>
        <w:rPr>
          <w:rFonts w:ascii="Book Antiqua" w:eastAsia="Book Antiqua" w:hAnsi="Book Antiqua" w:cs="Book Antiqua"/>
        </w:rPr>
        <w:t>: 343-361 [PMID: 25989801 DOI: 10.4143/crt.2014.308]</w:t>
      </w:r>
    </w:p>
    <w:p w14:paraId="74AA46D9"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Marks EI</w:t>
      </w:r>
      <w:r>
        <w:rPr>
          <w:rFonts w:ascii="Book Antiqua" w:eastAsia="Book Antiqua" w:hAnsi="Book Antiqua" w:cs="Book Antiqua"/>
        </w:rPr>
        <w:t xml:space="preserve">, Yee NS. Immunotherapeutic approaches in biliary tract carcinoma: Current status and emerging strategies.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2015; </w:t>
      </w:r>
      <w:r>
        <w:rPr>
          <w:rFonts w:ascii="Book Antiqua" w:eastAsia="Book Antiqua" w:hAnsi="Book Antiqua" w:cs="Book Antiqua"/>
          <w:b/>
          <w:bCs/>
        </w:rPr>
        <w:t>7</w:t>
      </w:r>
      <w:r>
        <w:rPr>
          <w:rFonts w:ascii="Book Antiqua" w:eastAsia="Book Antiqua" w:hAnsi="Book Antiqua" w:cs="Book Antiqua"/>
        </w:rPr>
        <w:t>: 338-346 [PMID: 26600933 DOI: 10.4251/</w:t>
      </w:r>
      <w:proofErr w:type="gramStart"/>
      <w:r>
        <w:rPr>
          <w:rFonts w:ascii="Book Antiqua" w:eastAsia="Book Antiqua" w:hAnsi="Book Antiqua" w:cs="Book Antiqua"/>
        </w:rPr>
        <w:t>wjgo.v</w:t>
      </w:r>
      <w:proofErr w:type="gramEnd"/>
      <w:r>
        <w:rPr>
          <w:rFonts w:ascii="Book Antiqua" w:eastAsia="Book Antiqua" w:hAnsi="Book Antiqua" w:cs="Book Antiqua"/>
        </w:rPr>
        <w:t>7.i11.338]</w:t>
      </w:r>
    </w:p>
    <w:p w14:paraId="436CDECE"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 </w:t>
      </w:r>
      <w:proofErr w:type="spellStart"/>
      <w:r>
        <w:rPr>
          <w:rFonts w:ascii="Book Antiqua" w:eastAsia="Book Antiqua" w:hAnsi="Book Antiqua" w:cs="Book Antiqua"/>
          <w:b/>
          <w:bCs/>
        </w:rPr>
        <w:t>Paijens</w:t>
      </w:r>
      <w:proofErr w:type="spellEnd"/>
      <w:r>
        <w:rPr>
          <w:rFonts w:ascii="Book Antiqua" w:eastAsia="Book Antiqua" w:hAnsi="Book Antiqua" w:cs="Book Antiqua"/>
          <w:b/>
          <w:bCs/>
        </w:rPr>
        <w:t xml:space="preserve"> ST</w:t>
      </w:r>
      <w:r>
        <w:rPr>
          <w:rFonts w:ascii="Book Antiqua" w:eastAsia="Book Antiqua" w:hAnsi="Book Antiqua" w:cs="Book Antiqua"/>
        </w:rPr>
        <w:t xml:space="preserve">, </w:t>
      </w:r>
      <w:proofErr w:type="spellStart"/>
      <w:r>
        <w:rPr>
          <w:rFonts w:ascii="Book Antiqua" w:eastAsia="Book Antiqua" w:hAnsi="Book Antiqua" w:cs="Book Antiqua"/>
        </w:rPr>
        <w:t>Vledder</w:t>
      </w:r>
      <w:proofErr w:type="spellEnd"/>
      <w:r>
        <w:rPr>
          <w:rFonts w:ascii="Book Antiqua" w:eastAsia="Book Antiqua" w:hAnsi="Book Antiqua" w:cs="Book Antiqua"/>
        </w:rPr>
        <w:t xml:space="preserve"> A, de Bruyn M, Nijman HW. Tumor-infiltrating lymphocytes in the immunotherapy era. </w:t>
      </w:r>
      <w:r>
        <w:rPr>
          <w:rFonts w:ascii="Book Antiqua" w:eastAsia="Book Antiqua" w:hAnsi="Book Antiqua" w:cs="Book Antiqua"/>
          <w:i/>
          <w:iCs/>
        </w:rPr>
        <w:t>Cell Mol Immunol</w:t>
      </w:r>
      <w:r>
        <w:rPr>
          <w:rFonts w:ascii="Book Antiqua" w:eastAsia="Book Antiqua" w:hAnsi="Book Antiqua" w:cs="Book Antiqua"/>
        </w:rPr>
        <w:t xml:space="preserve"> 2021; </w:t>
      </w:r>
      <w:r>
        <w:rPr>
          <w:rFonts w:ascii="Book Antiqua" w:eastAsia="Book Antiqua" w:hAnsi="Book Antiqua" w:cs="Book Antiqua"/>
          <w:b/>
          <w:bCs/>
        </w:rPr>
        <w:t>18</w:t>
      </w:r>
      <w:r>
        <w:rPr>
          <w:rFonts w:ascii="Book Antiqua" w:eastAsia="Book Antiqua" w:hAnsi="Book Antiqua" w:cs="Book Antiqua"/>
        </w:rPr>
        <w:t>: 842-859 [PMID: 33139907 DOI: 10.1038/s41423-020-00565-9]</w:t>
      </w:r>
    </w:p>
    <w:p w14:paraId="42AC54EF"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Tohyama</w:t>
      </w:r>
      <w:proofErr w:type="spellEnd"/>
      <w:r>
        <w:rPr>
          <w:rFonts w:ascii="Book Antiqua" w:eastAsia="Book Antiqua" w:hAnsi="Book Antiqua" w:cs="Book Antiqua"/>
          <w:b/>
          <w:bCs/>
        </w:rPr>
        <w:t xml:space="preserve"> O</w:t>
      </w:r>
      <w:r>
        <w:rPr>
          <w:rFonts w:ascii="Book Antiqua" w:eastAsia="Book Antiqua" w:hAnsi="Book Antiqua" w:cs="Book Antiqua"/>
        </w:rPr>
        <w:t xml:space="preserve">, Matsui J, Kodama K, Hata-Sugi N, Kimura T, Okamoto K, </w:t>
      </w:r>
      <w:proofErr w:type="spellStart"/>
      <w:r>
        <w:rPr>
          <w:rFonts w:ascii="Book Antiqua" w:eastAsia="Book Antiqua" w:hAnsi="Book Antiqua" w:cs="Book Antiqua"/>
        </w:rPr>
        <w:t>Minoshima</w:t>
      </w:r>
      <w:proofErr w:type="spellEnd"/>
      <w:r>
        <w:rPr>
          <w:rFonts w:ascii="Book Antiqua" w:eastAsia="Book Antiqua" w:hAnsi="Book Antiqua" w:cs="Book Antiqua"/>
        </w:rPr>
        <w:t xml:space="preserve"> Y, Iwata M, </w:t>
      </w:r>
      <w:proofErr w:type="spellStart"/>
      <w:r>
        <w:rPr>
          <w:rFonts w:ascii="Book Antiqua" w:eastAsia="Book Antiqua" w:hAnsi="Book Antiqua" w:cs="Book Antiqua"/>
        </w:rPr>
        <w:t>Funahashi</w:t>
      </w:r>
      <w:proofErr w:type="spellEnd"/>
      <w:r>
        <w:rPr>
          <w:rFonts w:ascii="Book Antiqua" w:eastAsia="Book Antiqua" w:hAnsi="Book Antiqua" w:cs="Book Antiqua"/>
        </w:rPr>
        <w:t xml:space="preserve"> Y. Antitumor activity of </w:t>
      </w:r>
      <w:proofErr w:type="spellStart"/>
      <w:r>
        <w:rPr>
          <w:rFonts w:ascii="Book Antiqua" w:eastAsia="Book Antiqua" w:hAnsi="Book Antiqua" w:cs="Book Antiqua"/>
        </w:rPr>
        <w:t>lenvatinib</w:t>
      </w:r>
      <w:proofErr w:type="spellEnd"/>
      <w:r>
        <w:rPr>
          <w:rFonts w:ascii="Book Antiqua" w:eastAsia="Book Antiqua" w:hAnsi="Book Antiqua" w:cs="Book Antiqua"/>
        </w:rPr>
        <w:t xml:space="preserve"> (e7080): an angiogenesis inhibitor that targets multiple receptor tyrosine kinases in preclinical human thyroid cancer models. </w:t>
      </w:r>
      <w:r>
        <w:rPr>
          <w:rFonts w:ascii="Book Antiqua" w:eastAsia="Book Antiqua" w:hAnsi="Book Antiqua" w:cs="Book Antiqua"/>
          <w:i/>
          <w:iCs/>
        </w:rPr>
        <w:t>J Thyroid Res</w:t>
      </w:r>
      <w:r>
        <w:rPr>
          <w:rFonts w:ascii="Book Antiqua" w:eastAsia="Book Antiqua" w:hAnsi="Book Antiqua" w:cs="Book Antiqua"/>
        </w:rPr>
        <w:t xml:space="preserve"> 2014; </w:t>
      </w:r>
      <w:r>
        <w:rPr>
          <w:rFonts w:ascii="Book Antiqua" w:eastAsia="Book Antiqua" w:hAnsi="Book Antiqua" w:cs="Book Antiqua"/>
          <w:b/>
          <w:bCs/>
        </w:rPr>
        <w:t>2014</w:t>
      </w:r>
      <w:r>
        <w:rPr>
          <w:rFonts w:ascii="Book Antiqua" w:eastAsia="Book Antiqua" w:hAnsi="Book Antiqua" w:cs="Book Antiqua"/>
        </w:rPr>
        <w:t>: 638747 [PMID: 25295214 DOI: 10.1155/2014/638747]</w:t>
      </w:r>
    </w:p>
    <w:p w14:paraId="68433554"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Kimura T</w:t>
      </w:r>
      <w:r>
        <w:rPr>
          <w:rFonts w:ascii="Book Antiqua" w:eastAsia="Book Antiqua" w:hAnsi="Book Antiqua" w:cs="Book Antiqua"/>
        </w:rPr>
        <w:t xml:space="preserve">, Kato Y, Ozawa Y, Kodama K, Ito J, Ichikawa K, Yamada K, Hori Y, Tabata K, Takase K, Matsui J, </w:t>
      </w:r>
      <w:proofErr w:type="spellStart"/>
      <w:r>
        <w:rPr>
          <w:rFonts w:ascii="Book Antiqua" w:eastAsia="Book Antiqua" w:hAnsi="Book Antiqua" w:cs="Book Antiqua"/>
        </w:rPr>
        <w:t>Funahashi</w:t>
      </w:r>
      <w:proofErr w:type="spellEnd"/>
      <w:r>
        <w:rPr>
          <w:rFonts w:ascii="Book Antiqua" w:eastAsia="Book Antiqua" w:hAnsi="Book Antiqua" w:cs="Book Antiqua"/>
        </w:rPr>
        <w:t xml:space="preserve"> Y, Nomoto K. Immunomodulatory activity of </w:t>
      </w:r>
      <w:proofErr w:type="spellStart"/>
      <w:r>
        <w:rPr>
          <w:rFonts w:ascii="Book Antiqua" w:eastAsia="Book Antiqua" w:hAnsi="Book Antiqua" w:cs="Book Antiqua"/>
        </w:rPr>
        <w:t>lenvatinib</w:t>
      </w:r>
      <w:proofErr w:type="spellEnd"/>
      <w:r>
        <w:rPr>
          <w:rFonts w:ascii="Book Antiqua" w:eastAsia="Book Antiqua" w:hAnsi="Book Antiqua" w:cs="Book Antiqua"/>
        </w:rPr>
        <w:t xml:space="preserve"> contributes to antitumor activity in the Hepa1-6 hepatocellular carcinoma model. </w:t>
      </w:r>
      <w:r>
        <w:rPr>
          <w:rFonts w:ascii="Book Antiqua" w:eastAsia="Book Antiqua" w:hAnsi="Book Antiqua" w:cs="Book Antiqua"/>
          <w:i/>
          <w:iCs/>
        </w:rPr>
        <w:t>Cancer Sci</w:t>
      </w:r>
      <w:r>
        <w:rPr>
          <w:rFonts w:ascii="Book Antiqua" w:eastAsia="Book Antiqua" w:hAnsi="Book Antiqua" w:cs="Book Antiqua"/>
        </w:rPr>
        <w:t xml:space="preserve"> 2018; </w:t>
      </w:r>
      <w:r>
        <w:rPr>
          <w:rFonts w:ascii="Book Antiqua" w:eastAsia="Book Antiqua" w:hAnsi="Book Antiqua" w:cs="Book Antiqua"/>
          <w:b/>
          <w:bCs/>
        </w:rPr>
        <w:t>109</w:t>
      </w:r>
      <w:r>
        <w:rPr>
          <w:rFonts w:ascii="Book Antiqua" w:eastAsia="Book Antiqua" w:hAnsi="Book Antiqua" w:cs="Book Antiqua"/>
        </w:rPr>
        <w:t>: 3993-4002 [PMID: 30447042 DOI: 10.1111/cas.13806]</w:t>
      </w:r>
    </w:p>
    <w:p w14:paraId="7561D5E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Dirkx AE</w:t>
      </w:r>
      <w:r>
        <w:rPr>
          <w:rFonts w:ascii="Book Antiqua" w:eastAsia="Book Antiqua" w:hAnsi="Book Antiqua" w:cs="Book Antiqua"/>
        </w:rPr>
        <w:t xml:space="preserve">, </w:t>
      </w:r>
      <w:proofErr w:type="spellStart"/>
      <w:r>
        <w:rPr>
          <w:rFonts w:ascii="Book Antiqua" w:eastAsia="Book Antiqua" w:hAnsi="Book Antiqua" w:cs="Book Antiqua"/>
        </w:rPr>
        <w:t>oude</w:t>
      </w:r>
      <w:proofErr w:type="spellEnd"/>
      <w:r>
        <w:rPr>
          <w:rFonts w:ascii="Book Antiqua" w:eastAsia="Book Antiqua" w:hAnsi="Book Antiqua" w:cs="Book Antiqua"/>
        </w:rPr>
        <w:t xml:space="preserve"> </w:t>
      </w:r>
      <w:proofErr w:type="spellStart"/>
      <w:r>
        <w:rPr>
          <w:rFonts w:ascii="Book Antiqua" w:eastAsia="Book Antiqua" w:hAnsi="Book Antiqua" w:cs="Book Antiqua"/>
        </w:rPr>
        <w:t>Egbrink</w:t>
      </w:r>
      <w:proofErr w:type="spellEnd"/>
      <w:r>
        <w:rPr>
          <w:rFonts w:ascii="Book Antiqua" w:eastAsia="Book Antiqua" w:hAnsi="Book Antiqua" w:cs="Book Antiqua"/>
        </w:rPr>
        <w:t xml:space="preserve"> MG, </w:t>
      </w:r>
      <w:proofErr w:type="spellStart"/>
      <w:r>
        <w:rPr>
          <w:rFonts w:ascii="Book Antiqua" w:eastAsia="Book Antiqua" w:hAnsi="Book Antiqua" w:cs="Book Antiqua"/>
        </w:rPr>
        <w:t>Castermans</w:t>
      </w:r>
      <w:proofErr w:type="spellEnd"/>
      <w:r>
        <w:rPr>
          <w:rFonts w:ascii="Book Antiqua" w:eastAsia="Book Antiqua" w:hAnsi="Book Antiqua" w:cs="Book Antiqua"/>
        </w:rPr>
        <w:t xml:space="preserve"> K, van der Schaft DW, </w:t>
      </w:r>
      <w:proofErr w:type="spellStart"/>
      <w:r>
        <w:rPr>
          <w:rFonts w:ascii="Book Antiqua" w:eastAsia="Book Antiqua" w:hAnsi="Book Antiqua" w:cs="Book Antiqua"/>
        </w:rPr>
        <w:t>Thijssen</w:t>
      </w:r>
      <w:proofErr w:type="spellEnd"/>
      <w:r>
        <w:rPr>
          <w:rFonts w:ascii="Book Antiqua" w:eastAsia="Book Antiqua" w:hAnsi="Book Antiqua" w:cs="Book Antiqua"/>
        </w:rPr>
        <w:t xml:space="preserve"> VL, Dings RP, Kwee L, Mayo KH, Wagstaff J, Bouma-</w:t>
      </w:r>
      <w:proofErr w:type="spellStart"/>
      <w:r>
        <w:rPr>
          <w:rFonts w:ascii="Book Antiqua" w:eastAsia="Book Antiqua" w:hAnsi="Book Antiqua" w:cs="Book Antiqua"/>
        </w:rPr>
        <w:t>ter</w:t>
      </w:r>
      <w:proofErr w:type="spellEnd"/>
      <w:r>
        <w:rPr>
          <w:rFonts w:ascii="Book Antiqua" w:eastAsia="Book Antiqua" w:hAnsi="Book Antiqua" w:cs="Book Antiqua"/>
        </w:rPr>
        <w:t xml:space="preserve"> Steege JC, Griffioen AW. Anti-angiogenesis therapy can overcome endothelial cell anergy and promote leukocyte-</w:t>
      </w:r>
      <w:r>
        <w:rPr>
          <w:rFonts w:ascii="Book Antiqua" w:eastAsia="Book Antiqua" w:hAnsi="Book Antiqua" w:cs="Book Antiqua"/>
        </w:rPr>
        <w:lastRenderedPageBreak/>
        <w:t xml:space="preserve">endothelium interactions and infiltration in tumors. </w:t>
      </w:r>
      <w:r>
        <w:rPr>
          <w:rFonts w:ascii="Book Antiqua" w:eastAsia="Book Antiqua" w:hAnsi="Book Antiqua" w:cs="Book Antiqua"/>
          <w:i/>
          <w:iCs/>
        </w:rPr>
        <w:t>FASEB J</w:t>
      </w:r>
      <w:r>
        <w:rPr>
          <w:rFonts w:ascii="Book Antiqua" w:eastAsia="Book Antiqua" w:hAnsi="Book Antiqua" w:cs="Book Antiqua"/>
        </w:rPr>
        <w:t xml:space="preserve"> 2006; </w:t>
      </w:r>
      <w:r>
        <w:rPr>
          <w:rFonts w:ascii="Book Antiqua" w:eastAsia="Book Antiqua" w:hAnsi="Book Antiqua" w:cs="Book Antiqua"/>
          <w:b/>
          <w:bCs/>
        </w:rPr>
        <w:t>20</w:t>
      </w:r>
      <w:r>
        <w:rPr>
          <w:rFonts w:ascii="Book Antiqua" w:eastAsia="Book Antiqua" w:hAnsi="Book Antiqua" w:cs="Book Antiqua"/>
        </w:rPr>
        <w:t>: 621-630 [PMID: 16581970 DOI: 10.1096/fj.05-4493com]</w:t>
      </w:r>
    </w:p>
    <w:p w14:paraId="4558829F"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Shigeta K</w:t>
      </w:r>
      <w:r>
        <w:rPr>
          <w:rFonts w:ascii="Book Antiqua" w:eastAsia="Book Antiqua" w:hAnsi="Book Antiqua" w:cs="Book Antiqua"/>
        </w:rPr>
        <w:t xml:space="preserve">, Datta M, Hato T, Kitahara S, Chen IX, Matsui A, Kikuchi H, </w:t>
      </w:r>
      <w:proofErr w:type="spellStart"/>
      <w:r>
        <w:rPr>
          <w:rFonts w:ascii="Book Antiqua" w:eastAsia="Book Antiqua" w:hAnsi="Book Antiqua" w:cs="Book Antiqua"/>
        </w:rPr>
        <w:t>Mamessier</w:t>
      </w:r>
      <w:proofErr w:type="spellEnd"/>
      <w:r>
        <w:rPr>
          <w:rFonts w:ascii="Book Antiqua" w:eastAsia="Book Antiqua" w:hAnsi="Book Antiqua" w:cs="Book Antiqua"/>
        </w:rPr>
        <w:t xml:space="preserve"> E, Aoki S, </w:t>
      </w:r>
      <w:proofErr w:type="spellStart"/>
      <w:r>
        <w:rPr>
          <w:rFonts w:ascii="Book Antiqua" w:eastAsia="Book Antiqua" w:hAnsi="Book Antiqua" w:cs="Book Antiqua"/>
        </w:rPr>
        <w:t>Ramjiawan</w:t>
      </w:r>
      <w:proofErr w:type="spellEnd"/>
      <w:r>
        <w:rPr>
          <w:rFonts w:ascii="Book Antiqua" w:eastAsia="Book Antiqua" w:hAnsi="Book Antiqua" w:cs="Book Antiqua"/>
        </w:rPr>
        <w:t xml:space="preserve"> RR, Ochiai H, </w:t>
      </w:r>
      <w:proofErr w:type="spellStart"/>
      <w:r>
        <w:rPr>
          <w:rFonts w:ascii="Book Antiqua" w:eastAsia="Book Antiqua" w:hAnsi="Book Antiqua" w:cs="Book Antiqua"/>
        </w:rPr>
        <w:t>Bardeesy</w:t>
      </w:r>
      <w:proofErr w:type="spellEnd"/>
      <w:r>
        <w:rPr>
          <w:rFonts w:ascii="Book Antiqua" w:eastAsia="Book Antiqua" w:hAnsi="Book Antiqua" w:cs="Book Antiqua"/>
        </w:rPr>
        <w:t xml:space="preserve"> N, Huang P, Cobbold M, Zhu AX, Jain RK, Duda DG. Dual Programmed Death Receptor-1 and Vascular Endothelial Growth Factor Receptor-2 Blockade Promotes Vascular Normalization and Enhances Antitumor Immune Responses in Hepatocellular Carcinoma. </w:t>
      </w:r>
      <w:r>
        <w:rPr>
          <w:rFonts w:ascii="Book Antiqua" w:eastAsia="Book Antiqua" w:hAnsi="Book Antiqua" w:cs="Book Antiqua"/>
          <w:i/>
          <w:iCs/>
        </w:rPr>
        <w:t>Hepatology</w:t>
      </w:r>
      <w:r>
        <w:rPr>
          <w:rFonts w:ascii="Book Antiqua" w:eastAsia="Book Antiqua" w:hAnsi="Book Antiqua" w:cs="Book Antiqua"/>
        </w:rPr>
        <w:t xml:space="preserve"> 2020; </w:t>
      </w:r>
      <w:r>
        <w:rPr>
          <w:rFonts w:ascii="Book Antiqua" w:eastAsia="Book Antiqua" w:hAnsi="Book Antiqua" w:cs="Book Antiqua"/>
          <w:b/>
          <w:bCs/>
        </w:rPr>
        <w:t>71</w:t>
      </w:r>
      <w:r>
        <w:rPr>
          <w:rFonts w:ascii="Book Antiqua" w:eastAsia="Book Antiqua" w:hAnsi="Book Antiqua" w:cs="Book Antiqua"/>
        </w:rPr>
        <w:t>: 1247-1261 [PMID: 31378984 DOI: 10.1002/hep.30889]</w:t>
      </w:r>
    </w:p>
    <w:p w14:paraId="6F97D71D"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Kato Y</w:t>
      </w:r>
      <w:r>
        <w:rPr>
          <w:rFonts w:ascii="Book Antiqua" w:eastAsia="Book Antiqua" w:hAnsi="Book Antiqua" w:cs="Book Antiqua"/>
        </w:rPr>
        <w:t xml:space="preserve">, Tabata K, Kimura T, Yachie-Kinoshita A, Ozawa Y, Yamada K, Ito J, </w:t>
      </w:r>
      <w:proofErr w:type="spellStart"/>
      <w:r>
        <w:rPr>
          <w:rFonts w:ascii="Book Antiqua" w:eastAsia="Book Antiqua" w:hAnsi="Book Antiqua" w:cs="Book Antiqua"/>
        </w:rPr>
        <w:t>Tachino</w:t>
      </w:r>
      <w:proofErr w:type="spellEnd"/>
      <w:r>
        <w:rPr>
          <w:rFonts w:ascii="Book Antiqua" w:eastAsia="Book Antiqua" w:hAnsi="Book Antiqua" w:cs="Book Antiqua"/>
        </w:rPr>
        <w:t xml:space="preserve"> S, Hori Y, Matsuki M, Matsuoka Y, Ghosh S, Kitano H, Nomoto K, Matsui J, </w:t>
      </w:r>
      <w:proofErr w:type="spellStart"/>
      <w:r>
        <w:rPr>
          <w:rFonts w:ascii="Book Antiqua" w:eastAsia="Book Antiqua" w:hAnsi="Book Antiqua" w:cs="Book Antiqua"/>
        </w:rPr>
        <w:t>Funahashi</w:t>
      </w:r>
      <w:proofErr w:type="spellEnd"/>
      <w:r>
        <w:rPr>
          <w:rFonts w:ascii="Book Antiqua" w:eastAsia="Book Antiqua" w:hAnsi="Book Antiqua" w:cs="Book Antiqua"/>
        </w:rPr>
        <w:t xml:space="preserve"> Y. Lenvatinib plus anti-PD-1 antibody combination treatment activates CD8+ T cells through reduction of tumor-associated macrophage and activation of the interferon pathway.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e0212513 [PMID: 30811474 DOI: 10.1371/journal.pone.0212513]</w:t>
      </w:r>
    </w:p>
    <w:p w14:paraId="2F246D12"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Okazaki T</w:t>
      </w:r>
      <w:r>
        <w:rPr>
          <w:rFonts w:ascii="Book Antiqua" w:eastAsia="Book Antiqua" w:hAnsi="Book Antiqua" w:cs="Book Antiqua"/>
        </w:rPr>
        <w:t xml:space="preserve">, </w:t>
      </w:r>
      <w:proofErr w:type="spellStart"/>
      <w:r>
        <w:rPr>
          <w:rFonts w:ascii="Book Antiqua" w:eastAsia="Book Antiqua" w:hAnsi="Book Antiqua" w:cs="Book Antiqua"/>
        </w:rPr>
        <w:t>Chikuma</w:t>
      </w:r>
      <w:proofErr w:type="spellEnd"/>
      <w:r>
        <w:rPr>
          <w:rFonts w:ascii="Book Antiqua" w:eastAsia="Book Antiqua" w:hAnsi="Book Antiqua" w:cs="Book Antiqua"/>
        </w:rPr>
        <w:t xml:space="preserve"> S, Iwai Y, </w:t>
      </w:r>
      <w:proofErr w:type="spellStart"/>
      <w:r>
        <w:rPr>
          <w:rFonts w:ascii="Book Antiqua" w:eastAsia="Book Antiqua" w:hAnsi="Book Antiqua" w:cs="Book Antiqua"/>
        </w:rPr>
        <w:t>Fagarasan</w:t>
      </w:r>
      <w:proofErr w:type="spellEnd"/>
      <w:r>
        <w:rPr>
          <w:rFonts w:ascii="Book Antiqua" w:eastAsia="Book Antiqua" w:hAnsi="Book Antiqua" w:cs="Book Antiqua"/>
        </w:rPr>
        <w:t xml:space="preserve"> S, Honjo T. A rheostat for immune responses: the unique properties of PD-1 and their advantages for clinical application. </w:t>
      </w:r>
      <w:r>
        <w:rPr>
          <w:rFonts w:ascii="Book Antiqua" w:eastAsia="Book Antiqua" w:hAnsi="Book Antiqua" w:cs="Book Antiqua"/>
          <w:i/>
          <w:iCs/>
        </w:rPr>
        <w:t>Nat Immunol</w:t>
      </w:r>
      <w:r>
        <w:rPr>
          <w:rFonts w:ascii="Book Antiqua" w:eastAsia="Book Antiqua" w:hAnsi="Book Antiqua" w:cs="Book Antiqua"/>
        </w:rPr>
        <w:t xml:space="preserve"> 2013; </w:t>
      </w:r>
      <w:r>
        <w:rPr>
          <w:rFonts w:ascii="Book Antiqua" w:eastAsia="Book Antiqua" w:hAnsi="Book Antiqua" w:cs="Book Antiqua"/>
          <w:b/>
          <w:bCs/>
        </w:rPr>
        <w:t>14</w:t>
      </w:r>
      <w:r>
        <w:rPr>
          <w:rFonts w:ascii="Book Antiqua" w:eastAsia="Book Antiqua" w:hAnsi="Book Antiqua" w:cs="Book Antiqua"/>
        </w:rPr>
        <w:t>: 1212-1218 [PMID: 24240160 DOI: 10.1038/ni.2762]</w:t>
      </w:r>
    </w:p>
    <w:p w14:paraId="237916FE"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Topalian SL</w:t>
      </w:r>
      <w:r>
        <w:rPr>
          <w:rFonts w:ascii="Book Antiqua" w:eastAsia="Book Antiqua" w:hAnsi="Book Antiqua" w:cs="Book Antiqua"/>
        </w:rPr>
        <w:t xml:space="preserve">, Hodi FS, Brahmer JR, Gettinger SN, Smith DC, McDermott DF, Powderly JD, Carvajal RD, </w:t>
      </w:r>
      <w:proofErr w:type="spellStart"/>
      <w:r>
        <w:rPr>
          <w:rFonts w:ascii="Book Antiqua" w:eastAsia="Book Antiqua" w:hAnsi="Book Antiqua" w:cs="Book Antiqua"/>
        </w:rPr>
        <w:t>Sosman</w:t>
      </w:r>
      <w:proofErr w:type="spellEnd"/>
      <w:r>
        <w:rPr>
          <w:rFonts w:ascii="Book Antiqua" w:eastAsia="Book Antiqua" w:hAnsi="Book Antiqua" w:cs="Book Antiqua"/>
        </w:rPr>
        <w:t xml:space="preserve"> JA, Atkins MB, Leming PD, Spigel DR, Antonia SJ, Horn L, Drake CG,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Chen L, Sharfman WH, Anders RA, Taube JM, McMiller TL, Xu H, Korman AJ, Jure-Kunkel M, Agrawal S, McDonald D, Kollia GD, Gupta A, Wigginton JM, </w:t>
      </w:r>
      <w:proofErr w:type="spellStart"/>
      <w:r>
        <w:rPr>
          <w:rFonts w:ascii="Book Antiqua" w:eastAsia="Book Antiqua" w:hAnsi="Book Antiqua" w:cs="Book Antiqua"/>
        </w:rPr>
        <w:t>Sznol</w:t>
      </w:r>
      <w:proofErr w:type="spellEnd"/>
      <w:r>
        <w:rPr>
          <w:rFonts w:ascii="Book Antiqua" w:eastAsia="Book Antiqua" w:hAnsi="Book Antiqua" w:cs="Book Antiqua"/>
        </w:rPr>
        <w:t xml:space="preserve"> M. Safety, activity, and immune correlates of anti-PD-1 antibody in cancer. </w:t>
      </w:r>
      <w:r>
        <w:rPr>
          <w:rFonts w:ascii="Book Antiqua" w:eastAsia="Book Antiqua" w:hAnsi="Book Antiqua" w:cs="Book Antiqua"/>
          <w:i/>
          <w:iCs/>
        </w:rPr>
        <w:t>N Engl J Med</w:t>
      </w:r>
      <w:r>
        <w:rPr>
          <w:rFonts w:ascii="Book Antiqua" w:eastAsia="Book Antiqua" w:hAnsi="Book Antiqua" w:cs="Book Antiqua"/>
        </w:rPr>
        <w:t xml:space="preserve"> 2012; </w:t>
      </w:r>
      <w:r>
        <w:rPr>
          <w:rFonts w:ascii="Book Antiqua" w:eastAsia="Book Antiqua" w:hAnsi="Book Antiqua" w:cs="Book Antiqua"/>
          <w:b/>
          <w:bCs/>
        </w:rPr>
        <w:t>366</w:t>
      </w:r>
      <w:r>
        <w:rPr>
          <w:rFonts w:ascii="Book Antiqua" w:eastAsia="Book Antiqua" w:hAnsi="Book Antiqua" w:cs="Book Antiqua"/>
        </w:rPr>
        <w:t>: 2443-2454 [PMID: 22658127 DOI: 10.1056/NEJMoa1200690]</w:t>
      </w:r>
    </w:p>
    <w:p w14:paraId="7773E4BD"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McDermott DF</w:t>
      </w:r>
      <w:r>
        <w:rPr>
          <w:rFonts w:ascii="Book Antiqua" w:eastAsia="Book Antiqua" w:hAnsi="Book Antiqua" w:cs="Book Antiqua"/>
        </w:rPr>
        <w:t xml:space="preserve">, Atkins MB. PD-1 as a potential target in cancer therapy. </w:t>
      </w:r>
      <w:r>
        <w:rPr>
          <w:rFonts w:ascii="Book Antiqua" w:eastAsia="Book Antiqua" w:hAnsi="Book Antiqua" w:cs="Book Antiqua"/>
          <w:i/>
          <w:iCs/>
        </w:rPr>
        <w:t>Cancer Med</w:t>
      </w:r>
      <w:r>
        <w:rPr>
          <w:rFonts w:ascii="Book Antiqua" w:eastAsia="Book Antiqua" w:hAnsi="Book Antiqua" w:cs="Book Antiqua"/>
        </w:rPr>
        <w:t xml:space="preserve"> 2013; </w:t>
      </w:r>
      <w:r>
        <w:rPr>
          <w:rFonts w:ascii="Book Antiqua" w:eastAsia="Book Antiqua" w:hAnsi="Book Antiqua" w:cs="Book Antiqua"/>
          <w:b/>
          <w:bCs/>
        </w:rPr>
        <w:t>2</w:t>
      </w:r>
      <w:r>
        <w:rPr>
          <w:rFonts w:ascii="Book Antiqua" w:eastAsia="Book Antiqua" w:hAnsi="Book Antiqua" w:cs="Book Antiqua"/>
        </w:rPr>
        <w:t>: 662-673 [PMID: 24403232 DOI: 10.1002/cam4.106]</w:t>
      </w:r>
    </w:p>
    <w:p w14:paraId="341B1807"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Hamid O</w:t>
      </w:r>
      <w:r>
        <w:rPr>
          <w:rFonts w:ascii="Book Antiqua" w:eastAsia="Book Antiqua" w:hAnsi="Book Antiqua" w:cs="Book Antiqua"/>
        </w:rPr>
        <w:t xml:space="preserve">, Robert C, Daud A, Hodi FS, Hwu WJ, </w:t>
      </w:r>
      <w:proofErr w:type="spellStart"/>
      <w:r>
        <w:rPr>
          <w:rFonts w:ascii="Book Antiqua" w:eastAsia="Book Antiqua" w:hAnsi="Book Antiqua" w:cs="Book Antiqua"/>
        </w:rPr>
        <w:t>Kefford</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Wolchok</w:t>
      </w:r>
      <w:proofErr w:type="spellEnd"/>
      <w:r>
        <w:rPr>
          <w:rFonts w:ascii="Book Antiqua" w:eastAsia="Book Antiqua" w:hAnsi="Book Antiqua" w:cs="Book Antiqua"/>
        </w:rPr>
        <w:t xml:space="preserve"> JD, Hersey P, Joseph RW, Weber JS, Dronca R, Gangadhar TC, Patnaik A, Zarour H, Joshua AM, Gergich K, </w:t>
      </w:r>
      <w:proofErr w:type="spellStart"/>
      <w:r>
        <w:rPr>
          <w:rFonts w:ascii="Book Antiqua" w:eastAsia="Book Antiqua" w:hAnsi="Book Antiqua" w:cs="Book Antiqua"/>
        </w:rPr>
        <w:t>Elassaiss</w:t>
      </w:r>
      <w:proofErr w:type="spellEnd"/>
      <w:r>
        <w:rPr>
          <w:rFonts w:ascii="Book Antiqua" w:eastAsia="Book Antiqua" w:hAnsi="Book Antiqua" w:cs="Book Antiqua"/>
        </w:rPr>
        <w:t xml:space="preserve">-Schaap J, Algazi A, Mateus C, </w:t>
      </w:r>
      <w:proofErr w:type="spellStart"/>
      <w:r>
        <w:rPr>
          <w:rFonts w:ascii="Book Antiqua" w:eastAsia="Book Antiqua" w:hAnsi="Book Antiqua" w:cs="Book Antiqua"/>
        </w:rPr>
        <w:t>Boasberg</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Tumeh</w:t>
      </w:r>
      <w:proofErr w:type="spellEnd"/>
      <w:r>
        <w:rPr>
          <w:rFonts w:ascii="Book Antiqua" w:eastAsia="Book Antiqua" w:hAnsi="Book Antiqua" w:cs="Book Antiqua"/>
        </w:rPr>
        <w:t xml:space="preserve"> PC, </w:t>
      </w:r>
      <w:r>
        <w:rPr>
          <w:rFonts w:ascii="Book Antiqua" w:eastAsia="Book Antiqua" w:hAnsi="Book Antiqua" w:cs="Book Antiqua"/>
        </w:rPr>
        <w:lastRenderedPageBreak/>
        <w:t xml:space="preserve">Chmielowski B, Ebbinghaus SW, Li XN, Kang SP, </w:t>
      </w:r>
      <w:proofErr w:type="spellStart"/>
      <w:r>
        <w:rPr>
          <w:rFonts w:ascii="Book Antiqua" w:eastAsia="Book Antiqua" w:hAnsi="Book Antiqua" w:cs="Book Antiqua"/>
        </w:rPr>
        <w:t>Ribas</w:t>
      </w:r>
      <w:proofErr w:type="spellEnd"/>
      <w:r>
        <w:rPr>
          <w:rFonts w:ascii="Book Antiqua" w:eastAsia="Book Antiqua" w:hAnsi="Book Antiqua" w:cs="Book Antiqua"/>
        </w:rPr>
        <w:t xml:space="preserve"> A. Safety and tumor responses with lambrolizumab (anti-PD-1) in melanoma. </w:t>
      </w:r>
      <w:r>
        <w:rPr>
          <w:rFonts w:ascii="Book Antiqua" w:eastAsia="Book Antiqua" w:hAnsi="Book Antiqua" w:cs="Book Antiqua"/>
          <w:i/>
          <w:iCs/>
        </w:rPr>
        <w:t>N Engl J Med</w:t>
      </w:r>
      <w:r>
        <w:rPr>
          <w:rFonts w:ascii="Book Antiqua" w:eastAsia="Book Antiqua" w:hAnsi="Book Antiqua" w:cs="Book Antiqua"/>
        </w:rPr>
        <w:t xml:space="preserve"> 2013; </w:t>
      </w:r>
      <w:r>
        <w:rPr>
          <w:rFonts w:ascii="Book Antiqua" w:eastAsia="Book Antiqua" w:hAnsi="Book Antiqua" w:cs="Book Antiqua"/>
          <w:b/>
          <w:bCs/>
        </w:rPr>
        <w:t>369</w:t>
      </w:r>
      <w:r>
        <w:rPr>
          <w:rFonts w:ascii="Book Antiqua" w:eastAsia="Book Antiqua" w:hAnsi="Book Antiqua" w:cs="Book Antiqua"/>
        </w:rPr>
        <w:t>: 134-144 [PMID: 23724846 DOI: 10.1056/NEJMoa1305133]</w:t>
      </w:r>
    </w:p>
    <w:p w14:paraId="0E7597A4"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Chen Q</w:t>
      </w:r>
      <w:r>
        <w:rPr>
          <w:rFonts w:ascii="Book Antiqua" w:eastAsia="Book Antiqua" w:hAnsi="Book Antiqua" w:cs="Book Antiqua"/>
        </w:rPr>
        <w:t xml:space="preserve">, Zhu D, Liu J, Zhang M, Xu H, Xiang Y, Zhan C, Zhang Y, Huang S, Yang Y. Clinical-radiomics Nomogram for Risk Estimation of Early Hematoma Expansion after Acute Intracerebral Hemorrhage.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2021; </w:t>
      </w:r>
      <w:r>
        <w:rPr>
          <w:rFonts w:ascii="Book Antiqua" w:eastAsia="Book Antiqua" w:hAnsi="Book Antiqua" w:cs="Book Antiqua"/>
          <w:b/>
          <w:bCs/>
        </w:rPr>
        <w:t>28</w:t>
      </w:r>
      <w:r>
        <w:rPr>
          <w:rFonts w:ascii="Book Antiqua" w:eastAsia="Book Antiqua" w:hAnsi="Book Antiqua" w:cs="Book Antiqua"/>
        </w:rPr>
        <w:t>: 307-317 [PMID: 32238303 DOI: 10.1016/j.acra.2020.02.021]</w:t>
      </w:r>
    </w:p>
    <w:p w14:paraId="504732E9"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Lin J</w:t>
      </w:r>
      <w:r>
        <w:rPr>
          <w:rFonts w:ascii="Book Antiqua" w:eastAsia="Book Antiqua" w:hAnsi="Book Antiqua" w:cs="Book Antiqua"/>
        </w:rPr>
        <w:t xml:space="preserve">, Yang X, Long J, Zhao S, Mao J, Wang D, Bai Y, Bian J, Zhang L, Yang X, Wang A, Xie F, Shi W, Yang H, Pan J, Hu K, Guan M, Zhao L, Huo L, Mao Y, Sang X, Wang K, Zhao H. Pembrolizumab combined with </w:t>
      </w:r>
      <w:proofErr w:type="spellStart"/>
      <w:r>
        <w:rPr>
          <w:rFonts w:ascii="Book Antiqua" w:eastAsia="Book Antiqua" w:hAnsi="Book Antiqua" w:cs="Book Antiqua"/>
        </w:rPr>
        <w:t>lenvatinib</w:t>
      </w:r>
      <w:proofErr w:type="spellEnd"/>
      <w:r>
        <w:rPr>
          <w:rFonts w:ascii="Book Antiqua" w:eastAsia="Book Antiqua" w:hAnsi="Book Antiqua" w:cs="Book Antiqua"/>
        </w:rPr>
        <w:t xml:space="preserve"> as non-first-line therapy in patients with refractory biliary tract carcinoma. </w:t>
      </w:r>
      <w:r>
        <w:rPr>
          <w:rFonts w:ascii="Book Antiqua" w:eastAsia="Book Antiqua" w:hAnsi="Book Antiqua" w:cs="Book Antiqua"/>
          <w:i/>
          <w:iCs/>
        </w:rPr>
        <w:t xml:space="preserve">Hepatobiliary Surg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414-424 [PMID: 32832493 DOI: 10.21037/hbsn-20-338]</w:t>
      </w:r>
    </w:p>
    <w:p w14:paraId="567907A9"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Lwin Z,</w:t>
      </w:r>
      <w:r>
        <w:rPr>
          <w:rFonts w:ascii="Book Antiqua" w:eastAsia="Book Antiqua" w:hAnsi="Book Antiqua" w:cs="Book Antiqua"/>
        </w:rPr>
        <w:t xml:space="preserve"> Gomez-Roca C, Saada-Bouzid E, Yanez E, Muñoz FL, </w:t>
      </w:r>
      <w:proofErr w:type="spellStart"/>
      <w:r>
        <w:rPr>
          <w:rFonts w:ascii="Book Antiqua" w:eastAsia="Book Antiqua" w:hAnsi="Book Antiqua" w:cs="Book Antiqua"/>
        </w:rPr>
        <w:t>Im</w:t>
      </w:r>
      <w:proofErr w:type="spellEnd"/>
      <w:r>
        <w:rPr>
          <w:rFonts w:ascii="Book Antiqua" w:eastAsia="Book Antiqua" w:hAnsi="Book Antiqua" w:cs="Book Antiqua"/>
        </w:rPr>
        <w:t xml:space="preserve"> SA, Castanon E, </w:t>
      </w:r>
      <w:proofErr w:type="spellStart"/>
      <w:r>
        <w:rPr>
          <w:rFonts w:ascii="Book Antiqua" w:eastAsia="Book Antiqua" w:hAnsi="Book Antiqua" w:cs="Book Antiqua"/>
        </w:rPr>
        <w:t>Senellart</w:t>
      </w:r>
      <w:proofErr w:type="spellEnd"/>
      <w:r>
        <w:rPr>
          <w:rFonts w:ascii="Book Antiqua" w:eastAsia="Book Antiqua" w:hAnsi="Book Antiqua" w:cs="Book Antiqua"/>
        </w:rPr>
        <w:t xml:space="preserve"> H, Graham D, Voss M, Doherty M, Lopez J, Ghori R, Kubiak P, Jin F, Norwood K, Chung HC. LBA41 LEAP-005: Phase II study of </w:t>
      </w:r>
      <w:proofErr w:type="spellStart"/>
      <w:r>
        <w:rPr>
          <w:rFonts w:ascii="Book Antiqua" w:eastAsia="Book Antiqua" w:hAnsi="Book Antiqua" w:cs="Book Antiqua"/>
        </w:rPr>
        <w:t>lenvatinib</w:t>
      </w:r>
      <w:proofErr w:type="spellEnd"/>
      <w:r>
        <w:rPr>
          <w:rFonts w:ascii="Book Antiqua" w:eastAsia="Book Antiqua" w:hAnsi="Book Antiqua" w:cs="Book Antiqua"/>
        </w:rPr>
        <w:t xml:space="preserve"> (</w:t>
      </w:r>
      <w:proofErr w:type="spellStart"/>
      <w:r>
        <w:rPr>
          <w:rFonts w:ascii="Book Antiqua" w:eastAsia="Book Antiqua" w:hAnsi="Book Antiqua" w:cs="Book Antiqua"/>
        </w:rPr>
        <w:t>len</w:t>
      </w:r>
      <w:proofErr w:type="spellEnd"/>
      <w:r>
        <w:rPr>
          <w:rFonts w:ascii="Book Antiqua" w:eastAsia="Book Antiqua" w:hAnsi="Book Antiqua" w:cs="Book Antiqua"/>
        </w:rPr>
        <w:t>) plus pembrolizumab (</w:t>
      </w:r>
      <w:proofErr w:type="spellStart"/>
      <w:r>
        <w:rPr>
          <w:rFonts w:ascii="Book Antiqua" w:eastAsia="Book Antiqua" w:hAnsi="Book Antiqua" w:cs="Book Antiqua"/>
        </w:rPr>
        <w:t>pembro</w:t>
      </w:r>
      <w:proofErr w:type="spellEnd"/>
      <w:r>
        <w:rPr>
          <w:rFonts w:ascii="Book Antiqua" w:eastAsia="Book Antiqua" w:hAnsi="Book Antiqua" w:cs="Book Antiqua"/>
        </w:rPr>
        <w:t xml:space="preserve">) in patients (pts) with previously treated advanced solid </w:t>
      </w:r>
      <w:proofErr w:type="spellStart"/>
      <w:r>
        <w:rPr>
          <w:rFonts w:ascii="Book Antiqua" w:eastAsia="Book Antiqua" w:hAnsi="Book Antiqua" w:cs="Book Antiqua"/>
        </w:rPr>
        <w:t>tumours</w:t>
      </w:r>
      <w:proofErr w:type="spellEnd"/>
      <w:r>
        <w:rPr>
          <w:rFonts w:ascii="Book Antiqua" w:eastAsia="Book Antiqua" w:hAnsi="Book Antiqua" w:cs="Book Antiqua"/>
        </w:rPr>
        <w:t>. Annals of Oncology 2020; 31: S1170 [DOI: 10.1016/j.annonc.2020.08.2271]</w:t>
      </w:r>
    </w:p>
    <w:p w14:paraId="7C27B143"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Yi B</w:t>
      </w:r>
      <w:r>
        <w:rPr>
          <w:rFonts w:ascii="Book Antiqua" w:eastAsia="Book Antiqua" w:hAnsi="Book Antiqua" w:cs="Book Antiqua"/>
        </w:rPr>
        <w:t xml:space="preserve">, Zhao Z, Dong H, Yuan L, Wu Y, Xu Y, Jiang X, Sun C, Wu D, Xiao Y. Case Report: Durable Complete Response After Combined Immunotherapy Following Resection of Primary Tumor in a Gallbladder Cancer Patient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Distant Metastatic Lymph Nodes of Favorable Immune-Microenvironment.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820566 [PMID: 35242133 DOI: 10.3389/fimmu.2022.820566]</w:t>
      </w:r>
    </w:p>
    <w:p w14:paraId="19C85380"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Jewell AP</w:t>
      </w:r>
      <w:r>
        <w:rPr>
          <w:rFonts w:ascii="Book Antiqua" w:eastAsia="Book Antiqua" w:hAnsi="Book Antiqua" w:cs="Book Antiqua"/>
        </w:rPr>
        <w:t xml:space="preserve">. Is the liver an important site for the development of immune tolerance to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w:t>
      </w:r>
      <w:r>
        <w:rPr>
          <w:rFonts w:ascii="Book Antiqua" w:eastAsia="Book Antiqua" w:hAnsi="Book Antiqua" w:cs="Book Antiqua"/>
          <w:i/>
          <w:iCs/>
        </w:rPr>
        <w:t>Med Hypotheses</w:t>
      </w:r>
      <w:r>
        <w:rPr>
          <w:rFonts w:ascii="Book Antiqua" w:eastAsia="Book Antiqua" w:hAnsi="Book Antiqua" w:cs="Book Antiqua"/>
        </w:rPr>
        <w:t xml:space="preserve"> 2005; </w:t>
      </w:r>
      <w:r>
        <w:rPr>
          <w:rFonts w:ascii="Book Antiqua" w:eastAsia="Book Antiqua" w:hAnsi="Book Antiqua" w:cs="Book Antiqua"/>
          <w:b/>
          <w:bCs/>
        </w:rPr>
        <w:t>64</w:t>
      </w:r>
      <w:r>
        <w:rPr>
          <w:rFonts w:ascii="Book Antiqua" w:eastAsia="Book Antiqua" w:hAnsi="Book Antiqua" w:cs="Book Antiqua"/>
        </w:rPr>
        <w:t>: 751-754 [PMID: 15694692 DOI: 10.1016/j.mehy.2004.10.002]</w:t>
      </w:r>
    </w:p>
    <w:p w14:paraId="3538083A"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Lu X</w:t>
      </w:r>
      <w:r>
        <w:rPr>
          <w:rFonts w:ascii="Book Antiqua" w:eastAsia="Book Antiqua" w:hAnsi="Book Antiqua" w:cs="Book Antiqua"/>
        </w:rPr>
        <w:t xml:space="preserve">, Green BL, Xie C, Liu C, Chen X. Preclinical and clinical studies of immunotherapy for the treatment of cholangiocarcinoma. </w:t>
      </w:r>
      <w:r>
        <w:rPr>
          <w:rFonts w:ascii="Book Antiqua" w:eastAsia="Book Antiqua" w:hAnsi="Book Antiqua" w:cs="Book Antiqua"/>
          <w:i/>
          <w:iCs/>
        </w:rPr>
        <w:t>JHEP Rep</w:t>
      </w:r>
      <w:r>
        <w:rPr>
          <w:rFonts w:ascii="Book Antiqua" w:eastAsia="Book Antiqua" w:hAnsi="Book Antiqua" w:cs="Book Antiqua"/>
        </w:rPr>
        <w:t xml:space="preserve"> 2023; </w:t>
      </w:r>
      <w:r>
        <w:rPr>
          <w:rFonts w:ascii="Book Antiqua" w:eastAsia="Book Antiqua" w:hAnsi="Book Antiqua" w:cs="Book Antiqua"/>
          <w:b/>
          <w:bCs/>
        </w:rPr>
        <w:t>5</w:t>
      </w:r>
      <w:r>
        <w:rPr>
          <w:rFonts w:ascii="Book Antiqua" w:eastAsia="Book Antiqua" w:hAnsi="Book Antiqua" w:cs="Book Antiqua"/>
        </w:rPr>
        <w:t>: 100723 [PMID: 37229173 DOI: 10.1016/j.jhepr.2023.100723]</w:t>
      </w:r>
    </w:p>
    <w:p w14:paraId="41A071C9"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26 </w:t>
      </w:r>
      <w:r>
        <w:rPr>
          <w:rFonts w:ascii="Book Antiqua" w:eastAsia="Book Antiqua" w:hAnsi="Book Antiqua" w:cs="Book Antiqua"/>
          <w:b/>
          <w:bCs/>
        </w:rPr>
        <w:t>Montella L</w:t>
      </w:r>
      <w:r>
        <w:rPr>
          <w:rFonts w:ascii="Book Antiqua" w:eastAsia="Book Antiqua" w:hAnsi="Book Antiqua" w:cs="Book Antiqua"/>
        </w:rPr>
        <w:t xml:space="preserve">, Palmieri G, Addeo R, Del Prete S. Hepatocellular carcinoma: Will novel targeted drugs really impact the next future? </w:t>
      </w:r>
      <w:r>
        <w:rPr>
          <w:rFonts w:ascii="Book Antiqua" w:eastAsia="Book Antiqua" w:hAnsi="Book Antiqua" w:cs="Book Antiqua"/>
          <w:i/>
          <w:iCs/>
        </w:rPr>
        <w:t>World J Gastroenterol</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6114-6126 [PMID: 27468204 DOI: 10.3748/</w:t>
      </w:r>
      <w:proofErr w:type="gramStart"/>
      <w:r>
        <w:rPr>
          <w:rFonts w:ascii="Book Antiqua" w:eastAsia="Book Antiqua" w:hAnsi="Book Antiqua" w:cs="Book Antiqua"/>
        </w:rPr>
        <w:t>wjg.v22.i</w:t>
      </w:r>
      <w:proofErr w:type="gramEnd"/>
      <w:r>
        <w:rPr>
          <w:rFonts w:ascii="Book Antiqua" w:eastAsia="Book Antiqua" w:hAnsi="Book Antiqua" w:cs="Book Antiqua"/>
        </w:rPr>
        <w:t>27.6114]</w:t>
      </w:r>
    </w:p>
    <w:p w14:paraId="433A0842"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Kwok G</w:t>
      </w:r>
      <w:r>
        <w:rPr>
          <w:rFonts w:ascii="Book Antiqua" w:eastAsia="Book Antiqua" w:hAnsi="Book Antiqua" w:cs="Book Antiqua"/>
        </w:rPr>
        <w:t xml:space="preserve">, Yau TC, Chiu JW, </w:t>
      </w:r>
      <w:proofErr w:type="spellStart"/>
      <w:r>
        <w:rPr>
          <w:rFonts w:ascii="Book Antiqua" w:eastAsia="Book Antiqua" w:hAnsi="Book Antiqua" w:cs="Book Antiqua"/>
        </w:rPr>
        <w:t>Tse</w:t>
      </w:r>
      <w:proofErr w:type="spellEnd"/>
      <w:r>
        <w:rPr>
          <w:rFonts w:ascii="Book Antiqua" w:eastAsia="Book Antiqua" w:hAnsi="Book Antiqua" w:cs="Book Antiqua"/>
        </w:rPr>
        <w:t xml:space="preserve"> E, Kwong YL. Pembrolizumab (Keytruda). </w:t>
      </w:r>
      <w:r>
        <w:rPr>
          <w:rFonts w:ascii="Book Antiqua" w:eastAsia="Book Antiqua" w:hAnsi="Book Antiqua" w:cs="Book Antiqua"/>
          <w:i/>
          <w:iCs/>
        </w:rPr>
        <w:t xml:space="preserve">Hum </w:t>
      </w:r>
      <w:proofErr w:type="spellStart"/>
      <w:r>
        <w:rPr>
          <w:rFonts w:ascii="Book Antiqua" w:eastAsia="Book Antiqua" w:hAnsi="Book Antiqua" w:cs="Book Antiqua"/>
          <w:i/>
          <w:iCs/>
        </w:rPr>
        <w:t>Vaccin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Immunother</w:t>
      </w:r>
      <w:proofErr w:type="spellEnd"/>
      <w:r>
        <w:rPr>
          <w:rFonts w:ascii="Book Antiqua" w:eastAsia="Book Antiqua" w:hAnsi="Book Antiqua" w:cs="Book Antiqua"/>
        </w:rPr>
        <w:t xml:space="preserve"> 2016; </w:t>
      </w:r>
      <w:r>
        <w:rPr>
          <w:rFonts w:ascii="Book Antiqua" w:eastAsia="Book Antiqua" w:hAnsi="Book Antiqua" w:cs="Book Antiqua"/>
          <w:b/>
          <w:bCs/>
        </w:rPr>
        <w:t>12</w:t>
      </w:r>
      <w:r>
        <w:rPr>
          <w:rFonts w:ascii="Book Antiqua" w:eastAsia="Book Antiqua" w:hAnsi="Book Antiqua" w:cs="Book Antiqua"/>
        </w:rPr>
        <w:t>: 2777-2789 [PMID: 27398650 DOI: 10.1080/21645515.2016.1199310]</w:t>
      </w:r>
    </w:p>
    <w:p w14:paraId="245B9675"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Gani F</w:t>
      </w:r>
      <w:r>
        <w:rPr>
          <w:rFonts w:ascii="Book Antiqua" w:eastAsia="Book Antiqua" w:hAnsi="Book Antiqua" w:cs="Book Antiqua"/>
        </w:rPr>
        <w:t xml:space="preserve">, Nagarajan N, Kim Y, Zhu Q, Luan L, </w:t>
      </w:r>
      <w:proofErr w:type="spellStart"/>
      <w:r>
        <w:rPr>
          <w:rFonts w:ascii="Book Antiqua" w:eastAsia="Book Antiqua" w:hAnsi="Book Antiqua" w:cs="Book Antiqua"/>
        </w:rPr>
        <w:t>Bhaijjee</w:t>
      </w:r>
      <w:proofErr w:type="spellEnd"/>
      <w:r>
        <w:rPr>
          <w:rFonts w:ascii="Book Antiqua" w:eastAsia="Book Antiqua" w:hAnsi="Book Antiqua" w:cs="Book Antiqua"/>
        </w:rPr>
        <w:t xml:space="preserve"> F, Anders RA, Pawlik TM. Program Death 1 Immune Checkpoint and Tumor Microenvironment: Implications for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Intrahepatic Cholangiocarcinoma. </w:t>
      </w:r>
      <w:r>
        <w:rPr>
          <w:rFonts w:ascii="Book Antiqua" w:eastAsia="Book Antiqua" w:hAnsi="Book Antiqua" w:cs="Book Antiqua"/>
          <w:i/>
          <w:iCs/>
        </w:rPr>
        <w:t>Ann Surg Oncol</w:t>
      </w:r>
      <w:r>
        <w:rPr>
          <w:rFonts w:ascii="Book Antiqua" w:eastAsia="Book Antiqua" w:hAnsi="Book Antiqua" w:cs="Book Antiqua"/>
        </w:rPr>
        <w:t xml:space="preserve"> 2016; </w:t>
      </w:r>
      <w:r>
        <w:rPr>
          <w:rFonts w:ascii="Book Antiqua" w:eastAsia="Book Antiqua" w:hAnsi="Book Antiqua" w:cs="Book Antiqua"/>
          <w:b/>
          <w:bCs/>
        </w:rPr>
        <w:t>23</w:t>
      </w:r>
      <w:r>
        <w:rPr>
          <w:rFonts w:ascii="Book Antiqua" w:eastAsia="Book Antiqua" w:hAnsi="Book Antiqua" w:cs="Book Antiqua"/>
        </w:rPr>
        <w:t>: 2610-2617 [PMID: 27012989 DOI: 10.1245/s10434-016-5101-y]</w:t>
      </w:r>
    </w:p>
    <w:p w14:paraId="68A7CF1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29 </w:t>
      </w:r>
      <w:proofErr w:type="spellStart"/>
      <w:r>
        <w:rPr>
          <w:rFonts w:ascii="Book Antiqua" w:eastAsia="Book Antiqua" w:hAnsi="Book Antiqua" w:cs="Book Antiqua"/>
          <w:b/>
          <w:bCs/>
        </w:rPr>
        <w:t>Fontugne</w:t>
      </w:r>
      <w:proofErr w:type="spellEnd"/>
      <w:r>
        <w:rPr>
          <w:rFonts w:ascii="Book Antiqua" w:eastAsia="Book Antiqua" w:hAnsi="Book Antiqua" w:cs="Book Antiqua"/>
          <w:b/>
          <w:bCs/>
        </w:rPr>
        <w:t xml:space="preserve"> J</w:t>
      </w:r>
      <w:r>
        <w:rPr>
          <w:rFonts w:ascii="Book Antiqua" w:eastAsia="Book Antiqua" w:hAnsi="Book Antiqua" w:cs="Book Antiqua"/>
        </w:rPr>
        <w:t xml:space="preserve">, Augustin J, Pujals A, </w:t>
      </w:r>
      <w:proofErr w:type="spellStart"/>
      <w:r>
        <w:rPr>
          <w:rFonts w:ascii="Book Antiqua" w:eastAsia="Book Antiqua" w:hAnsi="Book Antiqua" w:cs="Book Antiqua"/>
        </w:rPr>
        <w:t>Compagnon</w:t>
      </w:r>
      <w:proofErr w:type="spellEnd"/>
      <w:r>
        <w:rPr>
          <w:rFonts w:ascii="Book Antiqua" w:eastAsia="Book Antiqua" w:hAnsi="Book Antiqua" w:cs="Book Antiqua"/>
        </w:rPr>
        <w:t xml:space="preserve"> P, Rousseau B, Luciani A, </w:t>
      </w:r>
      <w:proofErr w:type="spellStart"/>
      <w:r>
        <w:rPr>
          <w:rFonts w:ascii="Book Antiqua" w:eastAsia="Book Antiqua" w:hAnsi="Book Antiqua" w:cs="Book Antiqua"/>
        </w:rPr>
        <w:t>Tournigand</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Cherqui</w:t>
      </w:r>
      <w:proofErr w:type="spellEnd"/>
      <w:r>
        <w:rPr>
          <w:rFonts w:ascii="Book Antiqua" w:eastAsia="Book Antiqua" w:hAnsi="Book Antiqua" w:cs="Book Antiqua"/>
        </w:rPr>
        <w:t xml:space="preserve"> D, Azoulay D, </w:t>
      </w:r>
      <w:proofErr w:type="spellStart"/>
      <w:r>
        <w:rPr>
          <w:rFonts w:ascii="Book Antiqua" w:eastAsia="Book Antiqua" w:hAnsi="Book Antiqua" w:cs="Book Antiqua"/>
        </w:rPr>
        <w:t>Pawlotsky</w:t>
      </w:r>
      <w:proofErr w:type="spellEnd"/>
      <w:r>
        <w:rPr>
          <w:rFonts w:ascii="Book Antiqua" w:eastAsia="Book Antiqua" w:hAnsi="Book Antiqua" w:cs="Book Antiqua"/>
        </w:rPr>
        <w:t xml:space="preserve"> JM, Calderaro J. PD-L1 expression in perihilar and intrahepatic cholangiocarcinoma. </w:t>
      </w:r>
      <w:proofErr w:type="spellStart"/>
      <w:r>
        <w:rPr>
          <w:rFonts w:ascii="Book Antiqua" w:eastAsia="Book Antiqua" w:hAnsi="Book Antiqua" w:cs="Book Antiqua"/>
          <w:i/>
          <w:iCs/>
        </w:rPr>
        <w:t>Oncotarget</w:t>
      </w:r>
      <w:proofErr w:type="spellEnd"/>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24644-24651 [PMID: 28445951 DOI: 10.18632/oncotarget.15602]</w:t>
      </w:r>
    </w:p>
    <w:p w14:paraId="08C13F64"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Haffner MC</w:t>
      </w:r>
      <w:r>
        <w:rPr>
          <w:rFonts w:ascii="Book Antiqua" w:eastAsia="Book Antiqua" w:hAnsi="Book Antiqua" w:cs="Book Antiqua"/>
        </w:rPr>
        <w:t xml:space="preserve">, Guner G, Taheri D, Netto GJ, Palsgrove DN, Zheng Q, Guedes LB, Kim K, Tsai H, </w:t>
      </w:r>
      <w:proofErr w:type="spellStart"/>
      <w:r>
        <w:rPr>
          <w:rFonts w:ascii="Book Antiqua" w:eastAsia="Book Antiqua" w:hAnsi="Book Antiqua" w:cs="Book Antiqua"/>
        </w:rPr>
        <w:t>Esopi</w:t>
      </w:r>
      <w:proofErr w:type="spellEnd"/>
      <w:r>
        <w:rPr>
          <w:rFonts w:ascii="Book Antiqua" w:eastAsia="Book Antiqua" w:hAnsi="Book Antiqua" w:cs="Book Antiqua"/>
        </w:rPr>
        <w:t xml:space="preserve"> DM, Lotan TL, Sharma R, Meeker AK, Chinnaiyan AM, Nelson WG, </w:t>
      </w:r>
      <w:proofErr w:type="spellStart"/>
      <w:r>
        <w:rPr>
          <w:rFonts w:ascii="Book Antiqua" w:eastAsia="Book Antiqua" w:hAnsi="Book Antiqua" w:cs="Book Antiqua"/>
        </w:rPr>
        <w:t>Yegnasubramanian</w:t>
      </w:r>
      <w:proofErr w:type="spellEnd"/>
      <w:r>
        <w:rPr>
          <w:rFonts w:ascii="Book Antiqua" w:eastAsia="Book Antiqua" w:hAnsi="Book Antiqua" w:cs="Book Antiqua"/>
        </w:rPr>
        <w:t xml:space="preserve"> S, Luo J, Mehra R, </w:t>
      </w:r>
      <w:proofErr w:type="spellStart"/>
      <w:r>
        <w:rPr>
          <w:rFonts w:ascii="Book Antiqua" w:eastAsia="Book Antiqua" w:hAnsi="Book Antiqua" w:cs="Book Antiqua"/>
        </w:rPr>
        <w:t>Antonarakis</w:t>
      </w:r>
      <w:proofErr w:type="spellEnd"/>
      <w:r>
        <w:rPr>
          <w:rFonts w:ascii="Book Antiqua" w:eastAsia="Book Antiqua" w:hAnsi="Book Antiqua" w:cs="Book Antiqua"/>
        </w:rPr>
        <w:t xml:space="preserve"> ES, Drake CG, De Marzo AM. Comprehensive Evaluation of Programmed Death-Ligand 1 Expression in Primary and Metastatic Prostate Cancer. </w:t>
      </w:r>
      <w:r>
        <w:rPr>
          <w:rFonts w:ascii="Book Antiqua" w:eastAsia="Book Antiqua" w:hAnsi="Book Antiqua" w:cs="Book Antiqua"/>
          <w:i/>
          <w:iCs/>
        </w:rPr>
        <w:t xml:space="preserve">Am J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2018; </w:t>
      </w:r>
      <w:r>
        <w:rPr>
          <w:rFonts w:ascii="Book Antiqua" w:eastAsia="Book Antiqua" w:hAnsi="Book Antiqua" w:cs="Book Antiqua"/>
          <w:b/>
          <w:bCs/>
        </w:rPr>
        <w:t>188</w:t>
      </w:r>
      <w:r>
        <w:rPr>
          <w:rFonts w:ascii="Book Antiqua" w:eastAsia="Book Antiqua" w:hAnsi="Book Antiqua" w:cs="Book Antiqua"/>
        </w:rPr>
        <w:t>: 1478-1485 [PMID: 29577933 DOI: 10.1016/j.ajpath.2018.02.014]</w:t>
      </w:r>
    </w:p>
    <w:p w14:paraId="78A9871D"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Kim RD</w:t>
      </w:r>
      <w:r>
        <w:rPr>
          <w:rFonts w:ascii="Book Antiqua" w:eastAsia="Book Antiqua" w:hAnsi="Book Antiqua" w:cs="Book Antiqua"/>
        </w:rPr>
        <w:t>, Chung V, Alese OB, El-Rayes BF, Li D, Al-</w:t>
      </w:r>
      <w:proofErr w:type="spellStart"/>
      <w:r>
        <w:rPr>
          <w:rFonts w:ascii="Book Antiqua" w:eastAsia="Book Antiqua" w:hAnsi="Book Antiqua" w:cs="Book Antiqua"/>
        </w:rPr>
        <w:t>Toubah</w:t>
      </w:r>
      <w:proofErr w:type="spellEnd"/>
      <w:r>
        <w:rPr>
          <w:rFonts w:ascii="Book Antiqua" w:eastAsia="Book Antiqua" w:hAnsi="Book Antiqua" w:cs="Book Antiqua"/>
        </w:rPr>
        <w:t xml:space="preserve"> TE, Schell MJ, Zhou JM, Mahipal A, Kim BH, Kim DW. A Phase 2 Multi-institutional Study of Nivolumab for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Advanced Refractory Biliary Tract Cancer. </w:t>
      </w:r>
      <w:r>
        <w:rPr>
          <w:rFonts w:ascii="Book Antiqua" w:eastAsia="Book Antiqua" w:hAnsi="Book Antiqua" w:cs="Book Antiqua"/>
          <w:i/>
          <w:iCs/>
        </w:rPr>
        <w:t>JAMA Oncol</w:t>
      </w:r>
      <w:r>
        <w:rPr>
          <w:rFonts w:ascii="Book Antiqua" w:eastAsia="Book Antiqua" w:hAnsi="Book Antiqua" w:cs="Book Antiqua"/>
        </w:rPr>
        <w:t xml:space="preserve"> 2020; </w:t>
      </w:r>
      <w:r>
        <w:rPr>
          <w:rFonts w:ascii="Book Antiqua" w:eastAsia="Book Antiqua" w:hAnsi="Book Antiqua" w:cs="Book Antiqua"/>
          <w:b/>
          <w:bCs/>
        </w:rPr>
        <w:t>6</w:t>
      </w:r>
      <w:r>
        <w:rPr>
          <w:rFonts w:ascii="Book Antiqua" w:eastAsia="Book Antiqua" w:hAnsi="Book Antiqua" w:cs="Book Antiqua"/>
        </w:rPr>
        <w:t>: 888-894 [PMID: 32352498 DOI: 10.1001/jamaoncol.2020.0930]</w:t>
      </w:r>
    </w:p>
    <w:p w14:paraId="1AB14EAF" w14:textId="77777777" w:rsidR="00181EA5" w:rsidRDefault="00181EA5">
      <w:pPr>
        <w:adjustRightInd w:val="0"/>
        <w:snapToGrid w:val="0"/>
        <w:spacing w:line="360" w:lineRule="auto"/>
        <w:jc w:val="both"/>
        <w:rPr>
          <w:rFonts w:ascii="Book Antiqua" w:hAnsi="Book Antiqua" w:cs="Book Antiqua"/>
        </w:rPr>
        <w:sectPr w:rsidR="00181EA5">
          <w:pgSz w:w="12240" w:h="15840"/>
          <w:pgMar w:top="1440" w:right="1440" w:bottom="1440" w:left="1440" w:header="720" w:footer="720" w:gutter="0"/>
          <w:cols w:space="720"/>
          <w:docGrid w:linePitch="360"/>
        </w:sectPr>
      </w:pPr>
    </w:p>
    <w:p w14:paraId="1F245FD3"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517CE9BC" w14:textId="77777777" w:rsidR="00181EA5" w:rsidRDefault="00000000">
      <w:pPr>
        <w:adjustRightInd w:val="0"/>
        <w:snapToGrid w:val="0"/>
        <w:spacing w:line="360" w:lineRule="auto"/>
        <w:jc w:val="both"/>
        <w:rPr>
          <w:rFonts w:ascii="Book Antiqua" w:eastAsia="Book Antiqua" w:hAnsi="Book Antiqua" w:cs="Book Antiqua"/>
          <w:shd w:val="clear" w:color="auto" w:fill="FCFDFE"/>
        </w:rPr>
      </w:pPr>
      <w:r>
        <w:rPr>
          <w:rFonts w:ascii="Book Antiqua" w:eastAsia="Book Antiqua" w:hAnsi="Book Antiqua" w:cs="Book Antiqua"/>
          <w:b/>
          <w:bCs/>
          <w:szCs w:val="21"/>
        </w:rPr>
        <w:t xml:space="preserve">Informed consent statement: </w:t>
      </w:r>
      <w:r>
        <w:rPr>
          <w:rFonts w:ascii="Book Antiqua" w:eastAsia="Book Antiqua" w:hAnsi="Book Antiqua" w:cs="Book Antiqua"/>
          <w:shd w:val="clear" w:color="auto" w:fill="FCFDFE"/>
        </w:rPr>
        <w:t>Informed written consent was obtained from the patient for publication of this report and any accompanying images.</w:t>
      </w:r>
    </w:p>
    <w:p w14:paraId="401FA119" w14:textId="77777777" w:rsidR="00181EA5" w:rsidRDefault="00181EA5">
      <w:pPr>
        <w:adjustRightInd w:val="0"/>
        <w:snapToGrid w:val="0"/>
        <w:spacing w:line="360" w:lineRule="auto"/>
        <w:jc w:val="both"/>
        <w:rPr>
          <w:rFonts w:ascii="Book Antiqua" w:eastAsia="Book Antiqua" w:hAnsi="Book Antiqua" w:cs="Book Antiqua"/>
          <w:shd w:val="clear" w:color="auto" w:fill="FCFDFE"/>
        </w:rPr>
      </w:pPr>
    </w:p>
    <w:p w14:paraId="187400B8" w14:textId="77777777" w:rsidR="00181EA5" w:rsidRDefault="00000000">
      <w:pPr>
        <w:adjustRightInd w:val="0"/>
        <w:snapToGrid w:val="0"/>
        <w:spacing w:line="360" w:lineRule="auto"/>
        <w:jc w:val="both"/>
        <w:rPr>
          <w:rFonts w:ascii="Book Antiqua" w:eastAsia="Book Antiqua" w:hAnsi="Book Antiqua" w:cs="Book Antiqua"/>
          <w:shd w:val="clear" w:color="auto" w:fill="FCFDFE"/>
        </w:rPr>
      </w:pPr>
      <w:r>
        <w:rPr>
          <w:rFonts w:ascii="Book Antiqua" w:eastAsia="Book Antiqua" w:hAnsi="Book Antiqua" w:cs="Book Antiqua"/>
          <w:b/>
          <w:bCs/>
          <w:szCs w:val="21"/>
        </w:rPr>
        <w:t xml:space="preserve">Conflict-of-interest statement: </w:t>
      </w:r>
      <w:r>
        <w:rPr>
          <w:rFonts w:ascii="Book Antiqua" w:eastAsia="Book Antiqua" w:hAnsi="Book Antiqua" w:cs="Book Antiqua"/>
          <w:shd w:val="clear" w:color="auto" w:fill="FCFDFE"/>
        </w:rPr>
        <w:t>The authors declare that they have no conflict of interest.</w:t>
      </w:r>
    </w:p>
    <w:p w14:paraId="354C5502" w14:textId="77777777" w:rsidR="00181EA5" w:rsidRDefault="00181EA5">
      <w:pPr>
        <w:adjustRightInd w:val="0"/>
        <w:snapToGrid w:val="0"/>
        <w:spacing w:line="360" w:lineRule="auto"/>
        <w:jc w:val="both"/>
        <w:rPr>
          <w:rFonts w:ascii="Book Antiqua" w:eastAsia="Book Antiqua" w:hAnsi="Book Antiqua" w:cs="Book Antiqua"/>
          <w:shd w:val="clear" w:color="auto" w:fill="FCFDFE"/>
        </w:rPr>
      </w:pPr>
    </w:p>
    <w:p w14:paraId="4C65F01D" w14:textId="77777777" w:rsidR="00181EA5" w:rsidRDefault="00000000">
      <w:pPr>
        <w:adjustRightInd w:val="0"/>
        <w:snapToGrid w:val="0"/>
        <w:spacing w:line="360" w:lineRule="auto"/>
        <w:jc w:val="both"/>
        <w:rPr>
          <w:rFonts w:ascii="Book Antiqua" w:eastAsia="Book Antiqua" w:hAnsi="Book Antiqua" w:cs="Book Antiqua"/>
          <w:shd w:val="clear" w:color="auto" w:fill="FCFDFE"/>
        </w:rPr>
      </w:pPr>
      <w:r>
        <w:rPr>
          <w:rFonts w:ascii="Book Antiqua" w:eastAsia="Book Antiqua" w:hAnsi="Book Antiqua" w:cs="Book Antiqua"/>
          <w:b/>
          <w:bCs/>
          <w:szCs w:val="21"/>
        </w:rPr>
        <w:t xml:space="preserve">CARE Checklist (2016) statement: </w:t>
      </w:r>
      <w:r>
        <w:rPr>
          <w:rFonts w:ascii="Book Antiqua" w:eastAsia="Book Antiqua" w:hAnsi="Book Antiqua" w:cs="Book Antiqua"/>
          <w:shd w:val="clear" w:color="auto" w:fill="FCFDFE"/>
        </w:rPr>
        <w:t>The authors have read the CARE Checklist (2016), and the manuscript was prepared and revised according to the CARE Checklist (2016).</w:t>
      </w:r>
    </w:p>
    <w:p w14:paraId="7DB95FD3" w14:textId="77777777" w:rsidR="00181EA5" w:rsidRDefault="00181EA5">
      <w:pPr>
        <w:adjustRightInd w:val="0"/>
        <w:snapToGrid w:val="0"/>
        <w:spacing w:line="360" w:lineRule="auto"/>
        <w:jc w:val="both"/>
        <w:rPr>
          <w:rFonts w:ascii="Book Antiqua" w:eastAsia="Book Antiqua" w:hAnsi="Book Antiqua" w:cs="Book Antiqua"/>
          <w:shd w:val="clear" w:color="auto" w:fill="FCFDFE"/>
        </w:rPr>
      </w:pPr>
    </w:p>
    <w:p w14:paraId="4B9E12F2"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4999F8" w14:textId="77777777" w:rsidR="00181EA5" w:rsidRDefault="00181EA5">
      <w:pPr>
        <w:adjustRightInd w:val="0"/>
        <w:snapToGrid w:val="0"/>
        <w:spacing w:line="360" w:lineRule="auto"/>
        <w:jc w:val="both"/>
        <w:rPr>
          <w:rFonts w:ascii="Book Antiqua" w:hAnsi="Book Antiqua" w:cs="Book Antiqua"/>
        </w:rPr>
      </w:pPr>
    </w:p>
    <w:p w14:paraId="44A48095" w14:textId="77777777" w:rsidR="00181EA5"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5E5A486" w14:textId="77777777" w:rsidR="00181EA5" w:rsidRDefault="00181EA5">
      <w:pPr>
        <w:adjustRightInd w:val="0"/>
        <w:snapToGrid w:val="0"/>
        <w:spacing w:line="360" w:lineRule="auto"/>
        <w:jc w:val="both"/>
        <w:rPr>
          <w:rFonts w:ascii="Book Antiqua" w:eastAsia="Book Antiqua" w:hAnsi="Book Antiqua" w:cs="Book Antiqua"/>
        </w:rPr>
      </w:pPr>
    </w:p>
    <w:p w14:paraId="05E5A511"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5FA1E5E" w14:textId="77777777" w:rsidR="00181EA5" w:rsidRDefault="00181EA5">
      <w:pPr>
        <w:adjustRightInd w:val="0"/>
        <w:snapToGrid w:val="0"/>
        <w:spacing w:line="360" w:lineRule="auto"/>
        <w:jc w:val="both"/>
        <w:rPr>
          <w:rFonts w:ascii="Book Antiqua" w:hAnsi="Book Antiqua" w:cs="Book Antiqua"/>
        </w:rPr>
      </w:pPr>
    </w:p>
    <w:p w14:paraId="776BE7E4"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6, 2023</w:t>
      </w:r>
    </w:p>
    <w:p w14:paraId="01AC1DAD"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5, 2023</w:t>
      </w:r>
    </w:p>
    <w:p w14:paraId="42FB3576"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3A3ED1E0" w14:textId="77777777" w:rsidR="00181EA5" w:rsidRDefault="00181EA5">
      <w:pPr>
        <w:adjustRightInd w:val="0"/>
        <w:snapToGrid w:val="0"/>
        <w:spacing w:line="360" w:lineRule="auto"/>
        <w:jc w:val="both"/>
        <w:rPr>
          <w:rFonts w:ascii="Book Antiqua" w:hAnsi="Book Antiqua" w:cs="Book Antiqua"/>
        </w:rPr>
      </w:pPr>
    </w:p>
    <w:p w14:paraId="17065F56"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6A841B5D"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91AB6AB"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40DEAFF0"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A</w:t>
      </w:r>
    </w:p>
    <w:p w14:paraId="3A1060A8"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B (Very good): B, B</w:t>
      </w:r>
    </w:p>
    <w:p w14:paraId="2158D809"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6864A44A"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77FF8E9C" w14:textId="77777777" w:rsidR="00181EA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220EEDCF" w14:textId="77777777" w:rsidR="00181EA5" w:rsidRDefault="00181EA5">
      <w:pPr>
        <w:adjustRightInd w:val="0"/>
        <w:snapToGrid w:val="0"/>
        <w:spacing w:line="360" w:lineRule="auto"/>
        <w:jc w:val="both"/>
        <w:rPr>
          <w:rFonts w:ascii="Book Antiqua" w:hAnsi="Book Antiqua" w:cs="Book Antiqua"/>
        </w:rPr>
      </w:pPr>
    </w:p>
    <w:p w14:paraId="31C5F0D9" w14:textId="77777777" w:rsidR="00181EA5" w:rsidRDefault="00000000">
      <w:pPr>
        <w:adjustRightInd w:val="0"/>
        <w:snapToGrid w:val="0"/>
        <w:spacing w:line="360" w:lineRule="auto"/>
        <w:jc w:val="both"/>
        <w:rPr>
          <w:rFonts w:ascii="Book Antiqua" w:hAnsi="Book Antiqua" w:cs="Book Antiqua"/>
        </w:rPr>
        <w:sectPr w:rsidR="00181EA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Janvilisri</w:t>
      </w:r>
      <w:proofErr w:type="spellEnd"/>
      <w:r>
        <w:rPr>
          <w:rFonts w:ascii="Book Antiqua" w:eastAsia="Book Antiqua" w:hAnsi="Book Antiqua" w:cs="Book Antiqua"/>
        </w:rPr>
        <w:t xml:space="preserve"> T, Thailand; Tsai HW, Taiwan; Yildiz K, Turkey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Qu XL</w:t>
      </w:r>
      <w:r>
        <w:rPr>
          <w:rFonts w:ascii="Book Antiqua" w:eastAsia="Book Antiqua" w:hAnsi="Book Antiqua" w:cs="Book Antiqua"/>
          <w:b/>
          <w:color w:val="000000"/>
        </w:rPr>
        <w:t xml:space="preserve"> L-Editor:  P-Editor: </w:t>
      </w:r>
    </w:p>
    <w:p w14:paraId="11B575B9" w14:textId="77777777" w:rsidR="00181EA5"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971F938" w14:textId="77777777" w:rsidR="00181EA5" w:rsidRDefault="00000000">
      <w:pPr>
        <w:adjustRightInd w:val="0"/>
        <w:snapToGrid w:val="0"/>
        <w:spacing w:line="360" w:lineRule="auto"/>
        <w:jc w:val="both"/>
        <w:rPr>
          <w:rFonts w:ascii="Book Antiqua" w:eastAsia="Book Antiqua" w:hAnsi="Book Antiqua" w:cs="Book Antiqua"/>
          <w:b/>
          <w:color w:val="000000"/>
        </w:rPr>
      </w:pPr>
      <w:r>
        <w:rPr>
          <w:noProof/>
          <w:lang w:eastAsia="zh-CN"/>
        </w:rPr>
        <w:drawing>
          <wp:inline distT="0" distB="0" distL="114300" distR="114300" wp14:anchorId="5882F9DF" wp14:editId="33B8CCBC">
            <wp:extent cx="5941695" cy="1957705"/>
            <wp:effectExtent l="0" t="0" r="190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41695" cy="1957705"/>
                    </a:xfrm>
                    <a:prstGeom prst="rect">
                      <a:avLst/>
                    </a:prstGeom>
                    <a:noFill/>
                    <a:ln>
                      <a:noFill/>
                    </a:ln>
                  </pic:spPr>
                </pic:pic>
              </a:graphicData>
            </a:graphic>
          </wp:inline>
        </w:drawing>
      </w:r>
    </w:p>
    <w:p w14:paraId="2472D055" w14:textId="77777777" w:rsidR="00181EA5" w:rsidRDefault="00000000">
      <w:pPr>
        <w:adjustRightInd w:val="0"/>
        <w:snapToGrid w:val="0"/>
        <w:spacing w:line="360" w:lineRule="auto"/>
        <w:jc w:val="both"/>
        <w:rPr>
          <w:rFonts w:ascii="Book Antiqua" w:eastAsia="Book Antiqua" w:hAnsi="Book Antiqua" w:cs="Book Antiqua"/>
          <w:shd w:val="clear" w:color="auto" w:fill="FCFDFE"/>
        </w:rPr>
      </w:pPr>
      <w:r>
        <w:rPr>
          <w:rFonts w:ascii="Book Antiqua" w:eastAsia="Book Antiqua" w:hAnsi="Book Antiqua" w:cs="Book Antiqua"/>
          <w:b/>
          <w:bCs/>
        </w:rPr>
        <w:t xml:space="preserve">Figure 1 </w:t>
      </w:r>
      <w:r>
        <w:rPr>
          <w:rFonts w:ascii="Book Antiqua" w:eastAsia="宋体" w:hAnsi="Book Antiqua" w:cs="Book Antiqua" w:hint="eastAsia"/>
          <w:b/>
          <w:bCs/>
          <w:lang w:eastAsia="zh-CN"/>
        </w:rPr>
        <w:t>T</w:t>
      </w:r>
      <w:r>
        <w:rPr>
          <w:rFonts w:ascii="Book Antiqua" w:eastAsia="Book Antiqua" w:hAnsi="Book Antiqua" w:cs="Book Antiqua"/>
          <w:b/>
          <w:bCs/>
        </w:rPr>
        <w:t>he first admission was hepatobiliary enhanced magnetic resonance imaging.</w:t>
      </w:r>
      <w:r>
        <w:rPr>
          <w:rFonts w:ascii="Book Antiqua" w:eastAsia="宋体" w:hAnsi="Book Antiqua" w:cs="Book Antiqua" w:hint="eastAsia"/>
          <w:lang w:eastAsia="zh-CN"/>
        </w:rPr>
        <w:t xml:space="preserve"> </w:t>
      </w:r>
      <w:r>
        <w:rPr>
          <w:rFonts w:ascii="Book Antiqua" w:eastAsia="Book Antiqua" w:hAnsi="Book Antiqua" w:cs="Book Antiqua"/>
          <w:shd w:val="clear" w:color="auto" w:fill="FCFDFE"/>
        </w:rPr>
        <w:t xml:space="preserve">A: </w:t>
      </w:r>
      <w:r>
        <w:rPr>
          <w:rFonts w:ascii="Book Antiqua" w:eastAsia="Book Antiqua" w:hAnsi="Book Antiqua" w:cs="Book Antiqua"/>
          <w:color w:val="101214"/>
          <w:shd w:val="clear" w:color="auto" w:fill="FCFDFE"/>
        </w:rPr>
        <w:t>Sagittal images shows carcinoma</w:t>
      </w:r>
      <w:r>
        <w:rPr>
          <w:rFonts w:ascii="Book Antiqua" w:eastAsia="宋体" w:hAnsi="Book Antiqua" w:cs="Book Antiqua" w:hint="eastAsia"/>
          <w:color w:val="101214"/>
          <w:shd w:val="clear" w:color="auto" w:fill="FCFDFE"/>
          <w:lang w:eastAsia="zh-CN"/>
        </w:rPr>
        <w:t xml:space="preserve"> </w:t>
      </w:r>
      <w:r>
        <w:rPr>
          <w:rFonts w:ascii="Book Antiqua" w:eastAsia="Book Antiqua" w:hAnsi="Book Antiqua" w:cs="Book Antiqua"/>
          <w:color w:val="101214"/>
          <w:shd w:val="clear" w:color="auto" w:fill="FCFDFE"/>
        </w:rPr>
        <w:t>in the</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middle and lower segment of the common bile duct</w:t>
      </w:r>
      <w:r>
        <w:rPr>
          <w:rFonts w:ascii="Book Antiqua" w:eastAsia="宋体" w:hAnsi="Book Antiqua" w:cs="Book Antiqua" w:hint="eastAsia"/>
          <w:shd w:val="clear" w:color="auto" w:fill="FCFDFE"/>
          <w:lang w:eastAsia="zh-CN"/>
        </w:rPr>
        <w:t xml:space="preserve"> (red arrow)</w:t>
      </w:r>
      <w:r>
        <w:rPr>
          <w:rFonts w:ascii="Book Antiqua" w:eastAsia="Book Antiqua" w:hAnsi="Book Antiqua" w:cs="Book Antiqua"/>
          <w:shd w:val="clear" w:color="auto" w:fill="FCFDFE"/>
        </w:rPr>
        <w:t xml:space="preserve">; B: </w:t>
      </w:r>
      <w:r>
        <w:rPr>
          <w:rFonts w:ascii="Book Antiqua" w:eastAsia="宋体" w:hAnsi="Book Antiqua" w:cs="Book Antiqua" w:hint="eastAsia"/>
          <w:shd w:val="clear" w:color="auto" w:fill="FCFDFE"/>
          <w:lang w:eastAsia="zh-CN"/>
        </w:rPr>
        <w:t>D</w:t>
      </w:r>
      <w:r>
        <w:rPr>
          <w:rFonts w:ascii="Book Antiqua" w:eastAsia="Book Antiqua" w:hAnsi="Book Antiqua" w:cs="Book Antiqua"/>
          <w:shd w:val="clear" w:color="auto" w:fill="FCFDFE"/>
        </w:rPr>
        <w:t>iffusion-weighted imaging images</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color w:val="101214"/>
          <w:shd w:val="clear" w:color="auto" w:fill="FCFDFE"/>
        </w:rPr>
        <w:t>shows carcinoma</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size of 1.1</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cm</w:t>
      </w:r>
      <w:r>
        <w:rPr>
          <w:rFonts w:ascii="Book Antiqua" w:eastAsia="宋体" w:hAnsi="Book Antiqua" w:cs="Book Antiqua" w:hint="eastAsia"/>
          <w:shd w:val="clear" w:color="auto" w:fill="FCFDFE"/>
          <w:lang w:eastAsia="zh-CN"/>
        </w:rPr>
        <w:t xml:space="preserve"> (red circle)</w:t>
      </w:r>
      <w:r>
        <w:rPr>
          <w:rFonts w:ascii="Book Antiqua" w:eastAsia="Book Antiqua" w:hAnsi="Book Antiqua" w:cs="Book Antiqua"/>
          <w:shd w:val="clear" w:color="auto" w:fill="FCFDFE"/>
        </w:rPr>
        <w:t>;</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 xml:space="preserve">C: </w:t>
      </w:r>
      <w:r>
        <w:rPr>
          <w:rFonts w:ascii="Book Antiqua" w:eastAsia="宋体" w:hAnsi="Book Antiqua" w:cs="Book Antiqua" w:hint="eastAsia"/>
          <w:shd w:val="clear" w:color="auto" w:fill="FCFDFE"/>
          <w:lang w:eastAsia="zh-CN"/>
        </w:rPr>
        <w:t>R</w:t>
      </w:r>
      <w:r>
        <w:rPr>
          <w:rFonts w:ascii="Book Antiqua" w:eastAsia="Book Antiqua" w:hAnsi="Book Antiqua" w:cs="Book Antiqua"/>
          <w:color w:val="101214"/>
          <w:shd w:val="clear" w:color="auto" w:fill="FCFDFE"/>
        </w:rPr>
        <w:t>etroperitoneal</w:t>
      </w:r>
      <w:r>
        <w:rPr>
          <w:rFonts w:ascii="Book Antiqua" w:eastAsia="宋体" w:hAnsi="Book Antiqua" w:cs="Book Antiqua" w:hint="eastAsia"/>
          <w:color w:val="101214"/>
          <w:shd w:val="clear" w:color="auto" w:fill="FCFDFE"/>
          <w:lang w:eastAsia="zh-CN"/>
        </w:rPr>
        <w:t xml:space="preserve"> </w:t>
      </w:r>
      <w:r>
        <w:rPr>
          <w:rFonts w:ascii="Book Antiqua" w:eastAsia="Book Antiqua" w:hAnsi="Book Antiqua" w:cs="Book Antiqua"/>
          <w:color w:val="101214"/>
          <w:shd w:val="clear" w:color="auto" w:fill="FCFDFE"/>
        </w:rPr>
        <w:t>enlarged lymph nodes</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size of</w:t>
      </w:r>
      <w:r>
        <w:rPr>
          <w:rFonts w:ascii="Book Antiqua" w:eastAsia="宋体" w:hAnsi="Book Antiqua" w:cs="Book Antiqua" w:hint="eastAsia"/>
          <w:color w:val="101214"/>
          <w:shd w:val="clear" w:color="auto" w:fill="FCFDFE"/>
          <w:lang w:eastAsia="zh-CN"/>
        </w:rPr>
        <w:t xml:space="preserve"> </w:t>
      </w:r>
      <w:r>
        <w:rPr>
          <w:rFonts w:ascii="Book Antiqua" w:eastAsia="Book Antiqua" w:hAnsi="Book Antiqua" w:cs="Book Antiqua"/>
          <w:color w:val="101214"/>
          <w:shd w:val="clear" w:color="auto" w:fill="FCFDFE"/>
        </w:rPr>
        <w:t>1.5</w:t>
      </w:r>
      <w:r>
        <w:rPr>
          <w:rFonts w:ascii="Book Antiqua" w:eastAsia="宋体" w:hAnsi="Book Antiqua" w:cs="Book Antiqua" w:hint="eastAsia"/>
          <w:color w:val="101214"/>
          <w:shd w:val="clear" w:color="auto" w:fill="FCFDFE"/>
          <w:lang w:eastAsia="zh-CN"/>
        </w:rPr>
        <w:t xml:space="preserve"> </w:t>
      </w:r>
      <w:r>
        <w:rPr>
          <w:rFonts w:ascii="Book Antiqua" w:eastAsia="Book Antiqua" w:hAnsi="Book Antiqua" w:cs="Book Antiqua"/>
          <w:color w:val="101214"/>
          <w:shd w:val="clear" w:color="auto" w:fill="FCFDFE"/>
        </w:rPr>
        <w:t>cm</w:t>
      </w:r>
      <w:r>
        <w:rPr>
          <w:rFonts w:ascii="Book Antiqua" w:eastAsia="宋体" w:hAnsi="Book Antiqua" w:cs="Book Antiqua" w:hint="eastAsia"/>
          <w:shd w:val="clear" w:color="auto" w:fill="FCFDFE"/>
          <w:lang w:eastAsia="zh-CN"/>
        </w:rPr>
        <w:t xml:space="preserve"> (red circle)</w:t>
      </w:r>
      <w:r>
        <w:rPr>
          <w:rFonts w:ascii="Book Antiqua" w:eastAsia="Book Antiqua" w:hAnsi="Book Antiqua" w:cs="Book Antiqua"/>
          <w:shd w:val="clear" w:color="auto" w:fill="FCFDFE"/>
        </w:rPr>
        <w:t>.</w:t>
      </w:r>
    </w:p>
    <w:p w14:paraId="63AF1170" w14:textId="77777777" w:rsidR="00181EA5" w:rsidRDefault="00181EA5">
      <w:pPr>
        <w:adjustRightInd w:val="0"/>
        <w:snapToGrid w:val="0"/>
        <w:spacing w:line="360" w:lineRule="auto"/>
        <w:jc w:val="both"/>
        <w:rPr>
          <w:rFonts w:ascii="Book Antiqua" w:eastAsia="Book Antiqua" w:hAnsi="Book Antiqua" w:cs="Book Antiqua"/>
          <w:shd w:val="clear" w:color="auto" w:fill="FCFDFE"/>
        </w:rPr>
      </w:pPr>
    </w:p>
    <w:p w14:paraId="4E3CD73E" w14:textId="77777777" w:rsidR="00181EA5" w:rsidRDefault="00000000">
      <w:pPr>
        <w:adjustRightInd w:val="0"/>
        <w:snapToGrid w:val="0"/>
        <w:spacing w:line="360" w:lineRule="auto"/>
        <w:jc w:val="both"/>
        <w:rPr>
          <w:rFonts w:ascii="Book Antiqua" w:eastAsia="Book Antiqua" w:hAnsi="Book Antiqua" w:cs="Book Antiqua"/>
          <w:shd w:val="clear" w:color="auto" w:fill="FCFDFE"/>
        </w:rPr>
      </w:pPr>
      <w:r>
        <w:rPr>
          <w:noProof/>
          <w:lang w:eastAsia="zh-CN"/>
        </w:rPr>
        <w:drawing>
          <wp:inline distT="0" distB="0" distL="114300" distR="114300" wp14:anchorId="53931147" wp14:editId="4C0AA77C">
            <wp:extent cx="5937885" cy="3543935"/>
            <wp:effectExtent l="0" t="0" r="571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937885" cy="3543935"/>
                    </a:xfrm>
                    <a:prstGeom prst="rect">
                      <a:avLst/>
                    </a:prstGeom>
                    <a:noFill/>
                    <a:ln>
                      <a:noFill/>
                    </a:ln>
                  </pic:spPr>
                </pic:pic>
              </a:graphicData>
            </a:graphic>
          </wp:inline>
        </w:drawing>
      </w:r>
    </w:p>
    <w:p w14:paraId="0F1A5266" w14:textId="77777777" w:rsidR="00181EA5" w:rsidRDefault="00000000">
      <w:pPr>
        <w:adjustRightInd w:val="0"/>
        <w:snapToGrid w:val="0"/>
        <w:spacing w:line="360" w:lineRule="auto"/>
        <w:jc w:val="both"/>
        <w:rPr>
          <w:rFonts w:ascii="Book Antiqua" w:eastAsia="Book Antiqua" w:hAnsi="Book Antiqua" w:cs="Book Antiqua"/>
          <w:shd w:val="clear" w:color="auto" w:fill="FCFDFE"/>
        </w:rPr>
      </w:pPr>
      <w:r>
        <w:rPr>
          <w:rFonts w:ascii="Book Antiqua" w:eastAsia="Book Antiqua" w:hAnsi="Book Antiqua" w:cs="Book Antiqua"/>
          <w:b/>
          <w:bCs/>
        </w:rPr>
        <w:t xml:space="preserve">Figure 2 Baseline hepatobiliary enhanced magnetic resonance imaging before targeted immunotherapy. </w:t>
      </w:r>
      <w:r>
        <w:rPr>
          <w:rFonts w:ascii="Book Antiqua" w:eastAsia="Book Antiqua" w:hAnsi="Book Antiqua" w:cs="Book Antiqua"/>
          <w:shd w:val="clear" w:color="auto" w:fill="FCFDFE"/>
        </w:rPr>
        <w:t xml:space="preserve">A: </w:t>
      </w:r>
      <w:r>
        <w:rPr>
          <w:rFonts w:ascii="Book Antiqua" w:eastAsia="宋体" w:hAnsi="Book Antiqua" w:cs="Book Antiqua" w:hint="eastAsia"/>
          <w:lang w:eastAsia="zh-CN"/>
        </w:rPr>
        <w:t>R</w:t>
      </w:r>
      <w:r>
        <w:rPr>
          <w:rFonts w:ascii="Book Antiqua" w:eastAsia="Book Antiqua" w:hAnsi="Book Antiqua" w:cs="Book Antiqua"/>
        </w:rPr>
        <w:t xml:space="preserve">ight </w:t>
      </w:r>
      <w:r>
        <w:rPr>
          <w:rFonts w:ascii="Book Antiqua" w:eastAsia="Book Antiqua" w:hAnsi="Book Antiqua" w:cs="Book Antiqua"/>
          <w:shd w:val="clear" w:color="auto" w:fill="FCFDFE"/>
        </w:rPr>
        <w:t>epigastric metastases</w:t>
      </w:r>
      <w:r>
        <w:rPr>
          <w:rFonts w:ascii="Book Antiqua" w:eastAsia="宋体" w:hAnsi="Book Antiqua" w:cs="Book Antiqua" w:hint="eastAsia"/>
          <w:lang w:eastAsia="zh-CN"/>
        </w:rPr>
        <w:t xml:space="preserve"> </w:t>
      </w:r>
      <w:r>
        <w:rPr>
          <w:rFonts w:ascii="Book Antiqua" w:eastAsia="Book Antiqua" w:hAnsi="Book Antiqua" w:cs="Book Antiqua"/>
        </w:rPr>
        <w:t xml:space="preserve">size of </w:t>
      </w:r>
      <w:r>
        <w:rPr>
          <w:rFonts w:ascii="Book Antiqua" w:eastAsia="Book Antiqua" w:hAnsi="Book Antiqua" w:cs="Book Antiqua"/>
          <w:shd w:val="clear" w:color="auto" w:fill="FCFDFE"/>
        </w:rPr>
        <w:t>2</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cm</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1.9</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cm</w:t>
      </w:r>
      <w:r>
        <w:rPr>
          <w:rFonts w:ascii="Book Antiqua" w:eastAsia="宋体" w:hAnsi="Book Antiqua" w:cs="Book Antiqua" w:hint="eastAsia"/>
          <w:shd w:val="clear" w:color="auto" w:fill="FCFDFE"/>
          <w:lang w:eastAsia="zh-CN"/>
        </w:rPr>
        <w:t xml:space="preserve"> (red </w:t>
      </w:r>
      <w:r>
        <w:rPr>
          <w:rFonts w:ascii="Book Antiqua" w:eastAsia="宋体" w:hAnsi="Book Antiqua" w:cs="Book Antiqua" w:hint="eastAsia"/>
          <w:shd w:val="clear" w:color="auto" w:fill="FCFDFE"/>
          <w:lang w:eastAsia="zh-CN"/>
        </w:rPr>
        <w:lastRenderedPageBreak/>
        <w:t>circle)</w:t>
      </w:r>
      <w:r>
        <w:rPr>
          <w:rFonts w:ascii="Book Antiqua" w:eastAsia="Book Antiqua" w:hAnsi="Book Antiqua" w:cs="Book Antiqua"/>
        </w:rPr>
        <w:t>; B:</w:t>
      </w:r>
      <w:r>
        <w:rPr>
          <w:rFonts w:ascii="Book Antiqua" w:eastAsia="宋体" w:hAnsi="Book Antiqua" w:cs="Book Antiqua" w:hint="eastAsia"/>
          <w:shd w:val="clear" w:color="auto" w:fill="FCFDFE"/>
          <w:lang w:eastAsia="zh-CN"/>
        </w:rPr>
        <w:t xml:space="preserve"> L</w:t>
      </w:r>
      <w:r>
        <w:rPr>
          <w:rFonts w:ascii="Book Antiqua" w:eastAsia="Book Antiqua" w:hAnsi="Book Antiqua" w:cs="Book Antiqua"/>
          <w:shd w:val="clear" w:color="auto" w:fill="FCFDFE"/>
        </w:rPr>
        <w:t xml:space="preserve">iver metastases in S5 segment </w:t>
      </w:r>
      <w:r>
        <w:rPr>
          <w:rFonts w:ascii="Book Antiqua" w:eastAsia="Book Antiqua" w:hAnsi="Book Antiqua" w:cs="Book Antiqua"/>
        </w:rPr>
        <w:t>size of</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1.3 cm</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1.2 cm</w:t>
      </w:r>
      <w:r>
        <w:rPr>
          <w:rFonts w:ascii="Book Antiqua" w:eastAsia="宋体" w:hAnsi="Book Antiqua" w:cs="Book Antiqua" w:hint="eastAsia"/>
          <w:shd w:val="clear" w:color="auto" w:fill="FCFDFE"/>
          <w:lang w:eastAsia="zh-CN"/>
        </w:rPr>
        <w:t xml:space="preserve"> (green circle)</w:t>
      </w:r>
      <w:r>
        <w:rPr>
          <w:rFonts w:ascii="Book Antiqua" w:eastAsia="Book Antiqua" w:hAnsi="Book Antiqua" w:cs="Book Antiqua"/>
          <w:shd w:val="clear" w:color="auto" w:fill="FCFDFE"/>
        </w:rPr>
        <w:t xml:space="preserve">; C: </w:t>
      </w:r>
      <w:r>
        <w:rPr>
          <w:rFonts w:ascii="Book Antiqua" w:eastAsia="宋体" w:hAnsi="Book Antiqua" w:cs="Book Antiqua" w:hint="eastAsia"/>
          <w:shd w:val="clear" w:color="auto" w:fill="FCFDFE"/>
          <w:lang w:eastAsia="zh-CN"/>
        </w:rPr>
        <w:t>L</w:t>
      </w:r>
      <w:r>
        <w:rPr>
          <w:rFonts w:ascii="Book Antiqua" w:eastAsia="Book Antiqua" w:hAnsi="Book Antiqua" w:cs="Book Antiqua"/>
          <w:shd w:val="clear" w:color="auto" w:fill="FCFDFE"/>
        </w:rPr>
        <w:t xml:space="preserve">eft lateral lobe of the </w:t>
      </w:r>
      <w:proofErr w:type="spellStart"/>
      <w:r>
        <w:rPr>
          <w:rFonts w:ascii="Book Antiqua" w:eastAsia="Book Antiqua" w:hAnsi="Book Antiqua" w:cs="Book Antiqua"/>
          <w:shd w:val="clear" w:color="auto" w:fill="FCFDFE"/>
        </w:rPr>
        <w:t>liver</w:t>
      </w:r>
      <w:r>
        <w:rPr>
          <w:rFonts w:ascii="Book Antiqua" w:eastAsia="Book Antiqua" w:hAnsi="Book Antiqua" w:cs="Book Antiqua"/>
        </w:rPr>
        <w:t>metastasis</w:t>
      </w:r>
      <w:proofErr w:type="spellEnd"/>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rPr>
        <w:t>size of</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0.5 cm</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0.4</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cm</w:t>
      </w:r>
      <w:r>
        <w:rPr>
          <w:rFonts w:ascii="Book Antiqua" w:eastAsia="宋体" w:hAnsi="Book Antiqua" w:cs="Book Antiqua" w:hint="eastAsia"/>
          <w:shd w:val="clear" w:color="auto" w:fill="FCFDFE"/>
          <w:lang w:eastAsia="zh-CN"/>
        </w:rPr>
        <w:t xml:space="preserve"> (green circle)</w:t>
      </w:r>
      <w:r>
        <w:rPr>
          <w:rFonts w:ascii="Book Antiqua" w:eastAsia="Book Antiqua" w:hAnsi="Book Antiqua" w:cs="Book Antiqua"/>
          <w:shd w:val="clear" w:color="auto" w:fill="FCFDFE"/>
        </w:rPr>
        <w:t xml:space="preserve">; D: </w:t>
      </w:r>
      <w:r>
        <w:rPr>
          <w:rFonts w:ascii="Book Antiqua" w:eastAsia="宋体" w:hAnsi="Book Antiqua" w:cs="Book Antiqua" w:hint="eastAsia"/>
          <w:color w:val="101214"/>
          <w:shd w:val="clear" w:color="auto" w:fill="FCFDFE"/>
          <w:lang w:eastAsia="zh-CN"/>
        </w:rPr>
        <w:t>C</w:t>
      </w:r>
      <w:r>
        <w:rPr>
          <w:rFonts w:ascii="Book Antiqua" w:eastAsia="Book Antiqua" w:hAnsi="Book Antiqua" w:cs="Book Antiqua"/>
          <w:color w:val="101214"/>
          <w:shd w:val="clear" w:color="auto" w:fill="FCFDFE"/>
        </w:rPr>
        <w:t>arcinoma in the</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middle and lower segment of the common bile duct size of 1.1</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cm</w:t>
      </w:r>
      <w:r>
        <w:rPr>
          <w:rFonts w:ascii="Book Antiqua" w:eastAsia="宋体" w:hAnsi="Book Antiqua" w:cs="Book Antiqua" w:hint="eastAsia"/>
          <w:shd w:val="clear" w:color="auto" w:fill="FCFDFE"/>
          <w:lang w:eastAsia="zh-CN"/>
        </w:rPr>
        <w:t xml:space="preserve"> (red circle)</w:t>
      </w:r>
      <w:r>
        <w:rPr>
          <w:rFonts w:ascii="Book Antiqua" w:eastAsia="Book Antiqua" w:hAnsi="Book Antiqua" w:cs="Book Antiqua"/>
          <w:shd w:val="clear" w:color="auto" w:fill="FCFDFE"/>
        </w:rPr>
        <w:t xml:space="preserve">; E: </w:t>
      </w:r>
      <w:r>
        <w:rPr>
          <w:rFonts w:ascii="Book Antiqua" w:eastAsia="宋体" w:hAnsi="Book Antiqua" w:cs="Book Antiqua" w:hint="eastAsia"/>
          <w:shd w:val="clear" w:color="auto" w:fill="FCFDFE"/>
          <w:lang w:eastAsia="zh-CN"/>
        </w:rPr>
        <w:t>R</w:t>
      </w:r>
      <w:r>
        <w:rPr>
          <w:rFonts w:ascii="Book Antiqua" w:eastAsia="Book Antiqua" w:hAnsi="Book Antiqua" w:cs="Book Antiqua"/>
          <w:shd w:val="clear" w:color="auto" w:fill="FCFDFE"/>
        </w:rPr>
        <w:t>etroperitoneal enlarged lymph nodes size of 1.3</w:t>
      </w:r>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shd w:val="clear" w:color="auto" w:fill="FCFDFE"/>
        </w:rPr>
        <w:t>cm</w:t>
      </w:r>
      <w:r>
        <w:rPr>
          <w:rFonts w:ascii="Book Antiqua" w:eastAsia="宋体" w:hAnsi="Book Antiqua" w:cs="Book Antiqua" w:hint="eastAsia"/>
          <w:shd w:val="clear" w:color="auto" w:fill="FCFDFE"/>
          <w:lang w:eastAsia="zh-CN"/>
        </w:rPr>
        <w:t xml:space="preserve"> (red circle)</w:t>
      </w:r>
      <w:r>
        <w:rPr>
          <w:rFonts w:ascii="Book Antiqua" w:eastAsia="Book Antiqua" w:hAnsi="Book Antiqua" w:cs="Book Antiqua"/>
          <w:shd w:val="clear" w:color="auto" w:fill="FCFDFE"/>
        </w:rPr>
        <w:t>.</w:t>
      </w:r>
    </w:p>
    <w:p w14:paraId="7FD7C39B" w14:textId="77777777" w:rsidR="00181EA5" w:rsidRDefault="00181EA5">
      <w:pPr>
        <w:adjustRightInd w:val="0"/>
        <w:snapToGrid w:val="0"/>
        <w:spacing w:line="360" w:lineRule="auto"/>
        <w:jc w:val="both"/>
        <w:rPr>
          <w:rFonts w:ascii="Book Antiqua" w:eastAsia="Book Antiqua" w:hAnsi="Book Antiqua" w:cs="Book Antiqua"/>
          <w:shd w:val="clear" w:color="auto" w:fill="FCFDFE"/>
        </w:rPr>
      </w:pPr>
    </w:p>
    <w:p w14:paraId="13780620" w14:textId="77777777" w:rsidR="00181EA5" w:rsidRDefault="00000000">
      <w:pPr>
        <w:adjustRightInd w:val="0"/>
        <w:snapToGrid w:val="0"/>
        <w:spacing w:line="360" w:lineRule="auto"/>
        <w:jc w:val="both"/>
        <w:rPr>
          <w:rFonts w:ascii="Book Antiqua" w:eastAsia="Book Antiqua" w:hAnsi="Book Antiqua" w:cs="Book Antiqua"/>
          <w:shd w:val="clear" w:color="auto" w:fill="FCFDFE"/>
        </w:rPr>
      </w:pPr>
      <w:r>
        <w:rPr>
          <w:noProof/>
          <w:lang w:eastAsia="zh-CN"/>
        </w:rPr>
        <w:drawing>
          <wp:inline distT="0" distB="0" distL="114300" distR="114300" wp14:anchorId="4FC81FF4" wp14:editId="4B7EC0A9">
            <wp:extent cx="5936615" cy="4004310"/>
            <wp:effectExtent l="0" t="0" r="698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936615" cy="4004310"/>
                    </a:xfrm>
                    <a:prstGeom prst="rect">
                      <a:avLst/>
                    </a:prstGeom>
                    <a:noFill/>
                    <a:ln>
                      <a:noFill/>
                    </a:ln>
                  </pic:spPr>
                </pic:pic>
              </a:graphicData>
            </a:graphic>
          </wp:inline>
        </w:drawing>
      </w:r>
    </w:p>
    <w:p w14:paraId="7E8FB3FE" w14:textId="77777777" w:rsidR="00181EA5" w:rsidRDefault="00000000">
      <w:pPr>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3 </w:t>
      </w:r>
      <w:r>
        <w:rPr>
          <w:rFonts w:ascii="Book Antiqua" w:eastAsia="宋体" w:hAnsi="Book Antiqua" w:cs="Book Antiqua" w:hint="eastAsia"/>
          <w:b/>
          <w:bCs/>
          <w:shd w:val="clear" w:color="auto" w:fill="FCFDFE"/>
          <w:lang w:eastAsia="zh-CN"/>
        </w:rPr>
        <w:t>P</w:t>
      </w:r>
      <w:r>
        <w:rPr>
          <w:rFonts w:ascii="Book Antiqua" w:eastAsia="Book Antiqua" w:hAnsi="Book Antiqua" w:cs="Book Antiqua"/>
          <w:b/>
          <w:bCs/>
          <w:shd w:val="clear" w:color="auto" w:fill="FCFDFE"/>
        </w:rPr>
        <w:t xml:space="preserve">athological report adenocarcinoma infiltrates hepatic encephalopathy </w:t>
      </w:r>
      <w:r>
        <w:rPr>
          <w:rFonts w:ascii="Book Antiqua" w:eastAsia="宋体" w:hAnsi="Book Antiqua" w:cs="Book Antiqua" w:hint="eastAsia"/>
          <w:b/>
          <w:bCs/>
          <w:shd w:val="clear" w:color="auto" w:fill="FCFDFE"/>
          <w:lang w:eastAsia="zh-CN"/>
        </w:rPr>
        <w:t>(</w:t>
      </w:r>
      <w:r>
        <w:rPr>
          <w:rFonts w:ascii="Book Antiqua" w:eastAsia="Book Antiqua" w:hAnsi="Book Antiqua" w:cs="Book Antiqua"/>
          <w:b/>
          <w:bCs/>
        </w:rPr>
        <w:t>200</w:t>
      </w:r>
      <w:r>
        <w:rPr>
          <w:rFonts w:ascii="Book Antiqua" w:eastAsia="宋体" w:hAnsi="Book Antiqua" w:cs="Book Antiqua" w:hint="eastAsia"/>
          <w:b/>
          <w:bCs/>
          <w:lang w:eastAsia="zh-CN"/>
        </w:rPr>
        <w:t xml:space="preserve"> </w:t>
      </w:r>
      <w:r>
        <w:rPr>
          <w:rFonts w:ascii="Arial" w:eastAsia="宋体" w:hAnsi="Arial" w:cs="Arial"/>
          <w:b/>
          <w:bCs/>
          <w:lang w:eastAsia="zh-CN"/>
        </w:rPr>
        <w:t>×</w:t>
      </w:r>
      <w:r>
        <w:rPr>
          <w:rFonts w:ascii="Book Antiqua" w:eastAsia="宋体" w:hAnsi="Book Antiqua" w:cs="Book Antiqua" w:hint="eastAsia"/>
          <w:b/>
          <w:bCs/>
          <w:shd w:val="clear" w:color="auto" w:fill="FCFDFE"/>
          <w:lang w:eastAsia="zh-CN"/>
        </w:rPr>
        <w:t>)</w:t>
      </w:r>
      <w:r>
        <w:rPr>
          <w:rFonts w:ascii="Book Antiqua" w:eastAsia="Book Antiqua" w:hAnsi="Book Antiqua" w:cs="Book Antiqua"/>
          <w:b/>
          <w:bCs/>
        </w:rPr>
        <w:t>.</w:t>
      </w:r>
    </w:p>
    <w:p w14:paraId="69F90438" w14:textId="77777777" w:rsidR="00181EA5" w:rsidRDefault="00000000">
      <w:pPr>
        <w:adjustRightInd w:val="0"/>
        <w:snapToGrid w:val="0"/>
        <w:spacing w:line="360" w:lineRule="auto"/>
        <w:jc w:val="both"/>
      </w:pPr>
      <w:r>
        <w:rPr>
          <w:noProof/>
          <w:lang w:eastAsia="zh-CN"/>
        </w:rPr>
        <w:lastRenderedPageBreak/>
        <w:drawing>
          <wp:inline distT="0" distB="0" distL="114300" distR="114300" wp14:anchorId="58B1F83F" wp14:editId="3E8D7575">
            <wp:extent cx="5940425" cy="3469640"/>
            <wp:effectExtent l="0" t="0" r="317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940425" cy="3469640"/>
                    </a:xfrm>
                    <a:prstGeom prst="rect">
                      <a:avLst/>
                    </a:prstGeom>
                    <a:noFill/>
                    <a:ln>
                      <a:noFill/>
                    </a:ln>
                  </pic:spPr>
                </pic:pic>
              </a:graphicData>
            </a:graphic>
          </wp:inline>
        </w:drawing>
      </w:r>
    </w:p>
    <w:p w14:paraId="1123B662" w14:textId="77777777" w:rsidR="00181EA5"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Figure 4 Hepatobiliary enhanced magnetic resonance imaging after two cycles of targeted immunotherapy.</w:t>
      </w:r>
      <w:r>
        <w:rPr>
          <w:rFonts w:ascii="Book Antiqua" w:eastAsia="宋体" w:hAnsi="Book Antiqua" w:cs="Book Antiqua" w:hint="eastAsia"/>
          <w:lang w:eastAsia="zh-CN"/>
        </w:rPr>
        <w:t xml:space="preserve"> </w:t>
      </w:r>
      <w:r>
        <w:rPr>
          <w:rFonts w:ascii="Book Antiqua" w:eastAsia="Book Antiqua" w:hAnsi="Book Antiqua" w:cs="Book Antiqua"/>
        </w:rPr>
        <w:t xml:space="preserve">A: </w:t>
      </w:r>
      <w:r>
        <w:rPr>
          <w:rFonts w:ascii="Book Antiqua" w:eastAsia="宋体" w:hAnsi="Book Antiqua" w:cs="Book Antiqua" w:hint="eastAsia"/>
          <w:lang w:eastAsia="zh-CN"/>
        </w:rPr>
        <w:t>R</w:t>
      </w:r>
      <w:r>
        <w:rPr>
          <w:rFonts w:ascii="Book Antiqua" w:eastAsia="Book Antiqua" w:hAnsi="Book Antiqua" w:cs="Book Antiqua"/>
        </w:rPr>
        <w:t xml:space="preserve">ight </w:t>
      </w:r>
      <w:r>
        <w:rPr>
          <w:rFonts w:ascii="Book Antiqua" w:eastAsia="Book Antiqua" w:hAnsi="Book Antiqua" w:cs="Book Antiqua"/>
          <w:shd w:val="clear" w:color="auto" w:fill="FCFDFE"/>
        </w:rPr>
        <w:t>epigastric metastases</w:t>
      </w:r>
      <w:r>
        <w:rPr>
          <w:rFonts w:ascii="Book Antiqua" w:eastAsia="宋体" w:hAnsi="Book Antiqua" w:cs="Book Antiqua" w:hint="eastAsia"/>
          <w:lang w:eastAsia="zh-CN"/>
        </w:rPr>
        <w:t xml:space="preserve"> </w:t>
      </w:r>
      <w:r>
        <w:rPr>
          <w:rFonts w:ascii="Book Antiqua" w:eastAsia="Book Antiqua" w:hAnsi="Book Antiqua" w:cs="Book Antiqua"/>
        </w:rPr>
        <w:t>size of 0.4</w:t>
      </w:r>
      <w:r>
        <w:rPr>
          <w:rFonts w:ascii="Book Antiqua" w:eastAsia="宋体" w:hAnsi="Book Antiqua" w:cs="Book Antiqua" w:hint="eastAsia"/>
          <w:lang w:eastAsia="zh-CN"/>
        </w:rPr>
        <w:t xml:space="preserve"> </w:t>
      </w:r>
      <w:r>
        <w:rPr>
          <w:rFonts w:ascii="Book Antiqua" w:eastAsia="Book Antiqua" w:hAnsi="Book Antiqua" w:cs="Book Antiqua"/>
        </w:rPr>
        <w:t>cm</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0.5</w:t>
      </w:r>
      <w:r>
        <w:rPr>
          <w:rFonts w:ascii="Book Antiqua" w:eastAsia="宋体" w:hAnsi="Book Antiqua" w:cs="Book Antiqua" w:hint="eastAsia"/>
          <w:lang w:eastAsia="zh-CN"/>
        </w:rPr>
        <w:t xml:space="preserve"> </w:t>
      </w:r>
      <w:r>
        <w:rPr>
          <w:rFonts w:ascii="Book Antiqua" w:eastAsia="Book Antiqua" w:hAnsi="Book Antiqua" w:cs="Book Antiqua"/>
        </w:rPr>
        <w:t>cm</w:t>
      </w:r>
      <w:r>
        <w:rPr>
          <w:rFonts w:ascii="Book Antiqua" w:eastAsia="宋体" w:hAnsi="Book Antiqua" w:cs="Book Antiqua" w:hint="eastAsia"/>
          <w:shd w:val="clear" w:color="auto" w:fill="FCFDFE"/>
          <w:lang w:eastAsia="zh-CN"/>
        </w:rPr>
        <w:t xml:space="preserve"> (red circle)</w:t>
      </w:r>
      <w:r>
        <w:rPr>
          <w:rFonts w:ascii="Book Antiqua" w:eastAsia="Book Antiqua" w:hAnsi="Book Antiqua" w:cs="Book Antiqua"/>
        </w:rPr>
        <w:t>; B</w:t>
      </w:r>
      <w:r>
        <w:rPr>
          <w:rFonts w:ascii="Book Antiqua" w:eastAsia="Book Antiqua" w:hAnsi="Book Antiqua" w:cs="Book Antiqua"/>
          <w:shd w:val="clear" w:color="auto" w:fill="FCFDFE"/>
        </w:rPr>
        <w:t xml:space="preserve">: </w:t>
      </w:r>
      <w:r>
        <w:rPr>
          <w:rFonts w:ascii="Book Antiqua" w:eastAsia="宋体" w:hAnsi="Book Antiqua" w:cs="Book Antiqua" w:hint="eastAsia"/>
          <w:shd w:val="clear" w:color="auto" w:fill="FCFDFE"/>
          <w:lang w:eastAsia="zh-CN"/>
        </w:rPr>
        <w:t>L</w:t>
      </w:r>
      <w:r>
        <w:rPr>
          <w:rFonts w:ascii="Book Antiqua" w:eastAsia="Book Antiqua" w:hAnsi="Book Antiqua" w:cs="Book Antiqua"/>
          <w:shd w:val="clear" w:color="auto" w:fill="FCFDFE"/>
        </w:rPr>
        <w:t xml:space="preserve">iver metastases in S5 segment </w:t>
      </w:r>
      <w:r>
        <w:rPr>
          <w:rFonts w:ascii="Book Antiqua" w:eastAsia="Book Antiqua" w:hAnsi="Book Antiqua" w:cs="Book Antiqua"/>
        </w:rPr>
        <w:t>size of 1.8 cm</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1.7 cm</w:t>
      </w:r>
      <w:r>
        <w:rPr>
          <w:rFonts w:ascii="Book Antiqua" w:eastAsia="宋体" w:hAnsi="Book Antiqua" w:cs="Book Antiqua" w:hint="eastAsia"/>
          <w:shd w:val="clear" w:color="auto" w:fill="FCFDFE"/>
          <w:lang w:eastAsia="zh-CN"/>
        </w:rPr>
        <w:t xml:space="preserve"> (green circle)</w:t>
      </w:r>
      <w:r>
        <w:rPr>
          <w:rFonts w:ascii="Book Antiqua" w:eastAsia="Book Antiqua" w:hAnsi="Book Antiqua" w:cs="Book Antiqua"/>
        </w:rPr>
        <w:t xml:space="preserve">; C: </w:t>
      </w:r>
      <w:r>
        <w:rPr>
          <w:rFonts w:ascii="Book Antiqua" w:eastAsia="宋体" w:hAnsi="Book Antiqua" w:cs="Book Antiqua" w:hint="eastAsia"/>
          <w:shd w:val="clear" w:color="auto" w:fill="FCFDFE"/>
          <w:lang w:eastAsia="zh-CN"/>
        </w:rPr>
        <w:t>L</w:t>
      </w:r>
      <w:r>
        <w:rPr>
          <w:rFonts w:ascii="Book Antiqua" w:eastAsia="Book Antiqua" w:hAnsi="Book Antiqua" w:cs="Book Antiqua"/>
          <w:shd w:val="clear" w:color="auto" w:fill="FCFDFE"/>
        </w:rPr>
        <w:t xml:space="preserve">eft lateral lobe of the </w:t>
      </w:r>
      <w:proofErr w:type="spellStart"/>
      <w:r>
        <w:rPr>
          <w:rFonts w:ascii="Book Antiqua" w:eastAsia="Book Antiqua" w:hAnsi="Book Antiqua" w:cs="Book Antiqua"/>
          <w:shd w:val="clear" w:color="auto" w:fill="FCFDFE"/>
        </w:rPr>
        <w:t>liver</w:t>
      </w:r>
      <w:r>
        <w:rPr>
          <w:rFonts w:ascii="Book Antiqua" w:eastAsia="Book Antiqua" w:hAnsi="Book Antiqua" w:cs="Book Antiqua"/>
        </w:rPr>
        <w:t>metastasis</w:t>
      </w:r>
      <w:proofErr w:type="spellEnd"/>
      <w:r>
        <w:rPr>
          <w:rFonts w:ascii="Book Antiqua" w:eastAsia="宋体" w:hAnsi="Book Antiqua" w:cs="Book Antiqua" w:hint="eastAsia"/>
          <w:shd w:val="clear" w:color="auto" w:fill="FCFDFE"/>
          <w:lang w:eastAsia="zh-CN"/>
        </w:rPr>
        <w:t xml:space="preserve"> </w:t>
      </w:r>
      <w:r>
        <w:rPr>
          <w:rFonts w:ascii="Book Antiqua" w:eastAsia="Book Antiqua" w:hAnsi="Book Antiqua" w:cs="Book Antiqua"/>
        </w:rPr>
        <w:t>size of 0.9 cm</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0.9</w:t>
      </w:r>
      <w:r>
        <w:rPr>
          <w:rFonts w:ascii="Book Antiqua" w:eastAsia="宋体" w:hAnsi="Book Antiqua" w:cs="Book Antiqua" w:hint="eastAsia"/>
          <w:lang w:eastAsia="zh-CN"/>
        </w:rPr>
        <w:t xml:space="preserve"> </w:t>
      </w:r>
      <w:r>
        <w:rPr>
          <w:rFonts w:ascii="Book Antiqua" w:eastAsia="Book Antiqua" w:hAnsi="Book Antiqua" w:cs="Book Antiqua"/>
        </w:rPr>
        <w:t>cm</w:t>
      </w:r>
      <w:r>
        <w:rPr>
          <w:rFonts w:ascii="Book Antiqua" w:eastAsia="宋体" w:hAnsi="Book Antiqua" w:cs="Book Antiqua" w:hint="eastAsia"/>
          <w:shd w:val="clear" w:color="auto" w:fill="FCFDFE"/>
          <w:lang w:eastAsia="zh-CN"/>
        </w:rPr>
        <w:t xml:space="preserve"> (green circle)</w:t>
      </w:r>
      <w:r>
        <w:rPr>
          <w:rFonts w:ascii="Book Antiqua" w:eastAsia="Book Antiqua" w:hAnsi="Book Antiqua" w:cs="Book Antiqua"/>
        </w:rPr>
        <w:t xml:space="preserve">; </w:t>
      </w:r>
      <w:r>
        <w:rPr>
          <w:rFonts w:ascii="Book Antiqua" w:eastAsia="Book Antiqua" w:hAnsi="Book Antiqua" w:cs="Book Antiqua"/>
          <w:shd w:val="clear" w:color="auto" w:fill="FCFDFE"/>
        </w:rPr>
        <w:t xml:space="preserve">D: </w:t>
      </w:r>
      <w:r>
        <w:rPr>
          <w:rFonts w:ascii="Book Antiqua" w:eastAsia="宋体" w:hAnsi="Book Antiqua" w:cs="Book Antiqua" w:hint="eastAsia"/>
          <w:color w:val="101214"/>
          <w:shd w:val="clear" w:color="auto" w:fill="FFFFFF"/>
          <w:lang w:eastAsia="zh-CN"/>
        </w:rPr>
        <w:t>C</w:t>
      </w:r>
      <w:r>
        <w:rPr>
          <w:rFonts w:ascii="Book Antiqua" w:eastAsia="Book Antiqua" w:hAnsi="Book Antiqua" w:cs="Book Antiqua"/>
          <w:color w:val="101214"/>
          <w:shd w:val="clear" w:color="auto" w:fill="FFFFFF"/>
        </w:rPr>
        <w:t>arcinoma</w:t>
      </w:r>
      <w:r>
        <w:rPr>
          <w:rFonts w:ascii="Book Antiqua" w:eastAsia="宋体" w:hAnsi="Book Antiqua" w:cs="Book Antiqua" w:hint="eastAsia"/>
          <w:color w:val="101214"/>
          <w:shd w:val="clear" w:color="auto" w:fill="FFFFFF"/>
          <w:lang w:eastAsia="zh-CN"/>
        </w:rPr>
        <w:t xml:space="preserve"> </w:t>
      </w:r>
      <w:r>
        <w:rPr>
          <w:rFonts w:ascii="Book Antiqua" w:eastAsia="Book Antiqua" w:hAnsi="Book Antiqua" w:cs="Book Antiqua"/>
          <w:color w:val="101214"/>
          <w:shd w:val="clear" w:color="auto" w:fill="FFFFFF"/>
        </w:rPr>
        <w:t>in the</w:t>
      </w:r>
      <w:r>
        <w:rPr>
          <w:rFonts w:ascii="Book Antiqua" w:eastAsia="宋体" w:hAnsi="Book Antiqua" w:cs="Book Antiqua" w:hint="eastAsia"/>
          <w:lang w:eastAsia="zh-CN"/>
        </w:rPr>
        <w:t xml:space="preserve"> </w:t>
      </w:r>
      <w:r>
        <w:rPr>
          <w:rFonts w:ascii="Book Antiqua" w:eastAsia="Book Antiqua" w:hAnsi="Book Antiqua" w:cs="Book Antiqua"/>
        </w:rPr>
        <w:t>middle and lower segment of the common bile duct size of 1.1</w:t>
      </w:r>
      <w:r>
        <w:rPr>
          <w:rFonts w:ascii="Book Antiqua" w:eastAsia="宋体" w:hAnsi="Book Antiqua" w:cs="Book Antiqua" w:hint="eastAsia"/>
          <w:lang w:eastAsia="zh-CN"/>
        </w:rPr>
        <w:t xml:space="preserve"> </w:t>
      </w:r>
      <w:r>
        <w:rPr>
          <w:rFonts w:ascii="Book Antiqua" w:eastAsia="Book Antiqua" w:hAnsi="Book Antiqua" w:cs="Book Antiqua"/>
        </w:rPr>
        <w:t>cm</w:t>
      </w:r>
      <w:r>
        <w:rPr>
          <w:rFonts w:ascii="Book Antiqua" w:eastAsia="宋体" w:hAnsi="Book Antiqua" w:cs="Book Antiqua" w:hint="eastAsia"/>
          <w:shd w:val="clear" w:color="auto" w:fill="FCFDFE"/>
          <w:lang w:eastAsia="zh-CN"/>
        </w:rPr>
        <w:t xml:space="preserve"> (red circle)</w:t>
      </w:r>
      <w:r>
        <w:rPr>
          <w:rFonts w:ascii="Book Antiqua" w:eastAsia="Book Antiqua" w:hAnsi="Book Antiqua" w:cs="Book Antiqua"/>
        </w:rPr>
        <w:t xml:space="preserve">; E: </w:t>
      </w:r>
      <w:r>
        <w:rPr>
          <w:rFonts w:ascii="Book Antiqua" w:eastAsia="宋体" w:hAnsi="Book Antiqua" w:cs="Book Antiqua" w:hint="eastAsia"/>
          <w:lang w:eastAsia="zh-CN"/>
        </w:rPr>
        <w:t>R</w:t>
      </w:r>
      <w:r>
        <w:rPr>
          <w:rFonts w:ascii="Book Antiqua" w:eastAsia="Book Antiqua" w:hAnsi="Book Antiqua" w:cs="Book Antiqua"/>
        </w:rPr>
        <w:t>etroperitoneal enlarged lymph nodes size of 1.3</w:t>
      </w:r>
      <w:r>
        <w:rPr>
          <w:rFonts w:ascii="Book Antiqua" w:eastAsia="宋体" w:hAnsi="Book Antiqua" w:cs="Book Antiqua" w:hint="eastAsia"/>
          <w:lang w:eastAsia="zh-CN"/>
        </w:rPr>
        <w:t xml:space="preserve"> </w:t>
      </w:r>
      <w:r>
        <w:rPr>
          <w:rFonts w:ascii="Book Antiqua" w:eastAsia="Book Antiqua" w:hAnsi="Book Antiqua" w:cs="Book Antiqua"/>
        </w:rPr>
        <w:t>cm</w:t>
      </w:r>
      <w:r>
        <w:rPr>
          <w:rFonts w:ascii="Book Antiqua" w:eastAsia="宋体" w:hAnsi="Book Antiqua" w:cs="Book Antiqua" w:hint="eastAsia"/>
          <w:shd w:val="clear" w:color="auto" w:fill="FCFDFE"/>
          <w:lang w:eastAsia="zh-CN"/>
        </w:rPr>
        <w:t xml:space="preserve"> (red circle)</w:t>
      </w:r>
      <w:r>
        <w:rPr>
          <w:rFonts w:ascii="Book Antiqua" w:eastAsia="Book Antiqua" w:hAnsi="Book Antiqua" w:cs="Book Antiqua"/>
        </w:rPr>
        <w:t>.</w:t>
      </w:r>
    </w:p>
    <w:p w14:paraId="22187F82" w14:textId="77777777" w:rsidR="00181EA5" w:rsidRDefault="00000000">
      <w:pPr>
        <w:adjustRightInd w:val="0"/>
        <w:snapToGrid w:val="0"/>
        <w:spacing w:line="360" w:lineRule="auto"/>
        <w:jc w:val="both"/>
        <w:rPr>
          <w:rFonts w:ascii="Book Antiqua" w:eastAsia="Book Antiqua" w:hAnsi="Book Antiqua" w:cs="Book Antiqua"/>
        </w:rPr>
      </w:pPr>
      <w:r>
        <w:rPr>
          <w:noProof/>
          <w:lang w:eastAsia="zh-CN"/>
        </w:rPr>
        <w:lastRenderedPageBreak/>
        <w:drawing>
          <wp:inline distT="0" distB="0" distL="114300" distR="114300" wp14:anchorId="53DFEAE9" wp14:editId="5043CB94">
            <wp:extent cx="5940425" cy="3914140"/>
            <wp:effectExtent l="0" t="0" r="317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940425" cy="3914140"/>
                    </a:xfrm>
                    <a:prstGeom prst="rect">
                      <a:avLst/>
                    </a:prstGeom>
                    <a:noFill/>
                    <a:ln>
                      <a:noFill/>
                    </a:ln>
                  </pic:spPr>
                </pic:pic>
              </a:graphicData>
            </a:graphic>
          </wp:inline>
        </w:drawing>
      </w:r>
    </w:p>
    <w:p w14:paraId="20E050A8" w14:textId="77777777" w:rsidR="00181EA5"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Figure 5 Timeline of the case report.</w:t>
      </w:r>
      <w:r>
        <w:rPr>
          <w:rFonts w:ascii="Book Antiqua" w:eastAsia="宋体" w:hAnsi="Book Antiqua" w:cs="Book Antiqua" w:hint="eastAsia"/>
          <w:lang w:eastAsia="zh-CN"/>
        </w:rPr>
        <w:t xml:space="preserve"> CT: Computed tomography.</w:t>
      </w:r>
    </w:p>
    <w:sectPr w:rsidR="00181E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29059" w14:textId="77777777" w:rsidR="0001210A" w:rsidRDefault="0001210A">
      <w:r>
        <w:separator/>
      </w:r>
    </w:p>
  </w:endnote>
  <w:endnote w:type="continuationSeparator" w:id="0">
    <w:p w14:paraId="5CA35697" w14:textId="77777777" w:rsidR="0001210A" w:rsidRDefault="00012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094897"/>
    </w:sdtPr>
    <w:sdtContent>
      <w:sdt>
        <w:sdtPr>
          <w:id w:val="860082579"/>
        </w:sdtPr>
        <w:sdtContent>
          <w:p w14:paraId="051B0C1E" w14:textId="77777777" w:rsidR="00181EA5" w:rsidRDefault="00000000">
            <w:pPr>
              <w:pStyle w:val="a7"/>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22</w:t>
            </w:r>
            <w:r>
              <w:rPr>
                <w:rFonts w:ascii="Book Antiqua" w:hAnsi="Book Antiqua"/>
                <w:bCs/>
                <w:sz w:val="24"/>
                <w:szCs w:val="24"/>
              </w:rPr>
              <w:fldChar w:fldCharType="end"/>
            </w:r>
          </w:p>
        </w:sdtContent>
      </w:sdt>
    </w:sdtContent>
  </w:sdt>
  <w:p w14:paraId="79AC90D8" w14:textId="77777777" w:rsidR="00181EA5" w:rsidRDefault="00181E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DFBA7" w14:textId="77777777" w:rsidR="0001210A" w:rsidRDefault="0001210A">
      <w:r>
        <w:separator/>
      </w:r>
    </w:p>
  </w:footnote>
  <w:footnote w:type="continuationSeparator" w:id="0">
    <w:p w14:paraId="7E4A2FCD" w14:textId="77777777" w:rsidR="0001210A" w:rsidRDefault="0001210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1210A"/>
    <w:rsid w:val="00181EA5"/>
    <w:rsid w:val="001F3440"/>
    <w:rsid w:val="00245FC0"/>
    <w:rsid w:val="002B6923"/>
    <w:rsid w:val="004677A9"/>
    <w:rsid w:val="00660AA0"/>
    <w:rsid w:val="00844DEF"/>
    <w:rsid w:val="00974A2F"/>
    <w:rsid w:val="009A13B3"/>
    <w:rsid w:val="00A42FC7"/>
    <w:rsid w:val="00A77B3E"/>
    <w:rsid w:val="00CA2A55"/>
    <w:rsid w:val="012670EA"/>
    <w:rsid w:val="01814321"/>
    <w:rsid w:val="01F1594A"/>
    <w:rsid w:val="022B0E5C"/>
    <w:rsid w:val="023D4BEC"/>
    <w:rsid w:val="02922C89"/>
    <w:rsid w:val="02BE2861"/>
    <w:rsid w:val="032B6C3A"/>
    <w:rsid w:val="033E071B"/>
    <w:rsid w:val="043833BC"/>
    <w:rsid w:val="045439B3"/>
    <w:rsid w:val="04C82992"/>
    <w:rsid w:val="056F1060"/>
    <w:rsid w:val="05B2719F"/>
    <w:rsid w:val="05B60A3D"/>
    <w:rsid w:val="05E11832"/>
    <w:rsid w:val="05E57574"/>
    <w:rsid w:val="05FB6D97"/>
    <w:rsid w:val="05FE60AA"/>
    <w:rsid w:val="060519C4"/>
    <w:rsid w:val="06053772"/>
    <w:rsid w:val="060C68AF"/>
    <w:rsid w:val="06287461"/>
    <w:rsid w:val="0687687D"/>
    <w:rsid w:val="071D4AEC"/>
    <w:rsid w:val="074327A4"/>
    <w:rsid w:val="07A07BF6"/>
    <w:rsid w:val="07AA2823"/>
    <w:rsid w:val="07B76CEE"/>
    <w:rsid w:val="082D0D5E"/>
    <w:rsid w:val="084F6F27"/>
    <w:rsid w:val="085207C5"/>
    <w:rsid w:val="08C6543B"/>
    <w:rsid w:val="09102B5A"/>
    <w:rsid w:val="094E71DE"/>
    <w:rsid w:val="09616F12"/>
    <w:rsid w:val="09AF2373"/>
    <w:rsid w:val="09B434E5"/>
    <w:rsid w:val="09CD45A7"/>
    <w:rsid w:val="09DC47EA"/>
    <w:rsid w:val="09F558AC"/>
    <w:rsid w:val="0A1246B0"/>
    <w:rsid w:val="0A1930B1"/>
    <w:rsid w:val="0A6767AA"/>
    <w:rsid w:val="0A7D7D7B"/>
    <w:rsid w:val="0B204BAA"/>
    <w:rsid w:val="0B2C17A1"/>
    <w:rsid w:val="0BCB2D68"/>
    <w:rsid w:val="0C3C5A14"/>
    <w:rsid w:val="0CB437FC"/>
    <w:rsid w:val="0D1A3FA7"/>
    <w:rsid w:val="0D2C3CDA"/>
    <w:rsid w:val="0D674D12"/>
    <w:rsid w:val="0D7511DD"/>
    <w:rsid w:val="0DE72AC0"/>
    <w:rsid w:val="0E1F1149"/>
    <w:rsid w:val="0E3C1CFB"/>
    <w:rsid w:val="0E455054"/>
    <w:rsid w:val="0FD06B9F"/>
    <w:rsid w:val="108F0808"/>
    <w:rsid w:val="10DD77C5"/>
    <w:rsid w:val="111451B1"/>
    <w:rsid w:val="11205904"/>
    <w:rsid w:val="11671785"/>
    <w:rsid w:val="116C28F7"/>
    <w:rsid w:val="11A75C48"/>
    <w:rsid w:val="11C269BB"/>
    <w:rsid w:val="11D64215"/>
    <w:rsid w:val="120174E4"/>
    <w:rsid w:val="12064AFA"/>
    <w:rsid w:val="122B27B2"/>
    <w:rsid w:val="122D02D9"/>
    <w:rsid w:val="122D652B"/>
    <w:rsid w:val="12810624"/>
    <w:rsid w:val="12D469A6"/>
    <w:rsid w:val="12DE15D3"/>
    <w:rsid w:val="13561AB1"/>
    <w:rsid w:val="136F66CF"/>
    <w:rsid w:val="13763F01"/>
    <w:rsid w:val="13F63E7B"/>
    <w:rsid w:val="142C45C0"/>
    <w:rsid w:val="146E4BD8"/>
    <w:rsid w:val="14952165"/>
    <w:rsid w:val="14B7657F"/>
    <w:rsid w:val="14C842E9"/>
    <w:rsid w:val="15033573"/>
    <w:rsid w:val="15681628"/>
    <w:rsid w:val="15D32F45"/>
    <w:rsid w:val="15FC29A5"/>
    <w:rsid w:val="16B56AEF"/>
    <w:rsid w:val="172A4DE7"/>
    <w:rsid w:val="1732013F"/>
    <w:rsid w:val="17606A5A"/>
    <w:rsid w:val="17A032FB"/>
    <w:rsid w:val="17DE3E23"/>
    <w:rsid w:val="183B3024"/>
    <w:rsid w:val="184C5231"/>
    <w:rsid w:val="18567E5D"/>
    <w:rsid w:val="1901601B"/>
    <w:rsid w:val="190D3BD4"/>
    <w:rsid w:val="19805192"/>
    <w:rsid w:val="19C92FDD"/>
    <w:rsid w:val="19F811CC"/>
    <w:rsid w:val="1A383CBF"/>
    <w:rsid w:val="1A6E148E"/>
    <w:rsid w:val="1AB175CD"/>
    <w:rsid w:val="1AD27C6F"/>
    <w:rsid w:val="1ADA2FC8"/>
    <w:rsid w:val="1AE6196C"/>
    <w:rsid w:val="1AEB0D31"/>
    <w:rsid w:val="1B0F0EC3"/>
    <w:rsid w:val="1B882A24"/>
    <w:rsid w:val="1BC7354C"/>
    <w:rsid w:val="1BCC2910"/>
    <w:rsid w:val="1BFE4A94"/>
    <w:rsid w:val="1C5B5A42"/>
    <w:rsid w:val="1C9D24FF"/>
    <w:rsid w:val="1CA67605"/>
    <w:rsid w:val="1CBA09BB"/>
    <w:rsid w:val="1CF87735"/>
    <w:rsid w:val="1D2B18B9"/>
    <w:rsid w:val="1DAD6772"/>
    <w:rsid w:val="1E0565AE"/>
    <w:rsid w:val="1E110AAE"/>
    <w:rsid w:val="1ECE699F"/>
    <w:rsid w:val="1F3D58D3"/>
    <w:rsid w:val="1F474F2A"/>
    <w:rsid w:val="1FB42039"/>
    <w:rsid w:val="1FCD4EA9"/>
    <w:rsid w:val="20232D1B"/>
    <w:rsid w:val="202C6073"/>
    <w:rsid w:val="20476A09"/>
    <w:rsid w:val="207672EF"/>
    <w:rsid w:val="20AE4CDA"/>
    <w:rsid w:val="22721D38"/>
    <w:rsid w:val="228F28EA"/>
    <w:rsid w:val="22B10AB2"/>
    <w:rsid w:val="22B67E76"/>
    <w:rsid w:val="22C02987"/>
    <w:rsid w:val="2318468D"/>
    <w:rsid w:val="236B6EB3"/>
    <w:rsid w:val="238E2BA1"/>
    <w:rsid w:val="23922691"/>
    <w:rsid w:val="23DC56BB"/>
    <w:rsid w:val="23F30C56"/>
    <w:rsid w:val="243279D1"/>
    <w:rsid w:val="244D65B8"/>
    <w:rsid w:val="24575689"/>
    <w:rsid w:val="258E6E89"/>
    <w:rsid w:val="259049AF"/>
    <w:rsid w:val="25BD151C"/>
    <w:rsid w:val="25BF34E6"/>
    <w:rsid w:val="26527EB6"/>
    <w:rsid w:val="26591245"/>
    <w:rsid w:val="268C786C"/>
    <w:rsid w:val="271433BD"/>
    <w:rsid w:val="27533EE6"/>
    <w:rsid w:val="2818512F"/>
    <w:rsid w:val="28700AC7"/>
    <w:rsid w:val="28DF17A9"/>
    <w:rsid w:val="28FE60D3"/>
    <w:rsid w:val="290C6A42"/>
    <w:rsid w:val="296543A4"/>
    <w:rsid w:val="29A053DC"/>
    <w:rsid w:val="29A30A29"/>
    <w:rsid w:val="29FB0865"/>
    <w:rsid w:val="2A1738F0"/>
    <w:rsid w:val="2A73664D"/>
    <w:rsid w:val="2ABA427C"/>
    <w:rsid w:val="2B1020EE"/>
    <w:rsid w:val="2B2B6F28"/>
    <w:rsid w:val="2B473D61"/>
    <w:rsid w:val="2B6F150A"/>
    <w:rsid w:val="2B7803BF"/>
    <w:rsid w:val="2B8925CC"/>
    <w:rsid w:val="2BB331A5"/>
    <w:rsid w:val="2BDA4BD6"/>
    <w:rsid w:val="2C2C2F57"/>
    <w:rsid w:val="2C92725E"/>
    <w:rsid w:val="2C9C632F"/>
    <w:rsid w:val="2CB216AE"/>
    <w:rsid w:val="2D0B0DBF"/>
    <w:rsid w:val="2D4349FC"/>
    <w:rsid w:val="2D7D7F0E"/>
    <w:rsid w:val="2DA21723"/>
    <w:rsid w:val="2DC518B5"/>
    <w:rsid w:val="2E0E500A"/>
    <w:rsid w:val="2E6469D8"/>
    <w:rsid w:val="2E8452CD"/>
    <w:rsid w:val="2E953036"/>
    <w:rsid w:val="2EB538B8"/>
    <w:rsid w:val="2EC612D6"/>
    <w:rsid w:val="2F2820FC"/>
    <w:rsid w:val="2F866E22"/>
    <w:rsid w:val="2F884949"/>
    <w:rsid w:val="2FD91648"/>
    <w:rsid w:val="301601A6"/>
    <w:rsid w:val="302E54F0"/>
    <w:rsid w:val="305F7D9F"/>
    <w:rsid w:val="30AA6874"/>
    <w:rsid w:val="30C23E8A"/>
    <w:rsid w:val="30FC55EE"/>
    <w:rsid w:val="327B0795"/>
    <w:rsid w:val="327D275F"/>
    <w:rsid w:val="328E671A"/>
    <w:rsid w:val="33136C1F"/>
    <w:rsid w:val="334B0167"/>
    <w:rsid w:val="33923FE8"/>
    <w:rsid w:val="33E16D1D"/>
    <w:rsid w:val="33F00D0E"/>
    <w:rsid w:val="3402116D"/>
    <w:rsid w:val="34362BC5"/>
    <w:rsid w:val="343926B5"/>
    <w:rsid w:val="34AC2E87"/>
    <w:rsid w:val="3529272A"/>
    <w:rsid w:val="357A2F85"/>
    <w:rsid w:val="358856A2"/>
    <w:rsid w:val="35B04BF9"/>
    <w:rsid w:val="35B30245"/>
    <w:rsid w:val="36056CF3"/>
    <w:rsid w:val="3619279E"/>
    <w:rsid w:val="36266C69"/>
    <w:rsid w:val="366F0610"/>
    <w:rsid w:val="36B44275"/>
    <w:rsid w:val="36E508D2"/>
    <w:rsid w:val="376D2DA2"/>
    <w:rsid w:val="37F708BD"/>
    <w:rsid w:val="383E64EC"/>
    <w:rsid w:val="389205E6"/>
    <w:rsid w:val="38A50319"/>
    <w:rsid w:val="38B8629F"/>
    <w:rsid w:val="393F251C"/>
    <w:rsid w:val="398443D3"/>
    <w:rsid w:val="39B50A30"/>
    <w:rsid w:val="39BF365D"/>
    <w:rsid w:val="39ED1F78"/>
    <w:rsid w:val="3A160918"/>
    <w:rsid w:val="3A4D6EBA"/>
    <w:rsid w:val="3A59585F"/>
    <w:rsid w:val="3A881CA1"/>
    <w:rsid w:val="3B385475"/>
    <w:rsid w:val="3B4C0F20"/>
    <w:rsid w:val="3C0435A9"/>
    <w:rsid w:val="3C0812EB"/>
    <w:rsid w:val="3C4A1903"/>
    <w:rsid w:val="3C4B11D8"/>
    <w:rsid w:val="3C5E53AF"/>
    <w:rsid w:val="3C611912"/>
    <w:rsid w:val="3C880E9F"/>
    <w:rsid w:val="3C8F7316"/>
    <w:rsid w:val="3CC1358A"/>
    <w:rsid w:val="3D1E069A"/>
    <w:rsid w:val="3D8E3295"/>
    <w:rsid w:val="3DA037A5"/>
    <w:rsid w:val="3DA2751D"/>
    <w:rsid w:val="3E772758"/>
    <w:rsid w:val="3F6031EC"/>
    <w:rsid w:val="3F8A64BB"/>
    <w:rsid w:val="4001677D"/>
    <w:rsid w:val="40387CC5"/>
    <w:rsid w:val="407A6EF0"/>
    <w:rsid w:val="40BC26A4"/>
    <w:rsid w:val="40D21EC7"/>
    <w:rsid w:val="410F4ECA"/>
    <w:rsid w:val="41151DB4"/>
    <w:rsid w:val="41197AF6"/>
    <w:rsid w:val="41354204"/>
    <w:rsid w:val="417E3DFD"/>
    <w:rsid w:val="418E2292"/>
    <w:rsid w:val="41CA2B9F"/>
    <w:rsid w:val="41EE4ADF"/>
    <w:rsid w:val="421502BE"/>
    <w:rsid w:val="42734FE4"/>
    <w:rsid w:val="430F2F5F"/>
    <w:rsid w:val="432D5ADB"/>
    <w:rsid w:val="43301127"/>
    <w:rsid w:val="43452E25"/>
    <w:rsid w:val="43E837B0"/>
    <w:rsid w:val="43FB7987"/>
    <w:rsid w:val="44A26055"/>
    <w:rsid w:val="44B32010"/>
    <w:rsid w:val="44E67CEF"/>
    <w:rsid w:val="44EB3558"/>
    <w:rsid w:val="4550785F"/>
    <w:rsid w:val="455B692F"/>
    <w:rsid w:val="45684BA8"/>
    <w:rsid w:val="45B147A1"/>
    <w:rsid w:val="470E6426"/>
    <w:rsid w:val="4755115C"/>
    <w:rsid w:val="47B95B8F"/>
    <w:rsid w:val="47E66258"/>
    <w:rsid w:val="48E7672C"/>
    <w:rsid w:val="48FF5824"/>
    <w:rsid w:val="490E3CB9"/>
    <w:rsid w:val="494D47E1"/>
    <w:rsid w:val="49EB5DA8"/>
    <w:rsid w:val="49EF7646"/>
    <w:rsid w:val="4A070E34"/>
    <w:rsid w:val="4A174DEF"/>
    <w:rsid w:val="4A2D63C1"/>
    <w:rsid w:val="4A7144FF"/>
    <w:rsid w:val="4A743FEF"/>
    <w:rsid w:val="4AE111F3"/>
    <w:rsid w:val="4B15132F"/>
    <w:rsid w:val="4B3A6FE7"/>
    <w:rsid w:val="4B4B11F4"/>
    <w:rsid w:val="4B69167A"/>
    <w:rsid w:val="4B8464B4"/>
    <w:rsid w:val="4C0A4C0B"/>
    <w:rsid w:val="4D3F6B37"/>
    <w:rsid w:val="4D981DA3"/>
    <w:rsid w:val="4DA4699A"/>
    <w:rsid w:val="4DE90850"/>
    <w:rsid w:val="4E10402F"/>
    <w:rsid w:val="4E141D71"/>
    <w:rsid w:val="4E6323B1"/>
    <w:rsid w:val="4E6A1991"/>
    <w:rsid w:val="4E8642F1"/>
    <w:rsid w:val="4F0F42E7"/>
    <w:rsid w:val="4F4026F2"/>
    <w:rsid w:val="4F4C1097"/>
    <w:rsid w:val="4F4F2935"/>
    <w:rsid w:val="4F702FD7"/>
    <w:rsid w:val="4F7F321A"/>
    <w:rsid w:val="4F813436"/>
    <w:rsid w:val="4F9F1B0F"/>
    <w:rsid w:val="4FE47521"/>
    <w:rsid w:val="50302767"/>
    <w:rsid w:val="50574197"/>
    <w:rsid w:val="50A70C7B"/>
    <w:rsid w:val="50FE4613"/>
    <w:rsid w:val="511D6E11"/>
    <w:rsid w:val="51204589"/>
    <w:rsid w:val="514A7858"/>
    <w:rsid w:val="51595CED"/>
    <w:rsid w:val="51750D79"/>
    <w:rsid w:val="517F39A6"/>
    <w:rsid w:val="519136D9"/>
    <w:rsid w:val="51B15B29"/>
    <w:rsid w:val="51BD002A"/>
    <w:rsid w:val="521265C8"/>
    <w:rsid w:val="523F4EE3"/>
    <w:rsid w:val="52524C16"/>
    <w:rsid w:val="52C11D9C"/>
    <w:rsid w:val="52C553E8"/>
    <w:rsid w:val="52FB52AE"/>
    <w:rsid w:val="53890B0C"/>
    <w:rsid w:val="53B813F1"/>
    <w:rsid w:val="540E2DBF"/>
    <w:rsid w:val="541D74A6"/>
    <w:rsid w:val="543547EF"/>
    <w:rsid w:val="543C792C"/>
    <w:rsid w:val="544669FD"/>
    <w:rsid w:val="544B5DC1"/>
    <w:rsid w:val="5463135D"/>
    <w:rsid w:val="54B971CF"/>
    <w:rsid w:val="54E12281"/>
    <w:rsid w:val="551B39E5"/>
    <w:rsid w:val="5563713A"/>
    <w:rsid w:val="556E7FB9"/>
    <w:rsid w:val="556F788D"/>
    <w:rsid w:val="55773211"/>
    <w:rsid w:val="55A0213D"/>
    <w:rsid w:val="563665FD"/>
    <w:rsid w:val="569A6B8C"/>
    <w:rsid w:val="56A143BE"/>
    <w:rsid w:val="57284198"/>
    <w:rsid w:val="57392849"/>
    <w:rsid w:val="57805D82"/>
    <w:rsid w:val="57C93BCD"/>
    <w:rsid w:val="5809221B"/>
    <w:rsid w:val="5814296E"/>
    <w:rsid w:val="585711D8"/>
    <w:rsid w:val="58B303D9"/>
    <w:rsid w:val="59350DEE"/>
    <w:rsid w:val="59372DB8"/>
    <w:rsid w:val="59C26B97"/>
    <w:rsid w:val="59CF1242"/>
    <w:rsid w:val="59F40CA9"/>
    <w:rsid w:val="59FE7432"/>
    <w:rsid w:val="5A4F7C8D"/>
    <w:rsid w:val="5A582FE6"/>
    <w:rsid w:val="5A627595"/>
    <w:rsid w:val="5A6A4AC7"/>
    <w:rsid w:val="5AC24903"/>
    <w:rsid w:val="5B44356A"/>
    <w:rsid w:val="5B4672E2"/>
    <w:rsid w:val="5B5F03A4"/>
    <w:rsid w:val="5BD65D63"/>
    <w:rsid w:val="5C930305"/>
    <w:rsid w:val="5CA02A22"/>
    <w:rsid w:val="5CE368C3"/>
    <w:rsid w:val="5D07484F"/>
    <w:rsid w:val="5D153410"/>
    <w:rsid w:val="5D192F00"/>
    <w:rsid w:val="5D700646"/>
    <w:rsid w:val="5DF748C4"/>
    <w:rsid w:val="5DFE5C52"/>
    <w:rsid w:val="5E734892"/>
    <w:rsid w:val="5EFA466C"/>
    <w:rsid w:val="5F0B0627"/>
    <w:rsid w:val="5F6D12E1"/>
    <w:rsid w:val="5FA56CCD"/>
    <w:rsid w:val="5FBC4017"/>
    <w:rsid w:val="5FBC7B73"/>
    <w:rsid w:val="5FE61094"/>
    <w:rsid w:val="60DD4245"/>
    <w:rsid w:val="611D2893"/>
    <w:rsid w:val="613D4CE3"/>
    <w:rsid w:val="61587D6F"/>
    <w:rsid w:val="61783F6D"/>
    <w:rsid w:val="6192502F"/>
    <w:rsid w:val="620B6B90"/>
    <w:rsid w:val="624F1172"/>
    <w:rsid w:val="62944DD7"/>
    <w:rsid w:val="62AC2121"/>
    <w:rsid w:val="631931D8"/>
    <w:rsid w:val="63536A40"/>
    <w:rsid w:val="63C65464"/>
    <w:rsid w:val="64504D2E"/>
    <w:rsid w:val="645C36D2"/>
    <w:rsid w:val="64DB6CED"/>
    <w:rsid w:val="65143FAD"/>
    <w:rsid w:val="65387C9C"/>
    <w:rsid w:val="65931376"/>
    <w:rsid w:val="65B65064"/>
    <w:rsid w:val="65CC6636"/>
    <w:rsid w:val="65D200F0"/>
    <w:rsid w:val="663A3EE7"/>
    <w:rsid w:val="66976C44"/>
    <w:rsid w:val="66A31A8D"/>
    <w:rsid w:val="66A82BFF"/>
    <w:rsid w:val="66E3632D"/>
    <w:rsid w:val="66F95B50"/>
    <w:rsid w:val="67144738"/>
    <w:rsid w:val="67B22471"/>
    <w:rsid w:val="682D3D04"/>
    <w:rsid w:val="684626D0"/>
    <w:rsid w:val="68556DB7"/>
    <w:rsid w:val="68A37B22"/>
    <w:rsid w:val="68B735CD"/>
    <w:rsid w:val="68F95994"/>
    <w:rsid w:val="69083E29"/>
    <w:rsid w:val="691427CE"/>
    <w:rsid w:val="691B3B5C"/>
    <w:rsid w:val="691E364C"/>
    <w:rsid w:val="694035C3"/>
    <w:rsid w:val="696F20FA"/>
    <w:rsid w:val="697A2F79"/>
    <w:rsid w:val="69926A05"/>
    <w:rsid w:val="69A71894"/>
    <w:rsid w:val="69C67F6C"/>
    <w:rsid w:val="6A3749C6"/>
    <w:rsid w:val="6A4B68EB"/>
    <w:rsid w:val="6A4D243B"/>
    <w:rsid w:val="6AB778B5"/>
    <w:rsid w:val="6B144D07"/>
    <w:rsid w:val="6B2807B2"/>
    <w:rsid w:val="6B96396E"/>
    <w:rsid w:val="6BE648F5"/>
    <w:rsid w:val="6CB56076"/>
    <w:rsid w:val="6D0D7C60"/>
    <w:rsid w:val="6D1A237D"/>
    <w:rsid w:val="6D1C7EA3"/>
    <w:rsid w:val="6D6D4BA2"/>
    <w:rsid w:val="6E2039C3"/>
    <w:rsid w:val="6E3556C0"/>
    <w:rsid w:val="6E58315D"/>
    <w:rsid w:val="6E8E3022"/>
    <w:rsid w:val="6F0B4673"/>
    <w:rsid w:val="6F3B4F58"/>
    <w:rsid w:val="6FB40867"/>
    <w:rsid w:val="6FB95E7D"/>
    <w:rsid w:val="6FCC5BB0"/>
    <w:rsid w:val="7064228D"/>
    <w:rsid w:val="70820965"/>
    <w:rsid w:val="708B3C5F"/>
    <w:rsid w:val="70B7060E"/>
    <w:rsid w:val="70EE7DA8"/>
    <w:rsid w:val="71257C6E"/>
    <w:rsid w:val="71883D59"/>
    <w:rsid w:val="71DC5E53"/>
    <w:rsid w:val="71DE1BCB"/>
    <w:rsid w:val="71E10E40"/>
    <w:rsid w:val="71F96A05"/>
    <w:rsid w:val="722C6DDA"/>
    <w:rsid w:val="724C2FD8"/>
    <w:rsid w:val="72DB610A"/>
    <w:rsid w:val="73125FD0"/>
    <w:rsid w:val="739A5FC5"/>
    <w:rsid w:val="73B70925"/>
    <w:rsid w:val="750758DC"/>
    <w:rsid w:val="755C3532"/>
    <w:rsid w:val="75A629FF"/>
    <w:rsid w:val="76124539"/>
    <w:rsid w:val="765E32DA"/>
    <w:rsid w:val="77613082"/>
    <w:rsid w:val="77E93077"/>
    <w:rsid w:val="780D4890"/>
    <w:rsid w:val="782347DB"/>
    <w:rsid w:val="783469E8"/>
    <w:rsid w:val="786951E9"/>
    <w:rsid w:val="78FB7506"/>
    <w:rsid w:val="793A1DDD"/>
    <w:rsid w:val="7A037EEE"/>
    <w:rsid w:val="7A410F49"/>
    <w:rsid w:val="7A440A39"/>
    <w:rsid w:val="7A456C8B"/>
    <w:rsid w:val="7A6A66F1"/>
    <w:rsid w:val="7A796935"/>
    <w:rsid w:val="7A85177D"/>
    <w:rsid w:val="7A9279F6"/>
    <w:rsid w:val="7B65510B"/>
    <w:rsid w:val="7C0E3A62"/>
    <w:rsid w:val="7C370855"/>
    <w:rsid w:val="7C63164A"/>
    <w:rsid w:val="7C7A4BE6"/>
    <w:rsid w:val="7CAD6D69"/>
    <w:rsid w:val="7CF256C0"/>
    <w:rsid w:val="7D511DEB"/>
    <w:rsid w:val="7D697134"/>
    <w:rsid w:val="7D8E0949"/>
    <w:rsid w:val="7DE70059"/>
    <w:rsid w:val="7E81400A"/>
    <w:rsid w:val="7E8835EA"/>
    <w:rsid w:val="7E9755DB"/>
    <w:rsid w:val="7F080287"/>
    <w:rsid w:val="7F231565"/>
    <w:rsid w:val="7F335FF7"/>
    <w:rsid w:val="7F594F87"/>
    <w:rsid w:val="7F737DF6"/>
    <w:rsid w:val="7F78540D"/>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823803"/>
  <w15:docId w15:val="{9114847E-8A4A-4B33-94C5-F3AF6D7D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qFormat/>
    <w:rPr>
      <w:sz w:val="21"/>
      <w:szCs w:val="21"/>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6">
    <w:name w:val="批注框文本 字符"/>
    <w:basedOn w:val="a0"/>
    <w:link w:val="a5"/>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c">
    <w:name w:val="批注主题 字符"/>
    <w:basedOn w:val="a4"/>
    <w:link w:val="ab"/>
    <w:qFormat/>
    <w:rPr>
      <w:rFonts w:eastAsia="Times New Roman"/>
      <w:b/>
      <w:bCs/>
      <w:sz w:val="24"/>
      <w:szCs w:val="24"/>
      <w:lang w:eastAsia="en-US"/>
    </w:rPr>
  </w:style>
  <w:style w:type="paragraph" w:styleId="ae">
    <w:name w:val="Revision"/>
    <w:hidden/>
    <w:uiPriority w:val="99"/>
    <w:unhideWhenUsed/>
    <w:rsid w:val="00245FC0"/>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Pages>
  <Words>4578</Words>
  <Characters>26096</Characters>
  <Application>Microsoft Office Word</Application>
  <DocSecurity>0</DocSecurity>
  <Lines>217</Lines>
  <Paragraphs>61</Paragraphs>
  <ScaleCrop>false</ScaleCrop>
  <Company>BPG</Company>
  <LinksUpToDate>false</LinksUpToDate>
  <CharactersWithSpaces>30613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Jin-Lei Wang</cp:lastModifiedBy>
  <cp:revision>5</cp:revision>
  <dcterms:created xsi:type="dcterms:W3CDTF">2023-09-21T04:26:00Z</dcterms:created>
  <dcterms:modified xsi:type="dcterms:W3CDTF">2023-09-28T05:55:00Z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0CE63EDC966D474E96ABD284C6BB93E5_12</vt:lpwstr>
  </property>
</Properties>
</file>