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24504"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67E92FA"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87228</w:t>
      </w:r>
    </w:p>
    <w:p w14:paraId="50D969A5"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FB6BD34" w14:textId="77777777" w:rsidR="00F67380" w:rsidRDefault="00F67380">
      <w:pPr>
        <w:adjustRightInd w:val="0"/>
        <w:snapToGrid w:val="0"/>
        <w:spacing w:line="360" w:lineRule="auto"/>
        <w:jc w:val="both"/>
        <w:rPr>
          <w:rFonts w:ascii="Book Antiqua" w:hAnsi="Book Antiqua" w:cs="Book Antiqua"/>
        </w:rPr>
      </w:pPr>
    </w:p>
    <w:p w14:paraId="60853AB2"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Basic Study</w:t>
      </w:r>
    </w:p>
    <w:p w14:paraId="7229B174"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szCs w:val="20"/>
        </w:rPr>
        <w:t>Thioridazine reverses trastuzumab resistance in gastric cancer by inhibiting S-phase kinase associated protein 2-mediated aerobic glycolysis</w:t>
      </w:r>
    </w:p>
    <w:p w14:paraId="44899378" w14:textId="77777777" w:rsidR="00F67380" w:rsidRDefault="00F67380">
      <w:pPr>
        <w:adjustRightInd w:val="0"/>
        <w:snapToGrid w:val="0"/>
        <w:spacing w:line="360" w:lineRule="auto"/>
        <w:jc w:val="both"/>
        <w:rPr>
          <w:rFonts w:ascii="Book Antiqua" w:hAnsi="Book Antiqua" w:cs="Book Antiqua"/>
        </w:rPr>
      </w:pPr>
    </w:p>
    <w:p w14:paraId="6CEB44D3"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Yang</w:t>
      </w:r>
      <w:r>
        <w:rPr>
          <w:rFonts w:ascii="Book Antiqua" w:eastAsia="宋体" w:hAnsi="Book Antiqua" w:cs="Book Antiqua" w:hint="eastAsia"/>
          <w:color w:val="000000"/>
          <w:lang w:eastAsia="zh-CN"/>
        </w:rPr>
        <w:t xml:space="preserve"> ZY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Thioridazine reverses trastuzumab resistance in GC</w:t>
      </w:r>
    </w:p>
    <w:p w14:paraId="18BC3184" w14:textId="77777777" w:rsidR="00F67380" w:rsidRDefault="00F67380">
      <w:pPr>
        <w:adjustRightInd w:val="0"/>
        <w:snapToGrid w:val="0"/>
        <w:spacing w:line="360" w:lineRule="auto"/>
        <w:jc w:val="both"/>
        <w:rPr>
          <w:rFonts w:ascii="Book Antiqua" w:hAnsi="Book Antiqua" w:cs="Book Antiqua"/>
        </w:rPr>
      </w:pPr>
    </w:p>
    <w:p w14:paraId="06C446EF"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Zheng</w:t>
      </w:r>
      <w:r>
        <w:rPr>
          <w:rFonts w:ascii="Book Antiqua" w:eastAsia="宋体" w:hAnsi="Book Antiqua" w:cs="Book Antiqua" w:hint="eastAsia"/>
          <w:color w:val="000000"/>
          <w:lang w:eastAsia="zh-CN"/>
        </w:rPr>
        <w:t>-Y</w:t>
      </w:r>
      <w:r>
        <w:rPr>
          <w:rFonts w:ascii="Book Antiqua" w:eastAsia="Book Antiqua" w:hAnsi="Book Antiqua" w:cs="Book Antiqua"/>
          <w:color w:val="000000"/>
        </w:rPr>
        <w:t>an Yang, Yi</w:t>
      </w:r>
      <w:r>
        <w:rPr>
          <w:rFonts w:ascii="Book Antiqua" w:eastAsia="宋体" w:hAnsi="Book Antiqua" w:cs="Book Antiqua" w:hint="eastAsia"/>
          <w:color w:val="000000"/>
          <w:lang w:eastAsia="zh-CN"/>
        </w:rPr>
        <w:t>-W</w:t>
      </w:r>
      <w:r>
        <w:rPr>
          <w:rFonts w:ascii="Book Antiqua" w:eastAsia="Book Antiqua" w:hAnsi="Book Antiqua" w:cs="Book Antiqua"/>
          <w:color w:val="000000"/>
        </w:rPr>
        <w:t>ei Zhao, Jing</w:t>
      </w:r>
      <w:r>
        <w:rPr>
          <w:rFonts w:ascii="Book Antiqua" w:eastAsia="宋体" w:hAnsi="Book Antiqua" w:cs="Book Antiqua" w:hint="eastAsia"/>
          <w:color w:val="000000"/>
          <w:lang w:eastAsia="zh-CN"/>
        </w:rPr>
        <w:t>-R</w:t>
      </w:r>
      <w:r>
        <w:rPr>
          <w:rFonts w:ascii="Book Antiqua" w:eastAsia="Book Antiqua" w:hAnsi="Book Antiqua" w:cs="Book Antiqua"/>
          <w:color w:val="000000"/>
        </w:rPr>
        <w:t>ui Xue, Ran Guo, Zhi Zhao, Han</w:t>
      </w:r>
      <w:r>
        <w:rPr>
          <w:rFonts w:ascii="Book Antiqua" w:eastAsia="宋体" w:hAnsi="Book Antiqua" w:cs="Book Antiqua" w:hint="eastAsia"/>
          <w:color w:val="000000"/>
          <w:lang w:eastAsia="zh-CN"/>
        </w:rPr>
        <w:t>-D</w:t>
      </w:r>
      <w:r>
        <w:rPr>
          <w:rFonts w:ascii="Book Antiqua" w:eastAsia="Book Antiqua" w:hAnsi="Book Antiqua" w:cs="Book Antiqua"/>
          <w:color w:val="000000"/>
        </w:rPr>
        <w:t>i Liu, Zhi</w:t>
      </w:r>
      <w:r>
        <w:rPr>
          <w:rFonts w:ascii="Book Antiqua" w:eastAsia="宋体" w:hAnsi="Book Antiqua" w:cs="Book Antiqua" w:hint="eastAsia"/>
          <w:color w:val="000000"/>
          <w:lang w:eastAsia="zh-CN"/>
        </w:rPr>
        <w:t>-G</w:t>
      </w:r>
      <w:r>
        <w:rPr>
          <w:rFonts w:ascii="Book Antiqua" w:eastAsia="Book Antiqua" w:hAnsi="Book Antiqua" w:cs="Book Antiqua"/>
          <w:color w:val="000000"/>
        </w:rPr>
        <w:t>uang Ren, Ming Shi</w:t>
      </w:r>
    </w:p>
    <w:p w14:paraId="32E1F838" w14:textId="77777777" w:rsidR="00F67380" w:rsidRDefault="00F67380">
      <w:pPr>
        <w:adjustRightInd w:val="0"/>
        <w:snapToGrid w:val="0"/>
        <w:spacing w:line="360" w:lineRule="auto"/>
        <w:jc w:val="both"/>
        <w:rPr>
          <w:rFonts w:ascii="Book Antiqua" w:hAnsi="Book Antiqua" w:cs="Book Antiqua"/>
        </w:rPr>
      </w:pPr>
    </w:p>
    <w:p w14:paraId="21FC5B6E"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Zheng-Yan Yang, Ran Guo, Han-Di Liu, Zhi-Guang Ren, </w:t>
      </w:r>
      <w:r>
        <w:rPr>
          <w:rFonts w:ascii="Book Antiqua" w:eastAsia="Book Antiqua" w:hAnsi="Book Antiqua" w:cs="Book Antiqua"/>
          <w:color w:val="000000"/>
        </w:rPr>
        <w:t>Department of Pathology, School of Basic Medical Science, Henan University, Kaifeng 475004, Henan Province, China</w:t>
      </w:r>
    </w:p>
    <w:p w14:paraId="694C51B1" w14:textId="77777777" w:rsidR="00F67380" w:rsidRDefault="00F67380">
      <w:pPr>
        <w:adjustRightInd w:val="0"/>
        <w:snapToGrid w:val="0"/>
        <w:spacing w:line="360" w:lineRule="auto"/>
        <w:jc w:val="both"/>
        <w:rPr>
          <w:rFonts w:ascii="Book Antiqua" w:hAnsi="Book Antiqua" w:cs="Book Antiqua"/>
        </w:rPr>
      </w:pPr>
    </w:p>
    <w:p w14:paraId="2FE6DF20"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Yi-Wei Zhao, Jing-Rui Xue, </w:t>
      </w:r>
      <w:r>
        <w:rPr>
          <w:rFonts w:ascii="Book Antiqua" w:eastAsia="Book Antiqua" w:hAnsi="Book Antiqua" w:cs="Book Antiqua"/>
          <w:color w:val="000000"/>
        </w:rPr>
        <w:t>Joint National Laboratory for Antibody Drug Engineering, Henan University, Kaifeng 475004, Henan Province, China</w:t>
      </w:r>
    </w:p>
    <w:p w14:paraId="470A90B6" w14:textId="77777777" w:rsidR="00F67380" w:rsidRDefault="00F67380">
      <w:pPr>
        <w:adjustRightInd w:val="0"/>
        <w:snapToGrid w:val="0"/>
        <w:spacing w:line="360" w:lineRule="auto"/>
        <w:jc w:val="both"/>
        <w:rPr>
          <w:rFonts w:ascii="Book Antiqua" w:hAnsi="Book Antiqua" w:cs="Book Antiqua"/>
        </w:rPr>
      </w:pPr>
    </w:p>
    <w:p w14:paraId="7B5E77E5"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Zhi Zhao, </w:t>
      </w:r>
      <w:r>
        <w:rPr>
          <w:rFonts w:ascii="Book Antiqua" w:eastAsia="Book Antiqua" w:hAnsi="Book Antiqua" w:cs="Book Antiqua"/>
          <w:color w:val="000000"/>
        </w:rPr>
        <w:t>Department of Pathology, Henan University-affiliated Zhengzhou Yihe Hospital, Zhengzhou 450000, Henan Province, China</w:t>
      </w:r>
    </w:p>
    <w:p w14:paraId="722A8DF7" w14:textId="77777777" w:rsidR="00F67380" w:rsidRDefault="00F67380">
      <w:pPr>
        <w:adjustRightInd w:val="0"/>
        <w:snapToGrid w:val="0"/>
        <w:spacing w:line="360" w:lineRule="auto"/>
        <w:jc w:val="both"/>
        <w:rPr>
          <w:rFonts w:ascii="Book Antiqua" w:hAnsi="Book Antiqua" w:cs="Book Antiqua"/>
        </w:rPr>
      </w:pPr>
    </w:p>
    <w:p w14:paraId="65952DA5"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Zhi-Guang Ren, </w:t>
      </w:r>
      <w:r>
        <w:rPr>
          <w:rFonts w:ascii="Book Antiqua" w:eastAsia="Book Antiqua" w:hAnsi="Book Antiqua" w:cs="Book Antiqua"/>
          <w:color w:val="000000"/>
          <w:lang w:eastAsia="zh-CN"/>
        </w:rPr>
        <w:t>Key Laboratory of Clinical Resources Translation,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First Affiliated Hospital, Henan University, Kaifeng 475004, Henan Province, China</w:t>
      </w:r>
    </w:p>
    <w:p w14:paraId="270508F5" w14:textId="77777777" w:rsidR="00F67380" w:rsidRDefault="00F67380">
      <w:pPr>
        <w:adjustRightInd w:val="0"/>
        <w:snapToGrid w:val="0"/>
        <w:spacing w:line="360" w:lineRule="auto"/>
        <w:jc w:val="both"/>
        <w:rPr>
          <w:rFonts w:ascii="Book Antiqua" w:hAnsi="Book Antiqua" w:cs="Book Antiqua"/>
        </w:rPr>
      </w:pPr>
    </w:p>
    <w:p w14:paraId="073555B5"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Ming Shi, </w:t>
      </w:r>
      <w:r>
        <w:rPr>
          <w:rFonts w:ascii="Book Antiqua" w:eastAsia="Book Antiqua" w:hAnsi="Book Antiqua" w:cs="Book Antiqua"/>
          <w:color w:val="000000"/>
        </w:rPr>
        <w:t>Center of Clinical Oncology, The Affiliated Hospital of Xuzhou Medical University, Xuzhou 221002, Jiangsu</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 China</w:t>
      </w:r>
    </w:p>
    <w:p w14:paraId="2425A4CC" w14:textId="77777777" w:rsidR="00F67380" w:rsidRDefault="00F67380">
      <w:pPr>
        <w:adjustRightInd w:val="0"/>
        <w:snapToGrid w:val="0"/>
        <w:spacing w:line="360" w:lineRule="auto"/>
        <w:jc w:val="both"/>
        <w:rPr>
          <w:rFonts w:ascii="Book Antiqua" w:hAnsi="Book Antiqua" w:cs="Book Antiqua"/>
        </w:rPr>
      </w:pPr>
    </w:p>
    <w:p w14:paraId="532FE7BF"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Ming Shi, </w:t>
      </w:r>
      <w:r>
        <w:rPr>
          <w:rFonts w:ascii="Book Antiqua" w:eastAsia="Book Antiqua" w:hAnsi="Book Antiqua" w:cs="Book Antiqua"/>
          <w:color w:val="000000"/>
        </w:rPr>
        <w:t>Jiangsu Center for the Collaboration and Innovation of Cancer Biotherapy, Xuzhou Medical University, Xuzhou 221004, Jiangsu</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 China</w:t>
      </w:r>
    </w:p>
    <w:p w14:paraId="6FDA68B8" w14:textId="77777777" w:rsidR="00F67380" w:rsidRDefault="00F67380">
      <w:pPr>
        <w:adjustRightInd w:val="0"/>
        <w:snapToGrid w:val="0"/>
        <w:spacing w:line="360" w:lineRule="auto"/>
        <w:jc w:val="both"/>
        <w:rPr>
          <w:rFonts w:ascii="Book Antiqua" w:hAnsi="Book Antiqua" w:cs="Book Antiqua"/>
        </w:rPr>
      </w:pPr>
    </w:p>
    <w:p w14:paraId="28F04EFC" w14:textId="77777777" w:rsidR="00F67380" w:rsidRDefault="00000000">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Zheng-Yan Yang</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Yi-Wei Zhao</w:t>
      </w:r>
      <w:r>
        <w:rPr>
          <w:rFonts w:ascii="Book Antiqua" w:eastAsia="宋体" w:hAnsi="Book Antiqua" w:cs="Book Antiqua" w:hint="eastAsia"/>
          <w:color w:val="000000"/>
          <w:lang w:eastAsia="zh-CN"/>
        </w:rPr>
        <w:t>.</w:t>
      </w:r>
    </w:p>
    <w:p w14:paraId="2612E201" w14:textId="77777777" w:rsidR="00F67380" w:rsidRDefault="00F67380">
      <w:pPr>
        <w:adjustRightInd w:val="0"/>
        <w:snapToGrid w:val="0"/>
        <w:spacing w:line="360" w:lineRule="auto"/>
        <w:jc w:val="both"/>
        <w:rPr>
          <w:rFonts w:ascii="Book Antiqua" w:eastAsia="宋体" w:hAnsi="Book Antiqua" w:cs="Book Antiqua"/>
          <w:color w:val="000000"/>
          <w:lang w:eastAsia="zh-CN"/>
        </w:rPr>
      </w:pPr>
    </w:p>
    <w:p w14:paraId="3D750CA4" w14:textId="77777777" w:rsidR="00F67380"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Zhi</w:t>
      </w:r>
      <w:r>
        <w:rPr>
          <w:rFonts w:ascii="Book Antiqua" w:eastAsia="宋体" w:hAnsi="Book Antiqua" w:cs="Book Antiqua" w:hint="eastAsia"/>
          <w:color w:val="000000"/>
          <w:lang w:eastAsia="zh-CN"/>
        </w:rPr>
        <w:t>-G</w:t>
      </w:r>
      <w:r>
        <w:rPr>
          <w:rFonts w:ascii="Book Antiqua" w:eastAsia="Book Antiqua" w:hAnsi="Book Antiqua" w:cs="Book Antiqua"/>
          <w:color w:val="000000"/>
        </w:rPr>
        <w:t>uang Ren</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Ming Shi</w:t>
      </w:r>
      <w:r>
        <w:rPr>
          <w:rFonts w:ascii="Book Antiqua" w:eastAsia="宋体" w:hAnsi="Book Antiqua" w:cs="Book Antiqua" w:hint="eastAsia"/>
          <w:color w:val="000000"/>
          <w:lang w:eastAsia="zh-CN"/>
        </w:rPr>
        <w:t>.</w:t>
      </w:r>
    </w:p>
    <w:p w14:paraId="4E72C5F8" w14:textId="77777777" w:rsidR="00F67380" w:rsidRDefault="00F67380">
      <w:pPr>
        <w:adjustRightInd w:val="0"/>
        <w:snapToGrid w:val="0"/>
        <w:spacing w:line="360" w:lineRule="auto"/>
        <w:jc w:val="both"/>
        <w:rPr>
          <w:rFonts w:ascii="Book Antiqua" w:hAnsi="Book Antiqua" w:cs="Book Antiqua"/>
        </w:rPr>
      </w:pPr>
    </w:p>
    <w:p w14:paraId="2421A57E" w14:textId="77777777" w:rsidR="00F67380"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w:t>
      </w:r>
      <w:r>
        <w:rPr>
          <w:rFonts w:ascii="Book Antiqua" w:eastAsia="宋体" w:hAnsi="Book Antiqua" w:cs="Book Antiqua" w:hint="eastAsia"/>
          <w:color w:val="000000"/>
          <w:lang w:eastAsia="zh-CN"/>
        </w:rPr>
        <w:t xml:space="preserve"> ZY</w:t>
      </w:r>
      <w:r>
        <w:rPr>
          <w:rFonts w:ascii="Book Antiqua" w:eastAsia="Book Antiqua" w:hAnsi="Book Antiqua" w:cs="Book Antiqua"/>
          <w:color w:val="000000"/>
        </w:rPr>
        <w:t xml:space="preserve"> drafted the manuscript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conducted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experiments of immunoblotting, </w:t>
      </w:r>
      <w:r>
        <w:rPr>
          <w:rFonts w:ascii="Book Antiqua" w:eastAsia="宋体" w:hAnsi="Book Antiqua" w:cs="Book Antiqua" w:hint="eastAsia"/>
          <w:color w:val="000000"/>
          <w:lang w:eastAsia="zh-CN"/>
        </w:rPr>
        <w:t>q</w:t>
      </w:r>
      <w:r>
        <w:rPr>
          <w:rFonts w:ascii="Book Antiqua" w:eastAsia="Book Antiqua" w:hAnsi="Book Antiqua" w:cs="Book Antiqua"/>
          <w:color w:val="000000"/>
        </w:rPr>
        <w:t>PCR, and apoptosis analysis in this study; Zhao</w:t>
      </w:r>
      <w:r>
        <w:rPr>
          <w:rFonts w:ascii="Book Antiqua" w:eastAsia="宋体" w:hAnsi="Book Antiqua" w:cs="Book Antiqua" w:hint="eastAsia"/>
          <w:color w:val="000000"/>
          <w:lang w:eastAsia="zh-CN"/>
        </w:rPr>
        <w:t xml:space="preserve"> YW</w:t>
      </w:r>
      <w:r>
        <w:rPr>
          <w:rFonts w:ascii="Book Antiqua" w:eastAsia="Book Antiqua" w:hAnsi="Book Antiqua" w:cs="Book Antiqua"/>
          <w:color w:val="000000"/>
        </w:rPr>
        <w:t xml:space="preserve"> completed the glucose metabolism analysis and animal experiments; Xue</w:t>
      </w:r>
      <w:r>
        <w:rPr>
          <w:rFonts w:ascii="Book Antiqua" w:eastAsia="宋体" w:hAnsi="Book Antiqua" w:cs="Book Antiqua" w:hint="eastAsia"/>
          <w:color w:val="000000"/>
          <w:lang w:eastAsia="zh-CN"/>
        </w:rPr>
        <w:t xml:space="preserve"> JR </w:t>
      </w:r>
      <w:r>
        <w:rPr>
          <w:rFonts w:ascii="Book Antiqua" w:eastAsia="Book Antiqua" w:hAnsi="Book Antiqua" w:cs="Book Antiqua"/>
          <w:color w:val="000000"/>
        </w:rPr>
        <w:t>contributed to the CCK-8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assay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animal experiments; Guo</w:t>
      </w:r>
      <w:r>
        <w:rPr>
          <w:rFonts w:ascii="Book Antiqua" w:eastAsia="宋体" w:hAnsi="Book Antiqua" w:cs="Book Antiqua" w:hint="eastAsia"/>
          <w:color w:val="000000"/>
          <w:lang w:eastAsia="zh-CN"/>
        </w:rPr>
        <w:t xml:space="preserve"> R</w:t>
      </w:r>
      <w:r>
        <w:rPr>
          <w:rFonts w:ascii="Book Antiqua" w:eastAsia="Book Antiqua" w:hAnsi="Book Antiqua" w:cs="Book Antiqua"/>
          <w:color w:val="000000"/>
        </w:rPr>
        <w:t xml:space="preserve"> assisted in the construction and amplification of recombinant plasmid vectors; Liu</w:t>
      </w:r>
      <w:r>
        <w:rPr>
          <w:rFonts w:ascii="Book Antiqua" w:eastAsia="宋体" w:hAnsi="Book Antiqua" w:cs="Book Antiqua" w:hint="eastAsia"/>
          <w:color w:val="000000"/>
          <w:lang w:eastAsia="zh-CN"/>
        </w:rPr>
        <w:t xml:space="preserve"> HD</w:t>
      </w:r>
      <w:r>
        <w:rPr>
          <w:rFonts w:ascii="Book Antiqua" w:eastAsia="Book Antiqua" w:hAnsi="Book Antiqua" w:cs="Book Antiqua"/>
          <w:color w:val="000000"/>
        </w:rPr>
        <w:t xml:space="preserve"> participated in the data collection of docking;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Zhao</w:t>
      </w:r>
      <w:r>
        <w:rPr>
          <w:rFonts w:ascii="Book Antiqua" w:eastAsia="宋体" w:hAnsi="Book Antiqua" w:cs="Book Antiqua" w:hint="eastAsia"/>
          <w:color w:val="000000"/>
          <w:lang w:eastAsia="zh-CN"/>
        </w:rPr>
        <w:t xml:space="preserve"> Z</w:t>
      </w:r>
      <w:r>
        <w:rPr>
          <w:rFonts w:ascii="Book Antiqua" w:eastAsia="Book Antiqua" w:hAnsi="Book Antiqua" w:cs="Book Antiqua"/>
          <w:color w:val="000000"/>
        </w:rPr>
        <w:t xml:space="preserve"> assisted in immunohistochemical analysis of xenograft tumor tissue samples; Ren</w:t>
      </w:r>
      <w:r>
        <w:rPr>
          <w:rFonts w:ascii="Book Antiqua" w:eastAsia="宋体" w:hAnsi="Book Antiqua" w:cs="Book Antiqua" w:hint="eastAsia"/>
          <w:color w:val="000000"/>
          <w:lang w:eastAsia="zh-CN"/>
        </w:rPr>
        <w:t xml:space="preserve"> ZG </w:t>
      </w:r>
      <w:r>
        <w:rPr>
          <w:rFonts w:ascii="Book Antiqua" w:eastAsia="Book Antiqua" w:hAnsi="Book Antiqua" w:cs="Book Antiqua"/>
          <w:color w:val="000000"/>
        </w:rPr>
        <w:t>supervised the experiments, corrected the data, and revised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manuscript; Shi </w:t>
      </w:r>
      <w:r>
        <w:rPr>
          <w:rFonts w:ascii="Book Antiqua" w:eastAsia="宋体" w:hAnsi="Book Antiqua" w:cs="Book Antiqua" w:hint="eastAsia"/>
          <w:color w:val="000000"/>
          <w:lang w:eastAsia="zh-CN"/>
        </w:rPr>
        <w:t xml:space="preserve">M </w:t>
      </w:r>
      <w:r>
        <w:rPr>
          <w:rFonts w:ascii="Book Antiqua" w:eastAsia="Book Antiqua" w:hAnsi="Book Antiqua" w:cs="Book Antiqua"/>
          <w:color w:val="000000"/>
        </w:rPr>
        <w:t>conceived and designed the main content of this study and was responsible for analyzing the research results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contributed to the article and approved the submitted version.</w:t>
      </w:r>
    </w:p>
    <w:p w14:paraId="39D6A9EA" w14:textId="77777777" w:rsidR="00F67380" w:rsidRDefault="00F67380">
      <w:pPr>
        <w:adjustRightInd w:val="0"/>
        <w:snapToGrid w:val="0"/>
        <w:spacing w:line="360" w:lineRule="auto"/>
        <w:jc w:val="both"/>
        <w:rPr>
          <w:rFonts w:ascii="Book Antiqua" w:hAnsi="Book Antiqua" w:cs="Book Antiqua"/>
        </w:rPr>
      </w:pPr>
    </w:p>
    <w:p w14:paraId="7B41595C"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Youth Fund of National Natural Science Foundation of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 81803575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No. 31902287</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Kaifeng Science and Technology Development Plan Project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 2203008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Key Specialized Research and Promotion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Project of Henan Province in 2023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 232102311205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Henan Medical Science and Technology Research Program Project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 LHGJ20210801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College Students Innovation and Entrepreneurship Training Program of Henan University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 20231022007.</w:t>
      </w:r>
    </w:p>
    <w:p w14:paraId="150E1915" w14:textId="77777777" w:rsidR="00F67380" w:rsidRDefault="00F67380">
      <w:pPr>
        <w:adjustRightInd w:val="0"/>
        <w:snapToGrid w:val="0"/>
        <w:spacing w:line="360" w:lineRule="auto"/>
        <w:jc w:val="both"/>
        <w:rPr>
          <w:rFonts w:ascii="Book Antiqua" w:hAnsi="Book Antiqua" w:cs="Book Antiqua"/>
        </w:rPr>
      </w:pPr>
    </w:p>
    <w:p w14:paraId="58E4FB71"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Zhi-Guang Ren, Doctor, Associate Professor, </w:t>
      </w:r>
      <w:r>
        <w:rPr>
          <w:rFonts w:ascii="Book Antiqua" w:eastAsia="Book Antiqua" w:hAnsi="Book Antiqua" w:cs="Book Antiqua"/>
          <w:color w:val="000000"/>
        </w:rPr>
        <w:t xml:space="preserve">Department of Pathology, School of Basic Medical Science, Henan University, </w:t>
      </w:r>
      <w:r>
        <w:rPr>
          <w:rFonts w:ascii="Book Antiqua" w:eastAsia="宋体" w:hAnsi="Book Antiqua" w:cs="Book Antiqua" w:hint="eastAsia"/>
          <w:color w:val="000000"/>
          <w:lang w:eastAsia="zh-CN"/>
        </w:rPr>
        <w:t xml:space="preserve">No. 1 </w:t>
      </w:r>
      <w:r>
        <w:rPr>
          <w:rFonts w:ascii="Book Antiqua" w:eastAsia="Book Antiqua" w:hAnsi="Book Antiqua" w:cs="Book Antiqua"/>
          <w:color w:val="000000"/>
        </w:rPr>
        <w:t>Jinming Street, Kaifeng 475004, Henan Province, China. renzhiguang66@outlook.com</w:t>
      </w:r>
    </w:p>
    <w:p w14:paraId="638EFC75" w14:textId="77777777" w:rsidR="00F67380" w:rsidRDefault="00F67380">
      <w:pPr>
        <w:adjustRightInd w:val="0"/>
        <w:snapToGrid w:val="0"/>
        <w:spacing w:line="360" w:lineRule="auto"/>
        <w:jc w:val="both"/>
        <w:rPr>
          <w:rFonts w:ascii="Book Antiqua" w:hAnsi="Book Antiqua" w:cs="Book Antiqua"/>
        </w:rPr>
      </w:pPr>
    </w:p>
    <w:p w14:paraId="7F780F9C"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September 17, 2023</w:t>
      </w:r>
    </w:p>
    <w:p w14:paraId="3BFBBE38"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October 19, 2023</w:t>
      </w:r>
    </w:p>
    <w:p w14:paraId="43BD4F92" w14:textId="20AEDF06"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0" w:author="Jin-Lei Wang" w:date="2023-11-17T16:50:00Z">
        <w:r w:rsidR="006C7867" w:rsidRPr="006C7867">
          <w:rPr>
            <w:rFonts w:ascii="Book Antiqua" w:eastAsia="Book Antiqua" w:hAnsi="Book Antiqua" w:cs="Book Antiqua"/>
          </w:rPr>
          <w:t>November 17, 2023</w:t>
        </w:r>
      </w:ins>
    </w:p>
    <w:p w14:paraId="50A27D16"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04A5A829" w14:textId="77777777" w:rsidR="00F67380" w:rsidRDefault="00F67380">
      <w:pPr>
        <w:adjustRightInd w:val="0"/>
        <w:snapToGrid w:val="0"/>
        <w:spacing w:line="360" w:lineRule="auto"/>
        <w:jc w:val="both"/>
        <w:rPr>
          <w:rFonts w:ascii="Book Antiqua" w:hAnsi="Book Antiqua" w:cs="Book Antiqua"/>
        </w:rPr>
        <w:sectPr w:rsidR="00F67380">
          <w:footerReference w:type="default" r:id="rId6"/>
          <w:pgSz w:w="12240" w:h="15840"/>
          <w:pgMar w:top="1440" w:right="1440" w:bottom="1440" w:left="1440" w:header="720" w:footer="720" w:gutter="0"/>
          <w:cols w:space="720"/>
          <w:docGrid w:linePitch="360"/>
        </w:sectPr>
      </w:pPr>
    </w:p>
    <w:p w14:paraId="6230E756"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0927C229"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5550524B"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 xml:space="preserve">Trastuzumab constitutes the fundamental component of initial therapy for patients with advanced </w:t>
      </w:r>
      <w:r>
        <w:rPr>
          <w:rFonts w:ascii="Book Antiqua" w:eastAsia="宋体" w:hAnsi="Book Antiqua" w:cs="Book Antiqua" w:hint="eastAsia"/>
          <w:color w:val="000000"/>
          <w:szCs w:val="20"/>
          <w:lang w:eastAsia="zh-CN"/>
        </w:rPr>
        <w:t>human epidermal growth factor receptor 2 (</w:t>
      </w:r>
      <w:r>
        <w:rPr>
          <w:rFonts w:ascii="Book Antiqua" w:eastAsia="Book Antiqua" w:hAnsi="Book Antiqua" w:cs="Book Antiqua"/>
          <w:color w:val="000000"/>
          <w:szCs w:val="20"/>
        </w:rPr>
        <w:t>HER-2</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-positive gastric cancer</w:t>
      </w:r>
      <w:r>
        <w:rPr>
          <w:rFonts w:ascii="Book Antiqua" w:eastAsia="Book Antiqua" w:hAnsi="Book Antiqua" w:cs="Book Antiqua"/>
          <w:szCs w:val="20"/>
        </w:rPr>
        <w:t xml:space="preserve"> (GC)</w:t>
      </w:r>
      <w:r>
        <w:rPr>
          <w:rFonts w:ascii="Book Antiqua" w:eastAsia="Book Antiqua" w:hAnsi="Book Antiqua" w:cs="Book Antiqua"/>
          <w:color w:val="000000"/>
          <w:szCs w:val="20"/>
        </w:rPr>
        <w:t xml:space="preserve">. However, the efficacy of this treatment is hindered by substantial challenges associated with both primary and acquired drug resistance. While </w:t>
      </w:r>
      <w:r>
        <w:rPr>
          <w:rFonts w:ascii="Book Antiqua" w:eastAsia="Book Antiqua" w:hAnsi="Book Antiqua" w:cs="Book Antiqua"/>
          <w:szCs w:val="20"/>
        </w:rPr>
        <w:t>S-phase kinase associated protein 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Skp2</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overexpression has been implicated in the malignant progression of </w:t>
      </w:r>
      <w:r>
        <w:rPr>
          <w:rFonts w:ascii="Book Antiqua" w:eastAsia="Book Antiqua" w:hAnsi="Book Antiqua" w:cs="Book Antiqua"/>
          <w:szCs w:val="20"/>
        </w:rPr>
        <w:t>GC</w:t>
      </w:r>
      <w:r>
        <w:rPr>
          <w:rFonts w:ascii="Book Antiqua" w:eastAsia="Book Antiqua" w:hAnsi="Book Antiqua" w:cs="Book Antiqua"/>
          <w:color w:val="000000"/>
          <w:szCs w:val="20"/>
        </w:rPr>
        <w:t>, its role in regulating trastuzumab resistance in this context remains uncertain. Despite the numerous studies investigating Skp2 inhibitors among small molecule compounds and natural products, there has been a lack of successful commercialization of drugs specifically targeting Skp2.</w:t>
      </w:r>
    </w:p>
    <w:p w14:paraId="0571F851" w14:textId="77777777" w:rsidR="00F67380" w:rsidRDefault="00F67380">
      <w:pPr>
        <w:adjustRightInd w:val="0"/>
        <w:snapToGrid w:val="0"/>
        <w:spacing w:line="360" w:lineRule="auto"/>
        <w:jc w:val="both"/>
        <w:rPr>
          <w:rFonts w:ascii="Book Antiqua" w:hAnsi="Book Antiqua" w:cs="Book Antiqua"/>
        </w:rPr>
      </w:pPr>
    </w:p>
    <w:p w14:paraId="004FF294"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1619BF41"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0"/>
        </w:rPr>
        <w:t>To discover a Skp2 blocker among currently available medications</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and develop a therapeutic strategy</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for HER2-positive GC patients who have experienced progression</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following</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trastuzumab-based treatment.</w:t>
      </w:r>
    </w:p>
    <w:p w14:paraId="74CAEFE3" w14:textId="77777777" w:rsidR="00F67380" w:rsidRDefault="00F67380">
      <w:pPr>
        <w:adjustRightInd w:val="0"/>
        <w:snapToGrid w:val="0"/>
        <w:spacing w:line="360" w:lineRule="auto"/>
        <w:jc w:val="both"/>
        <w:rPr>
          <w:rFonts w:ascii="Book Antiqua" w:hAnsi="Book Antiqua" w:cs="Book Antiqua"/>
        </w:rPr>
      </w:pPr>
    </w:p>
    <w:p w14:paraId="2861C66B"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4A05B297"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0"/>
        </w:rPr>
        <w:t>Skp2 exogenous overexpression plasmids</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 xml:space="preserve">and </w:t>
      </w:r>
      <w:r>
        <w:rPr>
          <w:rFonts w:ascii="Book Antiqua" w:eastAsia="宋体" w:hAnsi="Book Antiqua" w:cs="Book Antiqua" w:hint="eastAsia"/>
          <w:szCs w:val="20"/>
          <w:lang w:eastAsia="zh-CN"/>
        </w:rPr>
        <w:t>s</w:t>
      </w:r>
      <w:r>
        <w:rPr>
          <w:rFonts w:ascii="Book Antiqua" w:eastAsia="Book Antiqua" w:hAnsi="Book Antiqua" w:cs="Book Antiqua"/>
          <w:szCs w:val="20"/>
        </w:rPr>
        <w:t>mall interfering RNA vectors</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were utilized to investigate the correlation between Skp2 expression and trastuzumab</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 xml:space="preserve">resistance in GC cells. </w:t>
      </w:r>
      <w:r>
        <w:rPr>
          <w:rFonts w:ascii="Book Antiqua" w:eastAsia="宋体" w:hAnsi="Book Antiqua" w:cs="Book Antiqua" w:hint="eastAsia"/>
          <w:szCs w:val="20"/>
          <w:lang w:eastAsia="zh-CN"/>
        </w:rPr>
        <w:t>Q-</w:t>
      </w:r>
      <w:r>
        <w:rPr>
          <w:rFonts w:ascii="Book Antiqua" w:eastAsia="Book Antiqua" w:hAnsi="Book Antiqua" w:cs="Book Antiqua"/>
          <w:szCs w:val="20"/>
        </w:rPr>
        <w:t xml:space="preserve">PCR, </w:t>
      </w:r>
      <w:r>
        <w:rPr>
          <w:rFonts w:ascii="Book Antiqua" w:eastAsia="宋体" w:hAnsi="Book Antiqua" w:cs="Book Antiqua" w:hint="eastAsia"/>
          <w:szCs w:val="20"/>
          <w:lang w:eastAsia="zh-CN"/>
        </w:rPr>
        <w:t>w</w:t>
      </w:r>
      <w:r>
        <w:rPr>
          <w:rFonts w:ascii="Book Antiqua" w:eastAsia="Book Antiqua" w:hAnsi="Book Antiqua" w:cs="Book Antiqua"/>
          <w:szCs w:val="20"/>
        </w:rPr>
        <w:t xml:space="preserve">estern blot, and immunohistochemical analyses were conducted to evaluate the regulatory effect of thioridazine on Skp2 expression. A </w:t>
      </w:r>
      <w:r>
        <w:rPr>
          <w:rFonts w:ascii="Book Antiqua" w:eastAsia="宋体" w:hAnsi="Book Antiqua" w:cs="Book Antiqua" w:hint="eastAsia"/>
          <w:szCs w:val="20"/>
          <w:lang w:eastAsia="zh-CN"/>
        </w:rPr>
        <w:t>c</w:t>
      </w:r>
      <w:r>
        <w:rPr>
          <w:rFonts w:ascii="Book Antiqua" w:eastAsia="Book Antiqua" w:hAnsi="Book Antiqua" w:cs="Book Antiqua"/>
          <w:szCs w:val="20"/>
        </w:rPr>
        <w:t xml:space="preserve">ell </w:t>
      </w:r>
      <w:r>
        <w:rPr>
          <w:rFonts w:ascii="Book Antiqua" w:eastAsia="宋体" w:hAnsi="Book Antiqua" w:cs="Book Antiqua" w:hint="eastAsia"/>
          <w:szCs w:val="20"/>
          <w:lang w:eastAsia="zh-CN"/>
        </w:rPr>
        <w:t>c</w:t>
      </w:r>
      <w:r>
        <w:rPr>
          <w:rFonts w:ascii="Book Antiqua" w:eastAsia="Book Antiqua" w:hAnsi="Book Antiqua" w:cs="Book Antiqua"/>
          <w:szCs w:val="20"/>
        </w:rPr>
        <w:t xml:space="preserve">ounting </w:t>
      </w:r>
      <w:r>
        <w:rPr>
          <w:rFonts w:ascii="Book Antiqua" w:eastAsia="宋体" w:hAnsi="Book Antiqua" w:cs="Book Antiqua" w:hint="eastAsia"/>
          <w:szCs w:val="20"/>
          <w:lang w:eastAsia="zh-CN"/>
        </w:rPr>
        <w:t>k</w:t>
      </w:r>
      <w:r>
        <w:rPr>
          <w:rFonts w:ascii="Book Antiqua" w:eastAsia="Book Antiqua" w:hAnsi="Book Antiqua" w:cs="Book Antiqua"/>
          <w:szCs w:val="20"/>
        </w:rPr>
        <w:t xml:space="preserve">it-8 assay, flow cytometry, a </w:t>
      </w:r>
      <w:r>
        <w:rPr>
          <w:rFonts w:ascii="Book Antiqua" w:eastAsia="宋体" w:hAnsi="Book Antiqua" w:cs="Book Antiqua" w:hint="eastAsia"/>
          <w:szCs w:val="20"/>
          <w:lang w:eastAsia="zh-CN"/>
        </w:rPr>
        <w:t>a</w:t>
      </w:r>
      <w:r>
        <w:rPr>
          <w:rFonts w:ascii="Book Antiqua" w:eastAsia="Book Antiqua" w:hAnsi="Book Antiqua" w:cs="Book Antiqua"/>
          <w:szCs w:val="20"/>
        </w:rPr>
        <w:t xml:space="preserve">mplex </w:t>
      </w:r>
      <w:r>
        <w:rPr>
          <w:rFonts w:ascii="Book Antiqua" w:eastAsia="宋体" w:hAnsi="Book Antiqua" w:cs="Book Antiqua" w:hint="eastAsia"/>
          <w:szCs w:val="20"/>
          <w:lang w:eastAsia="zh-CN"/>
        </w:rPr>
        <w:t>r</w:t>
      </w:r>
      <w:r>
        <w:rPr>
          <w:rFonts w:ascii="Book Antiqua" w:eastAsia="Book Antiqua" w:hAnsi="Book Antiqua" w:cs="Book Antiqua"/>
          <w:szCs w:val="20"/>
        </w:rPr>
        <w:t xml:space="preserve">ed </w:t>
      </w:r>
      <w:r>
        <w:rPr>
          <w:rFonts w:ascii="Book Antiqua" w:eastAsia="宋体" w:hAnsi="Book Antiqua" w:cs="Book Antiqua" w:hint="eastAsia"/>
          <w:szCs w:val="20"/>
          <w:lang w:eastAsia="zh-CN"/>
        </w:rPr>
        <w:t>g</w:t>
      </w:r>
      <w:r>
        <w:rPr>
          <w:rFonts w:ascii="Book Antiqua" w:eastAsia="Book Antiqua" w:hAnsi="Book Antiqua" w:cs="Book Antiqua"/>
          <w:szCs w:val="20"/>
        </w:rPr>
        <w:t>lucose/</w:t>
      </w:r>
      <w:r>
        <w:rPr>
          <w:rFonts w:ascii="Book Antiqua" w:eastAsia="宋体" w:hAnsi="Book Antiqua" w:cs="Book Antiqua" w:hint="eastAsia"/>
          <w:szCs w:val="20"/>
          <w:lang w:eastAsia="zh-CN"/>
        </w:rPr>
        <w:t>g</w:t>
      </w:r>
      <w:r>
        <w:rPr>
          <w:rFonts w:ascii="Book Antiqua" w:eastAsia="Book Antiqua" w:hAnsi="Book Antiqua" w:cs="Book Antiqua"/>
          <w:szCs w:val="20"/>
        </w:rPr>
        <w:t xml:space="preserve">lucose </w:t>
      </w:r>
      <w:r>
        <w:rPr>
          <w:rFonts w:ascii="Book Antiqua" w:eastAsia="宋体" w:hAnsi="Book Antiqua" w:cs="Book Antiqua" w:hint="eastAsia"/>
          <w:szCs w:val="20"/>
          <w:lang w:eastAsia="zh-CN"/>
        </w:rPr>
        <w:t>o</w:t>
      </w:r>
      <w:r>
        <w:rPr>
          <w:rFonts w:ascii="Book Antiqua" w:eastAsia="Book Antiqua" w:hAnsi="Book Antiqua" w:cs="Book Antiqua"/>
          <w:szCs w:val="20"/>
        </w:rPr>
        <w:t xml:space="preserve">xidase </w:t>
      </w:r>
      <w:r>
        <w:rPr>
          <w:rFonts w:ascii="Book Antiqua" w:eastAsia="宋体" w:hAnsi="Book Antiqua" w:cs="Book Antiqua" w:hint="eastAsia"/>
          <w:szCs w:val="20"/>
          <w:lang w:eastAsia="zh-CN"/>
        </w:rPr>
        <w:t>a</w:t>
      </w:r>
      <w:r>
        <w:rPr>
          <w:rFonts w:ascii="Book Antiqua" w:eastAsia="Book Antiqua" w:hAnsi="Book Antiqua" w:cs="Book Antiqua"/>
          <w:szCs w:val="20"/>
        </w:rPr>
        <w:t xml:space="preserve">ssay </w:t>
      </w:r>
      <w:r>
        <w:rPr>
          <w:rFonts w:ascii="Book Antiqua" w:eastAsia="宋体" w:hAnsi="Book Antiqua" w:cs="Book Antiqua" w:hint="eastAsia"/>
          <w:szCs w:val="20"/>
          <w:lang w:eastAsia="zh-CN"/>
        </w:rPr>
        <w:t>k</w:t>
      </w:r>
      <w:r>
        <w:rPr>
          <w:rFonts w:ascii="Book Antiqua" w:eastAsia="Book Antiqua" w:hAnsi="Book Antiqua" w:cs="Book Antiqua"/>
          <w:szCs w:val="20"/>
        </w:rPr>
        <w:t xml:space="preserve">it, and a </w:t>
      </w:r>
      <w:r>
        <w:rPr>
          <w:rFonts w:ascii="Book Antiqua" w:eastAsia="宋体" w:hAnsi="Book Antiqua" w:cs="Book Antiqua" w:hint="eastAsia"/>
          <w:szCs w:val="20"/>
          <w:lang w:eastAsia="zh-CN"/>
        </w:rPr>
        <w:t>l</w:t>
      </w:r>
      <w:r>
        <w:rPr>
          <w:rFonts w:ascii="Book Antiqua" w:eastAsia="Book Antiqua" w:hAnsi="Book Antiqua" w:cs="Book Antiqua"/>
          <w:szCs w:val="20"/>
        </w:rPr>
        <w:t xml:space="preserve">actate </w:t>
      </w:r>
      <w:r>
        <w:rPr>
          <w:rFonts w:ascii="Book Antiqua" w:eastAsia="宋体" w:hAnsi="Book Antiqua" w:cs="Book Antiqua" w:hint="eastAsia"/>
          <w:szCs w:val="20"/>
          <w:lang w:eastAsia="zh-CN"/>
        </w:rPr>
        <w:t>a</w:t>
      </w:r>
      <w:r>
        <w:rPr>
          <w:rFonts w:ascii="Book Antiqua" w:eastAsia="Book Antiqua" w:hAnsi="Book Antiqua" w:cs="Book Antiqua"/>
          <w:szCs w:val="20"/>
        </w:rPr>
        <w:t xml:space="preserve">ssay </w:t>
      </w:r>
      <w:r>
        <w:rPr>
          <w:rFonts w:ascii="Book Antiqua" w:eastAsia="宋体" w:hAnsi="Book Antiqua" w:cs="Book Antiqua" w:hint="eastAsia"/>
          <w:szCs w:val="20"/>
          <w:lang w:eastAsia="zh-CN"/>
        </w:rPr>
        <w:t>k</w:t>
      </w:r>
      <w:r>
        <w:rPr>
          <w:rFonts w:ascii="Book Antiqua" w:eastAsia="Book Antiqua" w:hAnsi="Book Antiqua" w:cs="Book Antiqua"/>
          <w:szCs w:val="20"/>
        </w:rPr>
        <w:t>it were utilized to measure the proliferation, apoptosis, and glycolytic activity of GC cells</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 xml:space="preserve">in vitro. A xenograft model established with human GC in nude mice was used to assess thioridazine's effectiveness </w:t>
      </w:r>
      <w:r>
        <w:rPr>
          <w:rFonts w:ascii="Book Antiqua" w:eastAsia="Book Antiqua" w:hAnsi="Book Antiqua" w:cs="Book Antiqua"/>
          <w:i/>
          <w:iCs/>
          <w:szCs w:val="20"/>
        </w:rPr>
        <w:t>in vivo</w:t>
      </w:r>
      <w:r>
        <w:rPr>
          <w:rFonts w:ascii="Book Antiqua" w:eastAsia="Book Antiqua" w:hAnsi="Book Antiqua" w:cs="Book Antiqua"/>
          <w:szCs w:val="20"/>
        </w:rPr>
        <w:t>.</w:t>
      </w:r>
    </w:p>
    <w:p w14:paraId="57A11BC7" w14:textId="77777777" w:rsidR="00F67380" w:rsidRDefault="00F67380">
      <w:pPr>
        <w:adjustRightInd w:val="0"/>
        <w:snapToGrid w:val="0"/>
        <w:spacing w:line="360" w:lineRule="auto"/>
        <w:jc w:val="both"/>
        <w:rPr>
          <w:rFonts w:ascii="Book Antiqua" w:hAnsi="Book Antiqua" w:cs="Book Antiqua"/>
        </w:rPr>
      </w:pPr>
    </w:p>
    <w:p w14:paraId="5AB381B9"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33848DA5"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0"/>
        </w:rPr>
        <w:lastRenderedPageBreak/>
        <w:t>The expression of Skp2 exhibited a negative correlation with the sensitivity of HER2-positive GC cells to trastuzumab. Thioridazine demonstrated the ability to directly bind to Skp2, resulting in a reduction in Skp2 expression at both the transcriptional and translational levels. Moreover, thioridazine effectively inhibited cell proliferation, exhibited antiapoptotic properties, and decreased the glucose uptake rate and lactate production by suppressing Skp2/</w:t>
      </w:r>
      <w:r>
        <w:rPr>
          <w:rFonts w:ascii="Book Antiqua" w:eastAsia="Book Antiqua" w:hAnsi="Book Antiqua" w:cs="Book Antiqua" w:hint="eastAsia"/>
          <w:szCs w:val="20"/>
        </w:rPr>
        <w:t>protein kinase B</w:t>
      </w:r>
      <w:r>
        <w:rPr>
          <w:rFonts w:ascii="Book Antiqua" w:eastAsia="Book Antiqua" w:hAnsi="Book Antiqua" w:cs="Book Antiqua"/>
          <w:szCs w:val="20"/>
        </w:rPr>
        <w:t>/mammalian target of rapamycin/</w:t>
      </w:r>
      <w:r>
        <w:rPr>
          <w:rFonts w:ascii="Book Antiqua" w:eastAsia="Book Antiqua" w:hAnsi="Book Antiqua" w:cs="Book Antiqua" w:hint="eastAsia"/>
          <w:szCs w:val="20"/>
        </w:rPr>
        <w:t>glucose transporter type 1</w:t>
      </w:r>
      <w:r>
        <w:rPr>
          <w:rFonts w:ascii="Book Antiqua" w:eastAsia="Book Antiqua" w:hAnsi="Book Antiqua" w:cs="Book Antiqua"/>
          <w:szCs w:val="20"/>
        </w:rPr>
        <w:t xml:space="preserve"> signaling pathways. The combination of thioridazine with either trastuzumab or lapatinib exhibited a more pronounced anticancer effect in vivo, surpassing the efficacy of either monotherapy.</w:t>
      </w:r>
    </w:p>
    <w:p w14:paraId="7F3ABAF2" w14:textId="77777777" w:rsidR="00F67380" w:rsidRDefault="00F67380">
      <w:pPr>
        <w:adjustRightInd w:val="0"/>
        <w:snapToGrid w:val="0"/>
        <w:spacing w:line="360" w:lineRule="auto"/>
        <w:jc w:val="both"/>
        <w:rPr>
          <w:rFonts w:ascii="Book Antiqua" w:hAnsi="Book Antiqua" w:cs="Book Antiqua"/>
        </w:rPr>
      </w:pPr>
    </w:p>
    <w:p w14:paraId="0B22C51C"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4FF08BED"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0"/>
        </w:rPr>
        <w:t>Thioridazine demonstrates promising outcomes in preclinical GC models and offers a novel therapeutic approach for addressing trastuzumab resistance, particularly when used in conjunction with lapatinib. This compound has potential benefits for patients with Skp2-proficient tumors.</w:t>
      </w:r>
    </w:p>
    <w:p w14:paraId="5A34EB3F" w14:textId="77777777" w:rsidR="00F67380" w:rsidRDefault="00F67380">
      <w:pPr>
        <w:adjustRightInd w:val="0"/>
        <w:snapToGrid w:val="0"/>
        <w:spacing w:line="360" w:lineRule="auto"/>
        <w:jc w:val="both"/>
        <w:rPr>
          <w:rFonts w:ascii="Book Antiqua" w:hAnsi="Book Antiqua" w:cs="Book Antiqua"/>
        </w:rPr>
      </w:pPr>
    </w:p>
    <w:p w14:paraId="3B31BC29"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szCs w:val="20"/>
        </w:rPr>
        <w:t>Gastric cancer; Trastuzumab resistance; Thioridazine; S-phase kinase associated protein 2; Glycolysis</w:t>
      </w:r>
    </w:p>
    <w:p w14:paraId="7E0C366D" w14:textId="77777777" w:rsidR="00F67380" w:rsidRDefault="00F67380">
      <w:pPr>
        <w:adjustRightInd w:val="0"/>
        <w:snapToGrid w:val="0"/>
        <w:spacing w:line="360" w:lineRule="auto"/>
        <w:jc w:val="both"/>
        <w:rPr>
          <w:rFonts w:ascii="Book Antiqua" w:hAnsi="Book Antiqua" w:cs="Book Antiqua"/>
        </w:rPr>
      </w:pPr>
    </w:p>
    <w:p w14:paraId="3590E304"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Yang Z</w:t>
      </w:r>
      <w:r>
        <w:rPr>
          <w:rFonts w:ascii="Book Antiqua" w:eastAsia="宋体" w:hAnsi="Book Antiqua" w:cs="Book Antiqua" w:hint="eastAsia"/>
          <w:lang w:eastAsia="zh-CN"/>
        </w:rPr>
        <w:t>Y</w:t>
      </w:r>
      <w:r>
        <w:rPr>
          <w:rFonts w:ascii="Book Antiqua" w:eastAsia="Book Antiqua" w:hAnsi="Book Antiqua" w:cs="Book Antiqua"/>
        </w:rPr>
        <w:t>, Zhao Y</w:t>
      </w:r>
      <w:r>
        <w:rPr>
          <w:rFonts w:ascii="Book Antiqua" w:eastAsia="宋体" w:hAnsi="Book Antiqua" w:cs="Book Antiqua" w:hint="eastAsia"/>
          <w:lang w:eastAsia="zh-CN"/>
        </w:rPr>
        <w:t>W</w:t>
      </w:r>
      <w:r>
        <w:rPr>
          <w:rFonts w:ascii="Book Antiqua" w:eastAsia="Book Antiqua" w:hAnsi="Book Antiqua" w:cs="Book Antiqua"/>
        </w:rPr>
        <w:t>, Xue J</w:t>
      </w:r>
      <w:r>
        <w:rPr>
          <w:rFonts w:ascii="Book Antiqua" w:eastAsia="宋体" w:hAnsi="Book Antiqua" w:cs="Book Antiqua" w:hint="eastAsia"/>
          <w:lang w:eastAsia="zh-CN"/>
        </w:rPr>
        <w:t>R</w:t>
      </w:r>
      <w:r>
        <w:rPr>
          <w:rFonts w:ascii="Book Antiqua" w:eastAsia="Book Antiqua" w:hAnsi="Book Antiqua" w:cs="Book Antiqua"/>
        </w:rPr>
        <w:t>, Guo R, Zhao Z, Liu H</w:t>
      </w:r>
      <w:r>
        <w:rPr>
          <w:rFonts w:ascii="Book Antiqua" w:eastAsia="宋体" w:hAnsi="Book Antiqua" w:cs="Book Antiqua" w:hint="eastAsia"/>
          <w:lang w:eastAsia="zh-CN"/>
        </w:rPr>
        <w:t>D</w:t>
      </w:r>
      <w:r>
        <w:rPr>
          <w:rFonts w:ascii="Book Antiqua" w:eastAsia="Book Antiqua" w:hAnsi="Book Antiqua" w:cs="Book Antiqua"/>
        </w:rPr>
        <w:t>, Ren Z</w:t>
      </w:r>
      <w:r>
        <w:rPr>
          <w:rFonts w:ascii="Book Antiqua" w:eastAsia="宋体" w:hAnsi="Book Antiqua" w:cs="Book Antiqua" w:hint="eastAsia"/>
          <w:lang w:eastAsia="zh-CN"/>
        </w:rPr>
        <w:t>G</w:t>
      </w:r>
      <w:r>
        <w:rPr>
          <w:rFonts w:ascii="Book Antiqua" w:eastAsia="Book Antiqua" w:hAnsi="Book Antiqua" w:cs="Book Antiqua"/>
        </w:rPr>
        <w:t xml:space="preserve">, Shi M. </w:t>
      </w:r>
      <w:r>
        <w:rPr>
          <w:rFonts w:ascii="Book Antiqua" w:eastAsia="Book Antiqua" w:hAnsi="Book Antiqua" w:cs="Book Antiqua" w:hint="eastAsia"/>
        </w:rPr>
        <w:t>Thioridazine reverses trastuzumab resistance in gastric cancer by inhibiting S-phase kinase associated protein 2-mediated aerobic glycolysis</w:t>
      </w:r>
      <w:r>
        <w:rPr>
          <w:rFonts w:ascii="Book Antiqua" w:eastAsia="Book Antiqua" w:hAnsi="Book Antiqua" w:cs="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1261EE31" w14:textId="77777777" w:rsidR="00F67380" w:rsidRDefault="00F67380">
      <w:pPr>
        <w:adjustRightInd w:val="0"/>
        <w:snapToGrid w:val="0"/>
        <w:spacing w:line="360" w:lineRule="auto"/>
        <w:jc w:val="both"/>
        <w:rPr>
          <w:rFonts w:ascii="Book Antiqua" w:hAnsi="Book Antiqua" w:cs="Book Antiqua"/>
        </w:rPr>
      </w:pPr>
    </w:p>
    <w:p w14:paraId="51FB8A31"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szCs w:val="20"/>
        </w:rPr>
        <w:t>S-phase kinase-interacting protein 2 (Skp2) has been shown to be a reliable prognostic indicator of</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unfavorable</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outcomes</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for gastric cancer (GC). However, no agents specifically</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targeting</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Skp2 have</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been successfully</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 xml:space="preserve">developed. In this study, we proved that thioridazine restores the sensitivity of GC cells to trastuzumab both </w:t>
      </w:r>
      <w:r>
        <w:rPr>
          <w:rFonts w:ascii="Book Antiqua" w:eastAsia="Book Antiqua" w:hAnsi="Book Antiqua" w:cs="Book Antiqua"/>
          <w:i/>
          <w:iCs/>
          <w:szCs w:val="20"/>
        </w:rPr>
        <w:t>in vivo</w:t>
      </w:r>
      <w:r>
        <w:rPr>
          <w:rFonts w:ascii="Book Antiqua" w:eastAsia="Book Antiqua" w:hAnsi="Book Antiqua" w:cs="Book Antiqua"/>
          <w:szCs w:val="20"/>
        </w:rPr>
        <w:t xml:space="preserve"> and </w:t>
      </w:r>
      <w:r>
        <w:rPr>
          <w:rFonts w:ascii="Book Antiqua" w:eastAsia="Book Antiqua" w:hAnsi="Book Antiqua" w:cs="Book Antiqua"/>
          <w:i/>
          <w:iCs/>
          <w:szCs w:val="20"/>
        </w:rPr>
        <w:t>in vitro</w:t>
      </w:r>
      <w:r>
        <w:rPr>
          <w:rFonts w:ascii="Book Antiqua" w:eastAsia="Book Antiqua" w:hAnsi="Book Antiqua" w:cs="Book Antiqua"/>
          <w:szCs w:val="20"/>
        </w:rPr>
        <w:t xml:space="preserve"> by inhibiting Skp2-mediated glycolysis. Furthermore, the combination of thioridazine and lapatinib exhibits enhanced inhibitory effects compared with either </w:t>
      </w:r>
      <w:r>
        <w:rPr>
          <w:rFonts w:ascii="Book Antiqua" w:eastAsia="Book Antiqua" w:hAnsi="Book Antiqua" w:cs="Book Antiqua"/>
          <w:szCs w:val="20"/>
        </w:rPr>
        <w:lastRenderedPageBreak/>
        <w:t xml:space="preserve">monotherapy on the growth and survival of trastuzumab-resistant GC cells. Overall, this study suggests the potential of a thioridazine-based therapy to overcome trastuzumab resistance in </w:t>
      </w:r>
      <w:r>
        <w:rPr>
          <w:rFonts w:ascii="Book Antiqua" w:eastAsia="宋体" w:hAnsi="Book Antiqua" w:cs="Book Antiqua" w:hint="eastAsia"/>
          <w:color w:val="000000"/>
          <w:szCs w:val="20"/>
          <w:lang w:eastAsia="zh-CN"/>
        </w:rPr>
        <w:t>human epidermal growth factor receptor 2</w:t>
      </w:r>
      <w:r>
        <w:rPr>
          <w:rFonts w:ascii="Book Antiqua" w:eastAsia="Book Antiqua" w:hAnsi="Book Antiqua" w:cs="Book Antiqua"/>
          <w:szCs w:val="20"/>
        </w:rPr>
        <w:t>-positive GC by targeting Skp2.</w:t>
      </w:r>
    </w:p>
    <w:p w14:paraId="39F16313" w14:textId="77777777" w:rsidR="00F67380" w:rsidRDefault="00F67380">
      <w:pPr>
        <w:adjustRightInd w:val="0"/>
        <w:snapToGrid w:val="0"/>
        <w:spacing w:line="360" w:lineRule="auto"/>
        <w:jc w:val="both"/>
        <w:rPr>
          <w:rFonts w:ascii="Book Antiqua" w:hAnsi="Book Antiqua" w:cs="Book Antiqua"/>
        </w:rPr>
      </w:pPr>
    </w:p>
    <w:p w14:paraId="7C72B19B"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5714821D"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Gastric cancer (GC) is the fifth most common cancer worldwide,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with more than 1</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million new cases diagnosed in 2020, and it is the fourth leading cause of cancer-related death</w:t>
      </w:r>
      <w:r>
        <w:rPr>
          <w:rFonts w:ascii="Book Antiqua" w:eastAsia="Book Antiqua" w:hAnsi="Book Antiqua" w:cs="Book Antiqua"/>
          <w:color w:val="000000"/>
          <w:vertAlign w:val="superscript"/>
        </w:rPr>
        <w:t>[1]</w:t>
      </w:r>
      <w:r>
        <w:rPr>
          <w:rFonts w:ascii="Book Antiqua" w:eastAsia="Book Antiqua" w:hAnsi="Book Antiqua" w:cs="Book Antiqua"/>
          <w:color w:val="000000"/>
          <w:szCs w:val="20"/>
        </w:rPr>
        <w:t>. Approximately 7.3%</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20.2% of GCs are positive for human epidermal growth factor</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EGF</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receptor 2 (HER2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/neu, c-ERBB2</w:t>
      </w:r>
      <w:r>
        <w:rPr>
          <w:rFonts w:ascii="Book Antiqua" w:eastAsia="Book Antiqua" w:hAnsi="Book Antiqua" w:cs="Book Antiqua"/>
          <w:color w:val="000000"/>
          <w:vertAlign w:val="superscript"/>
        </w:rPr>
        <w:t>[2]</w:t>
      </w:r>
      <w:r>
        <w:rPr>
          <w:rFonts w:ascii="Book Antiqua" w:eastAsia="Book Antiqua" w:hAnsi="Book Antiqua" w:cs="Book Antiqua"/>
          <w:color w:val="000000"/>
          <w:szCs w:val="20"/>
        </w:rPr>
        <w:t>. Positive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expression of HER2 was proven to be associated with many tumorigenic processes and poor prognosis in patients with GC</w:t>
      </w:r>
      <w:r>
        <w:rPr>
          <w:rFonts w:ascii="Book Antiqua" w:eastAsia="Book Antiqua" w:hAnsi="Book Antiqua" w:cs="Book Antiqua"/>
          <w:color w:val="000000"/>
          <w:vertAlign w:val="superscript"/>
        </w:rPr>
        <w:t>[3,4]</w:t>
      </w:r>
      <w:r>
        <w:rPr>
          <w:rFonts w:ascii="Book Antiqua" w:eastAsia="Book Antiqua" w:hAnsi="Book Antiqua" w:cs="Book Antiqua"/>
          <w:color w:val="000000"/>
          <w:szCs w:val="20"/>
        </w:rPr>
        <w:t>. Trastuzumab</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is an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effective anti-HER2 therapeutic agent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that showed a survival</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benefit in the ToGA trial</w:t>
      </w:r>
      <w:r>
        <w:rPr>
          <w:rFonts w:ascii="Book Antiqua" w:eastAsia="Book Antiqua" w:hAnsi="Book Antiqua" w:cs="Book Antiqua"/>
          <w:color w:val="000000"/>
          <w:vertAlign w:val="superscript"/>
        </w:rPr>
        <w:t>[5]</w:t>
      </w:r>
      <w:r>
        <w:rPr>
          <w:rFonts w:ascii="Book Antiqua" w:eastAsia="Book Antiqua" w:hAnsi="Book Antiqua" w:cs="Book Antiqua"/>
          <w:color w:val="000000"/>
          <w:szCs w:val="20"/>
        </w:rPr>
        <w:t>. Trastuzumab</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combination with chemotherapy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was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previously the first-line treatment for HER2-positive metastatic GC. However, due to primary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or acquired drug resistance, only 12.8% of patients with HER2-positive GC</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respond to trastuzumab</w:t>
      </w:r>
      <w:r>
        <w:rPr>
          <w:rFonts w:ascii="Book Antiqua" w:eastAsia="Book Antiqua" w:hAnsi="Book Antiqua" w:cs="Book Antiqua"/>
          <w:color w:val="000000"/>
          <w:vertAlign w:val="superscript"/>
        </w:rPr>
        <w:t>[6,7]</w:t>
      </w:r>
      <w:r>
        <w:rPr>
          <w:rFonts w:ascii="Book Antiqua" w:eastAsia="Book Antiqua" w:hAnsi="Book Antiqua" w:cs="Book Antiqua"/>
          <w:color w:val="000000"/>
          <w:szCs w:val="20"/>
        </w:rPr>
        <w:t>. To overcome trastuzumab</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resistance,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many new</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agents and combination therapies, such as pertuzumab, margetuximab, lapatinib,</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tucatinib, trastuzumab emtansine, and pembrolizumab, have emerged. However, the application of</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most of</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these drugs in the treatment of trastuzumab-resistant HER-2-positive GC</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is still in the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investigative stage. Thus, the development of new drugs or combination therapies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to increase trastuzumab sensitivity is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 critical need.</w:t>
      </w:r>
    </w:p>
    <w:p w14:paraId="48D087A6" w14:textId="77777777" w:rsidR="00F67380"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Cancer cells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exhibit high levels of glucose uptake and glycolysis, which allow the production of high levels of ATP to facilitate cell proliferation and survival, a phenomenon called the “Warburg effect”</w:t>
      </w:r>
      <w:r>
        <w:rPr>
          <w:rFonts w:ascii="Book Antiqua" w:eastAsia="Book Antiqua" w:hAnsi="Book Antiqua" w:cs="Book Antiqua"/>
          <w:color w:val="000000"/>
          <w:vertAlign w:val="superscript"/>
        </w:rPr>
        <w:t>[8]</w:t>
      </w:r>
      <w:r>
        <w:rPr>
          <w:rFonts w:ascii="Book Antiqua" w:eastAsia="Book Antiqua" w:hAnsi="Book Antiqua" w:cs="Book Antiqua"/>
          <w:color w:val="000000"/>
          <w:szCs w:val="20"/>
        </w:rPr>
        <w:t>. It has been reported that the GATA6 binding protein 6</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protein contributes to resistance to trastuzumab in GC by regulating metabolic reprogramming,</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including reprogramming toward glycolysis</w:t>
      </w:r>
      <w:r>
        <w:rPr>
          <w:rFonts w:ascii="Book Antiqua" w:eastAsia="Book Antiqua" w:hAnsi="Book Antiqua" w:cs="Book Antiqua"/>
          <w:color w:val="000000"/>
          <w:vertAlign w:val="superscript"/>
        </w:rPr>
        <w:t>[9]</w:t>
      </w:r>
      <w:r>
        <w:rPr>
          <w:rFonts w:ascii="Book Antiqua" w:eastAsia="Book Antiqua" w:hAnsi="Book Antiqua" w:cs="Book Antiqua"/>
          <w:color w:val="000000"/>
          <w:szCs w:val="20"/>
        </w:rPr>
        <w:t xml:space="preserve">. According to </w:t>
      </w:r>
      <w:r>
        <w:rPr>
          <w:rFonts w:ascii="Book Antiqua" w:eastAsia="宋体" w:hAnsi="Book Antiqua" w:cs="Book Antiqua" w:hint="eastAsia"/>
          <w:color w:val="000000"/>
          <w:szCs w:val="20"/>
          <w:lang w:eastAsia="zh-CN"/>
        </w:rPr>
        <w:t>Liu</w:t>
      </w:r>
      <w:r>
        <w:rPr>
          <w:rFonts w:ascii="Book Antiqua" w:eastAsia="Book Antiqua" w:hAnsi="Book Antiqua" w:cs="Book Antiqua"/>
          <w:color w:val="000000"/>
          <w:szCs w:val="20"/>
        </w:rPr>
        <w:t xml:space="preserve"> </w:t>
      </w:r>
      <w:r>
        <w:rPr>
          <w:rFonts w:ascii="Book Antiqua" w:eastAsia="宋体" w:hAnsi="Book Antiqua" w:cs="Book Antiqua" w:hint="eastAsia"/>
          <w:i/>
          <w:iCs/>
          <w:color w:val="000000"/>
          <w:szCs w:val="20"/>
          <w:lang w:eastAsia="zh-CN"/>
        </w:rPr>
        <w:t>et al</w:t>
      </w:r>
      <w:r>
        <w:rPr>
          <w:rFonts w:ascii="Book Antiqua" w:eastAsia="Book Antiqua" w:hAnsi="Book Antiqua" w:cs="Book Antiqua"/>
          <w:color w:val="000000"/>
          <w:vertAlign w:val="superscript"/>
        </w:rPr>
        <w:t>[10]</w:t>
      </w:r>
      <w:r>
        <w:rPr>
          <w:rFonts w:ascii="Book Antiqua" w:eastAsia="Book Antiqua" w:hAnsi="Book Antiqua" w:cs="Book Antiqua"/>
          <w:color w:val="000000"/>
          <w:szCs w:val="20"/>
        </w:rPr>
        <w:t xml:space="preserve">, MACC1 activates the </w:t>
      </w:r>
      <w:r>
        <w:rPr>
          <w:rFonts w:ascii="Book Antiqua" w:eastAsia="Book Antiqua" w:hAnsi="Book Antiqua" w:cs="Book Antiqua" w:hint="eastAsia"/>
          <w:color w:val="000000"/>
          <w:szCs w:val="20"/>
        </w:rPr>
        <w:t>phosphatidylinositol-3-kinase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PI3K</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w:t>
      </w:r>
      <w:r>
        <w:rPr>
          <w:rFonts w:ascii="Book Antiqua" w:eastAsia="Book Antiqua" w:hAnsi="Book Antiqua" w:cs="Book Antiqua" w:hint="eastAsia"/>
          <w:color w:val="000000"/>
          <w:szCs w:val="20"/>
        </w:rPr>
        <w:t>protein kinase B</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AKT</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signaling pathway to promote the Warburg effect, and downregulation of </w:t>
      </w:r>
      <w:r>
        <w:rPr>
          <w:rFonts w:ascii="Book Antiqua" w:eastAsia="Book Antiqua" w:hAnsi="Book Antiqua" w:cs="Book Antiqua"/>
          <w:color w:val="000000"/>
          <w:szCs w:val="20"/>
        </w:rPr>
        <w:lastRenderedPageBreak/>
        <w:t xml:space="preserve">MACC1 reverses trastuzumab resistance in GC cells. </w:t>
      </w:r>
      <w:r>
        <w:rPr>
          <w:rFonts w:ascii="Book Antiqua" w:eastAsia="宋体" w:hAnsi="Book Antiqua" w:cs="Book Antiqua" w:hint="eastAsia"/>
          <w:color w:val="000000"/>
          <w:szCs w:val="20"/>
          <w:lang w:eastAsia="zh-CN"/>
        </w:rPr>
        <w:t xml:space="preserve">Wang </w:t>
      </w:r>
      <w:r>
        <w:rPr>
          <w:rFonts w:ascii="Book Antiqua" w:eastAsia="宋体" w:hAnsi="Book Antiqua" w:cs="Book Antiqua" w:hint="eastAsia"/>
          <w:i/>
          <w:iCs/>
          <w:color w:val="000000"/>
          <w:szCs w:val="20"/>
          <w:lang w:eastAsia="zh-CN"/>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szCs w:val="20"/>
        </w:rPr>
        <w:t xml:space="preserve"> and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colleagues found that combination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treatment with metformin and trastuzumab in a circadian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pattern resensitized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GC cells to trastuzumab, partially by disrupting the BMAL1–CLOCK–PER1–HK2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axis, thus controlling fluctuations in glycolysis. Therefore,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glycolysis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inhibitors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could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be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used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appropriately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to overcome trastuzumab resistance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 GC. However, historically, glycolysis inhibitors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have not been widely applied clinically due to their obvious side effects</w:t>
      </w:r>
      <w:r>
        <w:rPr>
          <w:rFonts w:ascii="Book Antiqua" w:eastAsia="Book Antiqua" w:hAnsi="Book Antiqua" w:cs="Book Antiqua"/>
          <w:color w:val="000000"/>
          <w:vertAlign w:val="superscript"/>
        </w:rPr>
        <w:t>[12]</w:t>
      </w:r>
      <w:r>
        <w:rPr>
          <w:rFonts w:ascii="Book Antiqua" w:eastAsia="Book Antiqua" w:hAnsi="Book Antiqua" w:cs="Book Antiqua"/>
          <w:color w:val="000000"/>
          <w:szCs w:val="20"/>
        </w:rPr>
        <w:t>.</w:t>
      </w:r>
    </w:p>
    <w:p w14:paraId="02F0C17A" w14:textId="77777777" w:rsidR="00F67380"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S-phase kinase associated protein 2 (Skp2) is a constituent of the F-box protein family and functions as a substrate recognition component within the Skp2-SCF complex, which plays a crucial role in the regulation of ubiquitination, cell cycle progression, cell proliferation, and apoptosis</w:t>
      </w:r>
      <w:r>
        <w:rPr>
          <w:rFonts w:ascii="Book Antiqua" w:eastAsia="Book Antiqua" w:hAnsi="Book Antiqua" w:cs="Book Antiqua"/>
          <w:color w:val="000000"/>
          <w:vertAlign w:val="superscript"/>
        </w:rPr>
        <w:t>[13]</w:t>
      </w:r>
      <w:r>
        <w:rPr>
          <w:rFonts w:ascii="Book Antiqua" w:eastAsia="Book Antiqua" w:hAnsi="Book Antiqua" w:cs="Book Antiqua"/>
          <w:color w:val="000000"/>
        </w:rPr>
        <w:t>. Extensive evidence has demonstrated that Skp2 acts as an oncogene</w:t>
      </w:r>
      <w:r>
        <w:rPr>
          <w:rFonts w:ascii="Book Antiqua" w:eastAsia="Book Antiqua" w:hAnsi="Book Antiqua" w:cs="Book Antiqua"/>
          <w:color w:val="000000"/>
          <w:vertAlign w:val="superscript"/>
        </w:rPr>
        <w:t>[14]</w:t>
      </w:r>
      <w:r>
        <w:rPr>
          <w:rFonts w:ascii="Book Antiqua" w:eastAsia="Book Antiqua" w:hAnsi="Book Antiqua" w:cs="Book Antiqua"/>
          <w:color w:val="000000"/>
        </w:rPr>
        <w:t>, exhibiting elevated expression levels in breast cancer</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r>
        <w:rPr>
          <w:rFonts w:ascii="Book Antiqua" w:eastAsia="Book Antiqua" w:hAnsi="Book Antiqua" w:cs="Book Antiqua"/>
          <w:color w:val="000000"/>
          <w:szCs w:val="20"/>
        </w:rPr>
        <w:t>GC</w:t>
      </w:r>
      <w:r>
        <w:rPr>
          <w:rFonts w:ascii="Book Antiqua" w:eastAsia="Book Antiqua" w:hAnsi="Book Antiqua" w:cs="Book Antiqua"/>
          <w:color w:val="000000"/>
          <w:vertAlign w:val="superscript"/>
        </w:rPr>
        <w:t>[16]</w:t>
      </w:r>
      <w:r>
        <w:rPr>
          <w:rFonts w:ascii="Book Antiqua" w:eastAsia="Book Antiqua" w:hAnsi="Book Antiqua" w:cs="Book Antiqua"/>
          <w:color w:val="000000"/>
        </w:rPr>
        <w:t>, prostate cancer</w:t>
      </w:r>
      <w:r>
        <w:rPr>
          <w:rFonts w:ascii="Book Antiqua" w:eastAsia="Book Antiqua" w:hAnsi="Book Antiqua" w:cs="Book Antiqua"/>
          <w:color w:val="000000"/>
          <w:vertAlign w:val="superscript"/>
        </w:rPr>
        <w:t>[17]</w:t>
      </w:r>
      <w:r>
        <w:rPr>
          <w:rFonts w:ascii="Book Antiqua" w:eastAsia="Book Antiqua" w:hAnsi="Book Antiqua" w:cs="Book Antiqua"/>
          <w:color w:val="000000"/>
        </w:rPr>
        <w:t>, and various other malignant tumors, thereby exhibiting a strong association with poor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outcomes in affected individuals. Recent studies have shown that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Skp2 regulates glycolysis, trastuzumab sensitivity, and tumorigenesis in breast cancer</w:t>
      </w:r>
      <w:r>
        <w:rPr>
          <w:rFonts w:ascii="Book Antiqua" w:eastAsia="Book Antiqua" w:hAnsi="Book Antiqua" w:cs="Book Antiqua"/>
          <w:color w:val="000000"/>
          <w:vertAlign w:val="superscript"/>
        </w:rPr>
        <w:t>[18]</w:t>
      </w:r>
      <w:r>
        <w:rPr>
          <w:rFonts w:ascii="Book Antiqua" w:eastAsia="Book Antiqua" w:hAnsi="Book Antiqua" w:cs="Book Antiqua"/>
          <w:color w:val="000000"/>
        </w:rPr>
        <w:t>. However, whether Skp2 regulates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trastuzumab sensitivity in GC is unknown.</w:t>
      </w:r>
    </w:p>
    <w:p w14:paraId="693B1473" w14:textId="77777777" w:rsidR="00F67380"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Several investigations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have been conducted on small structure-based inhibitors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of Skp2. For instance, the compounds SZL-P1-41</w:t>
      </w:r>
      <w:r>
        <w:rPr>
          <w:rFonts w:ascii="Book Antiqua" w:eastAsia="Book Antiqua" w:hAnsi="Book Antiqua" w:cs="Book Antiqua"/>
          <w:color w:val="000000"/>
          <w:vertAlign w:val="superscript"/>
        </w:rPr>
        <w:t>[19]</w:t>
      </w:r>
      <w:r>
        <w:rPr>
          <w:rFonts w:ascii="Book Antiqua" w:eastAsia="Book Antiqua" w:hAnsi="Book Antiqua" w:cs="Book Antiqua"/>
          <w:color w:val="000000"/>
          <w:szCs w:val="20"/>
        </w:rPr>
        <w: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SKPin C1</w:t>
      </w:r>
      <w:r>
        <w:rPr>
          <w:rFonts w:ascii="Book Antiqua" w:eastAsia="Book Antiqua" w:hAnsi="Book Antiqua" w:cs="Book Antiqua"/>
          <w:color w:val="000000"/>
          <w:vertAlign w:val="superscript"/>
        </w:rPr>
        <w:t>[20,21]</w:t>
      </w:r>
      <w:r>
        <w:rPr>
          <w:rFonts w:ascii="Book Antiqua" w:eastAsia="Book Antiqua" w:hAnsi="Book Antiqua" w:cs="Book Antiqua"/>
          <w:color w:val="000000"/>
          <w:szCs w:val="20"/>
        </w:rPr>
        <w: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DT204</w:t>
      </w:r>
      <w:r>
        <w:rPr>
          <w:rFonts w:ascii="Book Antiqua" w:eastAsia="Book Antiqua" w:hAnsi="Book Antiqua" w:cs="Book Antiqua"/>
          <w:color w:val="000000"/>
          <w:vertAlign w:val="superscript"/>
        </w:rPr>
        <w:t>[22]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were identified as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Skp2 inhibitors that could suppress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tumor growth. However, treatment with these chemical inhibitors is accompanied by adverse effects. Several natural compounds, such as diosmetin</w:t>
      </w:r>
      <w:r>
        <w:rPr>
          <w:rFonts w:ascii="Book Antiqua" w:eastAsia="Book Antiqua" w:hAnsi="Book Antiqua" w:cs="Book Antiqua"/>
          <w:color w:val="000000"/>
          <w:vertAlign w:val="superscript"/>
        </w:rPr>
        <w:t>[23]</w:t>
      </w:r>
      <w:r>
        <w:rPr>
          <w:rFonts w:ascii="Book Antiqua" w:eastAsia="Book Antiqua" w:hAnsi="Book Antiqua" w:cs="Book Antiqua"/>
          <w:color w:val="000000"/>
          <w:szCs w:val="20"/>
        </w:rPr>
        <w:t>, safranal</w:t>
      </w:r>
      <w:r>
        <w:rPr>
          <w:rFonts w:ascii="Book Antiqua" w:eastAsia="Book Antiqua" w:hAnsi="Book Antiqua" w:cs="Book Antiqua"/>
          <w:color w:val="000000"/>
          <w:vertAlign w:val="superscript"/>
        </w:rPr>
        <w:t>[24]</w:t>
      </w:r>
      <w:r>
        <w:rPr>
          <w:rFonts w:ascii="Book Antiqua" w:eastAsia="Book Antiqua" w:hAnsi="Book Antiqua" w:cs="Book Antiqua"/>
          <w:color w:val="000000"/>
          <w:szCs w:val="20"/>
        </w:rPr>
        <w:t>, dioscin</w:t>
      </w:r>
      <w:r>
        <w:rPr>
          <w:rFonts w:ascii="Book Antiqua" w:eastAsia="Book Antiqua" w:hAnsi="Book Antiqua" w:cs="Book Antiqua"/>
          <w:color w:val="000000"/>
          <w:vertAlign w:val="superscript"/>
        </w:rPr>
        <w:t>[25]</w:t>
      </w:r>
      <w:r>
        <w:rPr>
          <w:rFonts w:ascii="Book Antiqua" w:eastAsia="Book Antiqua" w:hAnsi="Book Antiqua" w:cs="Book Antiqua"/>
          <w:color w:val="000000"/>
          <w:szCs w:val="20"/>
        </w:rPr>
        <w:t>, gartanin</w:t>
      </w:r>
      <w:r>
        <w:rPr>
          <w:rFonts w:ascii="Book Antiqua" w:eastAsia="Book Antiqua" w:hAnsi="Book Antiqua" w:cs="Book Antiqua"/>
          <w:color w:val="000000"/>
          <w:vertAlign w:val="superscript"/>
        </w:rPr>
        <w:t>[26]</w:t>
      </w:r>
      <w:r>
        <w:rPr>
          <w:rFonts w:ascii="Book Antiqua" w:eastAsia="Book Antiqua" w:hAnsi="Book Antiqua" w:cs="Book Antiqua"/>
          <w:color w:val="000000"/>
          <w:szCs w:val="20"/>
        </w:rPr>
        <w:t>, betulinic acid</w:t>
      </w:r>
      <w:r>
        <w:rPr>
          <w:rFonts w:ascii="Book Antiqua" w:eastAsia="Book Antiqua" w:hAnsi="Book Antiqua" w:cs="Book Antiqua"/>
          <w:color w:val="000000"/>
          <w:vertAlign w:val="superscript"/>
        </w:rPr>
        <w:t>[27]</w:t>
      </w:r>
      <w:r>
        <w:rPr>
          <w:rFonts w:ascii="Book Antiqua" w:eastAsia="Book Antiqua" w:hAnsi="Book Antiqua" w:cs="Book Antiqua"/>
          <w:color w:val="000000"/>
          <w:szCs w:val="20"/>
        </w:rPr>
        <w:t>, linichlorin A</w:t>
      </w:r>
      <w:r>
        <w:rPr>
          <w:rFonts w:ascii="Book Antiqua" w:eastAsia="Book Antiqua" w:hAnsi="Book Antiqua" w:cs="Book Antiqua"/>
          <w:color w:val="000000"/>
          <w:vertAlign w:val="superscript"/>
        </w:rPr>
        <w:t>[28]</w:t>
      </w:r>
      <w:r>
        <w:rPr>
          <w:rFonts w:ascii="Book Antiqua" w:eastAsia="Book Antiqua" w:hAnsi="Book Antiqua" w:cs="Book Antiqua"/>
          <w:color w:val="000000"/>
          <w:szCs w:val="20"/>
        </w:rPr>
        <w: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gentian violet</w:t>
      </w:r>
      <w:r>
        <w:rPr>
          <w:rFonts w:ascii="Book Antiqua" w:eastAsia="Book Antiqua" w:hAnsi="Book Antiqua" w:cs="Book Antiqua"/>
          <w:color w:val="000000"/>
          <w:vertAlign w:val="superscript"/>
        </w:rPr>
        <w:t>[29]</w:t>
      </w:r>
      <w:r>
        <w:rPr>
          <w:rFonts w:ascii="Book Antiqua" w:eastAsia="Book Antiqua" w:hAnsi="Book Antiqua" w:cs="Book Antiqua"/>
          <w:color w:val="000000"/>
          <w:szCs w:val="20"/>
        </w:rPr>
        <w:t>, have been identified to function as potential antitumor agents through Skp2 inhibition. However, these studies are still in the preliminary stages of preclinical development.</w:t>
      </w:r>
    </w:p>
    <w:p w14:paraId="1A8C6349" w14:textId="77777777" w:rsidR="00F67380"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This study proposes that the antipsychotic drug thioridazine can specifically decrease the expression of Skp2, thereby increasing the responsiveness of HER-2-positive GC</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cells to trastuzumab through the attenuation of glycolysis.</w:t>
      </w:r>
    </w:p>
    <w:p w14:paraId="16C9BA65" w14:textId="77777777" w:rsidR="00F67380" w:rsidRDefault="00F67380">
      <w:pPr>
        <w:adjustRightInd w:val="0"/>
        <w:snapToGrid w:val="0"/>
        <w:spacing w:line="360" w:lineRule="auto"/>
        <w:jc w:val="both"/>
        <w:rPr>
          <w:rFonts w:ascii="Book Antiqua" w:hAnsi="Book Antiqua" w:cs="Book Antiqua"/>
        </w:rPr>
      </w:pPr>
    </w:p>
    <w:p w14:paraId="5400641F"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MATERIALS AND METHODS</w:t>
      </w:r>
    </w:p>
    <w:p w14:paraId="2E0DD247"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t>Cell lines and reagents</w:t>
      </w:r>
    </w:p>
    <w:p w14:paraId="6348BF8A" w14:textId="77777777" w:rsidR="00F67380"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 human GC cell lines HGC-27, SGC-7901, MGC-803, MKN-45, and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NCI-N87</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were purchased from the American Type Culture Collection</w:t>
      </w:r>
      <w:r>
        <w:rPr>
          <w:rStyle w:val="10"/>
          <w:rFonts w:ascii="Book Antiqua" w:eastAsia="宋体" w:hAnsi="Book Antiqua" w:cs="Book Antiqua" w:hint="eastAsia"/>
          <w:color w:val="000000"/>
          <w:szCs w:val="20"/>
          <w:lang w:eastAsia="zh-CN"/>
        </w:rPr>
        <w:t xml:space="preserve"> </w:t>
      </w:r>
      <w:r>
        <w:rPr>
          <w:rStyle w:val="10"/>
          <w:rFonts w:ascii="Book Antiqua" w:eastAsia="Book Antiqua" w:hAnsi="Book Antiqua" w:cs="Book Antiqua"/>
          <w:color w:val="000000"/>
          <w:szCs w:val="20"/>
        </w:rPr>
        <w:t>(</w:t>
      </w:r>
      <w:hyperlink r:id="rId7" w:history="1">
        <w:r>
          <w:rPr>
            <w:rStyle w:val="10"/>
            <w:rFonts w:ascii="Book Antiqua" w:eastAsia="Book Antiqua" w:hAnsi="Book Antiqua" w:cs="Book Antiqua"/>
            <w:color w:val="000000"/>
            <w:szCs w:val="20"/>
          </w:rPr>
          <w:t>Manassas,</w:t>
        </w:r>
        <w:r>
          <w:rPr>
            <w:rStyle w:val="10"/>
            <w:rFonts w:ascii="Book Antiqua" w:eastAsia="宋体" w:hAnsi="Book Antiqua" w:cs="Book Antiqua" w:hint="eastAsia"/>
            <w:color w:val="000000"/>
            <w:szCs w:val="20"/>
            <w:lang w:eastAsia="zh-CN"/>
          </w:rPr>
          <w:t xml:space="preserve"> </w:t>
        </w:r>
        <w:r>
          <w:rPr>
            <w:rStyle w:val="10"/>
            <w:rFonts w:ascii="Book Antiqua" w:eastAsia="Book Antiqua" w:hAnsi="Book Antiqua" w:cs="Book Antiqua"/>
            <w:color w:val="000000"/>
            <w:szCs w:val="20"/>
          </w:rPr>
          <w:t>United States</w:t>
        </w:r>
      </w:hyperlink>
      <w:r>
        <w:rPr>
          <w:rStyle w:val="10"/>
          <w:rFonts w:ascii="Book Antiqua" w:eastAsia="Book Antiqua" w:hAnsi="Book Antiqua" w:cs="Book Antiqua"/>
          <w:color w:val="000000"/>
          <w:szCs w:val="20"/>
        </w:rPr>
        <w:t>)</w:t>
      </w:r>
      <w:r>
        <w:rPr>
          <w:rFonts w:ascii="Book Antiqua" w:eastAsia="Book Antiqua" w:hAnsi="Book Antiqua" w:cs="Book Antiqua"/>
          <w:color w:val="000000"/>
          <w:szCs w:val="20"/>
        </w:rPr>
        <w:t>. HGC-27, NCI-N87, and MGC-803 cells were cultured in Dulbecco's modified Eagle's medium containing 10% fetal bovine serum (FBS</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Biological Industries, Israel). SGC-7901 and MKN-45 cells were grown in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RPMI 1640</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medium containing 10% FBS. Trastuzumab-resistant HGC-27 and SGC-7901 cells were established by culturing cells with increasing concentrations of trastuzumab (Roche, </w:t>
      </w:r>
      <w:hyperlink w:anchor="Switzerland" w:history="1">
        <w:r>
          <w:rPr>
            <w:rFonts w:ascii="Book Antiqua" w:eastAsia="Book Antiqua" w:hAnsi="Book Antiqua" w:cs="Book Antiqua"/>
            <w:color w:val="000000"/>
            <w:szCs w:val="20"/>
          </w:rPr>
          <w:t>Switzerland</w:t>
        </w:r>
      </w:hyperlink>
      <w:r>
        <w:rPr>
          <w:rFonts w:ascii="Book Antiqua" w:eastAsia="Book Antiqua" w:hAnsi="Book Antiqua" w:cs="Book Antiqua"/>
          <w:color w:val="000000"/>
          <w:szCs w:val="20"/>
        </w:rPr>
        <w:t>) over half a year</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were designated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HGC-27-R and SGC-7901-R</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cells, respectively. All cells were cultured in incubators at 37</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w:t>
      </w:r>
      <w:r>
        <w:rPr>
          <w:rFonts w:ascii="Book Antiqua" w:eastAsia="宋体" w:hAnsi="Book Antiqua" w:cs="Book Antiqua"/>
          <w:color w:val="000000"/>
          <w:szCs w:val="20"/>
        </w:rPr>
        <w:t>℃</w:t>
      </w:r>
      <w:r>
        <w:rPr>
          <w:rFonts w:ascii="Book Antiqua" w:eastAsia="Book Antiqua" w:hAnsi="Book Antiqua" w:cs="Book Antiqua"/>
          <w:color w:val="000000"/>
          <w:szCs w:val="20"/>
        </w:rPr>
        <w:t xml:space="preserv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szCs w:val="20"/>
        </w:rPr>
        <w:t>. Thioridazine and lapatinib</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were obtained from Selleck Chemicals (United States).</w:t>
      </w:r>
    </w:p>
    <w:p w14:paraId="78E8F17D" w14:textId="77777777" w:rsidR="00F67380" w:rsidRDefault="00F67380">
      <w:pPr>
        <w:adjustRightInd w:val="0"/>
        <w:snapToGrid w:val="0"/>
        <w:spacing w:line="360" w:lineRule="auto"/>
        <w:jc w:val="both"/>
        <w:rPr>
          <w:rFonts w:ascii="Book Antiqua" w:eastAsia="Book Antiqua" w:hAnsi="Book Antiqua" w:cs="Book Antiqua"/>
          <w:color w:val="000000"/>
          <w:szCs w:val="20"/>
        </w:rPr>
      </w:pPr>
    </w:p>
    <w:p w14:paraId="1B8538E1"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t>RT</w:t>
      </w:r>
      <w:r>
        <w:rPr>
          <w:rFonts w:ascii="Book Antiqua" w:eastAsia="宋体" w:hAnsi="Book Antiqua" w:cs="Book Antiqua" w:hint="eastAsia"/>
          <w:b/>
          <w:bCs/>
          <w:i/>
          <w:iCs/>
          <w:color w:val="000000"/>
          <w:szCs w:val="20"/>
          <w:lang w:eastAsia="zh-CN"/>
        </w:rPr>
        <w:t>-</w:t>
      </w:r>
      <w:r>
        <w:rPr>
          <w:rFonts w:ascii="Book Antiqua" w:eastAsia="Book Antiqua" w:hAnsi="Book Antiqua" w:cs="Book Antiqua"/>
          <w:b/>
          <w:bCs/>
          <w:i/>
          <w:iCs/>
          <w:color w:val="000000"/>
          <w:szCs w:val="20"/>
        </w:rPr>
        <w:t>PCR analysis</w:t>
      </w:r>
    </w:p>
    <w:p w14:paraId="60E3DBF0" w14:textId="77777777" w:rsidR="00F67380"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Quantitative real-time reverse transcription polymerase chain reaction analysis using a Real-Time PCR Detection System (Agilent Technologies) was performed to validate the effect of thioridazine on SKP2 gene expression. The sequences of the primers used were as follows: </w:t>
      </w:r>
      <w:r>
        <w:rPr>
          <w:rFonts w:ascii="Book Antiqua" w:eastAsia="Book Antiqua" w:hAnsi="Book Antiqua" w:cs="Book Antiqua"/>
          <w:i/>
          <w:iCs/>
          <w:color w:val="000000"/>
          <w:szCs w:val="20"/>
        </w:rPr>
        <w:t>5’-ATGCCCCAATCTTGTCCATCT-3’</w:t>
      </w:r>
      <w:r>
        <w:rPr>
          <w:rFonts w:ascii="Book Antiqua" w:eastAsia="Book Antiqua" w:hAnsi="Book Antiqua" w:cs="Book Antiqua"/>
          <w:color w:val="000000"/>
          <w:szCs w:val="20"/>
        </w:rPr>
        <w:t xml:space="preserve"> and </w:t>
      </w:r>
      <w:r>
        <w:rPr>
          <w:rFonts w:ascii="Book Antiqua" w:eastAsia="Book Antiqua" w:hAnsi="Book Antiqua" w:cs="Book Antiqua"/>
          <w:i/>
          <w:iCs/>
          <w:color w:val="000000"/>
          <w:szCs w:val="20"/>
        </w:rPr>
        <w:t>5’-CACCGACTGAGTGATAGGTGT-3’</w:t>
      </w:r>
      <w:r>
        <w:rPr>
          <w:rFonts w:ascii="Book Antiqua" w:eastAsia="Book Antiqua" w:hAnsi="Book Antiqua" w:cs="Book Antiqua"/>
          <w:color w:val="000000"/>
          <w:szCs w:val="20"/>
        </w:rPr>
        <w:t xml:space="preserve"> for SKP2;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i/>
          <w:iCs/>
          <w:color w:val="000000"/>
          <w:szCs w:val="20"/>
        </w:rPr>
        <w:t>5’-GTGGGGCGCCCCAGGCACCA-3’</w:t>
      </w:r>
      <w:r>
        <w:rPr>
          <w:rFonts w:ascii="Book Antiqua" w:eastAsia="Book Antiqua" w:hAnsi="Book Antiqua" w:cs="Book Antiqua"/>
          <w:color w:val="000000"/>
          <w:szCs w:val="20"/>
        </w:rPr>
        <w:t xml:space="preserve"> and </w:t>
      </w:r>
      <w:r>
        <w:rPr>
          <w:rFonts w:ascii="Book Antiqua" w:eastAsia="Book Antiqua" w:hAnsi="Book Antiqua" w:cs="Book Antiqua"/>
          <w:i/>
          <w:iCs/>
          <w:color w:val="000000"/>
          <w:szCs w:val="20"/>
        </w:rPr>
        <w:t>5’-CTTCCTTAATGTCACGCACGATTTC-3’</w:t>
      </w:r>
      <w:r>
        <w:rPr>
          <w:rFonts w:ascii="Book Antiqua" w:eastAsia="Book Antiqua" w:hAnsi="Book Antiqua" w:cs="Book Antiqua"/>
          <w:color w:val="000000"/>
          <w:szCs w:val="20"/>
        </w:rPr>
        <w:t xml:space="preserve"> for β-actin.</w:t>
      </w:r>
    </w:p>
    <w:p w14:paraId="20797BFA" w14:textId="77777777" w:rsidR="00F67380" w:rsidRDefault="00F67380">
      <w:pPr>
        <w:adjustRightInd w:val="0"/>
        <w:snapToGrid w:val="0"/>
        <w:spacing w:line="360" w:lineRule="auto"/>
        <w:jc w:val="both"/>
        <w:rPr>
          <w:rFonts w:ascii="Book Antiqua" w:eastAsia="Book Antiqua" w:hAnsi="Book Antiqua" w:cs="Book Antiqua"/>
          <w:color w:val="000000"/>
          <w:szCs w:val="20"/>
        </w:rPr>
      </w:pPr>
    </w:p>
    <w:p w14:paraId="6F95EDF9"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t>Construction of the exogenous overexpression plasmids and</w:t>
      </w:r>
      <w:r>
        <w:rPr>
          <w:rFonts w:ascii="Book Antiqua" w:eastAsia="宋体" w:hAnsi="Book Antiqua" w:cs="Book Antiqua" w:hint="eastAsia"/>
          <w:b/>
          <w:bCs/>
          <w:i/>
          <w:iCs/>
          <w:color w:val="000000"/>
          <w:szCs w:val="20"/>
          <w:lang w:eastAsia="zh-CN"/>
        </w:rPr>
        <w:t xml:space="preserve"> </w:t>
      </w:r>
      <w:r>
        <w:rPr>
          <w:rFonts w:ascii="Book Antiqua" w:eastAsia="Book Antiqua" w:hAnsi="Book Antiqua" w:cs="Book Antiqua"/>
          <w:b/>
          <w:bCs/>
          <w:i/>
          <w:iCs/>
          <w:color w:val="000000"/>
          <w:szCs w:val="20"/>
        </w:rPr>
        <w:t>SKP2 RNA interference vectors</w:t>
      </w:r>
    </w:p>
    <w:p w14:paraId="65D76696" w14:textId="77777777" w:rsidR="00F67380"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pcDNA3.1-3</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Flag-C plasmid carrying the Skp2 coding sequence was constructed.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The sense primer sequence was </w:t>
      </w:r>
      <w:r>
        <w:rPr>
          <w:rFonts w:ascii="Book Antiqua" w:eastAsia="Book Antiqua" w:hAnsi="Book Antiqua" w:cs="Book Antiqua"/>
          <w:i/>
          <w:iCs/>
          <w:color w:val="000000"/>
          <w:szCs w:val="20"/>
        </w:rPr>
        <w:t>5'-CCGGAATTCCGGAGGATGCACAGGAAGCACCTCCAGGAG-3'</w:t>
      </w:r>
      <w:r>
        <w:rPr>
          <w:rFonts w:ascii="Book Antiqua" w:eastAsia="Book Antiqua" w:hAnsi="Book Antiqua" w:cs="Book Antiqua"/>
          <w:color w:val="000000"/>
          <w:szCs w:val="20"/>
        </w:rPr>
        <w:t xml:space="preserve">, and the antisense primer sequence was </w:t>
      </w:r>
      <w:r>
        <w:rPr>
          <w:rFonts w:ascii="Book Antiqua" w:eastAsia="Book Antiqua" w:hAnsi="Book Antiqua" w:cs="Book Antiqua"/>
          <w:i/>
          <w:iCs/>
          <w:color w:val="000000"/>
          <w:szCs w:val="20"/>
        </w:rPr>
        <w:t>5'-CCGCTCGAGTAGACAACTGGGCTTTTGCAGTGT-3'</w:t>
      </w:r>
      <w:r>
        <w:rPr>
          <w:rFonts w:ascii="Book Antiqua" w:eastAsia="Book Antiqua" w:hAnsi="Book Antiqua" w:cs="Book Antiqua"/>
          <w:color w:val="000000"/>
          <w:szCs w:val="20"/>
        </w:rPr>
        <w:t>. The two recombinant plasmids confirmed to contain the correct sequence were named OX-SKP2-1 and OX-SKP2-2. Small interfering RNA (siRNA)</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for SKP2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and the negative control </w:t>
      </w:r>
      <w:r>
        <w:rPr>
          <w:rFonts w:ascii="Book Antiqua" w:eastAsia="Book Antiqua" w:hAnsi="Book Antiqua" w:cs="Book Antiqua"/>
          <w:color w:val="000000"/>
          <w:szCs w:val="20"/>
        </w:rPr>
        <w:lastRenderedPageBreak/>
        <w:t>(NC) oligonucleotide sequence were synthesized by Sangon Biotech (Guangdong, China). The siRNA duplexes were transfected into HGC27-R cells using Lipofectamine 2000 (Invitrogen, United States).</w:t>
      </w:r>
    </w:p>
    <w:p w14:paraId="13876F86" w14:textId="77777777" w:rsidR="00F67380" w:rsidRDefault="00F67380">
      <w:pPr>
        <w:adjustRightInd w:val="0"/>
        <w:snapToGrid w:val="0"/>
        <w:spacing w:line="360" w:lineRule="auto"/>
        <w:jc w:val="both"/>
        <w:rPr>
          <w:rFonts w:ascii="Book Antiqua" w:eastAsia="Book Antiqua" w:hAnsi="Book Antiqua" w:cs="Book Antiqua"/>
          <w:color w:val="000000"/>
          <w:szCs w:val="20"/>
        </w:rPr>
      </w:pPr>
    </w:p>
    <w:p w14:paraId="4DCE11CA"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t>CCK-8 assay</w:t>
      </w:r>
    </w:p>
    <w:p w14:paraId="758D4F5E" w14:textId="77777777" w:rsidR="00F67380"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A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ell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ounting </w:t>
      </w:r>
      <w:r>
        <w:rPr>
          <w:rFonts w:ascii="Book Antiqua" w:eastAsia="宋体" w:hAnsi="Book Antiqua" w:cs="Book Antiqua" w:hint="eastAsia"/>
          <w:color w:val="000000"/>
          <w:szCs w:val="20"/>
          <w:lang w:eastAsia="zh-CN"/>
        </w:rPr>
        <w:t>k</w:t>
      </w:r>
      <w:r>
        <w:rPr>
          <w:rFonts w:ascii="Book Antiqua" w:eastAsia="Book Antiqua" w:hAnsi="Book Antiqua" w:cs="Book Antiqua"/>
          <w:color w:val="000000"/>
          <w:szCs w:val="20"/>
        </w:rPr>
        <w:t>it-8 (CCK-8</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Japan</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was used to assess cell proliferation. In brief, cell suspensions (5 × 10</w:t>
      </w:r>
      <w:r>
        <w:rPr>
          <w:rFonts w:ascii="Book Antiqua" w:eastAsia="Book Antiqua" w:hAnsi="Book Antiqua" w:cs="Book Antiqua"/>
          <w:color w:val="000000"/>
          <w:szCs w:val="30"/>
          <w:vertAlign w:val="superscript"/>
        </w:rPr>
        <w:t xml:space="preserve">3 </w:t>
      </w:r>
      <w:r>
        <w:rPr>
          <w:rFonts w:ascii="Book Antiqua" w:eastAsia="Book Antiqua" w:hAnsi="Book Antiqua" w:cs="Book Antiqua"/>
          <w:color w:val="000000"/>
          <w:szCs w:val="20"/>
        </w:rPr>
        <w:t>cells/well) were seeded in 96-well plates in triplicate, and the plates were incubated for 48 h. Each well was filled with 10 µL of CCK-8</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assay solution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incubated for</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4 h. A microplate reader was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used to measure the optical density at 450 nm.</w:t>
      </w:r>
    </w:p>
    <w:p w14:paraId="492AB2F2" w14:textId="77777777" w:rsidR="00F67380" w:rsidRDefault="00F67380">
      <w:pPr>
        <w:adjustRightInd w:val="0"/>
        <w:snapToGrid w:val="0"/>
        <w:spacing w:line="360" w:lineRule="auto"/>
        <w:jc w:val="both"/>
        <w:rPr>
          <w:rFonts w:ascii="Book Antiqua" w:eastAsia="Book Antiqua" w:hAnsi="Book Antiqua" w:cs="Book Antiqua"/>
          <w:color w:val="000000"/>
          <w:szCs w:val="20"/>
        </w:rPr>
      </w:pPr>
    </w:p>
    <w:p w14:paraId="061FDA0A"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t>Western blot</w:t>
      </w:r>
    </w:p>
    <w:p w14:paraId="0EFC693C" w14:textId="77777777" w:rsidR="00F67380"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Immunoblotting was performed using antibodies against the following proteins: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oly ADP-ribose polymerase (P</w:t>
      </w:r>
      <w:r>
        <w:rPr>
          <w:rFonts w:ascii="Book Antiqua" w:eastAsia="宋体" w:hAnsi="Book Antiqua" w:cs="Book Antiqua" w:hint="eastAsia"/>
          <w:color w:val="000000"/>
          <w:szCs w:val="20"/>
          <w:lang w:eastAsia="zh-CN"/>
        </w:rPr>
        <w:t>ARP)</w:t>
      </w:r>
      <w:r>
        <w:rPr>
          <w:rFonts w:ascii="Book Antiqua" w:eastAsia="Book Antiqua" w:hAnsi="Book Antiqua" w:cs="Book Antiqua"/>
          <w:color w:val="000000"/>
          <w:szCs w:val="20"/>
        </w:rPr>
        <w:t>; 9352, glucose transporter type 1 (Glut1</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73015, Skp2 (2652), p-</w:t>
      </w:r>
      <w:r>
        <w:rPr>
          <w:rFonts w:ascii="Book Antiqua" w:eastAsia="Book Antiqua" w:hAnsi="Book Antiqua" w:cs="Book Antiqua" w:hint="eastAsia"/>
          <w:color w:val="000000"/>
          <w:szCs w:val="20"/>
        </w:rPr>
        <w:t>signal transducer and activator of transcription 3</w:t>
      </w:r>
      <w:r>
        <w:rPr>
          <w:rFonts w:ascii="Book Antiqua" w:eastAsia="Book Antiqua" w:hAnsi="Book Antiqua" w:cs="Book Antiqua"/>
          <w:color w:val="000000"/>
          <w:szCs w:val="20"/>
        </w:rPr>
        <w:t xml:space="preserve"> (9134p), p-AKT (4060), p-mammalian target of rapamycin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mTOR</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(5336), and GAPDH (5174) (all obtained from Cell Signaling Technology, United States).</w:t>
      </w:r>
    </w:p>
    <w:p w14:paraId="045DCDBC" w14:textId="77777777" w:rsidR="00F67380" w:rsidRDefault="00F67380">
      <w:pPr>
        <w:adjustRightInd w:val="0"/>
        <w:snapToGrid w:val="0"/>
        <w:spacing w:line="360" w:lineRule="auto"/>
        <w:jc w:val="both"/>
        <w:rPr>
          <w:rFonts w:ascii="Book Antiqua" w:eastAsia="Book Antiqua" w:hAnsi="Book Antiqua" w:cs="Book Antiqua"/>
          <w:b/>
          <w:bCs/>
          <w:i/>
          <w:iCs/>
          <w:color w:val="000000"/>
          <w:szCs w:val="20"/>
        </w:rPr>
      </w:pPr>
    </w:p>
    <w:p w14:paraId="1DAA5BD9"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t>Molecular docking</w:t>
      </w:r>
    </w:p>
    <w:p w14:paraId="2B92504D" w14:textId="77777777" w:rsidR="00F67380"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 3D structure of thioridazine was obtained from the PubChem Substance database (https://www.ncbi.nlm.nih.gov/) by minimizing structural energy using the ChemBioDraw 3D module. The crystal structure of Skp2 was retrieved from the RCSB Protein Data Bank (PDB ID: 1fs2) and subsequently modified (dehydration and hydrogenation) using AutoDockTools 1.5.6 21 before being exported in pdbqt format. Following definition of the grid on the active site of the receptor protein, the docking procedure was executed using AutoDock Vina 1.1.2, and the output score was displayed in kcal/mol. PyMOL 2.3.0 and BIOVIA Discovery Studio were utilized in this process.</w:t>
      </w:r>
    </w:p>
    <w:p w14:paraId="271F63DB" w14:textId="77777777" w:rsidR="00F67380" w:rsidRDefault="00F67380">
      <w:pPr>
        <w:adjustRightInd w:val="0"/>
        <w:snapToGrid w:val="0"/>
        <w:spacing w:line="360" w:lineRule="auto"/>
        <w:jc w:val="both"/>
        <w:rPr>
          <w:rFonts w:ascii="Book Antiqua" w:eastAsia="Book Antiqua" w:hAnsi="Book Antiqua" w:cs="Book Antiqua"/>
          <w:color w:val="000000"/>
          <w:szCs w:val="20"/>
        </w:rPr>
      </w:pPr>
    </w:p>
    <w:p w14:paraId="7A467FC7"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lastRenderedPageBreak/>
        <w:t>Apoptosis assays</w:t>
      </w:r>
    </w:p>
    <w:p w14:paraId="7DA0F079" w14:textId="77777777" w:rsidR="00F67380"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For apoptosis assays, the following steps were performed according to the instructions of the annexin V-FITC Apoptosis Detection Kit (Solarbio, China). Cells in each sample were washed, suspended in 100 µL of 1</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binding buffer and stained with 5 µL of FITC-labeled annexin V and 5 µL of PI for 5 min. Apoptotic cells were detected by a flow cytometer (BD, United States) at wavelengths of 488 nm and 630 nm.</w:t>
      </w:r>
    </w:p>
    <w:p w14:paraId="2236437A" w14:textId="77777777" w:rsidR="00F67380" w:rsidRDefault="00F67380">
      <w:pPr>
        <w:adjustRightInd w:val="0"/>
        <w:snapToGrid w:val="0"/>
        <w:spacing w:line="360" w:lineRule="auto"/>
        <w:jc w:val="both"/>
        <w:rPr>
          <w:rFonts w:ascii="Book Antiqua" w:eastAsia="Book Antiqua" w:hAnsi="Book Antiqua" w:cs="Book Antiqua"/>
          <w:color w:val="000000"/>
          <w:szCs w:val="20"/>
        </w:rPr>
      </w:pPr>
    </w:p>
    <w:p w14:paraId="16C759FE" w14:textId="77777777" w:rsidR="00F67380"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szCs w:val="20"/>
        </w:rPr>
        <w:t>Cellular thermal shift assay</w:t>
      </w:r>
    </w:p>
    <w:p w14:paraId="78D4215D" w14:textId="77777777" w:rsidR="00F67380"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HGC-27-R</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cells were exposed to dimethyl sulfoxide or thioridazine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for 24 h, collected, washed with PBS containing protease inhibitors, aliquoted into PCR tubes, and heated in a thermal cycler (Bio-Rad, T100) at the indicated temperature for 3 min to denature proteins. The cells were then resuspended in NP40 buffer, subjected to three freeze</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thaw cycles with liquid nitrogen, and centrifuged at 20000 × g for 20 min at 4 </w:t>
      </w:r>
      <w:r>
        <w:rPr>
          <w:rFonts w:ascii="Book Antiqua" w:eastAsia="宋体" w:hAnsi="Book Antiqua" w:cs="Book Antiqua"/>
          <w:color w:val="000000"/>
          <w:szCs w:val="20"/>
        </w:rPr>
        <w:t>℃</w:t>
      </w:r>
      <w:r>
        <w:rPr>
          <w:rFonts w:ascii="Book Antiqua" w:eastAsia="Book Antiqua" w:hAnsi="Book Antiqua" w:cs="Book Antiqua"/>
          <w:color w:val="000000"/>
          <w:szCs w:val="20"/>
        </w:rPr>
        <w:t xml:space="preserve">. The supernatant was boiled in loading buffer for </w:t>
      </w:r>
      <w:r>
        <w:rPr>
          <w:rFonts w:ascii="Book Antiqua" w:eastAsia="宋体" w:hAnsi="Book Antiqua" w:cs="Book Antiqua" w:hint="eastAsia"/>
          <w:color w:val="000000"/>
          <w:szCs w:val="20"/>
          <w:lang w:eastAsia="zh-CN"/>
        </w:rPr>
        <w:t>w</w:t>
      </w:r>
      <w:r>
        <w:rPr>
          <w:rFonts w:ascii="Book Antiqua" w:eastAsia="Book Antiqua" w:hAnsi="Book Antiqua" w:cs="Book Antiqua"/>
          <w:color w:val="000000"/>
          <w:szCs w:val="20"/>
        </w:rPr>
        <w:t>estern blotting.</w:t>
      </w:r>
    </w:p>
    <w:p w14:paraId="7D10E08C" w14:textId="77777777" w:rsidR="00F67380" w:rsidRDefault="00F67380">
      <w:pPr>
        <w:adjustRightInd w:val="0"/>
        <w:snapToGrid w:val="0"/>
        <w:spacing w:line="360" w:lineRule="auto"/>
        <w:jc w:val="both"/>
        <w:rPr>
          <w:rFonts w:ascii="Book Antiqua" w:eastAsia="Book Antiqua" w:hAnsi="Book Antiqua" w:cs="Book Antiqua"/>
          <w:color w:val="000000"/>
          <w:szCs w:val="20"/>
        </w:rPr>
      </w:pPr>
    </w:p>
    <w:p w14:paraId="0B834D21"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t>Glycolysis assay</w:t>
      </w:r>
    </w:p>
    <w:p w14:paraId="47329E9D" w14:textId="77777777" w:rsidR="00F67380"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Cells were seeded in 12-well plates at 5</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10</w:t>
      </w:r>
      <w:r>
        <w:rPr>
          <w:rFonts w:ascii="Book Antiqua" w:eastAsia="Book Antiqua" w:hAnsi="Book Antiqua" w:cs="Book Antiqua"/>
          <w:color w:val="000000"/>
          <w:szCs w:val="30"/>
          <w:vertAlign w:val="superscript"/>
        </w:rPr>
        <w:t>5</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cells/well. After the cells were treated with different reagents for 48 h, the supernatant was collected. An </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mplex </w:t>
      </w:r>
      <w:r>
        <w:rPr>
          <w:rFonts w:ascii="Book Antiqua" w:eastAsia="宋体" w:hAnsi="Book Antiqua" w:cs="Book Antiqua" w:hint="eastAsia"/>
          <w:color w:val="000000"/>
          <w:szCs w:val="20"/>
          <w:lang w:eastAsia="zh-CN"/>
        </w:rPr>
        <w:t>r</w:t>
      </w:r>
      <w:r>
        <w:rPr>
          <w:rFonts w:ascii="Book Antiqua" w:eastAsia="Book Antiqua" w:hAnsi="Book Antiqua" w:cs="Book Antiqua"/>
          <w:color w:val="000000"/>
          <w:szCs w:val="20"/>
        </w:rPr>
        <w:t xml:space="preserve">ed </w:t>
      </w:r>
      <w:r>
        <w:rPr>
          <w:rFonts w:ascii="Book Antiqua" w:eastAsia="宋体" w:hAnsi="Book Antiqua" w:cs="Book Antiqua" w:hint="eastAsia"/>
          <w:color w:val="000000"/>
          <w:szCs w:val="20"/>
          <w:lang w:eastAsia="zh-CN"/>
        </w:rPr>
        <w:t>g</w:t>
      </w:r>
      <w:r>
        <w:rPr>
          <w:rFonts w:ascii="Book Antiqua" w:eastAsia="Book Antiqua" w:hAnsi="Book Antiqua" w:cs="Book Antiqua"/>
          <w:color w:val="000000"/>
          <w:szCs w:val="20"/>
        </w:rPr>
        <w:t>lucose/</w:t>
      </w:r>
      <w:r>
        <w:rPr>
          <w:rFonts w:ascii="Book Antiqua" w:eastAsia="宋体" w:hAnsi="Book Antiqua" w:cs="Book Antiqua" w:hint="eastAsia"/>
          <w:color w:val="000000"/>
          <w:szCs w:val="20"/>
          <w:lang w:eastAsia="zh-CN"/>
        </w:rPr>
        <w:t>g</w:t>
      </w:r>
      <w:r>
        <w:rPr>
          <w:rFonts w:ascii="Book Antiqua" w:eastAsia="Book Antiqua" w:hAnsi="Book Antiqua" w:cs="Book Antiqua"/>
          <w:color w:val="000000"/>
          <w:szCs w:val="20"/>
        </w:rPr>
        <w:t xml:space="preserve">lucose </w:t>
      </w:r>
      <w:r>
        <w:rPr>
          <w:rFonts w:ascii="Book Antiqua" w:eastAsia="宋体" w:hAnsi="Book Antiqua" w:cs="Book Antiqua" w:hint="eastAsia"/>
          <w:color w:val="000000"/>
          <w:szCs w:val="20"/>
          <w:lang w:eastAsia="zh-CN"/>
        </w:rPr>
        <w:t>o</w:t>
      </w:r>
      <w:r>
        <w:rPr>
          <w:rFonts w:ascii="Book Antiqua" w:eastAsia="Book Antiqua" w:hAnsi="Book Antiqua" w:cs="Book Antiqua"/>
          <w:color w:val="000000"/>
          <w:szCs w:val="20"/>
        </w:rPr>
        <w:t xml:space="preserve">xidase </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ssay </w:t>
      </w:r>
      <w:r>
        <w:rPr>
          <w:rFonts w:ascii="Book Antiqua" w:eastAsia="宋体" w:hAnsi="Book Antiqua" w:cs="Book Antiqua" w:hint="eastAsia"/>
          <w:color w:val="000000"/>
          <w:szCs w:val="20"/>
          <w:lang w:eastAsia="zh-CN"/>
        </w:rPr>
        <w:t>k</w:t>
      </w:r>
      <w:r>
        <w:rPr>
          <w:rFonts w:ascii="Book Antiqua" w:eastAsia="Book Antiqua" w:hAnsi="Book Antiqua" w:cs="Book Antiqua"/>
          <w:color w:val="000000"/>
          <w:szCs w:val="20"/>
        </w:rPr>
        <w:t>it (Molecular Probes, Carlsbad, CA, United States)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was used for glucose uptake measurements. A </w:t>
      </w:r>
      <w:r>
        <w:rPr>
          <w:rFonts w:ascii="Book Antiqua" w:eastAsia="宋体" w:hAnsi="Book Antiqua" w:cs="Book Antiqua" w:hint="eastAsia"/>
          <w:color w:val="000000"/>
          <w:szCs w:val="20"/>
          <w:lang w:eastAsia="zh-CN"/>
        </w:rPr>
        <w:t>l</w:t>
      </w:r>
      <w:r>
        <w:rPr>
          <w:rFonts w:ascii="Book Antiqua" w:eastAsia="Book Antiqua" w:hAnsi="Book Antiqua" w:cs="Book Antiqua"/>
          <w:color w:val="000000"/>
          <w:szCs w:val="20"/>
        </w:rPr>
        <w:t xml:space="preserve">actate </w:t>
      </w:r>
      <w:r>
        <w:rPr>
          <w:rFonts w:ascii="Book Antiqua" w:eastAsia="宋体" w:hAnsi="Book Antiqua" w:cs="Book Antiqua" w:hint="eastAsia"/>
          <w:color w:val="000000"/>
          <w:szCs w:val="20"/>
          <w:lang w:eastAsia="zh-CN"/>
        </w:rPr>
        <w:t>a</w:t>
      </w:r>
      <w:r>
        <w:rPr>
          <w:rFonts w:ascii="Book Antiqua" w:eastAsia="Book Antiqua" w:hAnsi="Book Antiqua" w:cs="Book Antiqua"/>
          <w:color w:val="000000"/>
          <w:szCs w:val="20"/>
        </w:rPr>
        <w:t xml:space="preserve">ssay </w:t>
      </w:r>
      <w:r>
        <w:rPr>
          <w:rFonts w:ascii="Book Antiqua" w:eastAsia="宋体" w:hAnsi="Book Antiqua" w:cs="Book Antiqua" w:hint="eastAsia"/>
          <w:color w:val="000000"/>
          <w:szCs w:val="20"/>
          <w:lang w:eastAsia="zh-CN"/>
        </w:rPr>
        <w:t>k</w:t>
      </w:r>
      <w:r>
        <w:rPr>
          <w:rFonts w:ascii="Book Antiqua" w:eastAsia="Book Antiqua" w:hAnsi="Book Antiqua" w:cs="Book Antiqua"/>
          <w:color w:val="000000"/>
          <w:szCs w:val="20"/>
        </w:rPr>
        <w:t>it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(BioVision, Mountain View, CA, United States) was used to detect the production of lactate in the medium.</w:t>
      </w:r>
    </w:p>
    <w:p w14:paraId="7BFBCCA4" w14:textId="77777777" w:rsidR="00F67380" w:rsidRDefault="00F67380">
      <w:pPr>
        <w:adjustRightInd w:val="0"/>
        <w:snapToGrid w:val="0"/>
        <w:spacing w:line="360" w:lineRule="auto"/>
        <w:jc w:val="both"/>
        <w:rPr>
          <w:rFonts w:ascii="Book Antiqua" w:eastAsia="Book Antiqua" w:hAnsi="Book Antiqua" w:cs="Book Antiqua"/>
          <w:color w:val="000000"/>
          <w:szCs w:val="20"/>
        </w:rPr>
      </w:pPr>
    </w:p>
    <w:p w14:paraId="05E6A718"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t>Animal studies</w:t>
      </w:r>
    </w:p>
    <w:p w14:paraId="7CA4EC67" w14:textId="77777777" w:rsidR="00F67380"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 animal procedures were approved by the Henan University Institutional Experimental Animal Care and Use Committee (ID: HUSOM2022-439). All experiments were designed and conducted in accordance with the Animal Research: Reporting of In Vivo Experiments guidelines; the United Kingdom Animals (Scientific Procedures) Act 1986 and associated guidelines; and the European Union (EU) Directive 2010/63/EU for animal experiments.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Five-week-old male BALB/c athymic nude mice (weighing</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16-18 g, </w:t>
      </w:r>
      <w:r>
        <w:rPr>
          <w:rFonts w:ascii="Book Antiqua" w:eastAsia="Book Antiqua" w:hAnsi="Book Antiqua" w:cs="Book Antiqua"/>
          <w:color w:val="000000"/>
          <w:szCs w:val="20"/>
        </w:rPr>
        <w:lastRenderedPageBreak/>
        <w:t>SPF grade) were purchased from Peking Vital River Laboratory Animal Technology Company.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Prior to use, all cages, bedding, and drinking water were sterilized. The cages, feed, and drinking water were replaced biweekly. The breeding environment adhered to the following specifications: temperature range from 20 to 26 </w:t>
      </w:r>
      <w:r>
        <w:rPr>
          <w:rFonts w:ascii="Book Antiqua" w:eastAsia="宋体" w:hAnsi="Book Antiqua" w:cs="Book Antiqua"/>
          <w:color w:val="000000"/>
          <w:szCs w:val="20"/>
        </w:rPr>
        <w:t>℃</w:t>
      </w:r>
      <w:r>
        <w:rPr>
          <w:rFonts w:ascii="Book Antiqua" w:eastAsia="Book Antiqua" w:hAnsi="Book Antiqua" w:cs="Book Antiqua"/>
          <w:color w:val="000000"/>
          <w:szCs w:val="20"/>
        </w:rPr>
        <w:t>, humidity range from 40% to 70%, and light cycle consisting of 12 h of illumination followed by 12 h of darkness (lights activated from 8 am to 8 pm). A total of 3</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10</w:t>
      </w:r>
      <w:r>
        <w:rPr>
          <w:rFonts w:ascii="Book Antiqua" w:eastAsia="Book Antiqua" w:hAnsi="Book Antiqua" w:cs="Book Antiqua"/>
          <w:color w:val="000000"/>
          <w:szCs w:val="30"/>
          <w:vertAlign w:val="superscript"/>
        </w:rPr>
        <w:t>6</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HGC27-R or 1</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10</w:t>
      </w:r>
      <w:r>
        <w:rPr>
          <w:rFonts w:ascii="Book Antiqua" w:eastAsia="Book Antiqua" w:hAnsi="Book Antiqua" w:cs="Book Antiqua"/>
          <w:color w:val="000000"/>
          <w:szCs w:val="30"/>
          <w:vertAlign w:val="superscript"/>
        </w:rPr>
        <w:t>6</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SGC7901-R cells were injected subcutaneously (s.c.) into each mouse. The mice were randomly grouped into four groups with five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mice in each group. The mice received either vehicle control, thioridazine (25 mg/kg), trastuzumab (5 mg/kg),</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lapatinib (70 mg/kg), and thioridazine (25 mg/kg) plus trastuzumab (5 mg/kg) or lapatinib (70 mg/kg) by intraperitoneal injection daily. After two weeks of drug administration, the mice were sacrificed,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tumor weights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were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determined.</w:t>
      </w:r>
    </w:p>
    <w:p w14:paraId="5E0E1D75" w14:textId="77777777" w:rsidR="00F67380" w:rsidRDefault="00F67380">
      <w:pPr>
        <w:adjustRightInd w:val="0"/>
        <w:snapToGrid w:val="0"/>
        <w:spacing w:line="360" w:lineRule="auto"/>
        <w:jc w:val="both"/>
        <w:rPr>
          <w:rFonts w:ascii="Book Antiqua" w:eastAsia="Book Antiqua" w:hAnsi="Book Antiqua" w:cs="Book Antiqua"/>
          <w:color w:val="000000"/>
          <w:szCs w:val="20"/>
        </w:rPr>
      </w:pPr>
    </w:p>
    <w:p w14:paraId="5E8CFD06"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t>Statistical analysis</w:t>
      </w:r>
    </w:p>
    <w:p w14:paraId="61D3C21E"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 xml:space="preserve">Data were expressed as </w:t>
      </w:r>
      <w:r>
        <w:rPr>
          <w:rFonts w:ascii="Book Antiqua" w:eastAsia="宋体" w:hAnsi="Book Antiqua" w:cs="Book Antiqua" w:hint="eastAsia"/>
          <w:color w:val="000000"/>
          <w:szCs w:val="20"/>
          <w:lang w:eastAsia="zh-CN"/>
        </w:rPr>
        <w:t>m</w:t>
      </w:r>
      <w:r>
        <w:rPr>
          <w:rFonts w:ascii="Book Antiqua" w:eastAsia="Book Antiqua" w:hAnsi="Book Antiqua" w:cs="Book Antiqua"/>
          <w:color w:val="000000"/>
          <w:szCs w:val="20"/>
        </w:rPr>
        <w:t>ean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SD. Comparisons between two groups were performed using a </w:t>
      </w:r>
      <w:r>
        <w:rPr>
          <w:rFonts w:ascii="Book Antiqua" w:eastAsia="宋体" w:hAnsi="Book Antiqua" w:cs="Book Antiqua" w:hint="eastAsia"/>
          <w:i/>
          <w:iCs/>
          <w:color w:val="000000"/>
          <w:szCs w:val="20"/>
          <w:lang w:eastAsia="zh-CN"/>
        </w:rPr>
        <w:t>t</w:t>
      </w:r>
      <w:r>
        <w:rPr>
          <w:rFonts w:ascii="Book Antiqua" w:eastAsia="Book Antiqua" w:hAnsi="Book Antiqua" w:cs="Book Antiqua"/>
          <w:color w:val="000000"/>
          <w:szCs w:val="20"/>
        </w:rPr>
        <w:t xml:space="preserve"> test. One-way ANOVA with the Bonferroni correction was used to analyze differences among three or more groups. Statistical significance was defined as a value of </w:t>
      </w:r>
      <w:r>
        <w:rPr>
          <w:rFonts w:ascii="Book Antiqua" w:eastAsia="宋体" w:hAnsi="Book Antiqua" w:cs="Book Antiqua" w:hint="eastAsia"/>
          <w:i/>
          <w:iCs/>
          <w:color w:val="000000"/>
          <w:szCs w:val="20"/>
          <w:lang w:eastAsia="zh-CN"/>
        </w:rPr>
        <w:t xml:space="preserve">P </w:t>
      </w:r>
      <w:r>
        <w:rPr>
          <w:rFonts w:ascii="Book Antiqua" w:eastAsia="Book Antiqua" w:hAnsi="Book Antiqua" w:cs="Book Antiqua"/>
          <w:color w:val="000000"/>
          <w:szCs w:val="20"/>
        </w:rPr>
        <w:t>&lt;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0.05.</w:t>
      </w:r>
    </w:p>
    <w:p w14:paraId="13CAEB2B" w14:textId="77777777" w:rsidR="00F67380" w:rsidRDefault="00F67380">
      <w:pPr>
        <w:adjustRightInd w:val="0"/>
        <w:snapToGrid w:val="0"/>
        <w:spacing w:line="360" w:lineRule="auto"/>
        <w:jc w:val="both"/>
        <w:rPr>
          <w:rFonts w:ascii="Book Antiqua" w:hAnsi="Book Antiqua" w:cs="Book Antiqua"/>
        </w:rPr>
      </w:pPr>
    </w:p>
    <w:p w14:paraId="6AAC842B"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7757649F"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t>Upregulation</w:t>
      </w:r>
      <w:r>
        <w:rPr>
          <w:rFonts w:ascii="Book Antiqua" w:eastAsia="宋体" w:hAnsi="Book Antiqua" w:cs="Book Antiqua" w:hint="eastAsia"/>
          <w:b/>
          <w:bCs/>
          <w:i/>
          <w:iCs/>
          <w:color w:val="000000"/>
          <w:szCs w:val="20"/>
          <w:lang w:eastAsia="zh-CN"/>
        </w:rPr>
        <w:t xml:space="preserve"> </w:t>
      </w:r>
      <w:r>
        <w:rPr>
          <w:rFonts w:ascii="Book Antiqua" w:eastAsia="Book Antiqua" w:hAnsi="Book Antiqua" w:cs="Book Antiqua"/>
          <w:b/>
          <w:bCs/>
          <w:i/>
          <w:iCs/>
          <w:color w:val="000000"/>
          <w:szCs w:val="20"/>
        </w:rPr>
        <w:t>of Skp2</w:t>
      </w:r>
      <w:r>
        <w:rPr>
          <w:rFonts w:ascii="Book Antiqua" w:eastAsia="宋体" w:hAnsi="Book Antiqua" w:cs="Book Antiqua" w:hint="eastAsia"/>
          <w:b/>
          <w:bCs/>
          <w:i/>
          <w:iCs/>
          <w:color w:val="000000"/>
          <w:szCs w:val="20"/>
          <w:lang w:eastAsia="zh-CN"/>
        </w:rPr>
        <w:t xml:space="preserve"> </w:t>
      </w:r>
      <w:r>
        <w:rPr>
          <w:rFonts w:ascii="Book Antiqua" w:eastAsia="Book Antiqua" w:hAnsi="Book Antiqua" w:cs="Book Antiqua"/>
          <w:b/>
          <w:bCs/>
          <w:i/>
          <w:iCs/>
          <w:color w:val="000000"/>
          <w:szCs w:val="20"/>
        </w:rPr>
        <w:t>expression promotes</w:t>
      </w:r>
      <w:r>
        <w:rPr>
          <w:rFonts w:ascii="Book Antiqua" w:eastAsia="宋体" w:hAnsi="Book Antiqua" w:cs="Book Antiqua" w:hint="eastAsia"/>
          <w:b/>
          <w:bCs/>
          <w:i/>
          <w:iCs/>
          <w:color w:val="000000"/>
          <w:szCs w:val="20"/>
          <w:lang w:eastAsia="zh-CN"/>
        </w:rPr>
        <w:t xml:space="preserve"> </w:t>
      </w:r>
      <w:r>
        <w:rPr>
          <w:rFonts w:ascii="Book Antiqua" w:eastAsia="Book Antiqua" w:hAnsi="Book Antiqua" w:cs="Book Antiqua"/>
          <w:b/>
          <w:bCs/>
          <w:i/>
          <w:iCs/>
          <w:color w:val="000000"/>
          <w:szCs w:val="20"/>
        </w:rPr>
        <w:t>trastuzumab</w:t>
      </w:r>
      <w:r>
        <w:rPr>
          <w:rFonts w:ascii="Book Antiqua" w:eastAsia="宋体" w:hAnsi="Book Antiqua" w:cs="Book Antiqua" w:hint="eastAsia"/>
          <w:b/>
          <w:bCs/>
          <w:i/>
          <w:iCs/>
          <w:color w:val="000000"/>
          <w:szCs w:val="20"/>
          <w:lang w:eastAsia="zh-CN"/>
        </w:rPr>
        <w:t xml:space="preserve"> </w:t>
      </w:r>
      <w:r>
        <w:rPr>
          <w:rFonts w:ascii="Book Antiqua" w:eastAsia="Book Antiqua" w:hAnsi="Book Antiqua" w:cs="Book Antiqua"/>
          <w:b/>
          <w:bCs/>
          <w:i/>
          <w:iCs/>
          <w:color w:val="000000"/>
          <w:szCs w:val="20"/>
        </w:rPr>
        <w:t>resistance in HER2-positive GC cells</w:t>
      </w:r>
    </w:p>
    <w:p w14:paraId="6EBC2364" w14:textId="77777777" w:rsidR="00F67380" w:rsidRDefault="00000000">
      <w:pPr>
        <w:adjustRightInd w:val="0"/>
        <w:snapToGrid w:val="0"/>
        <w:spacing w:line="360" w:lineRule="auto"/>
        <w:jc w:val="both"/>
        <w:rPr>
          <w:rFonts w:ascii="Book Antiqua" w:eastAsia="Book Antiqua" w:hAnsi="Book Antiqua" w:cs="Book Antiqua"/>
          <w:color w:val="000000"/>
          <w:szCs w:val="20"/>
          <w:shd w:val="clear" w:color="auto" w:fill="FFFFFF"/>
        </w:rPr>
      </w:pPr>
      <w:r>
        <w:rPr>
          <w:rFonts w:ascii="Book Antiqua" w:eastAsia="Book Antiqua" w:hAnsi="Book Antiqua" w:cs="Book Antiqua"/>
          <w:color w:val="000000"/>
          <w:szCs w:val="20"/>
          <w:shd w:val="clear" w:color="auto" w:fill="FFFFFF"/>
        </w:rPr>
        <w:t xml:space="preserve">To ascertain the correlation between Skp2 expression and trastuzumab sensitivity in </w:t>
      </w:r>
      <w:r>
        <w:rPr>
          <w:rFonts w:ascii="Book Antiqua" w:eastAsia="Book Antiqua" w:hAnsi="Book Antiqua" w:cs="Book Antiqua"/>
          <w:color w:val="000000"/>
          <w:szCs w:val="20"/>
        </w:rPr>
        <w:t>GC</w:t>
      </w:r>
      <w:r>
        <w:rPr>
          <w:rFonts w:ascii="Book Antiqua" w:eastAsia="Book Antiqua" w:hAnsi="Book Antiqua" w:cs="Book Antiqua"/>
          <w:color w:val="000000"/>
          <w:szCs w:val="20"/>
          <w:shd w:val="clear" w:color="auto" w:fill="FFFFFF"/>
        </w:rPr>
        <w:t xml:space="preserve">, Skp2 expression was analyzed by immunoblotting in a panel of human GC cell lines with HER2-positive status. Subsequently, the HGC27 and SGC7901 cell lines, exhibiting Skp2 overexpression, were selected for further examination (Figure 1A). Following chronic treatment with 10 μg/mL trastuzumab, two cell lines, HGC27-R and SGC7901-R, were identified as being more resistant to trastuzumab than their parental counterparts. Notably, the Skp2 </w:t>
      </w:r>
      <w:r>
        <w:rPr>
          <w:rFonts w:ascii="Book Antiqua" w:eastAsia="Book Antiqua" w:hAnsi="Book Antiqua" w:cs="Book Antiqua"/>
          <w:color w:val="000000"/>
          <w:szCs w:val="20"/>
        </w:rPr>
        <w:t>level</w:t>
      </w:r>
      <w:r>
        <w:rPr>
          <w:rFonts w:ascii="Book Antiqua" w:eastAsia="宋体"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was higher in HGC27-R and SGC7901-R cells </w:t>
      </w:r>
      <w:r>
        <w:rPr>
          <w:rFonts w:ascii="Book Antiqua" w:eastAsia="Book Antiqua" w:hAnsi="Book Antiqua" w:cs="Book Antiqua"/>
          <w:color w:val="000000"/>
          <w:szCs w:val="20"/>
        </w:rPr>
        <w:t xml:space="preserve">than </w:t>
      </w:r>
      <w:r>
        <w:rPr>
          <w:rFonts w:ascii="Book Antiqua" w:eastAsia="Book Antiqua" w:hAnsi="Book Antiqua" w:cs="Book Antiqua"/>
          <w:color w:val="000000"/>
          <w:szCs w:val="20"/>
        </w:rPr>
        <w:lastRenderedPageBreak/>
        <w:t>in</w:t>
      </w:r>
      <w:r>
        <w:rPr>
          <w:rFonts w:ascii="Book Antiqua" w:eastAsia="宋体"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the corresponding parental HGC27 and SGC7901 cells (Figure 1B and C).</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shd w:val="clear" w:color="auto" w:fill="FFFFFF"/>
        </w:rPr>
        <w:t>HGC27 cells with exogenous Skp2 overexpression were employed to investigate the potential decrease in antiproliferative activity associated with upregulated Skp2 expression. The results indicated a decline in trastuzumab activity in isogenic stable Skp2 transfectants (HGC27-OX-SKP2-2 cells) (Figure 1D and E). Additionally, transfection of the SKP2-targeted siRNA effectively downregulated Skp2 expression and significantly enhanced trastuzumab activity in HGC27-R cells (Figure 1F and G). These findings suggest a significant relationship between Skp2 expression and trastuzumab insensitivity, highlighting the importance of Skp2 as a potential therapeutic target in GC.</w:t>
      </w:r>
    </w:p>
    <w:p w14:paraId="42A6A871" w14:textId="77777777" w:rsidR="00F67380" w:rsidRDefault="00F67380">
      <w:pPr>
        <w:adjustRightInd w:val="0"/>
        <w:snapToGrid w:val="0"/>
        <w:spacing w:line="360" w:lineRule="auto"/>
        <w:jc w:val="both"/>
        <w:rPr>
          <w:rFonts w:ascii="Book Antiqua" w:eastAsia="Book Antiqua" w:hAnsi="Book Antiqua" w:cs="Book Antiqua"/>
          <w:color w:val="000000"/>
          <w:szCs w:val="20"/>
          <w:shd w:val="clear" w:color="auto" w:fill="FFFFFF"/>
        </w:rPr>
      </w:pPr>
    </w:p>
    <w:p w14:paraId="0E98CD4C" w14:textId="77777777" w:rsidR="00F67380"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szCs w:val="20"/>
        </w:rPr>
        <w:t>Thioridazine decreases Skp2 expression in GC</w:t>
      </w:r>
    </w:p>
    <w:p w14:paraId="170892B6"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A docking analysis conducted with the drug</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repurposing compound library revealed that thioridazine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exhibits favorable binding potential with Skp2. Thioridazine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exhibits a high binding potential (affinity score: -7.0 kcal/mol) for the active pocket of Skp2, as shown in Figure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2A. Specifically, thioridazine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engages in van der Waals, pi-alkyl and alkyl interactions with the branched-chain amino acids Leu130, Lys131, Pro132 and Ile205 in Skp2, resulting in a robust interaction between the ligand and the Skp2 protein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(Figure 2B and C). Cellular thermal shift assay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was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performed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to evaluate the binding afﬁnity of thioridazine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for the Skp2 protein. Administration of thioridazine increased the thermal stability of Skp2 but not of GAPDH (Figure 2D), implying a direct binding interaction between thioridazine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the Skp2 protein.</w:t>
      </w:r>
    </w:p>
    <w:p w14:paraId="3EF10923" w14:textId="77777777" w:rsidR="00F67380" w:rsidRDefault="00000000">
      <w:pPr>
        <w:adjustRightInd w:val="0"/>
        <w:snapToGrid w:val="0"/>
        <w:spacing w:line="360" w:lineRule="auto"/>
        <w:ind w:firstLineChars="200" w:firstLine="480"/>
        <w:jc w:val="both"/>
        <w:rPr>
          <w:rFonts w:ascii="Book Antiqua" w:eastAsia="Book Antiqua" w:hAnsi="Book Antiqua" w:cs="Book Antiqua"/>
          <w:color w:val="000000"/>
          <w:szCs w:val="20"/>
          <w:shd w:val="clear" w:color="auto" w:fill="FFFFFF"/>
        </w:rPr>
      </w:pPr>
      <w:r>
        <w:rPr>
          <w:rFonts w:ascii="Book Antiqua" w:eastAsia="Book Antiqua" w:hAnsi="Book Antiqua" w:cs="Book Antiqua"/>
          <w:color w:val="000000"/>
          <w:szCs w:val="20"/>
        </w:rPr>
        <w:t>To explore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the effect of thioridazine on Skp2 expression, HGC27-R</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SGC7901-R cells were treated with varying concentrations of thioridazine (0, 1.25, 2.5, and 5 µM). Western blot analysis revealed a notable decrease in the expression level of Skp2 protein after treatment with thioridazine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(Figure 2E</w:t>
      </w:r>
      <w:r>
        <w:rPr>
          <w:rFonts w:ascii="Book Antiqua" w:eastAsia="宋体" w:hAnsi="Book Antiqua" w:cs="Book Antiqua" w:hint="eastAsia"/>
          <w:color w:val="000000"/>
          <w:szCs w:val="20"/>
          <w:lang w:eastAsia="zh-CN"/>
        </w:rPr>
        <w:t xml:space="preserve"> and</w:t>
      </w:r>
      <w:r>
        <w:rPr>
          <w:rFonts w:ascii="Book Antiqua" w:eastAsia="Book Antiqua" w:hAnsi="Book Antiqua" w:cs="Book Antiqua"/>
          <w:color w:val="000000"/>
          <w:szCs w:val="20"/>
        </w:rPr>
        <w:t xml:space="preserve"> F). MG132 reversed the decrease in Skp2 protein expression induced by thioridazine, thereby indicating that thioridazine may increase the degradation of Skp2 </w:t>
      </w:r>
      <w:r>
        <w:rPr>
          <w:rFonts w:ascii="Book Antiqua" w:eastAsia="Book Antiqua" w:hAnsi="Book Antiqua" w:cs="Book Antiqua"/>
          <w:i/>
          <w:iCs/>
          <w:color w:val="000000"/>
          <w:szCs w:val="20"/>
        </w:rPr>
        <w:t>via</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the ubiquitin–proteasome pathway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(Figure 2G). Additionally,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the mRNA expression level of SKP2 exhibited a dose-dependent decline as the concentration of thioridazine increased, as shown in Figure 2H and I. It </w:t>
      </w:r>
      <w:r>
        <w:rPr>
          <w:rFonts w:ascii="Book Antiqua" w:eastAsia="Book Antiqua" w:hAnsi="Book Antiqua" w:cs="Book Antiqua"/>
          <w:color w:val="000000"/>
          <w:szCs w:val="20"/>
        </w:rPr>
        <w:lastRenderedPageBreak/>
        <w:t>has been established that Skp2 plays a role in governing the phosphorylation and activation of Akt in response to ErbB receptor signaling</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20"/>
        </w:rPr>
        <w:t>, and we found that the phosphorylation of Akt, which is stimulated by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EGF and facilitated by Skp2, was abolished after thioridazine treatment (Figure 2J). In a similar vein, our observations also revealed that Skp2 expression and Akt phosphorylation induced by heregulin was effectively inhibited through the administration of thioridazine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(Figure 2K). These results suggest that thioridazine can impede the Skp2-mediated Akt phosphorylation and activation induced by ligands of the ErbB2 family</w:t>
      </w:r>
      <w:r>
        <w:rPr>
          <w:rFonts w:ascii="Book Antiqua" w:eastAsia="Book Antiqua" w:hAnsi="Book Antiqua" w:cs="Book Antiqua"/>
          <w:color w:val="000000"/>
          <w:szCs w:val="20"/>
          <w:shd w:val="clear" w:color="auto" w:fill="FFFFFF"/>
        </w:rPr>
        <w:t>.</w:t>
      </w:r>
    </w:p>
    <w:p w14:paraId="3FF86652" w14:textId="77777777" w:rsidR="00F67380" w:rsidRDefault="00F67380">
      <w:pPr>
        <w:adjustRightInd w:val="0"/>
        <w:snapToGrid w:val="0"/>
        <w:spacing w:line="360" w:lineRule="auto"/>
        <w:jc w:val="both"/>
        <w:rPr>
          <w:rFonts w:ascii="Book Antiqua" w:eastAsia="Book Antiqua" w:hAnsi="Book Antiqua" w:cs="Book Antiqua"/>
          <w:color w:val="000000"/>
          <w:szCs w:val="20"/>
          <w:shd w:val="clear" w:color="auto" w:fill="FFFFFF"/>
        </w:rPr>
      </w:pPr>
    </w:p>
    <w:p w14:paraId="377A3321"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t>Thioridazine increases GC cell</w:t>
      </w:r>
      <w:r>
        <w:rPr>
          <w:rFonts w:ascii="Book Antiqua" w:eastAsia="宋体" w:hAnsi="Book Antiqua" w:cs="Book Antiqua" w:hint="eastAsia"/>
          <w:b/>
          <w:bCs/>
          <w:i/>
          <w:iCs/>
          <w:color w:val="000000"/>
          <w:szCs w:val="20"/>
          <w:lang w:eastAsia="zh-CN"/>
        </w:rPr>
        <w:t xml:space="preserve"> </w:t>
      </w:r>
      <w:r>
        <w:rPr>
          <w:rFonts w:ascii="Book Antiqua" w:eastAsia="Book Antiqua" w:hAnsi="Book Antiqua" w:cs="Book Antiqua"/>
          <w:b/>
          <w:bCs/>
          <w:i/>
          <w:iCs/>
          <w:color w:val="000000"/>
          <w:szCs w:val="20"/>
        </w:rPr>
        <w:t>sensitivity to trastuzumab in vitro and in vivo</w:t>
      </w:r>
    </w:p>
    <w:p w14:paraId="66083C92"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Furthermore, we verified that cotreatment with thioridazine and trastuzumab resulted in a further decrease in Skp2 expression (Figure 3A</w:t>
      </w:r>
      <w:r>
        <w:rPr>
          <w:rFonts w:ascii="Book Antiqua" w:eastAsia="宋体" w:hAnsi="Book Antiqua" w:cs="Book Antiqua" w:hint="eastAsia"/>
          <w:color w:val="000000"/>
          <w:szCs w:val="20"/>
          <w:lang w:eastAsia="zh-CN"/>
        </w:rPr>
        <w:t xml:space="preserve"> and</w:t>
      </w:r>
      <w:r>
        <w:rPr>
          <w:rFonts w:ascii="Book Antiqua" w:eastAsia="Book Antiqua" w:hAnsi="Book Antiqua" w:cs="Book Antiqua"/>
          <w:color w:val="000000"/>
          <w:szCs w:val="20"/>
        </w:rPr>
        <w:t xml:space="preserve"> B). We next assessed the effect of thioridazine on the proliferation and survival of HGC27-R and SGC7901-R cells. As shown in Figure 3C</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D, thioridazine significantly decreased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the viability and restored the trastuzumab sensitivity of HGC27-R and SGC7901-R cells. To determine whether thioridazine promotes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apoptosis in trastuzumab-resistant cells, we treated HGC27-R and SGC7901-R cells with thioridazine and trastuzumab alone and in combination. PARP is a substrate of caspases. PARP splicing is a key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indicator of apoptosis. As shown in Figure 3E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F, trastuzumab induced increased expression of Skp2 but not splicing of PARP. In contrast,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combined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treatment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with thioridazine and trastuzumab increased PARP splicing. The rate of early apoptotic HGC27-R cells treated with thioridazine was 2-fold that of HGC27-R cells treated with trastuzumab, and the difference even increased to 4-fold thioridazine was combined with trastuzumab (Figure 3G</w:t>
      </w:r>
      <w:r>
        <w:rPr>
          <w:rFonts w:ascii="Book Antiqua" w:eastAsia="宋体" w:hAnsi="Book Antiqua" w:cs="Book Antiqua" w:hint="eastAsia"/>
          <w:color w:val="000000"/>
          <w:szCs w:val="20"/>
          <w:lang w:eastAsia="zh-CN"/>
        </w:rPr>
        <w:t xml:space="preserve"> and</w:t>
      </w:r>
      <w:r>
        <w:rPr>
          <w:rFonts w:ascii="Book Antiqua" w:eastAsia="Book Antiqua" w:hAnsi="Book Antiqua" w:cs="Book Antiqua"/>
          <w:color w:val="000000"/>
          <w:szCs w:val="20"/>
        </w:rPr>
        <w:t xml:space="preserve"> H). These data suggest that thioridazine and trastuzumab synergistically suppress the proliferation and decrease the survival of GC cells.</w:t>
      </w:r>
    </w:p>
    <w:p w14:paraId="6508A718" w14:textId="77777777" w:rsidR="00F67380" w:rsidRDefault="00000000">
      <w:pPr>
        <w:adjustRightInd w:val="0"/>
        <w:snapToGrid w:val="0"/>
        <w:spacing w:line="360" w:lineRule="auto"/>
        <w:ind w:firstLineChars="200" w:firstLine="480"/>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To investigate the efficacy of trastuzumab and thioridazine in vivo, we treated mice bearing HGC27-R xenografts with trastuzumab and thioridazine alone or in combination. As monotherapies, trastuzumab and thioridazine showed a limited effect on tumor growth, whereas combined administration of trastuzumab and thioridazine </w:t>
      </w:r>
      <w:r>
        <w:rPr>
          <w:rFonts w:ascii="Book Antiqua" w:eastAsia="Book Antiqua" w:hAnsi="Book Antiqua" w:cs="Book Antiqua"/>
          <w:color w:val="000000"/>
          <w:szCs w:val="20"/>
        </w:rPr>
        <w:lastRenderedPageBreak/>
        <w:t>resulted in greater reductions in tumor volume and tumor weight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(Figure 3I and J). However, lower expression of Skp2 was found in xenograft tissues of the combined administration group (Figure 3K). These data demonstrate that thioridazine enhances the antitumor activity of trastuzumab </w:t>
      </w:r>
      <w:r>
        <w:rPr>
          <w:rFonts w:ascii="Book Antiqua" w:eastAsia="Book Antiqua" w:hAnsi="Book Antiqua" w:cs="Book Antiqua"/>
          <w:i/>
          <w:iCs/>
          <w:color w:val="000000"/>
          <w:szCs w:val="20"/>
        </w:rPr>
        <w:t>in vitro</w:t>
      </w:r>
      <w:r>
        <w:rPr>
          <w:rFonts w:ascii="Book Antiqua" w:eastAsia="Book Antiqua" w:hAnsi="Book Antiqua" w:cs="Book Antiqua"/>
          <w:color w:val="000000"/>
          <w:szCs w:val="20"/>
        </w:rPr>
        <w:t xml:space="preserve"> as well as </w:t>
      </w:r>
      <w:r>
        <w:rPr>
          <w:rFonts w:ascii="Book Antiqua" w:eastAsia="Book Antiqua" w:hAnsi="Book Antiqua" w:cs="Book Antiqua"/>
          <w:i/>
          <w:iCs/>
          <w:color w:val="000000"/>
          <w:szCs w:val="20"/>
        </w:rPr>
        <w:t>in vivo</w:t>
      </w:r>
      <w:r>
        <w:rPr>
          <w:rFonts w:ascii="Book Antiqua" w:eastAsia="Book Antiqua" w:hAnsi="Book Antiqua" w:cs="Book Antiqua"/>
          <w:color w:val="000000"/>
          <w:szCs w:val="20"/>
        </w:rPr>
        <w:t>.</w:t>
      </w:r>
    </w:p>
    <w:p w14:paraId="17FF3FCE" w14:textId="77777777" w:rsidR="00F67380" w:rsidRDefault="00F67380">
      <w:pPr>
        <w:adjustRightInd w:val="0"/>
        <w:snapToGrid w:val="0"/>
        <w:spacing w:line="360" w:lineRule="auto"/>
        <w:ind w:firstLineChars="200" w:firstLine="480"/>
        <w:jc w:val="both"/>
        <w:rPr>
          <w:rFonts w:ascii="Book Antiqua" w:eastAsia="Book Antiqua" w:hAnsi="Book Antiqua" w:cs="Book Antiqua"/>
          <w:color w:val="000000"/>
          <w:szCs w:val="20"/>
        </w:rPr>
      </w:pPr>
    </w:p>
    <w:p w14:paraId="363F6D85"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t>Thioridazine combined with lapatinib more effectively suppressed</w:t>
      </w:r>
      <w:r>
        <w:rPr>
          <w:rFonts w:ascii="Book Antiqua" w:eastAsia="宋体" w:hAnsi="Book Antiqua" w:cs="Book Antiqua" w:hint="eastAsia"/>
          <w:b/>
          <w:bCs/>
          <w:i/>
          <w:iCs/>
          <w:color w:val="000000"/>
          <w:szCs w:val="20"/>
          <w:lang w:eastAsia="zh-CN"/>
        </w:rPr>
        <w:t xml:space="preserve"> </w:t>
      </w:r>
      <w:r>
        <w:rPr>
          <w:rFonts w:ascii="Book Antiqua" w:eastAsia="Book Antiqua" w:hAnsi="Book Antiqua" w:cs="Book Antiqua"/>
          <w:b/>
          <w:bCs/>
          <w:i/>
          <w:iCs/>
          <w:color w:val="000000"/>
          <w:szCs w:val="20"/>
        </w:rPr>
        <w:t>glycolysis</w:t>
      </w:r>
      <w:r>
        <w:rPr>
          <w:rFonts w:ascii="Book Antiqua" w:eastAsia="宋体" w:hAnsi="Book Antiqua" w:cs="Book Antiqua" w:hint="eastAsia"/>
          <w:b/>
          <w:bCs/>
          <w:i/>
          <w:iCs/>
          <w:color w:val="000000"/>
          <w:szCs w:val="20"/>
          <w:lang w:eastAsia="zh-CN"/>
        </w:rPr>
        <w:t xml:space="preserve"> </w:t>
      </w:r>
      <w:r>
        <w:rPr>
          <w:rFonts w:ascii="Book Antiqua" w:eastAsia="Book Antiqua" w:hAnsi="Book Antiqua" w:cs="Book Antiqua"/>
          <w:b/>
          <w:bCs/>
          <w:i/>
          <w:iCs/>
          <w:color w:val="000000"/>
          <w:szCs w:val="20"/>
        </w:rPr>
        <w:t>mediated by Skp2</w:t>
      </w:r>
    </w:p>
    <w:p w14:paraId="3A595D2F" w14:textId="77777777" w:rsidR="00F67380"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Trastuzumab-resistant advanced breast cancer responds to lapatinib, a dual tyrosine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kinase inhibitor (TKI), according to the results of the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phase III trial EGF104900</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and the </w:t>
      </w:r>
      <w:hyperlink r:id="rId8" w:history="1">
        <w:r>
          <w:rPr>
            <w:rStyle w:val="10"/>
            <w:rFonts w:ascii="Book Antiqua" w:eastAsia="Book Antiqua" w:hAnsi="Book Antiqua" w:cs="Book Antiqua"/>
            <w:color w:val="000000"/>
            <w:szCs w:val="20"/>
          </w:rPr>
          <w:t>HER2CLIMB Randomized Clinical Trial</w:t>
        </w:r>
      </w:hyperlink>
      <w:r>
        <w:rPr>
          <w:rFonts w:ascii="Book Antiqua" w:eastAsia="Book Antiqua" w:hAnsi="Book Antiqua" w:cs="Book Antiqua"/>
          <w:color w:val="000000"/>
          <w:vertAlign w:val="superscript"/>
        </w:rPr>
        <w:t>[30,31]</w:t>
      </w:r>
      <w:r>
        <w:rPr>
          <w:rFonts w:ascii="Book Antiqua" w:eastAsia="Book Antiqua" w:hAnsi="Book Antiqua" w:cs="Book Antiqua"/>
          <w:color w:val="000000"/>
          <w:szCs w:val="20"/>
        </w:rPr>
        <w:t>. However, the addition of lapatinib to a regimen of capecitabine and oxaliplatin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did not improve overall survival (OS) in patients with HER2-amplified gastroesophageal adenocarcinoma</w:t>
      </w:r>
      <w:r>
        <w:rPr>
          <w:rFonts w:ascii="Book Antiqua" w:eastAsia="Book Antiqua" w:hAnsi="Book Antiqua" w:cs="Book Antiqua"/>
          <w:color w:val="000000"/>
          <w:vertAlign w:val="superscript"/>
        </w:rPr>
        <w:t>[32]</w:t>
      </w:r>
      <w:r>
        <w:rPr>
          <w:rFonts w:ascii="Book Antiqua" w:eastAsia="Book Antiqua" w:hAnsi="Book Antiqua" w:cs="Book Antiqua"/>
          <w:color w:val="000000"/>
          <w:szCs w:val="20"/>
        </w:rPr>
        <w:t>. In addition, lapatinib plus paclitaxel demonstrated activity in the second-line treatment of patients with HER2 FISH-positive IHC3+</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advanced GC</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but did not significantly improve OS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 the intent-to-treat population</w:t>
      </w:r>
      <w:r>
        <w:rPr>
          <w:rFonts w:ascii="Book Antiqua" w:eastAsia="Book Antiqua" w:hAnsi="Book Antiqua" w:cs="Book Antiqua"/>
          <w:color w:val="000000"/>
          <w:vertAlign w:val="superscript"/>
        </w:rPr>
        <w:t>[33]</w:t>
      </w:r>
      <w:r>
        <w:rPr>
          <w:rFonts w:ascii="Book Antiqua" w:eastAsia="Book Antiqua" w:hAnsi="Book Antiqua" w:cs="Book Antiqua"/>
          <w:color w:val="000000"/>
        </w:rPr>
        <w:t>. Here, we explored the effect of combination treatment with lapatinib and thioridazine on the glycolytic phenotype in GC cells. The combination of thioridazine and lapatinib completely abolished Skp2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expression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4A-C). It has been reported that Skp2 regulates glycolysis by inducing Glut1 expression and Akt/mTOR pathway activation</w:t>
      </w:r>
      <w:r>
        <w:rPr>
          <w:rFonts w:ascii="Book Antiqua" w:eastAsia="Book Antiqua" w:hAnsi="Book Antiqua" w:cs="Book Antiqua"/>
          <w:color w:val="000000"/>
          <w:vertAlign w:val="superscript"/>
        </w:rPr>
        <w:t>[34,35]</w:t>
      </w:r>
      <w:r>
        <w:rPr>
          <w:rFonts w:ascii="Book Antiqua" w:eastAsia="Book Antiqua" w:hAnsi="Book Antiqua" w:cs="Book Antiqua"/>
          <w:color w:val="000000"/>
        </w:rPr>
        <w:t xml:space="preserve">. </w:t>
      </w:r>
      <w:r>
        <w:rPr>
          <w:rFonts w:ascii="Book Antiqua" w:eastAsia="Book Antiqua" w:hAnsi="Book Antiqua" w:cs="Book Antiqua"/>
          <w:color w:val="000000"/>
          <w:szCs w:val="20"/>
        </w:rPr>
        <w:t>The decreased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protein levels of p-Akt, p-mTOR, and Glut1</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were consistent with the downregulation of Skp2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(Figure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4A-C). Furthermore, both glucose uptake and lactate production were decreased more apparently in HGC27-R and SGC7901-R cells treated with thioridazine and lapatinib together than in those treated with either alone (Figure 4D-G). Compared to siRNA-NC-transfected cells, HGC27 cells transfected with SKP2-2 siRNA did not show inhibitory effects of thioridazine on glucose uptake or lactate production (Figure 4H</w:t>
      </w:r>
      <w:r>
        <w:rPr>
          <w:rFonts w:ascii="Book Antiqua" w:eastAsia="宋体" w:hAnsi="Book Antiqua" w:cs="Book Antiqua" w:hint="eastAsia"/>
          <w:color w:val="000000"/>
          <w:szCs w:val="20"/>
          <w:lang w:eastAsia="zh-CN"/>
        </w:rPr>
        <w:t xml:space="preserve"> and</w:t>
      </w:r>
      <w:r>
        <w:rPr>
          <w:rFonts w:ascii="Book Antiqua" w:eastAsia="Book Antiqua" w:hAnsi="Book Antiqua" w:cs="Book Antiqua"/>
          <w:color w:val="000000"/>
          <w:szCs w:val="20"/>
        </w:rPr>
        <w:t xml:space="preserve"> I). These results indicate that in combination, thioridazine and lapatinib</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can markedly suppress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glycolysis by downregulating</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Skp2 in trastuzumab-resistant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GC cells.</w:t>
      </w:r>
    </w:p>
    <w:p w14:paraId="1158B40F" w14:textId="77777777" w:rsidR="00F67380" w:rsidRDefault="00F67380">
      <w:pPr>
        <w:adjustRightInd w:val="0"/>
        <w:snapToGrid w:val="0"/>
        <w:spacing w:line="360" w:lineRule="auto"/>
        <w:jc w:val="both"/>
        <w:rPr>
          <w:rFonts w:ascii="Book Antiqua" w:eastAsia="Book Antiqua" w:hAnsi="Book Antiqua" w:cs="Book Antiqua"/>
          <w:color w:val="000000"/>
          <w:szCs w:val="20"/>
        </w:rPr>
      </w:pPr>
    </w:p>
    <w:p w14:paraId="13007114" w14:textId="77777777" w:rsidR="00F67380"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0"/>
        </w:rPr>
        <w:t>Thioridazine improves the inhibitory effect of lapatinib on GC cells</w:t>
      </w:r>
    </w:p>
    <w:p w14:paraId="12FEC6A3"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lastRenderedPageBreak/>
        <w:t>We further examined the anticancer effect of thioridazine combined with lapatinib. As shown in Figure 5A-C, thioridazine significantly enhanced the anti-proliferative activity of lapatinib in GC cells (HGC27-R, SGC-7901, and NCI-N87-R). Thioridazine (5 µM) in combination with lapatinib (1 or 2 µM) markedly increased apoptosis in HGC27-R and SGC7901-R cells (Figure 5D-F).</w:t>
      </w:r>
    </w:p>
    <w:p w14:paraId="531721CC" w14:textId="77777777" w:rsidR="00F67380"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Moreover, Figure 6A-C shows that combined administration of thioridazine and lapatinib strongly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decreased the growth,</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volume, and weight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of tumors in mice bearing SGC7901-R xenografts. No toxic or</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side effects were observed during the administration period, and the weight of the mice did not significantly decrease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(Figure 6D). Lower expression of Skp2 was found in the combined thioridazine and lapatinib treatment group than in the other groups (Figure 6E). The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protein levels of Skp2, p-Akt, and Glut1 were greatly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decreased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 xenograft tissues from mice treated with both thioridazine and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lapatinib (Figure 6F). These data demonstrate that thioridazine enhances the antitumor activity of lapatinib by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inhibiting Skp2 expression </w:t>
      </w:r>
      <w:r>
        <w:rPr>
          <w:rFonts w:ascii="Book Antiqua" w:eastAsia="Book Antiqua" w:hAnsi="Book Antiqua" w:cs="Book Antiqua"/>
          <w:i/>
          <w:iCs/>
          <w:color w:val="000000"/>
          <w:szCs w:val="20"/>
        </w:rPr>
        <w:t>in vitro</w:t>
      </w:r>
      <w:r>
        <w:rPr>
          <w:rFonts w:ascii="Book Antiqua" w:eastAsia="Book Antiqua" w:hAnsi="Book Antiqua" w:cs="Book Antiqua"/>
          <w:color w:val="000000"/>
          <w:szCs w:val="20"/>
        </w:rPr>
        <w:t xml:space="preserve"> and </w:t>
      </w:r>
      <w:r>
        <w:rPr>
          <w:rFonts w:ascii="Book Antiqua" w:eastAsia="Book Antiqua" w:hAnsi="Book Antiqua" w:cs="Book Antiqua"/>
          <w:i/>
          <w:iCs/>
          <w:color w:val="000000"/>
          <w:szCs w:val="20"/>
        </w:rPr>
        <w:t>in vivo</w:t>
      </w:r>
      <w:r>
        <w:rPr>
          <w:rFonts w:ascii="Book Antiqua" w:eastAsia="Book Antiqua" w:hAnsi="Book Antiqua" w:cs="Book Antiqua"/>
          <w:color w:val="000000"/>
          <w:szCs w:val="20"/>
        </w:rPr>
        <w:t>.</w:t>
      </w:r>
    </w:p>
    <w:p w14:paraId="39786CFF" w14:textId="77777777" w:rsidR="00F67380"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Our study demonstrates that thioridazine can overcome trastuzumab resistance by blocking glycolysis, growth,</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apoptosis resistance by downregulating the expression of Skp2 in GC cells.</w:t>
      </w:r>
    </w:p>
    <w:p w14:paraId="5BFA3CF7" w14:textId="77777777" w:rsidR="00F67380" w:rsidRDefault="00F67380">
      <w:pPr>
        <w:adjustRightInd w:val="0"/>
        <w:snapToGrid w:val="0"/>
        <w:spacing w:line="360" w:lineRule="auto"/>
        <w:jc w:val="both"/>
        <w:rPr>
          <w:rFonts w:ascii="Book Antiqua" w:hAnsi="Book Antiqua" w:cs="Book Antiqua"/>
        </w:rPr>
      </w:pPr>
    </w:p>
    <w:p w14:paraId="2A01B0C4"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1DE70B4C"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It has been confirmed that HER-2 has the most outstanding clinical significance in advanced GC. However, targeting HER-2 in advanced GC remains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challenging due to the high heterogeneity and subsequent resistance caused by prolonged therapy. Despite the development of numerous HER2-targeted drugs, including antibody-drug conjugates, TKI</w:t>
      </w:r>
      <w:r>
        <w:rPr>
          <w:rFonts w:ascii="Book Antiqua" w:eastAsia="宋体" w:hAnsi="Book Antiqua" w:cs="Book Antiqua" w:hint="eastAsia"/>
          <w:color w:val="000000"/>
          <w:szCs w:val="20"/>
          <w:lang w:eastAsia="zh-CN"/>
        </w:rPr>
        <w:t>s</w:t>
      </w:r>
      <w:r>
        <w:rPr>
          <w:rFonts w:ascii="Book Antiqua" w:eastAsia="Book Antiqua" w:hAnsi="Book Antiqua" w:cs="Book Antiqua"/>
          <w:color w:val="000000"/>
          <w:szCs w:val="20"/>
        </w:rPr>
        <w:t>, bispecific antibodies, vaccines, and immune checkpoint inhibitors, to combat trastuzumab resistance in HER2-positive breast cancer, the efficacy of these treatments in HER2-positive GC</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remains uncertain.</w:t>
      </w:r>
    </w:p>
    <w:p w14:paraId="43A93003" w14:textId="77777777" w:rsidR="00F67380"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Trastuzumab combined with palbociclib, a CDK4/6 inhibitor, was demonstrated to yield favorable survival outcomes in patients with advanced breast cancer</w:t>
      </w:r>
      <w:r>
        <w:rPr>
          <w:rFonts w:ascii="Book Antiqua" w:eastAsia="Book Antiqua" w:hAnsi="Book Antiqua" w:cs="Book Antiqua"/>
          <w:color w:val="000000"/>
          <w:vertAlign w:val="superscript"/>
        </w:rPr>
        <w:t>[36,37]</w:t>
      </w:r>
      <w:r>
        <w:rPr>
          <w:rFonts w:ascii="Book Antiqua" w:eastAsia="Book Antiqua" w:hAnsi="Book Antiqua" w:cs="Book Antiqua"/>
          <w:color w:val="000000"/>
          <w:szCs w:val="20"/>
        </w:rPr>
        <w:t xml:space="preserve">. Multiple studies have demonstrated that the simultaneous administration of </w:t>
      </w:r>
      <w:r>
        <w:rPr>
          <w:rFonts w:ascii="Book Antiqua" w:eastAsia="Book Antiqua" w:hAnsi="Book Antiqua" w:cs="Book Antiqua"/>
          <w:color w:val="000000"/>
          <w:szCs w:val="20"/>
        </w:rPr>
        <w:lastRenderedPageBreak/>
        <w:t>supplementary inhibitors, including figitumumab (an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insulin-like growth factor 1 receptor inhibitor), ipatasertib (</w:t>
      </w:r>
      <w:r>
        <w:rPr>
          <w:rFonts w:ascii="Book Antiqua" w:eastAsia="宋体" w:hAnsi="Book Antiqua" w:cs="Book Antiqua" w:hint="eastAsia"/>
          <w:color w:val="000000"/>
          <w:szCs w:val="20"/>
          <w:lang w:eastAsia="zh-CN"/>
        </w:rPr>
        <w:t xml:space="preserve">an </w:t>
      </w:r>
      <w:r>
        <w:rPr>
          <w:rFonts w:ascii="Book Antiqua" w:eastAsia="Book Antiqua" w:hAnsi="Book Antiqua" w:cs="Book Antiqua"/>
          <w:color w:val="000000"/>
          <w:szCs w:val="20"/>
        </w:rPr>
        <w:t>AKT inhibitor), and MK2206 (</w:t>
      </w:r>
      <w:r>
        <w:rPr>
          <w:rFonts w:ascii="Book Antiqua" w:eastAsia="宋体" w:hAnsi="Book Antiqua" w:cs="Book Antiqua" w:hint="eastAsia"/>
          <w:color w:val="000000"/>
          <w:szCs w:val="20"/>
          <w:lang w:eastAsia="zh-CN"/>
        </w:rPr>
        <w:t xml:space="preserve">another </w:t>
      </w:r>
      <w:r>
        <w:rPr>
          <w:rFonts w:ascii="Book Antiqua" w:eastAsia="Book Antiqua" w:hAnsi="Book Antiqua" w:cs="Book Antiqua"/>
          <w:color w:val="000000"/>
          <w:szCs w:val="20"/>
        </w:rPr>
        <w:t>AKT inhibitor), in individuals with HER2-overexpressing tumors increases the efficacy of trastuzumab</w:t>
      </w:r>
      <w:r>
        <w:rPr>
          <w:rFonts w:ascii="Book Antiqua" w:eastAsia="Book Antiqua" w:hAnsi="Book Antiqua" w:cs="Book Antiqua"/>
          <w:color w:val="000000"/>
          <w:vertAlign w:val="superscript"/>
        </w:rPr>
        <w:t>[38-40]</w:t>
      </w:r>
      <w:r>
        <w:rPr>
          <w:rFonts w:ascii="Book Antiqua" w:eastAsia="Book Antiqua" w:hAnsi="Book Antiqua" w:cs="Book Antiqua"/>
          <w:color w:val="000000"/>
          <w:szCs w:val="20"/>
        </w:rPr>
        <w:t>. However, additional extensive research is needed for clinical incorporation of these agents. In contrast to the aforementioned drugs currently under development, the expedited introduction of approved drugs for new therapeutic applications could be facilitated in the clinical market. For example, the potential of combining trastuzumab with metformin as an innovative adjuvant therapy for HER-2-positive breast cancer is being investigated in an ongoing phase II clinical trial</w:t>
      </w:r>
      <w:r>
        <w:rPr>
          <w:rFonts w:ascii="Book Antiqua" w:eastAsia="Book Antiqua" w:hAnsi="Book Antiqua" w:cs="Book Antiqua"/>
          <w:color w:val="000000"/>
          <w:vertAlign w:val="superscript"/>
        </w:rPr>
        <w:t>[41]</w:t>
      </w:r>
      <w:r>
        <w:rPr>
          <w:rFonts w:ascii="Book Antiqua" w:eastAsia="Book Antiqua" w:hAnsi="Book Antiqua" w:cs="Book Antiqua"/>
          <w:color w:val="000000"/>
          <w:szCs w:val="20"/>
        </w:rPr>
        <w:t>. Our findings in the current study highlight the ability of thioridazine to augment the effect of trastuzumab</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 GC.</w:t>
      </w:r>
    </w:p>
    <w:p w14:paraId="4CA3AEEB" w14:textId="77777777" w:rsidR="00F67380"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 xml:space="preserve">The antipsychotic drug thioridazine was first discovered as a phenothiazine-type piperidine drug. In 2013, Sachlos </w:t>
      </w:r>
      <w:r>
        <w:rPr>
          <w:rFonts w:ascii="Book Antiqua" w:eastAsia="Book Antiqua" w:hAnsi="Book Antiqua" w:cs="Book Antiqua"/>
          <w:i/>
          <w:iCs/>
          <w:color w:val="000000"/>
          <w:szCs w:val="20"/>
        </w:rPr>
        <w:t>et al</w:t>
      </w:r>
      <w:r>
        <w:rPr>
          <w:rFonts w:ascii="Book Antiqua" w:eastAsia="Book Antiqua" w:hAnsi="Book Antiqua" w:cs="Book Antiqua"/>
          <w:color w:val="000000"/>
          <w:vertAlign w:val="superscript"/>
        </w:rPr>
        <w:t>[42]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first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discovered that thioridazine can induce the differentiation of acute myeloid leukemia cells and breast cancer stem cells and increase sensitivity to doxorubicin without affecting the function of normal hematopoietic stem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 It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has been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shown that thioridazine can inhibit the expression of a multidrug resistance protein (P-gp)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increase sensitivity to chemotherapy drugs in glioblastoma</w:t>
      </w:r>
      <w:r>
        <w:rPr>
          <w:rFonts w:ascii="Book Antiqua" w:eastAsia="Book Antiqua" w:hAnsi="Book Antiqua" w:cs="Book Antiqua"/>
          <w:color w:val="000000"/>
          <w:vertAlign w:val="superscript"/>
        </w:rPr>
        <w:t>[43]</w:t>
      </w:r>
      <w:r>
        <w:rPr>
          <w:rFonts w:ascii="Book Antiqua" w:eastAsia="Book Antiqua" w:hAnsi="Book Antiqua" w:cs="Book Antiqua"/>
          <w:color w:val="000000"/>
          <w:szCs w:val="20"/>
        </w:rPr>
        <w:t>. In addition to inducing</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reactive oxygen species accumulation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DNA damage, thioridazine can increase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autophagy and apoptosis in ovarian cancer cells</w:t>
      </w:r>
      <w:r>
        <w:rPr>
          <w:rFonts w:ascii="Book Antiqua" w:eastAsia="Book Antiqua" w:hAnsi="Book Antiqua" w:cs="Book Antiqua"/>
          <w:color w:val="000000"/>
          <w:vertAlign w:val="superscript"/>
        </w:rPr>
        <w:t>[44]</w:t>
      </w:r>
      <w:r>
        <w:rPr>
          <w:rFonts w:ascii="Book Antiqua" w:eastAsia="Book Antiqua" w:hAnsi="Book Antiqua" w:cs="Book Antiqua"/>
          <w:color w:val="000000"/>
        </w:rPr>
        <w:t>. It reduces ovarian cancer angiogenesis by inhibiting vascular endothelial growth factor receptor</w:t>
      </w:r>
      <w:r>
        <w:rPr>
          <w:rFonts w:ascii="Book Antiqua" w:eastAsia="宋体" w:hAnsi="Book Antiqua" w:cs="Book Antiqua" w:hint="eastAsia"/>
          <w:color w:val="000000"/>
          <w:lang w:eastAsia="zh-CN"/>
        </w:rPr>
        <w:t>-2</w:t>
      </w:r>
      <w:r>
        <w:rPr>
          <w:rFonts w:ascii="Book Antiqua" w:eastAsia="Book Antiqua" w:hAnsi="Book Antiqua" w:cs="Book Antiqua"/>
          <w:color w:val="000000"/>
        </w:rPr>
        <w:t>, PI3K, and mTOR signaling</w:t>
      </w:r>
      <w:r>
        <w:rPr>
          <w:rFonts w:ascii="Book Antiqua" w:eastAsia="Book Antiqua" w:hAnsi="Book Antiqua" w:cs="Book Antiqua"/>
          <w:color w:val="000000"/>
          <w:vertAlign w:val="superscript"/>
        </w:rPr>
        <w:t>[45]</w:t>
      </w:r>
      <w:r>
        <w:rPr>
          <w:rFonts w:ascii="Book Antiqua" w:eastAsia="Book Antiqua" w:hAnsi="Book Antiqua" w:cs="Book Antiqua"/>
          <w:color w:val="000000"/>
        </w:rPr>
        <w:t>. Recent studies have demonstrated that thiolidazine exhibits the potential to augment the susceptibility of glioblastoma cells towards temozolomide through the inhibition of autophagy</w:t>
      </w:r>
      <w:r>
        <w:rPr>
          <w:rFonts w:ascii="Book Antiqua" w:eastAsia="Book Antiqua" w:hAnsi="Book Antiqua" w:cs="Book Antiqua"/>
          <w:color w:val="000000"/>
          <w:vertAlign w:val="superscript"/>
        </w:rPr>
        <w:t>[46]</w:t>
      </w:r>
      <w:r>
        <w:rPr>
          <w:rFonts w:ascii="Book Antiqua" w:eastAsia="Book Antiqua" w:hAnsi="Book Antiqua" w:cs="Book Antiqua"/>
          <w:color w:val="000000"/>
        </w:rPr>
        <w:t>. Furthermore, the concurrent administration of thiazidine and oxaliplatin has been found to stimulate immunogenic cell death in colon cancer by inducing endoplasmic reticulum stress</w:t>
      </w:r>
      <w:r>
        <w:rPr>
          <w:rFonts w:ascii="Book Antiqua" w:eastAsia="Book Antiqua" w:hAnsi="Book Antiqua" w:cs="Book Antiqua"/>
          <w:color w:val="000000"/>
          <w:vertAlign w:val="superscript"/>
        </w:rPr>
        <w:t>[47]</w:t>
      </w:r>
      <w:r>
        <w:rPr>
          <w:rFonts w:ascii="Book Antiqua" w:eastAsia="Book Antiqua" w:hAnsi="Book Antiqua" w:cs="Book Antiqua"/>
          <w:color w:val="000000"/>
        </w:rPr>
        <w: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I</w:t>
      </w:r>
      <w:r>
        <w:rPr>
          <w:rFonts w:ascii="Book Antiqua" w:eastAsia="Book Antiqua" w:hAnsi="Book Antiqua" w:cs="Book Antiqua"/>
          <w:color w:val="000000"/>
          <w:szCs w:val="20"/>
        </w:rPr>
        <w:t>n this study, we first revealed that thioridazine can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inhibit glycolysis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 GC by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downregulating</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Skp2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expression at both the transcriptional and translational levels. However, further evidence is needed to determine whether the main regulatory mechanism by which thioridazine regulates the expression and </w:t>
      </w:r>
      <w:r>
        <w:rPr>
          <w:rFonts w:ascii="Book Antiqua" w:eastAsia="Book Antiqua" w:hAnsi="Book Antiqua" w:cs="Book Antiqua"/>
          <w:color w:val="000000"/>
          <w:szCs w:val="20"/>
        </w:rPr>
        <w:lastRenderedPageBreak/>
        <w:t>function of Skp2 is mediated through transcriptional inhibition, posttranslational inhibition, or blockade by protein interactions. The effectiveness of combining thioridazine with other HER-2- or non-HER-2-targeted drugs,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such as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neratinib, tucatinib, and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apatinib, in treating trastuzumab-resistant GC remains uncertain.</w:t>
      </w:r>
    </w:p>
    <w:p w14:paraId="3E7A4051" w14:textId="77777777" w:rsidR="00F67380"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Based on our findings, Skp2 may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serve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as a predictor of the trastuzumab response in patients with HER-2-positive GC, thereby aiding in identifying the patient subgroups most likely to benefit from HER-2-targeted therapies. Additionally, our study underscores the advantageous impacts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of thioridazine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when used in combination with synergistic drugs for the management of GC. These findings offer valuable support for future clinical investigations aimed at exploring the potential of thioridazine as a viable treatment option for GC. Notably, HER-2-targeted drugs possess dosage-independent potential for cardiac toxicity. In addition, thioridazine has been reported to be associated with</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arrhythmias in a minority of schizophrenia</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patients. Consequently, when considering the administration of these drugs individually or in combination, it becomes imperative to exclude individuals with preexisting heart conditions and implement vigilant cardiac surveillance.</w:t>
      </w:r>
    </w:p>
    <w:p w14:paraId="7302402F" w14:textId="77777777" w:rsidR="00F67380" w:rsidRDefault="00F67380">
      <w:pPr>
        <w:adjustRightInd w:val="0"/>
        <w:snapToGrid w:val="0"/>
        <w:spacing w:line="360" w:lineRule="auto"/>
        <w:jc w:val="both"/>
        <w:rPr>
          <w:rFonts w:ascii="Book Antiqua" w:hAnsi="Book Antiqua" w:cs="Book Antiqua"/>
        </w:rPr>
      </w:pPr>
    </w:p>
    <w:p w14:paraId="38654655"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2047FD14"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shd w:val="clear" w:color="auto" w:fill="FFFFFF"/>
        </w:rPr>
        <w:t xml:space="preserve">In conclusion, our data </w:t>
      </w:r>
      <w:r>
        <w:rPr>
          <w:rFonts w:ascii="Book Antiqua" w:eastAsia="Book Antiqua" w:hAnsi="Book Antiqua" w:cs="Book Antiqua"/>
          <w:color w:val="000000"/>
          <w:szCs w:val="20"/>
        </w:rPr>
        <w:t>demonstrate</w:t>
      </w:r>
      <w:r>
        <w:rPr>
          <w:rFonts w:ascii="Book Antiqua" w:eastAsia="宋体"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that thioridazine</w:t>
      </w:r>
      <w:r>
        <w:rPr>
          <w:rFonts w:ascii="Book Antiqua" w:eastAsia="宋体"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combined with lapatinib</w:t>
      </w:r>
      <w:r>
        <w:rPr>
          <w:rFonts w:ascii="Book Antiqua" w:eastAsia="宋体"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exhibits synergistic effects in impeding cell proliferation,</w:t>
      </w:r>
      <w:r>
        <w:rPr>
          <w:rFonts w:ascii="Book Antiqua" w:eastAsia="宋体"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inducing apoptosis, and suppressing tumor growth</w:t>
      </w:r>
      <w:r>
        <w:rPr>
          <w:rFonts w:ascii="Book Antiqua" w:eastAsia="宋体"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rPr>
        <w:t>in</w:t>
      </w:r>
      <w:r>
        <w:rPr>
          <w:rFonts w:ascii="Book Antiqua" w:eastAsia="宋体"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rPr>
        <w:t>GC</w:t>
      </w:r>
      <w:r>
        <w:rPr>
          <w:rFonts w:ascii="Book Antiqua" w:eastAsia="Book Antiqua" w:hAnsi="Book Antiqua" w:cs="Book Antiqua"/>
          <w:color w:val="000000"/>
          <w:szCs w:val="20"/>
          <w:shd w:val="clear" w:color="auto" w:fill="FFFFFF"/>
        </w:rPr>
        <w: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shd w:val="clear" w:color="auto" w:fill="FFFFFF"/>
        </w:rPr>
        <w:t xml:space="preserve">This study provides an experimental foundation for the potential utilization of thioridazine in overcoming trastuzumab resistance in </w:t>
      </w:r>
      <w:r>
        <w:rPr>
          <w:rFonts w:ascii="Book Antiqua" w:eastAsia="Book Antiqua" w:hAnsi="Book Antiqua" w:cs="Book Antiqua"/>
          <w:color w:val="000000"/>
          <w:szCs w:val="20"/>
        </w:rPr>
        <w:t>GC</w:t>
      </w:r>
      <w:r>
        <w:rPr>
          <w:rFonts w:ascii="Book Antiqua" w:eastAsia="Book Antiqua" w:hAnsi="Book Antiqua" w:cs="Book Antiqua"/>
          <w:color w:val="000000"/>
          <w:szCs w:val="20"/>
          <w:shd w:val="clear" w:color="auto" w:fill="FFFFFF"/>
        </w:rPr>
        <w:t xml:space="preserve">. The objective of this study is to offer potential drug selection and administration strategies for patients with advanced </w:t>
      </w:r>
      <w:r>
        <w:rPr>
          <w:rFonts w:ascii="Book Antiqua" w:eastAsia="Book Antiqua" w:hAnsi="Book Antiqua" w:cs="Book Antiqua"/>
          <w:color w:val="000000"/>
          <w:szCs w:val="20"/>
        </w:rPr>
        <w:t>GC</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shd w:val="clear" w:color="auto" w:fill="FFFFFF"/>
        </w:rPr>
        <w:t>who exhibit resistance to trastuzumab. Furthermore, these findings offer novel insights for the future investigation of Skp2 inhibitors.</w:t>
      </w:r>
    </w:p>
    <w:p w14:paraId="04C4A5B6" w14:textId="77777777" w:rsidR="00F67380" w:rsidRDefault="00F67380">
      <w:pPr>
        <w:adjustRightInd w:val="0"/>
        <w:snapToGrid w:val="0"/>
        <w:spacing w:line="360" w:lineRule="auto"/>
        <w:jc w:val="both"/>
        <w:rPr>
          <w:rFonts w:ascii="Book Antiqua" w:hAnsi="Book Antiqua" w:cs="Book Antiqua"/>
        </w:rPr>
      </w:pPr>
    </w:p>
    <w:p w14:paraId="0715E880" w14:textId="77777777" w:rsidR="00F67380" w:rsidRDefault="00000000">
      <w:pPr>
        <w:adjustRightInd w:val="0"/>
        <w:snapToGrid w:val="0"/>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ARTICLE HIGHLIGHTS</w:t>
      </w:r>
    </w:p>
    <w:p w14:paraId="6E851E82"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03F06148" w14:textId="77777777" w:rsidR="00F67380"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lastRenderedPageBreak/>
        <w:t>The drug resistance observed in patients with human epidermal growth factor receptor 2 (HER-2)-positive advanced gastric cancer</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GC</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treated with trastuzumab is a significant concern, as no established targeted therapy regimen for use after the development of drug resistance is available. </w:t>
      </w:r>
      <w:r>
        <w:rPr>
          <w:rFonts w:ascii="Book Antiqua" w:eastAsia="Book Antiqua" w:hAnsi="Book Antiqua" w:cs="Book Antiqua"/>
          <w:szCs w:val="20"/>
        </w:rPr>
        <w:t>S-phase kinase associated protein 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Skp2</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has been identified as a crucial target for GC treatment; however, the development of new</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drugs targeting Skp2 remains a considerable challenge.</w:t>
      </w:r>
    </w:p>
    <w:p w14:paraId="37D0CAF8" w14:textId="77777777" w:rsidR="00F67380" w:rsidRDefault="00F67380">
      <w:pPr>
        <w:adjustRightInd w:val="0"/>
        <w:snapToGrid w:val="0"/>
        <w:spacing w:line="360" w:lineRule="auto"/>
        <w:jc w:val="both"/>
        <w:rPr>
          <w:rFonts w:ascii="Book Antiqua" w:eastAsia="Book Antiqua" w:hAnsi="Book Antiqua" w:cs="Book Antiqua"/>
          <w:color w:val="000000"/>
          <w:szCs w:val="20"/>
        </w:rPr>
      </w:pPr>
    </w:p>
    <w:p w14:paraId="60074E54"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1354DC3D" w14:textId="77777777" w:rsidR="00F67380" w:rsidRDefault="00000000">
      <w:pPr>
        <w:adjustRightInd w:val="0"/>
        <w:snapToGrid w:val="0"/>
        <w:spacing w:line="360" w:lineRule="auto"/>
        <w:jc w:val="both"/>
        <w:rPr>
          <w:rFonts w:ascii="Book Antiqua" w:eastAsia="Book Antiqua" w:hAnsi="Book Antiqua" w:cs="Book Antiqua"/>
          <w:color w:val="000000"/>
          <w:szCs w:val="20"/>
          <w:shd w:val="clear" w:color="auto" w:fill="FFFFFF"/>
        </w:rPr>
      </w:pPr>
      <w:r>
        <w:rPr>
          <w:rFonts w:ascii="Book Antiqua" w:eastAsia="Book Antiqua" w:hAnsi="Book Antiqua" w:cs="Book Antiqua"/>
          <w:color w:val="000000"/>
          <w:szCs w:val="20"/>
          <w:shd w:val="clear" w:color="auto" w:fill="FFFFFF"/>
        </w:rPr>
        <w:t xml:space="preserve">To investigate potential pharmacological interventions targeting Skp2 to increase the efficacy of subsequent therapies for patients with HER-2-positive </w:t>
      </w:r>
      <w:r>
        <w:rPr>
          <w:rFonts w:ascii="Book Antiqua" w:eastAsia="Book Antiqua" w:hAnsi="Book Antiqua" w:cs="Book Antiqua"/>
          <w:color w:val="000000"/>
          <w:szCs w:val="20"/>
        </w:rPr>
        <w:t>GC</w:t>
      </w:r>
      <w:r>
        <w:rPr>
          <w:rFonts w:ascii="Book Antiqua" w:eastAsia="Book Antiqua" w:hAnsi="Book Antiqua" w:cs="Book Antiqua"/>
          <w:color w:val="000000"/>
          <w:szCs w:val="20"/>
          <w:shd w:val="clear" w:color="auto" w:fill="FFFFFF"/>
        </w:rPr>
        <w:t xml:space="preserve"> who have developed resistance to trastuzumab.</w:t>
      </w:r>
    </w:p>
    <w:p w14:paraId="3991BCF8" w14:textId="77777777" w:rsidR="00F67380" w:rsidRDefault="00F67380">
      <w:pPr>
        <w:adjustRightInd w:val="0"/>
        <w:snapToGrid w:val="0"/>
        <w:spacing w:line="360" w:lineRule="auto"/>
        <w:jc w:val="both"/>
        <w:rPr>
          <w:rFonts w:ascii="Book Antiqua" w:eastAsia="Book Antiqua" w:hAnsi="Book Antiqua" w:cs="Book Antiqua"/>
          <w:color w:val="000000"/>
          <w:szCs w:val="20"/>
          <w:shd w:val="clear" w:color="auto" w:fill="FFFFFF"/>
        </w:rPr>
      </w:pPr>
    </w:p>
    <w:p w14:paraId="270B4166"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75D8AE95" w14:textId="77777777" w:rsidR="00F67380" w:rsidRDefault="00000000">
      <w:pPr>
        <w:adjustRightInd w:val="0"/>
        <w:snapToGrid w:val="0"/>
        <w:spacing w:line="360" w:lineRule="auto"/>
        <w:jc w:val="both"/>
        <w:rPr>
          <w:rFonts w:ascii="Book Antiqua" w:eastAsia="Book Antiqua" w:hAnsi="Book Antiqua" w:cs="Book Antiqua"/>
          <w:color w:val="000000"/>
          <w:szCs w:val="20"/>
          <w:shd w:val="clear" w:color="auto" w:fill="FFFFFF"/>
        </w:rPr>
      </w:pPr>
      <w:r>
        <w:rPr>
          <w:rFonts w:ascii="Book Antiqua" w:eastAsia="Book Antiqua" w:hAnsi="Book Antiqua" w:cs="Book Antiqua"/>
          <w:color w:val="000000"/>
          <w:szCs w:val="20"/>
          <w:shd w:val="clear" w:color="auto" w:fill="FFFFFF"/>
        </w:rPr>
        <w:t>This study aims to elucidate the inhibitory</w:t>
      </w:r>
      <w:r>
        <w:rPr>
          <w:rFonts w:ascii="Book Antiqua" w:eastAsia="宋体"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effect</w:t>
      </w:r>
      <w:r>
        <w:rPr>
          <w:rFonts w:ascii="Book Antiqua" w:eastAsia="宋体"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of thioridazine on Skp2 expression </w:t>
      </w:r>
      <w:r>
        <w:rPr>
          <w:rFonts w:ascii="Book Antiqua" w:eastAsia="Book Antiqua" w:hAnsi="Book Antiqua" w:cs="Book Antiqua"/>
          <w:color w:val="000000"/>
          <w:szCs w:val="20"/>
        </w:rPr>
        <w:t xml:space="preserve">and </w:t>
      </w:r>
      <w:r>
        <w:rPr>
          <w:rFonts w:ascii="Book Antiqua" w:eastAsia="Book Antiqua" w:hAnsi="Book Antiqua" w:cs="Book Antiqua"/>
          <w:color w:val="000000"/>
          <w:szCs w:val="20"/>
          <w:shd w:val="clear" w:color="auto" w:fill="FFFFFF"/>
        </w:rPr>
        <w:t xml:space="preserve">to preliminarily assess the potential of thioridazine in reversing </w:t>
      </w:r>
      <w:r>
        <w:rPr>
          <w:rFonts w:ascii="Book Antiqua" w:eastAsia="Book Antiqua" w:hAnsi="Book Antiqua" w:cs="Book Antiqua"/>
          <w:color w:val="000000"/>
          <w:szCs w:val="20"/>
        </w:rPr>
        <w:t xml:space="preserve">the </w:t>
      </w:r>
      <w:r>
        <w:rPr>
          <w:rFonts w:ascii="Book Antiqua" w:eastAsia="Book Antiqua" w:hAnsi="Book Antiqua" w:cs="Book Antiqua"/>
          <w:color w:val="000000"/>
          <w:szCs w:val="20"/>
          <w:shd w:val="clear" w:color="auto" w:fill="FFFFFF"/>
        </w:rPr>
        <w:t xml:space="preserve">resistance of HER2-positive </w:t>
      </w:r>
      <w:r>
        <w:rPr>
          <w:rFonts w:ascii="Book Antiqua" w:eastAsia="Book Antiqua" w:hAnsi="Book Antiqua" w:cs="Book Antiqua"/>
          <w:color w:val="000000"/>
          <w:szCs w:val="20"/>
        </w:rPr>
        <w:t>GC</w:t>
      </w:r>
      <w:r>
        <w:rPr>
          <w:rFonts w:ascii="Book Antiqua" w:eastAsia="Book Antiqua" w:hAnsi="Book Antiqua" w:cs="Book Antiqua"/>
          <w:color w:val="000000"/>
          <w:szCs w:val="20"/>
          <w:shd w:val="clear" w:color="auto" w:fill="FFFFFF"/>
        </w:rPr>
        <w:t xml:space="preserve"> cells to trastuzumab through both </w:t>
      </w:r>
      <w:r>
        <w:rPr>
          <w:rFonts w:ascii="Book Antiqua" w:eastAsia="Book Antiqua" w:hAnsi="Book Antiqua" w:cs="Book Antiqua"/>
          <w:i/>
          <w:iCs/>
          <w:color w:val="000000"/>
          <w:szCs w:val="20"/>
          <w:shd w:val="clear" w:color="auto" w:fill="FFFFFF"/>
        </w:rPr>
        <w:t>in vivo</w:t>
      </w:r>
      <w:r>
        <w:rPr>
          <w:rFonts w:ascii="Book Antiqua" w:eastAsia="Book Antiqua" w:hAnsi="Book Antiqua" w:cs="Book Antiqua"/>
          <w:color w:val="000000"/>
          <w:szCs w:val="20"/>
          <w:shd w:val="clear" w:color="auto" w:fill="FFFFFF"/>
        </w:rPr>
        <w:t xml:space="preserve"> and </w:t>
      </w:r>
      <w:r>
        <w:rPr>
          <w:rFonts w:ascii="Book Antiqua" w:eastAsia="Book Antiqua" w:hAnsi="Book Antiqua" w:cs="Book Antiqua"/>
          <w:i/>
          <w:iCs/>
          <w:color w:val="000000"/>
          <w:szCs w:val="20"/>
          <w:shd w:val="clear" w:color="auto" w:fill="FFFFFF"/>
        </w:rPr>
        <w:t>in vitro</w:t>
      </w:r>
      <w:r>
        <w:rPr>
          <w:rFonts w:ascii="Book Antiqua" w:eastAsia="Book Antiqua" w:hAnsi="Book Antiqua" w:cs="Book Antiqua"/>
          <w:color w:val="000000"/>
          <w:szCs w:val="20"/>
          <w:shd w:val="clear" w:color="auto" w:fill="FFFFFF"/>
        </w:rPr>
        <w:t xml:space="preserve"> experiments.</w:t>
      </w:r>
    </w:p>
    <w:p w14:paraId="14AE83BE" w14:textId="77777777" w:rsidR="00F67380" w:rsidRDefault="00F67380">
      <w:pPr>
        <w:adjustRightInd w:val="0"/>
        <w:snapToGrid w:val="0"/>
        <w:spacing w:line="360" w:lineRule="auto"/>
        <w:jc w:val="both"/>
        <w:rPr>
          <w:rFonts w:ascii="Book Antiqua" w:eastAsia="Book Antiqua" w:hAnsi="Book Antiqua" w:cs="Book Antiqua"/>
          <w:color w:val="000000"/>
          <w:szCs w:val="20"/>
          <w:shd w:val="clear" w:color="auto" w:fill="FFFFFF"/>
        </w:rPr>
      </w:pPr>
    </w:p>
    <w:p w14:paraId="0600BC03"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6539641A"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The impact of altering the Skp2 protein expression level through overexpression or knockdown on the sensitivity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of HER2-positive GC cells to trastuzumab was assessed using a cell counting kit-8 assay. The influence of thioridazine on Skp2 protein expression was demonstrated through computational docking analysis and Cellular Thermal Shift Assay. Flow cytometry, a glucose uptake assay, a lactate production assay, and xenograft experiments in nude mice were employed to evaluate the effects of thioridazine alone or in combination with trastuzumab and lapatinib on the cell cycle, apoptosis, glucose metabolism, and tumor growth.</w:t>
      </w:r>
    </w:p>
    <w:p w14:paraId="65C22F4E" w14:textId="77777777" w:rsidR="00F67380" w:rsidRDefault="00F67380">
      <w:pPr>
        <w:adjustRightInd w:val="0"/>
        <w:snapToGrid w:val="0"/>
        <w:spacing w:line="360" w:lineRule="auto"/>
        <w:jc w:val="both"/>
        <w:rPr>
          <w:rFonts w:ascii="Book Antiqua" w:eastAsia="Book Antiqua" w:hAnsi="Book Antiqua" w:cs="Book Antiqua"/>
          <w:b/>
          <w:caps/>
          <w:color w:val="000000"/>
          <w:u w:val="single"/>
        </w:rPr>
      </w:pPr>
    </w:p>
    <w:p w14:paraId="659DB8D2"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6EC8494C" w14:textId="77777777" w:rsidR="00F67380"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lastRenderedPageBreak/>
        <w:t>Trastuzumab sensitivity can be increased in HER-2-positive GC cells through negative modulation of Skp2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expression. Thioridazine can selectively inhibit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Skp2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expression</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and the </w:t>
      </w:r>
      <w:r>
        <w:rPr>
          <w:rFonts w:ascii="Book Antiqua" w:eastAsia="Book Antiqua" w:hAnsi="Book Antiqua" w:cs="Book Antiqua" w:hint="eastAsia"/>
          <w:color w:val="000000"/>
          <w:szCs w:val="20"/>
        </w:rPr>
        <w:t>protein kinase B</w:t>
      </w:r>
      <w:r>
        <w:rPr>
          <w:rFonts w:ascii="Book Antiqua" w:eastAsia="Book Antiqua" w:hAnsi="Book Antiqua" w:cs="Book Antiqua"/>
          <w:color w:val="000000"/>
          <w:szCs w:val="20"/>
        </w:rPr>
        <w:t>/mammalian target of rapamycin signaling pathway. Thioridazine combined with lapatinib effectively reverses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trastuzumab resistance in GC cells by diminishing</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glycolysis.</w:t>
      </w:r>
    </w:p>
    <w:p w14:paraId="14B0CFDD" w14:textId="77777777" w:rsidR="00F67380" w:rsidRDefault="00F67380">
      <w:pPr>
        <w:adjustRightInd w:val="0"/>
        <w:snapToGrid w:val="0"/>
        <w:spacing w:line="360" w:lineRule="auto"/>
        <w:jc w:val="both"/>
        <w:rPr>
          <w:rFonts w:ascii="Book Antiqua" w:eastAsia="Book Antiqua" w:hAnsi="Book Antiqua" w:cs="Book Antiqua"/>
          <w:color w:val="000000"/>
          <w:szCs w:val="20"/>
        </w:rPr>
      </w:pPr>
    </w:p>
    <w:p w14:paraId="5E231073"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023AEA57"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Combining thioridazine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with lapatinib is a potential</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strategy</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to reverse trastuzumab resistance</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in GC by suppressing Skp2 expression.</w:t>
      </w:r>
    </w:p>
    <w:p w14:paraId="293CC7ED" w14:textId="77777777" w:rsidR="00F67380" w:rsidRDefault="00F67380">
      <w:pPr>
        <w:adjustRightInd w:val="0"/>
        <w:snapToGrid w:val="0"/>
        <w:spacing w:line="360" w:lineRule="auto"/>
        <w:jc w:val="both"/>
        <w:rPr>
          <w:rFonts w:ascii="Book Antiqua" w:hAnsi="Book Antiqua" w:cs="Book Antiqua"/>
        </w:rPr>
      </w:pPr>
    </w:p>
    <w:p w14:paraId="1BCE8B0C"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5DB8FB76"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Further investigation into the optimal combination ratio, initial dosage, and dose</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response correlation between thioridazine and lapatinib in GC xenograft models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will contribute to the development of more precise drug reference protocols for subsequent clinical trials. A new therapeutic strategy for the management of GC by simultaneous targeting of Skp2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and HER-2 could be introduced.</w:t>
      </w:r>
    </w:p>
    <w:p w14:paraId="1C93CF3C" w14:textId="77777777" w:rsidR="00F67380" w:rsidRDefault="00F67380">
      <w:pPr>
        <w:adjustRightInd w:val="0"/>
        <w:snapToGrid w:val="0"/>
        <w:spacing w:line="360" w:lineRule="auto"/>
        <w:jc w:val="both"/>
        <w:rPr>
          <w:rFonts w:ascii="Book Antiqua" w:hAnsi="Book Antiqua" w:cs="Book Antiqua"/>
        </w:rPr>
      </w:pPr>
    </w:p>
    <w:p w14:paraId="6D8203D1"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2FD94CA8" w14:textId="77777777" w:rsidR="00F67380" w:rsidRDefault="00000000">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Bray F</w:t>
      </w:r>
      <w:r>
        <w:rPr>
          <w:rFonts w:ascii="Book Antiqua" w:hAnsi="Book Antiqua" w:cs="Book Antiqua"/>
        </w:rPr>
        <w:t xml:space="preserve">, Ferlay J, Soerjomataram I, Siegel RL, Torre LA, Jemal A. Global cancer statistics 2018: GLOBOCAN estimates of incidence and mortality worldwide for 36 cancers in 185 countries. </w:t>
      </w:r>
      <w:r>
        <w:rPr>
          <w:rFonts w:ascii="Book Antiqua" w:hAnsi="Book Antiqua" w:cs="Book Antiqua"/>
          <w:i/>
          <w:iCs/>
        </w:rPr>
        <w:t>CA Cancer J Clin</w:t>
      </w:r>
      <w:r>
        <w:rPr>
          <w:rFonts w:ascii="Book Antiqua" w:hAnsi="Book Antiqua" w:cs="Book Antiqua"/>
        </w:rPr>
        <w:t xml:space="preserve"> 2018; </w:t>
      </w:r>
      <w:r>
        <w:rPr>
          <w:rFonts w:ascii="Book Antiqua" w:hAnsi="Book Antiqua" w:cs="Book Antiqua"/>
          <w:b/>
          <w:bCs/>
        </w:rPr>
        <w:t>68</w:t>
      </w:r>
      <w:r>
        <w:rPr>
          <w:rFonts w:ascii="Book Antiqua" w:hAnsi="Book Antiqua" w:cs="Book Antiqua"/>
        </w:rPr>
        <w:t>: 394-424 [PMID: 30207593 DOI: 10.3322/caac.21492]</w:t>
      </w:r>
    </w:p>
    <w:p w14:paraId="3E5E99E1" w14:textId="77777777" w:rsidR="00F67380"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Abrahao-Machado LF</w:t>
      </w:r>
      <w:r>
        <w:rPr>
          <w:rFonts w:ascii="Book Antiqua" w:hAnsi="Book Antiqua" w:cs="Book Antiqua"/>
        </w:rPr>
        <w:t xml:space="preserve">, Scapulatempo-Neto C. HER2 testing in gastric cancer: An update. </w:t>
      </w:r>
      <w:r>
        <w:rPr>
          <w:rFonts w:ascii="Book Antiqua" w:hAnsi="Book Antiqua" w:cs="Book Antiqua"/>
          <w:i/>
          <w:iCs/>
        </w:rPr>
        <w:t>World J Gastroenterol</w:t>
      </w:r>
      <w:r>
        <w:rPr>
          <w:rFonts w:ascii="Book Antiqua" w:hAnsi="Book Antiqua" w:cs="Book Antiqua"/>
        </w:rPr>
        <w:t xml:space="preserve"> 2016; </w:t>
      </w:r>
      <w:r>
        <w:rPr>
          <w:rFonts w:ascii="Book Antiqua" w:hAnsi="Book Antiqua" w:cs="Book Antiqua"/>
          <w:b/>
          <w:bCs/>
        </w:rPr>
        <w:t>22</w:t>
      </w:r>
      <w:r>
        <w:rPr>
          <w:rFonts w:ascii="Book Antiqua" w:hAnsi="Book Antiqua" w:cs="Book Antiqua"/>
        </w:rPr>
        <w:t>: 4619-4625 [PMID: 27217694 DOI: 10.3748/wjg.v22.i19.4619]</w:t>
      </w:r>
    </w:p>
    <w:p w14:paraId="4E422634" w14:textId="77777777" w:rsidR="00F67380" w:rsidRDefault="00000000">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Kurokawa Y</w:t>
      </w:r>
      <w:r>
        <w:rPr>
          <w:rFonts w:ascii="Book Antiqua" w:hAnsi="Book Antiqua" w:cs="Book Antiqua"/>
        </w:rPr>
        <w:t xml:space="preserve">, Matsuura N, Kimura Y, Adachi S, Fujita J, Imamura H, Kobayashi K, Yokoyama Y, Shaker MN, Takiguchi S, Mori M, Doki Y. Multicenter large-scale study of prognostic impact of HER2 expression in patients with resectable gastric cancer. </w:t>
      </w:r>
      <w:r>
        <w:rPr>
          <w:rFonts w:ascii="Book Antiqua" w:hAnsi="Book Antiqua" w:cs="Book Antiqua"/>
          <w:i/>
          <w:iCs/>
        </w:rPr>
        <w:t>Gastric Cancer</w:t>
      </w:r>
      <w:r>
        <w:rPr>
          <w:rFonts w:ascii="Book Antiqua" w:hAnsi="Book Antiqua" w:cs="Book Antiqua"/>
        </w:rPr>
        <w:t xml:space="preserve"> 2015; </w:t>
      </w:r>
      <w:r>
        <w:rPr>
          <w:rFonts w:ascii="Book Antiqua" w:hAnsi="Book Antiqua" w:cs="Book Antiqua"/>
          <w:b/>
          <w:bCs/>
        </w:rPr>
        <w:t>18</w:t>
      </w:r>
      <w:r>
        <w:rPr>
          <w:rFonts w:ascii="Book Antiqua" w:hAnsi="Book Antiqua" w:cs="Book Antiqua"/>
        </w:rPr>
        <w:t>: 691-697 [PMID: 25224659 DOI: 10.1007/s10120-014-0430-7]</w:t>
      </w:r>
    </w:p>
    <w:p w14:paraId="5AC06E15" w14:textId="77777777" w:rsidR="00F67380" w:rsidRDefault="00000000">
      <w:pPr>
        <w:spacing w:line="360" w:lineRule="auto"/>
        <w:jc w:val="both"/>
        <w:rPr>
          <w:rFonts w:ascii="Book Antiqua" w:hAnsi="Book Antiqua" w:cs="Book Antiqua"/>
        </w:rPr>
      </w:pPr>
      <w:r>
        <w:rPr>
          <w:rFonts w:ascii="Book Antiqua" w:hAnsi="Book Antiqua" w:cs="Book Antiqua"/>
        </w:rPr>
        <w:lastRenderedPageBreak/>
        <w:t xml:space="preserve">4 </w:t>
      </w:r>
      <w:r>
        <w:rPr>
          <w:rFonts w:ascii="Book Antiqua" w:hAnsi="Book Antiqua" w:cs="Book Antiqua"/>
          <w:b/>
          <w:bCs/>
        </w:rPr>
        <w:t>Liang JW</w:t>
      </w:r>
      <w:r>
        <w:rPr>
          <w:rFonts w:ascii="Book Antiqua" w:hAnsi="Book Antiqua" w:cs="Book Antiqua"/>
        </w:rPr>
        <w:t xml:space="preserve">, Zhang JJ, Zhang T, Zheng ZC. Clinicopathological and prognostic significance of HER2 overexpression in gastric cancer: a meta-analysis of the literature. </w:t>
      </w:r>
      <w:r>
        <w:rPr>
          <w:rFonts w:ascii="Book Antiqua" w:hAnsi="Book Antiqua" w:cs="Book Antiqua"/>
          <w:i/>
          <w:iCs/>
        </w:rPr>
        <w:t>Tumour Biol</w:t>
      </w:r>
      <w:r>
        <w:rPr>
          <w:rFonts w:ascii="Book Antiqua" w:hAnsi="Book Antiqua" w:cs="Book Antiqua"/>
        </w:rPr>
        <w:t xml:space="preserve"> 2014; </w:t>
      </w:r>
      <w:r>
        <w:rPr>
          <w:rFonts w:ascii="Book Antiqua" w:hAnsi="Book Antiqua" w:cs="Book Antiqua"/>
          <w:b/>
          <w:bCs/>
        </w:rPr>
        <w:t>35</w:t>
      </w:r>
      <w:r>
        <w:rPr>
          <w:rFonts w:ascii="Book Antiqua" w:hAnsi="Book Antiqua" w:cs="Book Antiqua"/>
        </w:rPr>
        <w:t>: 4849-4858 [PMID: 24449506 DOI: 10.1007/s13277-014-1636-3]</w:t>
      </w:r>
    </w:p>
    <w:p w14:paraId="234C09A0" w14:textId="77777777" w:rsidR="00F67380" w:rsidRDefault="0000000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Bang YJ</w:t>
      </w:r>
      <w:r>
        <w:rPr>
          <w:rFonts w:ascii="Book Antiqua" w:hAnsi="Book Antiqua" w:cs="Book Antiqua"/>
        </w:rPr>
        <w:t xml:space="preserve">, Van Cutsem E, Feyereislova A, Chung HC, Shen L, Sawaki A, Lordick F, Ohtsu A, Omuro Y, Satoh T, Aprile G, Kulikov E, Hill J, Lehle M, Rüschoff J, Kang YK; ToGA Trial Investigators. Trastuzumab in combination with chemotherapy versus chemotherapy alone for treatment of HER2-positive advanced gastric or gastro-oesophageal junction cancer (ToGA): a phase 3, open-label, randomised controlled trial. </w:t>
      </w:r>
      <w:r>
        <w:rPr>
          <w:rFonts w:ascii="Book Antiqua" w:hAnsi="Book Antiqua" w:cs="Book Antiqua"/>
          <w:i/>
          <w:iCs/>
        </w:rPr>
        <w:t>Lancet</w:t>
      </w:r>
      <w:r>
        <w:rPr>
          <w:rFonts w:ascii="Book Antiqua" w:hAnsi="Book Antiqua" w:cs="Book Antiqua"/>
        </w:rPr>
        <w:t xml:space="preserve"> 2010; </w:t>
      </w:r>
      <w:r>
        <w:rPr>
          <w:rFonts w:ascii="Book Antiqua" w:hAnsi="Book Antiqua" w:cs="Book Antiqua"/>
          <w:b/>
          <w:bCs/>
        </w:rPr>
        <w:t>376</w:t>
      </w:r>
      <w:r>
        <w:rPr>
          <w:rFonts w:ascii="Book Antiqua" w:hAnsi="Book Antiqua" w:cs="Book Antiqua"/>
        </w:rPr>
        <w:t>: 687-697 [PMID: 20728210 DOI: 10.1016/S0140-6736(10)61121-X]</w:t>
      </w:r>
    </w:p>
    <w:p w14:paraId="371A0B7A" w14:textId="77777777" w:rsidR="00F67380" w:rsidRDefault="00000000">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Saeki H</w:t>
      </w:r>
      <w:r>
        <w:rPr>
          <w:rFonts w:ascii="Book Antiqua" w:hAnsi="Book Antiqua" w:cs="Book Antiqua"/>
        </w:rPr>
        <w:t>, Oki E, Kashiwada T, Arigami T, Makiyama A, Iwatsuki M, Narita Y, Satake H, Matsuda Y, Sonoda H, Shimokawa M, Maehara Y; Kyushu Study Group of Clinical Cancer (KSCC). Re-evaluation of HER2 status in patients with HER2-positive advanced or recurrent gastric cancer refractory to</w:t>
      </w:r>
      <w:r>
        <w:rPr>
          <w:rFonts w:ascii="Book Antiqua" w:eastAsia="宋体" w:hAnsi="Book Antiqua" w:cs="Book Antiqua" w:hint="eastAsia"/>
          <w:lang w:eastAsia="zh-CN"/>
        </w:rPr>
        <w:t xml:space="preserve">  </w:t>
      </w:r>
      <w:r>
        <w:rPr>
          <w:rFonts w:ascii="Book Antiqua" w:hAnsi="Book Antiqua" w:cs="Book Antiqua"/>
        </w:rPr>
        <w:t xml:space="preserve">trastuzumab (KSCC1604). </w:t>
      </w:r>
      <w:r>
        <w:rPr>
          <w:rFonts w:ascii="Book Antiqua" w:hAnsi="Book Antiqua" w:cs="Book Antiqua"/>
          <w:i/>
          <w:iCs/>
        </w:rPr>
        <w:t>Eur J Cancer</w:t>
      </w:r>
      <w:r>
        <w:rPr>
          <w:rFonts w:ascii="Book Antiqua" w:hAnsi="Book Antiqua" w:cs="Book Antiqua"/>
        </w:rPr>
        <w:t xml:space="preserve"> 2018; </w:t>
      </w:r>
      <w:r>
        <w:rPr>
          <w:rFonts w:ascii="Book Antiqua" w:hAnsi="Book Antiqua" w:cs="Book Antiqua"/>
          <w:b/>
          <w:bCs/>
        </w:rPr>
        <w:t>105</w:t>
      </w:r>
      <w:r>
        <w:rPr>
          <w:rFonts w:ascii="Book Antiqua" w:hAnsi="Book Antiqua" w:cs="Book Antiqua"/>
        </w:rPr>
        <w:t>: 41-49 [PMID: 30391779 DOI: 10.1016/j.ejca.2018.09.024]</w:t>
      </w:r>
    </w:p>
    <w:p w14:paraId="7D3724AD" w14:textId="77777777" w:rsidR="00F67380" w:rsidRDefault="0000000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Gomez-Martín C</w:t>
      </w:r>
      <w:r>
        <w:rPr>
          <w:rFonts w:ascii="Book Antiqua" w:hAnsi="Book Antiqua" w:cs="Book Antiqua"/>
        </w:rPr>
        <w:t xml:space="preserve">, Lopez-Rios F, Aparicio J, Barriuso J, García-Carbonero R, Pazo R, Rivera F, Salgado M, Salud A, Vázquez-Sequeiros E, Lordick F. A critical review of HER2-positive gastric cancer evaluation and treatment: from trastuzumab, and beyond. </w:t>
      </w:r>
      <w:r>
        <w:rPr>
          <w:rFonts w:ascii="Book Antiqua" w:hAnsi="Book Antiqua" w:cs="Book Antiqua"/>
          <w:i/>
          <w:iCs/>
        </w:rPr>
        <w:t>Cancer Lett</w:t>
      </w:r>
      <w:r>
        <w:rPr>
          <w:rFonts w:ascii="Book Antiqua" w:hAnsi="Book Antiqua" w:cs="Book Antiqua"/>
        </w:rPr>
        <w:t xml:space="preserve"> 2014; </w:t>
      </w:r>
      <w:r>
        <w:rPr>
          <w:rFonts w:ascii="Book Antiqua" w:hAnsi="Book Antiqua" w:cs="Book Antiqua"/>
          <w:b/>
          <w:bCs/>
        </w:rPr>
        <w:t>351</w:t>
      </w:r>
      <w:r>
        <w:rPr>
          <w:rFonts w:ascii="Book Antiqua" w:hAnsi="Book Antiqua" w:cs="Book Antiqua"/>
        </w:rPr>
        <w:t>: 30-40 [PMID: 24943493 DOI: 10.1016/j.canlet.2014.05.019]</w:t>
      </w:r>
    </w:p>
    <w:p w14:paraId="47870D7D" w14:textId="77777777" w:rsidR="00F67380" w:rsidRDefault="00000000">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WARBURG O</w:t>
      </w:r>
      <w:r>
        <w:rPr>
          <w:rFonts w:ascii="Book Antiqua" w:hAnsi="Book Antiqua" w:cs="Book Antiqua"/>
        </w:rPr>
        <w:t xml:space="preserve">. On the origin of cancer cells. </w:t>
      </w:r>
      <w:r>
        <w:rPr>
          <w:rFonts w:ascii="Book Antiqua" w:hAnsi="Book Antiqua" w:cs="Book Antiqua"/>
          <w:i/>
          <w:iCs/>
        </w:rPr>
        <w:t>Science</w:t>
      </w:r>
      <w:r>
        <w:rPr>
          <w:rFonts w:ascii="Book Antiqua" w:hAnsi="Book Antiqua" w:cs="Book Antiqua"/>
        </w:rPr>
        <w:t xml:space="preserve"> 1956; </w:t>
      </w:r>
      <w:r>
        <w:rPr>
          <w:rFonts w:ascii="Book Antiqua" w:hAnsi="Book Antiqua" w:cs="Book Antiqua"/>
          <w:b/>
          <w:bCs/>
        </w:rPr>
        <w:t>123</w:t>
      </w:r>
      <w:r>
        <w:rPr>
          <w:rFonts w:ascii="Book Antiqua" w:hAnsi="Book Antiqua" w:cs="Book Antiqua"/>
        </w:rPr>
        <w:t>: 309-314 [PMID: 13298683 DOI: 10.1126/science.123.3191.309]</w:t>
      </w:r>
    </w:p>
    <w:p w14:paraId="231D4C01" w14:textId="77777777" w:rsidR="00F67380" w:rsidRDefault="00000000">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Chang J</w:t>
      </w:r>
      <w:r>
        <w:rPr>
          <w:rFonts w:ascii="Book Antiqua" w:hAnsi="Book Antiqua" w:cs="Book Antiqua"/>
        </w:rPr>
        <w:t xml:space="preserve">, Wang Q, Bhetuwal A, Liu W. Metabolic pathways underlying GATA6 regulating Trastuzumab resistance in Gastric Cancer cells based on untargeted metabolomics. </w:t>
      </w:r>
      <w:r>
        <w:rPr>
          <w:rFonts w:ascii="Book Antiqua" w:hAnsi="Book Antiqua" w:cs="Book Antiqua"/>
          <w:i/>
          <w:iCs/>
        </w:rPr>
        <w:t>Int J Med Sci</w:t>
      </w:r>
      <w:r>
        <w:rPr>
          <w:rFonts w:ascii="Book Antiqua" w:hAnsi="Book Antiqua" w:cs="Book Antiqua"/>
        </w:rPr>
        <w:t xml:space="preserve"> 2020; </w:t>
      </w:r>
      <w:r>
        <w:rPr>
          <w:rFonts w:ascii="Book Antiqua" w:hAnsi="Book Antiqua" w:cs="Book Antiqua"/>
          <w:b/>
          <w:bCs/>
        </w:rPr>
        <w:t>17</w:t>
      </w:r>
      <w:r>
        <w:rPr>
          <w:rFonts w:ascii="Book Antiqua" w:hAnsi="Book Antiqua" w:cs="Book Antiqua"/>
        </w:rPr>
        <w:t>: 3146-3164 [PMID: 33173435 DOI: 10.7150/ijms.50563]</w:t>
      </w:r>
    </w:p>
    <w:p w14:paraId="35F982CD" w14:textId="77777777" w:rsidR="00F67380" w:rsidRDefault="00000000">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Liu J</w:t>
      </w:r>
      <w:r>
        <w:rPr>
          <w:rFonts w:ascii="Book Antiqua" w:hAnsi="Book Antiqua" w:cs="Book Antiqua"/>
        </w:rPr>
        <w:t xml:space="preserve">, Pan C, Guo L, Wu M, Guo J, Peng S, Wu Q, Zuo Q. A new mechanism of trastuzumab resistance in gastric cancer: MACC1 promotes the Warburg effect via activation of the PI3K/AKT signaling pathway. </w:t>
      </w:r>
      <w:r>
        <w:rPr>
          <w:rFonts w:ascii="Book Antiqua" w:hAnsi="Book Antiqua" w:cs="Book Antiqua"/>
          <w:i/>
          <w:iCs/>
        </w:rPr>
        <w:t>J Hematol Oncol</w:t>
      </w:r>
      <w:r>
        <w:rPr>
          <w:rFonts w:ascii="Book Antiqua" w:hAnsi="Book Antiqua" w:cs="Book Antiqua"/>
        </w:rPr>
        <w:t xml:space="preserve"> 2016; </w:t>
      </w:r>
      <w:r>
        <w:rPr>
          <w:rFonts w:ascii="Book Antiqua" w:hAnsi="Book Antiqua" w:cs="Book Antiqua"/>
          <w:b/>
          <w:bCs/>
        </w:rPr>
        <w:t>9</w:t>
      </w:r>
      <w:r>
        <w:rPr>
          <w:rFonts w:ascii="Book Antiqua" w:hAnsi="Book Antiqua" w:cs="Book Antiqua"/>
        </w:rPr>
        <w:t>: 76 [PMID: 27581375 DOI: 10.1186/s13045-016-0302-1]</w:t>
      </w:r>
    </w:p>
    <w:p w14:paraId="401BD467" w14:textId="77777777" w:rsidR="00F67380" w:rsidRDefault="00000000">
      <w:pPr>
        <w:spacing w:line="360" w:lineRule="auto"/>
        <w:jc w:val="both"/>
        <w:rPr>
          <w:rFonts w:ascii="Book Antiqua" w:hAnsi="Book Antiqua" w:cs="Book Antiqua"/>
        </w:rPr>
      </w:pPr>
      <w:r>
        <w:rPr>
          <w:rFonts w:ascii="Book Antiqua" w:hAnsi="Book Antiqua" w:cs="Book Antiqua"/>
        </w:rPr>
        <w:lastRenderedPageBreak/>
        <w:t xml:space="preserve">11 </w:t>
      </w:r>
      <w:r>
        <w:rPr>
          <w:rFonts w:ascii="Book Antiqua" w:hAnsi="Book Antiqua" w:cs="Book Antiqua"/>
          <w:b/>
          <w:bCs/>
        </w:rPr>
        <w:t>Wang J</w:t>
      </w:r>
      <w:r>
        <w:rPr>
          <w:rFonts w:ascii="Book Antiqua" w:hAnsi="Book Antiqua" w:cs="Book Antiqua"/>
        </w:rPr>
        <w:t xml:space="preserve">, Huang Q, Hu X, Zhang S, Jiang Y, Yao G, Hu K, Xu X, Liang B, Wu Q, Ma Z, Wang Y, Wang C, Wu Z, Rong X, Liao W, Shi M. Disrupting Circadian Rhythm via the PER1-HK2 Axis Reverses Trastuzumab Resistance in Gastric Cancer. </w:t>
      </w:r>
      <w:r>
        <w:rPr>
          <w:rFonts w:ascii="Book Antiqua" w:hAnsi="Book Antiqua" w:cs="Book Antiqua"/>
          <w:i/>
          <w:iCs/>
        </w:rPr>
        <w:t>Cancer Res</w:t>
      </w:r>
      <w:r>
        <w:rPr>
          <w:rFonts w:ascii="Book Antiqua" w:hAnsi="Book Antiqua" w:cs="Book Antiqua"/>
        </w:rPr>
        <w:t xml:space="preserve"> 2022; </w:t>
      </w:r>
      <w:r>
        <w:rPr>
          <w:rFonts w:ascii="Book Antiqua" w:hAnsi="Book Antiqua" w:cs="Book Antiqua"/>
          <w:b/>
          <w:bCs/>
        </w:rPr>
        <w:t>82</w:t>
      </w:r>
      <w:r>
        <w:rPr>
          <w:rFonts w:ascii="Book Antiqua" w:hAnsi="Book Antiqua" w:cs="Book Antiqua"/>
        </w:rPr>
        <w:t>: 1503-1517 [PMID: 35255118 DOI: 10.1158/0008-5472.CAN-21-1820]</w:t>
      </w:r>
    </w:p>
    <w:p w14:paraId="06B05CC5" w14:textId="77777777" w:rsidR="00F67380"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Fan T</w:t>
      </w:r>
      <w:r>
        <w:rPr>
          <w:rFonts w:ascii="Book Antiqua" w:hAnsi="Book Antiqua" w:cs="Book Antiqua"/>
        </w:rPr>
        <w:t xml:space="preserve">, Sun G, Sun X, Zhao L, Zhong R, Peng Y. Tumor Energy Metabolism and Potential of 3-Bromopyruvate as an Inhibitor of Aerobic Glycolysis: Implications in Tumor Treatment. </w:t>
      </w:r>
      <w:r>
        <w:rPr>
          <w:rFonts w:ascii="Book Antiqua" w:hAnsi="Book Antiqua" w:cs="Book Antiqua"/>
          <w:i/>
          <w:iCs/>
        </w:rPr>
        <w:t>Cancers (Basel)</w:t>
      </w:r>
      <w:r>
        <w:rPr>
          <w:rFonts w:ascii="Book Antiqua" w:hAnsi="Book Antiqua" w:cs="Book Antiqua"/>
        </w:rPr>
        <w:t xml:space="preserve"> 2019; </w:t>
      </w:r>
      <w:r>
        <w:rPr>
          <w:rFonts w:ascii="Book Antiqua" w:hAnsi="Book Antiqua" w:cs="Book Antiqua"/>
          <w:b/>
          <w:bCs/>
        </w:rPr>
        <w:t>11</w:t>
      </w:r>
      <w:r>
        <w:rPr>
          <w:rFonts w:ascii="Book Antiqua" w:hAnsi="Book Antiqua" w:cs="Book Antiqua"/>
        </w:rPr>
        <w:t xml:space="preserve"> [PMID: 30845728 DOI: 10.3390/cancers11030317]</w:t>
      </w:r>
    </w:p>
    <w:p w14:paraId="36E3B3E1" w14:textId="77777777" w:rsidR="00F67380" w:rsidRDefault="00000000">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Asmamaw MD</w:t>
      </w:r>
      <w:r>
        <w:rPr>
          <w:rFonts w:ascii="Book Antiqua" w:hAnsi="Book Antiqua" w:cs="Book Antiqua"/>
        </w:rPr>
        <w:t xml:space="preserve">, Liu Y, Zheng YC, Shi XJ, Liu HM. Skp2 in the ubiquitin-proteasome system: A comprehensive review. </w:t>
      </w:r>
      <w:r>
        <w:rPr>
          <w:rFonts w:ascii="Book Antiqua" w:hAnsi="Book Antiqua" w:cs="Book Antiqua"/>
          <w:i/>
          <w:iCs/>
        </w:rPr>
        <w:t>Med Res Rev</w:t>
      </w:r>
      <w:r>
        <w:rPr>
          <w:rFonts w:ascii="Book Antiqua" w:hAnsi="Book Antiqua" w:cs="Book Antiqua"/>
        </w:rPr>
        <w:t xml:space="preserve"> 2020; </w:t>
      </w:r>
      <w:r>
        <w:rPr>
          <w:rFonts w:ascii="Book Antiqua" w:hAnsi="Book Antiqua" w:cs="Book Antiqua"/>
          <w:b/>
          <w:bCs/>
        </w:rPr>
        <w:t>40</w:t>
      </w:r>
      <w:r>
        <w:rPr>
          <w:rFonts w:ascii="Book Antiqua" w:hAnsi="Book Antiqua" w:cs="Book Antiqua"/>
        </w:rPr>
        <w:t>: 1920-1949 [PMID: 32391596 DOI: 10.1002/med.21675]</w:t>
      </w:r>
    </w:p>
    <w:p w14:paraId="58788F0F" w14:textId="77777777" w:rsidR="00F67380" w:rsidRDefault="00000000">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Wang H</w:t>
      </w:r>
      <w:r>
        <w:rPr>
          <w:rFonts w:ascii="Book Antiqua" w:hAnsi="Book Antiqua" w:cs="Book Antiqua"/>
        </w:rPr>
        <w:t xml:space="preserve">, Cui J, Bauzon F, Zhu L. A comparison between Skp2 and FOXO1 for their cytoplasmic localization by Akt1. </w:t>
      </w:r>
      <w:r>
        <w:rPr>
          <w:rFonts w:ascii="Book Antiqua" w:hAnsi="Book Antiqua" w:cs="Book Antiqua"/>
          <w:i/>
          <w:iCs/>
        </w:rPr>
        <w:t>Cell Cycle</w:t>
      </w:r>
      <w:r>
        <w:rPr>
          <w:rFonts w:ascii="Book Antiqua" w:hAnsi="Book Antiqua" w:cs="Book Antiqua"/>
        </w:rPr>
        <w:t xml:space="preserve"> 2010; </w:t>
      </w:r>
      <w:r>
        <w:rPr>
          <w:rFonts w:ascii="Book Antiqua" w:hAnsi="Book Antiqua" w:cs="Book Antiqua"/>
          <w:b/>
          <w:bCs/>
        </w:rPr>
        <w:t>9</w:t>
      </w:r>
      <w:r>
        <w:rPr>
          <w:rFonts w:ascii="Book Antiqua" w:hAnsi="Book Antiqua" w:cs="Book Antiqua"/>
        </w:rPr>
        <w:t>: 1021-1022 [PMID: 20160512 DOI: 10.4161/cc.9.5.10916]</w:t>
      </w:r>
    </w:p>
    <w:p w14:paraId="241527DD" w14:textId="77777777" w:rsidR="00F67380" w:rsidRDefault="00000000">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Radke S</w:t>
      </w:r>
      <w:r>
        <w:rPr>
          <w:rFonts w:ascii="Book Antiqua" w:hAnsi="Book Antiqua" w:cs="Book Antiqua"/>
        </w:rPr>
        <w:t xml:space="preserve">, Pirkmaier A, Germain D. Differential expression of the F-box proteins Skp2 and Skp2B in breast cancer. </w:t>
      </w:r>
      <w:r>
        <w:rPr>
          <w:rFonts w:ascii="Book Antiqua" w:hAnsi="Book Antiqua" w:cs="Book Antiqua"/>
          <w:i/>
          <w:iCs/>
        </w:rPr>
        <w:t>Oncogene</w:t>
      </w:r>
      <w:r>
        <w:rPr>
          <w:rFonts w:ascii="Book Antiqua" w:hAnsi="Book Antiqua" w:cs="Book Antiqua"/>
        </w:rPr>
        <w:t xml:space="preserve"> 2005; </w:t>
      </w:r>
      <w:r>
        <w:rPr>
          <w:rFonts w:ascii="Book Antiqua" w:hAnsi="Book Antiqua" w:cs="Book Antiqua"/>
          <w:b/>
          <w:bCs/>
        </w:rPr>
        <w:t>24</w:t>
      </w:r>
      <w:r>
        <w:rPr>
          <w:rFonts w:ascii="Book Antiqua" w:hAnsi="Book Antiqua" w:cs="Book Antiqua"/>
        </w:rPr>
        <w:t>: 3448-3458 [PMID: 15782142 DOI: 10.1038/sj.onc.1208328]</w:t>
      </w:r>
    </w:p>
    <w:p w14:paraId="5AA714F6" w14:textId="77777777" w:rsidR="00F67380" w:rsidRDefault="00000000">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Masuda TA</w:t>
      </w:r>
      <w:r>
        <w:rPr>
          <w:rFonts w:ascii="Book Antiqua" w:hAnsi="Book Antiqua" w:cs="Book Antiqua"/>
        </w:rPr>
        <w:t xml:space="preserve">, Inoue H, Sonoda H, Mine S, Yoshikawa Y, Nakayama K, Nakayama K, Mori M. Clinical and biological significance of S-phase kinase-associated protein 2 (Skp2) gene expression in gastric carcinoma: modulation of malignant phenotype by Skp2 overexpression, possibly via p27 proteolysis. </w:t>
      </w:r>
      <w:r>
        <w:rPr>
          <w:rFonts w:ascii="Book Antiqua" w:hAnsi="Book Antiqua" w:cs="Book Antiqua"/>
          <w:i/>
          <w:iCs/>
        </w:rPr>
        <w:t>Cancer Res</w:t>
      </w:r>
      <w:r>
        <w:rPr>
          <w:rFonts w:ascii="Book Antiqua" w:hAnsi="Book Antiqua" w:cs="Book Antiqua"/>
        </w:rPr>
        <w:t xml:space="preserve"> 2002; </w:t>
      </w:r>
      <w:r>
        <w:rPr>
          <w:rFonts w:ascii="Book Antiqua" w:hAnsi="Book Antiqua" w:cs="Book Antiqua"/>
          <w:b/>
          <w:bCs/>
        </w:rPr>
        <w:t>62</w:t>
      </w:r>
      <w:r>
        <w:rPr>
          <w:rFonts w:ascii="Book Antiqua" w:hAnsi="Book Antiqua" w:cs="Book Antiqua"/>
        </w:rPr>
        <w:t>: 3819-3825 [PMID: 12097295]</w:t>
      </w:r>
    </w:p>
    <w:p w14:paraId="56DC0CBD" w14:textId="77777777" w:rsidR="00F67380" w:rsidRDefault="00000000">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Wang Z</w:t>
      </w:r>
      <w:r>
        <w:rPr>
          <w:rFonts w:ascii="Book Antiqua" w:hAnsi="Book Antiqua" w:cs="Book Antiqua"/>
        </w:rPr>
        <w:t xml:space="preserve">, Gao D, Fukushima H, Inuzuka H, Liu P, Wan L, Sarkar FH, Wei W. Skp2: a novel potential therapeutic target for prostate cancer. </w:t>
      </w:r>
      <w:r>
        <w:rPr>
          <w:rFonts w:ascii="Book Antiqua" w:hAnsi="Book Antiqua" w:cs="Book Antiqua"/>
          <w:i/>
          <w:iCs/>
        </w:rPr>
        <w:t>Biochim Biophys Acta</w:t>
      </w:r>
      <w:r>
        <w:rPr>
          <w:rFonts w:ascii="Book Antiqua" w:hAnsi="Book Antiqua" w:cs="Book Antiqua"/>
        </w:rPr>
        <w:t xml:space="preserve"> 2012; </w:t>
      </w:r>
      <w:r>
        <w:rPr>
          <w:rFonts w:ascii="Book Antiqua" w:hAnsi="Book Antiqua" w:cs="Book Antiqua"/>
          <w:b/>
          <w:bCs/>
        </w:rPr>
        <w:t>1825</w:t>
      </w:r>
      <w:r>
        <w:rPr>
          <w:rFonts w:ascii="Book Antiqua" w:hAnsi="Book Antiqua" w:cs="Book Antiqua"/>
        </w:rPr>
        <w:t>: 11-17 [PMID: 21963805 DOI: 10.1016/j.bbcan.2011.09.002]</w:t>
      </w:r>
    </w:p>
    <w:p w14:paraId="52E193AA" w14:textId="77777777" w:rsidR="00F67380" w:rsidRDefault="00000000">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Chan CH</w:t>
      </w:r>
      <w:r>
        <w:rPr>
          <w:rFonts w:ascii="Book Antiqua" w:hAnsi="Book Antiqua" w:cs="Book Antiqua"/>
        </w:rPr>
        <w:t xml:space="preserve">, Li CF, Yang WL, Gao Y, Lee SW, Feng Z, Huang HY, Tsai KK, Flores LG, Shao Y, Hazle JD, Yu D, Wei W, Sarbassov D, Hung MC, Nakayama KI, Lin HK. The Skp2-SCF E3 ligase regulates Akt ubiquitination, glycolysis, herceptin sensitivity, and tumorigenesis. </w:t>
      </w:r>
      <w:r>
        <w:rPr>
          <w:rFonts w:ascii="Book Antiqua" w:hAnsi="Book Antiqua" w:cs="Book Antiqua"/>
          <w:i/>
          <w:iCs/>
        </w:rPr>
        <w:t>Cell</w:t>
      </w:r>
      <w:r>
        <w:rPr>
          <w:rFonts w:ascii="Book Antiqua" w:hAnsi="Book Antiqua" w:cs="Book Antiqua"/>
        </w:rPr>
        <w:t xml:space="preserve"> 2012; </w:t>
      </w:r>
      <w:r>
        <w:rPr>
          <w:rFonts w:ascii="Book Antiqua" w:hAnsi="Book Antiqua" w:cs="Book Antiqua"/>
          <w:b/>
          <w:bCs/>
        </w:rPr>
        <w:t>149</w:t>
      </w:r>
      <w:r>
        <w:rPr>
          <w:rFonts w:ascii="Book Antiqua" w:hAnsi="Book Antiqua" w:cs="Book Antiqua"/>
        </w:rPr>
        <w:t>: 1098-1111 [PMID: 22632973 DOI: 10.1016/j.cell.2012.02.065]</w:t>
      </w:r>
    </w:p>
    <w:p w14:paraId="32EAB4E7" w14:textId="77777777" w:rsidR="00F67380" w:rsidRDefault="00000000">
      <w:pPr>
        <w:spacing w:line="360" w:lineRule="auto"/>
        <w:jc w:val="both"/>
        <w:rPr>
          <w:rFonts w:ascii="Book Antiqua" w:hAnsi="Book Antiqua" w:cs="Book Antiqua"/>
        </w:rPr>
      </w:pPr>
      <w:r>
        <w:rPr>
          <w:rFonts w:ascii="Book Antiqua" w:hAnsi="Book Antiqua" w:cs="Book Antiqua"/>
        </w:rPr>
        <w:lastRenderedPageBreak/>
        <w:t xml:space="preserve">19 </w:t>
      </w:r>
      <w:r>
        <w:rPr>
          <w:rFonts w:ascii="Book Antiqua" w:hAnsi="Book Antiqua" w:cs="Book Antiqua"/>
          <w:b/>
          <w:bCs/>
        </w:rPr>
        <w:t>Chan CH</w:t>
      </w:r>
      <w:r>
        <w:rPr>
          <w:rFonts w:ascii="Book Antiqua" w:hAnsi="Book Antiqua" w:cs="Book Antiqua"/>
        </w:rPr>
        <w:t xml:space="preserve">, Morrow JK, Li CF, Gao Y, Jin G, Moten A, Stagg LJ, Ladbury JE, Cai Z, Xu D, Logothetis CJ, Hung MC, Zhang S, Lin HK. Pharmacological inactivation of Skp2 SCF ubiquitin ligase restricts cancer stem cell traits and cancer progression. </w:t>
      </w:r>
      <w:r>
        <w:rPr>
          <w:rFonts w:ascii="Book Antiqua" w:hAnsi="Book Antiqua" w:cs="Book Antiqua"/>
          <w:i/>
          <w:iCs/>
        </w:rPr>
        <w:t>Cell</w:t>
      </w:r>
      <w:r>
        <w:rPr>
          <w:rFonts w:ascii="Book Antiqua" w:hAnsi="Book Antiqua" w:cs="Book Antiqua"/>
        </w:rPr>
        <w:t xml:space="preserve"> 2013; </w:t>
      </w:r>
      <w:r>
        <w:rPr>
          <w:rFonts w:ascii="Book Antiqua" w:hAnsi="Book Antiqua" w:cs="Book Antiqua"/>
          <w:b/>
          <w:bCs/>
        </w:rPr>
        <w:t>154</w:t>
      </w:r>
      <w:r>
        <w:rPr>
          <w:rFonts w:ascii="Book Antiqua" w:hAnsi="Book Antiqua" w:cs="Book Antiqua"/>
        </w:rPr>
        <w:t>: 556-568 [PMID: 23911321 DOI: 10.1016/j.cell.2013.06.048]</w:t>
      </w:r>
    </w:p>
    <w:p w14:paraId="712ADB14" w14:textId="77777777" w:rsidR="00F67380" w:rsidRDefault="00000000">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Zhao H</w:t>
      </w:r>
      <w:r>
        <w:rPr>
          <w:rFonts w:ascii="Book Antiqua" w:hAnsi="Book Antiqua" w:cs="Book Antiqua"/>
        </w:rPr>
        <w:t xml:space="preserve">, Iqbal NJ, Sukrithan V, Nicholas C, Xue Y, Yu C, Locker J, Zou J, Schwartz EL, Zhu L. Targeted Inhibition of the E3 Ligase SCF(Skp2/Cks1) Has Antitumor Activity in RB1-Deficient Human and Mouse Small-Cell Lung Cancer. </w:t>
      </w:r>
      <w:r>
        <w:rPr>
          <w:rFonts w:ascii="Book Antiqua" w:hAnsi="Book Antiqua" w:cs="Book Antiqua"/>
          <w:i/>
          <w:iCs/>
        </w:rPr>
        <w:t>Cancer Res</w:t>
      </w:r>
      <w:r>
        <w:rPr>
          <w:rFonts w:ascii="Book Antiqua" w:hAnsi="Book Antiqua" w:cs="Book Antiqua"/>
        </w:rPr>
        <w:t xml:space="preserve"> 2020; </w:t>
      </w:r>
      <w:r>
        <w:rPr>
          <w:rFonts w:ascii="Book Antiqua" w:hAnsi="Book Antiqua" w:cs="Book Antiqua"/>
          <w:b/>
          <w:bCs/>
        </w:rPr>
        <w:t>80</w:t>
      </w:r>
      <w:r>
        <w:rPr>
          <w:rFonts w:ascii="Book Antiqua" w:hAnsi="Book Antiqua" w:cs="Book Antiqua"/>
        </w:rPr>
        <w:t>: 2355-2367 [PMID: 32265224 DOI: 10.1158/0008-5472.CAN-19-2400]</w:t>
      </w:r>
    </w:p>
    <w:p w14:paraId="14239451" w14:textId="77777777" w:rsidR="00F67380" w:rsidRDefault="00000000">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Zhao H</w:t>
      </w:r>
      <w:r>
        <w:rPr>
          <w:rFonts w:ascii="Book Antiqua" w:hAnsi="Book Antiqua" w:cs="Book Antiqua"/>
        </w:rPr>
        <w:t xml:space="preserve">, Pan H, Wang H, Chai P, Ge S, Jia R, Fan X. SKP2 targeted inhibition suppresses human uveal melanoma progression by blocking ubiquitylation of p27. </w:t>
      </w:r>
      <w:r>
        <w:rPr>
          <w:rFonts w:ascii="Book Antiqua" w:hAnsi="Book Antiqua" w:cs="Book Antiqua"/>
          <w:i/>
          <w:iCs/>
        </w:rPr>
        <w:t>Onco Targets Ther</w:t>
      </w:r>
      <w:r>
        <w:rPr>
          <w:rFonts w:ascii="Book Antiqua" w:hAnsi="Book Antiqua" w:cs="Book Antiqua"/>
        </w:rPr>
        <w:t xml:space="preserve"> 2019; </w:t>
      </w:r>
      <w:r>
        <w:rPr>
          <w:rFonts w:ascii="Book Antiqua" w:hAnsi="Book Antiqua" w:cs="Book Antiqua"/>
          <w:b/>
          <w:bCs/>
        </w:rPr>
        <w:t>12</w:t>
      </w:r>
      <w:r>
        <w:rPr>
          <w:rFonts w:ascii="Book Antiqua" w:hAnsi="Book Antiqua" w:cs="Book Antiqua"/>
        </w:rPr>
        <w:t>: 4297-4308 [PMID: 31213847 DOI: 10.2147/OTT.S203888]</w:t>
      </w:r>
    </w:p>
    <w:p w14:paraId="33FD9941" w14:textId="77777777" w:rsidR="00F67380" w:rsidRDefault="00000000">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Malek E</w:t>
      </w:r>
      <w:r>
        <w:rPr>
          <w:rFonts w:ascii="Book Antiqua" w:hAnsi="Book Antiqua" w:cs="Book Antiqua"/>
        </w:rPr>
        <w:t xml:space="preserve">, Abdel-Malek MA, Jagannathan S, Vad N, Karns R, Jegga AG, Broyl A, van Duin M, Sonneveld P, Cottini F, Anderson KC, Driscoll JJ. Pharmacogenomics and chemical library screens reveal a novel SCF(SKP2) inhibitor that overcomes Bortezomib resistance in multiple myeloma. </w:t>
      </w:r>
      <w:r>
        <w:rPr>
          <w:rFonts w:ascii="Book Antiqua" w:hAnsi="Book Antiqua" w:cs="Book Antiqua"/>
          <w:i/>
          <w:iCs/>
        </w:rPr>
        <w:t>Leukemia</w:t>
      </w:r>
      <w:r>
        <w:rPr>
          <w:rFonts w:ascii="Book Antiqua" w:hAnsi="Book Antiqua" w:cs="Book Antiqua"/>
        </w:rPr>
        <w:t xml:space="preserve"> 2017; </w:t>
      </w:r>
      <w:r>
        <w:rPr>
          <w:rFonts w:ascii="Book Antiqua" w:hAnsi="Book Antiqua" w:cs="Book Antiqua"/>
          <w:b/>
          <w:bCs/>
        </w:rPr>
        <w:t>31</w:t>
      </w:r>
      <w:r>
        <w:rPr>
          <w:rFonts w:ascii="Book Antiqua" w:hAnsi="Book Antiqua" w:cs="Book Antiqua"/>
        </w:rPr>
        <w:t>: 645-653 [PMID: 27677741 DOI: 10.1038/leu.2016.258]</w:t>
      </w:r>
    </w:p>
    <w:p w14:paraId="22ED2470" w14:textId="77777777" w:rsidR="00F67380" w:rsidRDefault="00000000">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Liu Y</w:t>
      </w:r>
      <w:r>
        <w:rPr>
          <w:rFonts w:ascii="Book Antiqua" w:hAnsi="Book Antiqua" w:cs="Book Antiqua"/>
        </w:rPr>
        <w:t xml:space="preserve">, Zhou Z, Yan J, Wu X, Xu G. Diosgenin Exerts Antitumor Activity via Downregulation of Skp2 in Breast Cancer Cells. </w:t>
      </w:r>
      <w:r>
        <w:rPr>
          <w:rFonts w:ascii="Book Antiqua" w:hAnsi="Book Antiqua" w:cs="Book Antiqua"/>
          <w:i/>
          <w:iCs/>
        </w:rPr>
        <w:t>Biomed Res Int</w:t>
      </w:r>
      <w:r>
        <w:rPr>
          <w:rFonts w:ascii="Book Antiqua" w:hAnsi="Book Antiqua" w:cs="Book Antiqua"/>
        </w:rPr>
        <w:t xml:space="preserve"> 2020; </w:t>
      </w:r>
      <w:r>
        <w:rPr>
          <w:rFonts w:ascii="Book Antiqua" w:hAnsi="Book Antiqua" w:cs="Book Antiqua"/>
          <w:b/>
          <w:bCs/>
        </w:rPr>
        <w:t>2020</w:t>
      </w:r>
      <w:r>
        <w:rPr>
          <w:rFonts w:ascii="Book Antiqua" w:hAnsi="Book Antiqua" w:cs="Book Antiqua"/>
        </w:rPr>
        <w:t>: 8072639 [PMID: 32626765 DOI: 10.1155/2020/8072639]</w:t>
      </w:r>
    </w:p>
    <w:p w14:paraId="7E9B9DA6" w14:textId="77777777" w:rsidR="00F67380" w:rsidRDefault="00000000">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Jiang X</w:t>
      </w:r>
      <w:r>
        <w:rPr>
          <w:rFonts w:ascii="Book Antiqua" w:hAnsi="Book Antiqua" w:cs="Book Antiqua"/>
        </w:rPr>
        <w:t xml:space="preserve">, Li Y, Feng JL, Nik Nabil WN, Wu R, Lu Y, Liu H, Xi ZC, Xu HX. Safrana l Prevents Prostate Cancer Recurrence by Blocking the Re-activation of Quiescent Cancer Cells via Downregulation of S-Phase Kinase-Associated Protein 2. </w:t>
      </w:r>
      <w:r>
        <w:rPr>
          <w:rFonts w:ascii="Book Antiqua" w:hAnsi="Book Antiqua" w:cs="Book Antiqua"/>
          <w:i/>
          <w:iCs/>
        </w:rPr>
        <w:t>Front Cell Dev Biol</w:t>
      </w:r>
      <w:r>
        <w:rPr>
          <w:rFonts w:ascii="Book Antiqua" w:hAnsi="Book Antiqua" w:cs="Book Antiqua"/>
        </w:rPr>
        <w:t xml:space="preserve"> 2020; </w:t>
      </w:r>
      <w:r>
        <w:rPr>
          <w:rFonts w:ascii="Book Antiqua" w:hAnsi="Book Antiqua" w:cs="Book Antiqua"/>
          <w:b/>
          <w:bCs/>
        </w:rPr>
        <w:t>8</w:t>
      </w:r>
      <w:r>
        <w:rPr>
          <w:rFonts w:ascii="Book Antiqua" w:hAnsi="Book Antiqua" w:cs="Book Antiqua"/>
        </w:rPr>
        <w:t>: 598620 [PMID: 33392189 DOI: 10.3389/fcell.2020.598620]</w:t>
      </w:r>
    </w:p>
    <w:p w14:paraId="32FBD5A7" w14:textId="77777777" w:rsidR="00F67380" w:rsidRDefault="00000000">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Zhou L</w:t>
      </w:r>
      <w:r>
        <w:rPr>
          <w:rFonts w:ascii="Book Antiqua" w:hAnsi="Book Antiqua" w:cs="Book Antiqua"/>
        </w:rPr>
        <w:t xml:space="preserve">, Yu X, Li M, Gong G, Liu W, Li T, Zuo H, Li W, Gao F, Liu H. Cdh1-mediated Skp2 degradation by dioscin reprogrammes aerobic glycolysis and inhibits colorectal cancer cells growth. </w:t>
      </w:r>
      <w:r>
        <w:rPr>
          <w:rFonts w:ascii="Book Antiqua" w:hAnsi="Book Antiqua" w:cs="Book Antiqua"/>
          <w:i/>
          <w:iCs/>
        </w:rPr>
        <w:t>EBioMedicine</w:t>
      </w:r>
      <w:r>
        <w:rPr>
          <w:rFonts w:ascii="Book Antiqua" w:hAnsi="Book Antiqua" w:cs="Book Antiqua"/>
        </w:rPr>
        <w:t xml:space="preserve"> 2020; </w:t>
      </w:r>
      <w:r>
        <w:rPr>
          <w:rFonts w:ascii="Book Antiqua" w:hAnsi="Book Antiqua" w:cs="Book Antiqua"/>
          <w:b/>
          <w:bCs/>
        </w:rPr>
        <w:t>51</w:t>
      </w:r>
      <w:r>
        <w:rPr>
          <w:rFonts w:ascii="Book Antiqua" w:hAnsi="Book Antiqua" w:cs="Book Antiqua"/>
        </w:rPr>
        <w:t>: 102570 [PMID: 31806563 DOI: 10.1016/j.ebiom.2019.11.031]</w:t>
      </w:r>
    </w:p>
    <w:p w14:paraId="02403453" w14:textId="77777777" w:rsidR="00F67380" w:rsidRDefault="00000000">
      <w:pPr>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Pham V</w:t>
      </w:r>
      <w:r>
        <w:rPr>
          <w:rFonts w:ascii="Book Antiqua" w:hAnsi="Book Antiqua" w:cs="Book Antiqua"/>
        </w:rPr>
        <w:t xml:space="preserve">, Rendon R, Le VX, Tippin M, Fu DJ, Le TH, Miller M, Agredano E, Cedano J, Zi X. Gartanin is a novel NEDDylation inhibitor for induction of Skp2 degradation, </w:t>
      </w:r>
      <w:r>
        <w:rPr>
          <w:rFonts w:ascii="Book Antiqua" w:hAnsi="Book Antiqua" w:cs="Book Antiqua"/>
        </w:rPr>
        <w:lastRenderedPageBreak/>
        <w:t xml:space="preserve">FBXW2 expression, and autophagy. </w:t>
      </w:r>
      <w:r>
        <w:rPr>
          <w:rFonts w:ascii="Book Antiqua" w:hAnsi="Book Antiqua" w:cs="Book Antiqua"/>
          <w:i/>
          <w:iCs/>
        </w:rPr>
        <w:t>Mol Carcinog</w:t>
      </w:r>
      <w:r>
        <w:rPr>
          <w:rFonts w:ascii="Book Antiqua" w:hAnsi="Book Antiqua" w:cs="Book Antiqua"/>
        </w:rPr>
        <w:t xml:space="preserve"> 2020; </w:t>
      </w:r>
      <w:r>
        <w:rPr>
          <w:rFonts w:ascii="Book Antiqua" w:hAnsi="Book Antiqua" w:cs="Book Antiqua"/>
          <w:b/>
          <w:bCs/>
        </w:rPr>
        <w:t>59</w:t>
      </w:r>
      <w:r>
        <w:rPr>
          <w:rFonts w:ascii="Book Antiqua" w:hAnsi="Book Antiqua" w:cs="Book Antiqua"/>
        </w:rPr>
        <w:t>: 193-201 [PMID: 31782573 DOI: 10.1002/mc.23140]</w:t>
      </w:r>
    </w:p>
    <w:p w14:paraId="742400A8" w14:textId="77777777" w:rsidR="00F67380" w:rsidRDefault="00000000">
      <w:pPr>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He DH</w:t>
      </w:r>
      <w:r>
        <w:rPr>
          <w:rFonts w:ascii="Book Antiqua" w:hAnsi="Book Antiqua" w:cs="Book Antiqua"/>
        </w:rPr>
        <w:t xml:space="preserve">, Chen YF, Zhou YL, Zhang SB, Hong M, Yu X, Wei SF, Fan XZ, Li SY, Wang Q, Lu Y, Liu YQ. Phytochemical library screening reveals betulinic acid as a novel Skp2-SCF E3 ligase inhibitor in non-small cell lung cancer. </w:t>
      </w:r>
      <w:r>
        <w:rPr>
          <w:rFonts w:ascii="Book Antiqua" w:hAnsi="Book Antiqua" w:cs="Book Antiqua"/>
          <w:i/>
          <w:iCs/>
        </w:rPr>
        <w:t>Cancer Sci</w:t>
      </w:r>
      <w:r>
        <w:rPr>
          <w:rFonts w:ascii="Book Antiqua" w:hAnsi="Book Antiqua" w:cs="Book Antiqua"/>
        </w:rPr>
        <w:t xml:space="preserve"> 2021; </w:t>
      </w:r>
      <w:r>
        <w:rPr>
          <w:rFonts w:ascii="Book Antiqua" w:hAnsi="Book Antiqua" w:cs="Book Antiqua"/>
          <w:b/>
          <w:bCs/>
        </w:rPr>
        <w:t>112</w:t>
      </w:r>
      <w:r>
        <w:rPr>
          <w:rFonts w:ascii="Book Antiqua" w:hAnsi="Book Antiqua" w:cs="Book Antiqua"/>
        </w:rPr>
        <w:t>: 3218-3232 [PMID: 34080260 DOI: 10.1111/cas.15005]</w:t>
      </w:r>
    </w:p>
    <w:p w14:paraId="243A2931" w14:textId="77777777" w:rsidR="00F67380" w:rsidRDefault="00000000">
      <w:pPr>
        <w:spacing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Estévez-Sarmiento F</w:t>
      </w:r>
      <w:r>
        <w:rPr>
          <w:rFonts w:ascii="Book Antiqua" w:hAnsi="Book Antiqua" w:cs="Book Antiqua"/>
        </w:rPr>
        <w:t xml:space="preserve">, Saavedra E, Ruiz-Estévez M, León F, Quintana J, Brouard I, Estévez F. Chlorinated Guaiane-Type Sesquiterpene Lactones as Cytotoxic Agents against Human Tumor Cells. </w:t>
      </w:r>
      <w:r>
        <w:rPr>
          <w:rFonts w:ascii="Book Antiqua" w:hAnsi="Book Antiqua" w:cs="Book Antiqua"/>
          <w:i/>
          <w:iCs/>
        </w:rPr>
        <w:t>Int J Mol Sci</w:t>
      </w:r>
      <w:r>
        <w:rPr>
          <w:rFonts w:ascii="Book Antiqua" w:hAnsi="Book Antiqua" w:cs="Book Antiqua"/>
        </w:rPr>
        <w:t xml:space="preserve"> 2020; </w:t>
      </w:r>
      <w:r>
        <w:rPr>
          <w:rFonts w:ascii="Book Antiqua" w:hAnsi="Book Antiqua" w:cs="Book Antiqua"/>
          <w:b/>
          <w:bCs/>
        </w:rPr>
        <w:t>21</w:t>
      </w:r>
      <w:r>
        <w:rPr>
          <w:rFonts w:ascii="Book Antiqua" w:hAnsi="Book Antiqua" w:cs="Book Antiqua"/>
        </w:rPr>
        <w:t xml:space="preserve"> [PMID: 33371413 DOI: 10.3390/ijms21249767]</w:t>
      </w:r>
    </w:p>
    <w:p w14:paraId="664B0674" w14:textId="77777777" w:rsidR="00F67380" w:rsidRDefault="00000000">
      <w:pPr>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Ooi LC</w:t>
      </w:r>
      <w:r>
        <w:rPr>
          <w:rFonts w:ascii="Book Antiqua" w:hAnsi="Book Antiqua" w:cs="Book Antiqua"/>
        </w:rPr>
        <w:t xml:space="preserve">, Watanabe N, Futamura Y, Sulaiman SF, Darah I, Osada H. Identification of small molecule inhibitors of p27(Kip1) ubiquitination by high-throughput screening. </w:t>
      </w:r>
      <w:r>
        <w:rPr>
          <w:rFonts w:ascii="Book Antiqua" w:hAnsi="Book Antiqua" w:cs="Book Antiqua"/>
          <w:i/>
          <w:iCs/>
        </w:rPr>
        <w:t>Cancer Sci</w:t>
      </w:r>
      <w:r>
        <w:rPr>
          <w:rFonts w:ascii="Book Antiqua" w:hAnsi="Book Antiqua" w:cs="Book Antiqua"/>
        </w:rPr>
        <w:t xml:space="preserve"> 2013; </w:t>
      </w:r>
      <w:r>
        <w:rPr>
          <w:rFonts w:ascii="Book Antiqua" w:hAnsi="Book Antiqua" w:cs="Book Antiqua"/>
          <w:b/>
          <w:bCs/>
        </w:rPr>
        <w:t>104</w:t>
      </w:r>
      <w:r>
        <w:rPr>
          <w:rFonts w:ascii="Book Antiqua" w:hAnsi="Book Antiqua" w:cs="Book Antiqua"/>
        </w:rPr>
        <w:t>: 1461-1467 [PMID: 23910095 DOI: 10.1111/cas.12246]</w:t>
      </w:r>
    </w:p>
    <w:p w14:paraId="67437F2F" w14:textId="77777777" w:rsidR="00F67380" w:rsidRDefault="00000000">
      <w:pPr>
        <w:spacing w:line="360" w:lineRule="auto"/>
        <w:jc w:val="both"/>
        <w:rPr>
          <w:rFonts w:ascii="Book Antiqua" w:hAnsi="Book Antiqua" w:cs="Book Antiqua"/>
        </w:rPr>
      </w:pPr>
      <w:r>
        <w:rPr>
          <w:rFonts w:ascii="Book Antiqua" w:hAnsi="Book Antiqua" w:cs="Book Antiqua"/>
        </w:rPr>
        <w:t xml:space="preserve">30 </w:t>
      </w:r>
      <w:r>
        <w:rPr>
          <w:rFonts w:ascii="Book Antiqua" w:hAnsi="Book Antiqua" w:cs="Book Antiqua"/>
          <w:b/>
          <w:bCs/>
        </w:rPr>
        <w:t>Blackwell KL</w:t>
      </w:r>
      <w:r>
        <w:rPr>
          <w:rFonts w:ascii="Book Antiqua" w:hAnsi="Book Antiqua" w:cs="Book Antiqua"/>
        </w:rPr>
        <w:t xml:space="preserve">, Burstein HJ, Storniolo AM, Rugo H, Sledge G, Koehler M, Ellis C, Casey M, Vukelja S, Bischoff J, Baselga J, O'Shaughnessy J. Randomized study of Lapatinib alone or in combination with trastuzumab in women with ErbB2-positive, trastuzumab-refractory metastatic breast cancer. </w:t>
      </w:r>
      <w:r>
        <w:rPr>
          <w:rFonts w:ascii="Book Antiqua" w:hAnsi="Book Antiqua" w:cs="Book Antiqua"/>
          <w:i/>
          <w:iCs/>
        </w:rPr>
        <w:t>J Clin Oncol</w:t>
      </w:r>
      <w:r>
        <w:rPr>
          <w:rFonts w:ascii="Book Antiqua" w:hAnsi="Book Antiqua" w:cs="Book Antiqua"/>
        </w:rPr>
        <w:t xml:space="preserve"> 2010; </w:t>
      </w:r>
      <w:r>
        <w:rPr>
          <w:rFonts w:ascii="Book Antiqua" w:hAnsi="Book Antiqua" w:cs="Book Antiqua"/>
          <w:b/>
          <w:bCs/>
        </w:rPr>
        <w:t>28</w:t>
      </w:r>
      <w:r>
        <w:rPr>
          <w:rFonts w:ascii="Book Antiqua" w:hAnsi="Book Antiqua" w:cs="Book Antiqua"/>
        </w:rPr>
        <w:t>: 1124-1130 [PMID: 20124187 DOI: 10.1200/JCO.2008.21.4437]</w:t>
      </w:r>
    </w:p>
    <w:p w14:paraId="23730F42" w14:textId="77777777" w:rsidR="00F67380" w:rsidRDefault="00000000">
      <w:pPr>
        <w:spacing w:line="360" w:lineRule="auto"/>
        <w:jc w:val="both"/>
        <w:rPr>
          <w:rFonts w:ascii="Book Antiqua" w:hAnsi="Book Antiqua" w:cs="Book Antiqua"/>
          <w:lang w:eastAsia="zh-CN"/>
        </w:rPr>
      </w:pPr>
      <w:r>
        <w:rPr>
          <w:rFonts w:ascii="Book Antiqua" w:hAnsi="Book Antiqua" w:cs="Book Antiqua"/>
        </w:rPr>
        <w:t xml:space="preserve">31 </w:t>
      </w:r>
      <w:r>
        <w:rPr>
          <w:rFonts w:ascii="Book Antiqua" w:hAnsi="Book Antiqua" w:cs="Book Antiqua"/>
          <w:b/>
          <w:bCs/>
        </w:rPr>
        <w:t>Blackwell KL,</w:t>
      </w:r>
      <w:r>
        <w:rPr>
          <w:rFonts w:ascii="Book Antiqua" w:hAnsi="Book Antiqua" w:cs="Book Antiqua"/>
        </w:rPr>
        <w:t xml:space="preserve"> Burstein HJ, Sledge GW. Updated survival analysis of a randomized study of lapatinib alone or in combination with trastuzumab in women with HER2-positive metastatic breast cancer progressing on trastuzumab therapy. </w:t>
      </w:r>
      <w:r>
        <w:rPr>
          <w:rFonts w:ascii="Book Antiqua" w:hAnsi="Book Antiqua" w:cs="Book Antiqua"/>
          <w:i/>
          <w:iCs/>
        </w:rPr>
        <w:t>Cancer Res</w:t>
      </w:r>
      <w:r>
        <w:rPr>
          <w:rFonts w:ascii="Book Antiqua" w:hAnsi="Book Antiqua" w:cs="Book Antiqua"/>
        </w:rPr>
        <w:t xml:space="preserve"> 2009; </w:t>
      </w:r>
      <w:r>
        <w:rPr>
          <w:rFonts w:ascii="Book Antiqua" w:hAnsi="Book Antiqua" w:cs="Book Antiqua"/>
          <w:b/>
          <w:bCs/>
        </w:rPr>
        <w:t>69</w:t>
      </w:r>
      <w:r>
        <w:rPr>
          <w:rFonts w:ascii="Book Antiqua" w:hAnsi="Book Antiqua" w:cs="Book Antiqua"/>
        </w:rPr>
        <w:t xml:space="preserve"> Suppl</w:t>
      </w:r>
      <w:r>
        <w:rPr>
          <w:rFonts w:ascii="Book Antiqua" w:eastAsia="宋体" w:hAnsi="Book Antiqua" w:cs="Book Antiqua" w:hint="eastAsia"/>
          <w:lang w:eastAsia="zh-CN"/>
        </w:rPr>
        <w:t xml:space="preserve"> </w:t>
      </w:r>
      <w:r>
        <w:rPr>
          <w:rFonts w:ascii="Book Antiqua" w:hAnsi="Book Antiqua" w:cs="Book Antiqua"/>
        </w:rPr>
        <w:t>24</w:t>
      </w:r>
      <w:r>
        <w:rPr>
          <w:rFonts w:ascii="Book Antiqua" w:eastAsia="宋体" w:hAnsi="Book Antiqua" w:cs="Book Antiqua" w:hint="eastAsia"/>
          <w:lang w:eastAsia="zh-CN"/>
        </w:rPr>
        <w:t>:</w:t>
      </w:r>
      <w:r>
        <w:rPr>
          <w:rFonts w:ascii="Book Antiqua" w:hAnsi="Book Antiqua" w:cs="Book Antiqua"/>
        </w:rPr>
        <w:t xml:space="preserve"> 61</w:t>
      </w:r>
      <w:r>
        <w:rPr>
          <w:rFonts w:ascii="Book Antiqua" w:eastAsia="宋体" w:hAnsi="Book Antiqua" w:cs="Book Antiqua" w:hint="eastAsia"/>
          <w:lang w:eastAsia="zh-CN"/>
        </w:rPr>
        <w:t>.</w:t>
      </w:r>
      <w:r>
        <w:rPr>
          <w:rFonts w:eastAsia="宋体" w:hint="eastAsia"/>
          <w:lang w:eastAsia="zh-CN"/>
        </w:rPr>
        <w:t xml:space="preserve"> </w:t>
      </w:r>
      <w:r>
        <w:rPr>
          <w:rFonts w:ascii="Book Antiqua" w:hAnsi="Book Antiqua" w:cs="Book Antiqua"/>
          <w:lang w:eastAsia="zh-CN"/>
        </w:rPr>
        <w:t xml:space="preserve">Available from: </w:t>
      </w:r>
      <w:hyperlink r:id="rId9" w:tgtFrame="https://aacrjournals.org/cancerres/article/69/24_Supplement/61/551545/_blank" w:history="1">
        <w:r>
          <w:rPr>
            <w:rFonts w:ascii="Book Antiqua" w:hAnsi="Book Antiqua" w:cs="Book Antiqua"/>
          </w:rPr>
          <w:t>https://doi.org/10.1158/0008-5472.SABCS-09-61</w:t>
        </w:r>
      </w:hyperlink>
    </w:p>
    <w:p w14:paraId="101D2102" w14:textId="77777777" w:rsidR="00F67380" w:rsidRDefault="00000000">
      <w:pPr>
        <w:numPr>
          <w:ilvl w:val="255"/>
          <w:numId w:val="0"/>
        </w:numPr>
        <w:spacing w:line="360" w:lineRule="auto"/>
        <w:jc w:val="both"/>
      </w:pPr>
      <w:r>
        <w:rPr>
          <w:rFonts w:ascii="Book Antiqua" w:hAnsi="Book Antiqua" w:cs="Book Antiqua"/>
        </w:rPr>
        <w:t xml:space="preserve">32 </w:t>
      </w:r>
      <w:r>
        <w:rPr>
          <w:rFonts w:ascii="Book Antiqua" w:hAnsi="Book Antiqua" w:cs="Book Antiqua"/>
          <w:b/>
          <w:bCs/>
        </w:rPr>
        <w:t>Hecht JR,</w:t>
      </w:r>
      <w:r>
        <w:rPr>
          <w:rFonts w:ascii="Book Antiqua" w:hAnsi="Book Antiqua" w:cs="Book Antiqua"/>
        </w:rPr>
        <w:t xml:space="preserve"> Bang YJ, Qin SK, Chung HC, Xu JM, Park JO, Jeziorski K, Shparyk Y, Hoff PM, Sobrero A, Salman P, Li J, Protsenko SA, Wainberg ZA, Buyse M, Afenjar K, Houe V, Garcia A, Kaneko T, Huang Y, Khan-Wasti S, Santillana S, Press MF, Slamon D. Laptinib in Combination With Capecitabine Plus Oxaliplatin in Human Epidermal Growth Factor Receptor 2-Positive Advanced or Metastatic Gastric, Esophageal, or Gastroesophageal Adenocarcinoma: TRIO-013/LOGiC--A Randomized Phase III Trial. </w:t>
      </w:r>
      <w:r>
        <w:rPr>
          <w:rFonts w:ascii="Book Antiqua" w:hAnsi="Book Antiqua" w:cs="Book Antiqua"/>
          <w:i/>
          <w:iCs/>
        </w:rPr>
        <w:t>J Clin Oncol</w:t>
      </w:r>
      <w:r>
        <w:rPr>
          <w:rFonts w:ascii="Book Antiqua" w:hAnsi="Book Antiqua" w:cs="Book Antiqua"/>
        </w:rPr>
        <w:t xml:space="preserve"> 2016; </w:t>
      </w:r>
      <w:r>
        <w:rPr>
          <w:rFonts w:ascii="Book Antiqua" w:hAnsi="Book Antiqua" w:cs="Book Antiqua"/>
          <w:b/>
          <w:bCs/>
        </w:rPr>
        <w:t>34</w:t>
      </w:r>
      <w:r>
        <w:rPr>
          <w:rFonts w:ascii="Book Antiqua" w:hAnsi="Book Antiqua" w:cs="Book Antiqua"/>
        </w:rPr>
        <w:t>: 443-451</w:t>
      </w:r>
      <w:r>
        <w:rPr>
          <w:rFonts w:ascii="Book Antiqua" w:eastAsia="宋体" w:hAnsi="Book Antiqua" w:cs="Book Antiqua" w:hint="eastAsia"/>
          <w:lang w:eastAsia="zh-CN"/>
        </w:rPr>
        <w:t xml:space="preserve"> </w:t>
      </w:r>
      <w:r>
        <w:rPr>
          <w:rFonts w:ascii="Book Antiqua" w:hAnsi="Book Antiqua" w:cs="Book Antiqua"/>
          <w:lang w:eastAsia="zh-CN"/>
        </w:rPr>
        <w:t>[</w:t>
      </w:r>
      <w:r>
        <w:rPr>
          <w:rFonts w:ascii="Book Antiqua" w:hAnsi="Book Antiqua" w:cs="Book Antiqua"/>
        </w:rPr>
        <w:t>PMID:</w:t>
      </w:r>
      <w:r>
        <w:rPr>
          <w:rFonts w:ascii="Book Antiqua" w:eastAsia="宋体" w:hAnsi="Book Antiqua" w:cs="Book Antiqua" w:hint="eastAsia"/>
          <w:lang w:eastAsia="zh-CN"/>
        </w:rPr>
        <w:t xml:space="preserve"> </w:t>
      </w:r>
      <w:r>
        <w:rPr>
          <w:rFonts w:ascii="Book Antiqua" w:hAnsi="Book Antiqua" w:cs="Book Antiqua"/>
        </w:rPr>
        <w:t>26628478</w:t>
      </w:r>
      <w:r>
        <w:rPr>
          <w:rFonts w:ascii="Book Antiqua" w:hAnsi="Book Antiqua" w:cs="Book Antiqua"/>
          <w:lang w:eastAsia="zh-CN"/>
        </w:rPr>
        <w:t xml:space="preserve"> </w:t>
      </w:r>
      <w:r>
        <w:rPr>
          <w:rFonts w:ascii="Book Antiqua" w:hAnsi="Book Antiqua" w:cs="Book Antiqua"/>
        </w:rPr>
        <w:t>DOI:</w:t>
      </w:r>
      <w:r>
        <w:rPr>
          <w:rFonts w:ascii="Book Antiqua" w:eastAsia="宋体" w:hAnsi="Book Antiqua" w:cs="Book Antiqua" w:hint="eastAsia"/>
          <w:lang w:eastAsia="zh-CN"/>
        </w:rPr>
        <w:t xml:space="preserve"> </w:t>
      </w:r>
      <w:hyperlink r:id="rId10" w:tgtFrame="https://pubmed.ncbi.nlm.nih.gov/26628478/_blank" w:history="1">
        <w:r>
          <w:rPr>
            <w:rFonts w:ascii="Book Antiqua" w:hAnsi="Book Antiqua" w:cs="Book Antiqua"/>
          </w:rPr>
          <w:t>10.1200/JCO.2015.62.6598</w:t>
        </w:r>
      </w:hyperlink>
      <w:r>
        <w:rPr>
          <w:rFonts w:ascii="Book Antiqua" w:hAnsi="Book Antiqua" w:cs="Book Antiqua"/>
          <w:lang w:eastAsia="zh-CN"/>
        </w:rPr>
        <w:t>]</w:t>
      </w:r>
    </w:p>
    <w:p w14:paraId="48880EE3" w14:textId="77777777" w:rsidR="00F67380" w:rsidRDefault="00000000">
      <w:pPr>
        <w:spacing w:line="360" w:lineRule="auto"/>
        <w:jc w:val="both"/>
        <w:rPr>
          <w:rFonts w:ascii="Book Antiqua" w:hAnsi="Book Antiqua" w:cs="Book Antiqua"/>
        </w:rPr>
      </w:pPr>
      <w:r>
        <w:rPr>
          <w:rFonts w:ascii="Book Antiqua" w:hAnsi="Book Antiqua" w:cs="Book Antiqua"/>
        </w:rPr>
        <w:lastRenderedPageBreak/>
        <w:t xml:space="preserve">33 </w:t>
      </w:r>
      <w:r>
        <w:rPr>
          <w:rFonts w:ascii="Book Antiqua" w:hAnsi="Book Antiqua" w:cs="Book Antiqua"/>
          <w:b/>
          <w:bCs/>
        </w:rPr>
        <w:t>Satoh T</w:t>
      </w:r>
      <w:r>
        <w:rPr>
          <w:rFonts w:ascii="Book Antiqua" w:hAnsi="Book Antiqua" w:cs="Book Antiqua"/>
        </w:rPr>
        <w:t xml:space="preserve">, Xu RH, Chung HC, Sun GP, Doi T, Xu JM, Tsuji A, Omuro Y, Li J, Wang JW, Miwa H, Qin SK, Chung IJ, Yeh KH, Feng JF, Mukaiyama A, Kobayashi M, Ohtsu A, Bang YJ. Lapatinib plus paclitaxel versus paclitaxel alone in the second-line treatment of HER2-amplified advanced gastric cancer in Asian populations: TyTAN--a randomized, phase III study. </w:t>
      </w:r>
      <w:r>
        <w:rPr>
          <w:rFonts w:ascii="Book Antiqua" w:hAnsi="Book Antiqua" w:cs="Book Antiqua"/>
          <w:i/>
          <w:iCs/>
        </w:rPr>
        <w:t>J Clin Oncol</w:t>
      </w:r>
      <w:r>
        <w:rPr>
          <w:rFonts w:ascii="Book Antiqua" w:hAnsi="Book Antiqua" w:cs="Book Antiqua"/>
        </w:rPr>
        <w:t xml:space="preserve"> 2014; </w:t>
      </w:r>
      <w:r>
        <w:rPr>
          <w:rFonts w:ascii="Book Antiqua" w:hAnsi="Book Antiqua" w:cs="Book Antiqua"/>
          <w:b/>
          <w:bCs/>
        </w:rPr>
        <w:t>32</w:t>
      </w:r>
      <w:r>
        <w:rPr>
          <w:rFonts w:ascii="Book Antiqua" w:hAnsi="Book Antiqua" w:cs="Book Antiqua"/>
        </w:rPr>
        <w:t>: 2039-2049 [PMID: 24868024 DOI: 10.1200/JCO.2013.53.6136]</w:t>
      </w:r>
    </w:p>
    <w:p w14:paraId="26AFE70B" w14:textId="77777777" w:rsidR="00F67380" w:rsidRDefault="00000000">
      <w:pPr>
        <w:spacing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Barthel A</w:t>
      </w:r>
      <w:r>
        <w:rPr>
          <w:rFonts w:ascii="Book Antiqua" w:hAnsi="Book Antiqua" w:cs="Book Antiqua"/>
        </w:rPr>
        <w:t xml:space="preserve">, Okino ST, Liao J, Nakatani K, Li J, Whitlock JP Jr, Roth RA. Regulation of GLUT1 gene transcription by the serine/threonine kinase Akt1. </w:t>
      </w:r>
      <w:r>
        <w:rPr>
          <w:rFonts w:ascii="Book Antiqua" w:hAnsi="Book Antiqua" w:cs="Book Antiqua"/>
          <w:i/>
          <w:iCs/>
        </w:rPr>
        <w:t>J Biol Chem</w:t>
      </w:r>
      <w:r>
        <w:rPr>
          <w:rFonts w:ascii="Book Antiqua" w:hAnsi="Book Antiqua" w:cs="Book Antiqua"/>
        </w:rPr>
        <w:t xml:space="preserve"> 1999; </w:t>
      </w:r>
      <w:r>
        <w:rPr>
          <w:rFonts w:ascii="Book Antiqua" w:hAnsi="Book Antiqua" w:cs="Book Antiqua"/>
          <w:b/>
          <w:bCs/>
        </w:rPr>
        <w:t>274</w:t>
      </w:r>
      <w:r>
        <w:rPr>
          <w:rFonts w:ascii="Book Antiqua" w:hAnsi="Book Antiqua" w:cs="Book Antiqua"/>
        </w:rPr>
        <w:t>: 20281-20286 [PMID: 10400647 DOI: 10.1074/jbc.274.29.20281]</w:t>
      </w:r>
    </w:p>
    <w:p w14:paraId="453F5CE6" w14:textId="77777777" w:rsidR="00F67380" w:rsidRDefault="00000000">
      <w:pPr>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Wieman HL</w:t>
      </w:r>
      <w:r>
        <w:rPr>
          <w:rFonts w:ascii="Book Antiqua" w:hAnsi="Book Antiqua" w:cs="Book Antiqua"/>
        </w:rPr>
        <w:t xml:space="preserve">, Wofford JA, Rathmell JC. Cytokine stimulation promotes glucose uptake via phosphatidylinositol-3 kinase/Akt regulation of Glut1 activity and trafficking. </w:t>
      </w:r>
      <w:r>
        <w:rPr>
          <w:rFonts w:ascii="Book Antiqua" w:hAnsi="Book Antiqua" w:cs="Book Antiqua"/>
          <w:i/>
          <w:iCs/>
        </w:rPr>
        <w:t>Mol Biol Cell</w:t>
      </w:r>
      <w:r>
        <w:rPr>
          <w:rFonts w:ascii="Book Antiqua" w:hAnsi="Book Antiqua" w:cs="Book Antiqua"/>
        </w:rPr>
        <w:t xml:space="preserve"> 2007; </w:t>
      </w:r>
      <w:r>
        <w:rPr>
          <w:rFonts w:ascii="Book Antiqua" w:hAnsi="Book Antiqua" w:cs="Book Antiqua"/>
          <w:b/>
          <w:bCs/>
        </w:rPr>
        <w:t>18</w:t>
      </w:r>
      <w:r>
        <w:rPr>
          <w:rFonts w:ascii="Book Antiqua" w:hAnsi="Book Antiqua" w:cs="Book Antiqua"/>
        </w:rPr>
        <w:t>: 1437-1446 [PMID: 17301289 DOI: 10.1091/mbc.e06-07-0593]</w:t>
      </w:r>
    </w:p>
    <w:p w14:paraId="2ADBBD78" w14:textId="77777777" w:rsidR="00F67380" w:rsidRDefault="00000000">
      <w:pPr>
        <w:spacing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Gianni L</w:t>
      </w:r>
      <w:r>
        <w:rPr>
          <w:rFonts w:ascii="Book Antiqua" w:hAnsi="Book Antiqua" w:cs="Book Antiqua"/>
        </w:rPr>
        <w:t xml:space="preserve">, Bisagni G, Colleoni M, Del Mastro L, Zamagni C, Mansutti M, Zambetti M, Frassoldati A, De Fato R, Valagussa P, Viale G. Neoadjuvant treatment with trastuzumab and pertuzumab plus palbociclib and fulvestrant in HER2-positive, ER-positive breast cancer (NA-PHER2): an exploratory, open-label, phase 2 study. </w:t>
      </w:r>
      <w:r>
        <w:rPr>
          <w:rFonts w:ascii="Book Antiqua" w:hAnsi="Book Antiqua" w:cs="Book Antiqua"/>
          <w:i/>
          <w:iCs/>
        </w:rPr>
        <w:t>Lancet Oncol</w:t>
      </w:r>
      <w:r>
        <w:rPr>
          <w:rFonts w:ascii="Book Antiqua" w:hAnsi="Book Antiqua" w:cs="Book Antiqua"/>
        </w:rPr>
        <w:t xml:space="preserve"> 2018; </w:t>
      </w:r>
      <w:r>
        <w:rPr>
          <w:rFonts w:ascii="Book Antiqua" w:hAnsi="Book Antiqua" w:cs="Book Antiqua"/>
          <w:b/>
          <w:bCs/>
        </w:rPr>
        <w:t>19</w:t>
      </w:r>
      <w:r>
        <w:rPr>
          <w:rFonts w:ascii="Book Antiqua" w:hAnsi="Book Antiqua" w:cs="Book Antiqua"/>
        </w:rPr>
        <w:t>: 249-256 [PMID: 29326029 DOI: 10.1016/S1470-2045(18)30001-9]</w:t>
      </w:r>
    </w:p>
    <w:p w14:paraId="4B007D3C" w14:textId="77777777" w:rsidR="00F67380" w:rsidRDefault="00000000">
      <w:pPr>
        <w:spacing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Ciruelos E</w:t>
      </w:r>
      <w:r>
        <w:rPr>
          <w:rFonts w:ascii="Book Antiqua" w:hAnsi="Book Antiqua" w:cs="Book Antiqua"/>
        </w:rPr>
        <w:t xml:space="preserve">, Villagrasa P, Pascual T, Oliveira M, Pernas S, Paré L, Escrivá-de-Romaní S, Manso L, Adamo B, Martínez E, Cortés J, Vazquez S, Perelló A, Garau I, Melé M, Martínez N, Montaño A, Bermejo B, Morales S, Echarri MJ, Vega E, González-Farré B, Martínez D, Galván P, Canes J, Nuciforo P, Gonzalez X, Prat A. Palbociclib and Trastuzumab in HER2-Positive Advanced Breast Cancer: Results from the Phase II SOLTI-1303 PATRICIA Trial. </w:t>
      </w:r>
      <w:r>
        <w:rPr>
          <w:rFonts w:ascii="Book Antiqua" w:hAnsi="Book Antiqua" w:cs="Book Antiqua"/>
          <w:i/>
          <w:iCs/>
        </w:rPr>
        <w:t>Clin Cancer Res</w:t>
      </w:r>
      <w:r>
        <w:rPr>
          <w:rFonts w:ascii="Book Antiqua" w:hAnsi="Book Antiqua" w:cs="Book Antiqua"/>
        </w:rPr>
        <w:t xml:space="preserve"> 2020; </w:t>
      </w:r>
      <w:r>
        <w:rPr>
          <w:rFonts w:ascii="Book Antiqua" w:hAnsi="Book Antiqua" w:cs="Book Antiqua"/>
          <w:b/>
          <w:bCs/>
        </w:rPr>
        <w:t>26</w:t>
      </w:r>
      <w:r>
        <w:rPr>
          <w:rFonts w:ascii="Book Antiqua" w:hAnsi="Book Antiqua" w:cs="Book Antiqua"/>
        </w:rPr>
        <w:t>: 5820-5829 [PMID: 32938620 DOI: 10.1158/1078-0432.CCR-20-0844]</w:t>
      </w:r>
    </w:p>
    <w:p w14:paraId="6CD13C10" w14:textId="77777777" w:rsidR="00F67380" w:rsidRDefault="00000000">
      <w:pPr>
        <w:spacing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Chakraborty AK</w:t>
      </w:r>
      <w:r>
        <w:rPr>
          <w:rFonts w:ascii="Book Antiqua" w:hAnsi="Book Antiqua" w:cs="Book Antiqua"/>
        </w:rPr>
        <w:t xml:space="preserve">, Zerillo C, DiGiovanna MP. In vitro and in vivo studies of the combination of IGF1R inhibitor figitumumab (CP-751,871) with HER2 inhibitors trastuzumab and neratinib. </w:t>
      </w:r>
      <w:r>
        <w:rPr>
          <w:rFonts w:ascii="Book Antiqua" w:hAnsi="Book Antiqua" w:cs="Book Antiqua"/>
          <w:i/>
          <w:iCs/>
        </w:rPr>
        <w:t>Breast Cancer Res Treat</w:t>
      </w:r>
      <w:r>
        <w:rPr>
          <w:rFonts w:ascii="Book Antiqua" w:hAnsi="Book Antiqua" w:cs="Book Antiqua"/>
        </w:rPr>
        <w:t xml:space="preserve"> 2015; </w:t>
      </w:r>
      <w:r>
        <w:rPr>
          <w:rFonts w:ascii="Book Antiqua" w:hAnsi="Book Antiqua" w:cs="Book Antiqua"/>
          <w:b/>
          <w:bCs/>
        </w:rPr>
        <w:t>152</w:t>
      </w:r>
      <w:r>
        <w:rPr>
          <w:rFonts w:ascii="Book Antiqua" w:hAnsi="Book Antiqua" w:cs="Book Antiqua"/>
        </w:rPr>
        <w:t>: 533-544 [PMID: 26195122 DOI: 10.1007/s10549-015-3504-2]</w:t>
      </w:r>
    </w:p>
    <w:p w14:paraId="31FA26C7" w14:textId="77777777" w:rsidR="00F67380" w:rsidRDefault="00000000">
      <w:pPr>
        <w:spacing w:line="360" w:lineRule="auto"/>
        <w:jc w:val="both"/>
        <w:rPr>
          <w:rFonts w:ascii="Book Antiqua" w:hAnsi="Book Antiqua" w:cs="Book Antiqua"/>
        </w:rPr>
      </w:pPr>
      <w:r>
        <w:rPr>
          <w:rFonts w:ascii="Book Antiqua" w:hAnsi="Book Antiqua" w:cs="Book Antiqua"/>
        </w:rPr>
        <w:lastRenderedPageBreak/>
        <w:t xml:space="preserve">39 </w:t>
      </w:r>
      <w:r>
        <w:rPr>
          <w:rFonts w:ascii="Book Antiqua" w:hAnsi="Book Antiqua" w:cs="Book Antiqua"/>
          <w:b/>
          <w:bCs/>
        </w:rPr>
        <w:t>Laterza MM</w:t>
      </w:r>
      <w:r>
        <w:rPr>
          <w:rFonts w:ascii="Book Antiqua" w:hAnsi="Book Antiqua" w:cs="Book Antiqua"/>
        </w:rPr>
        <w:t xml:space="preserve">, Ciaramella V, Facchini BA, Franzese E, Liguori C, De Falco S, Coppola P, Pompella L, Tirino G, Berretta M, Montella L, Facchini G, Ciardiello F, de Vita F. Enhanced Antitumor Effect of Trastuzumab and Duligotuzumab or Ipatasertib Combination in HER-2 Positive Gastric Cancer Cells. </w:t>
      </w:r>
      <w:r>
        <w:rPr>
          <w:rFonts w:ascii="Book Antiqua" w:hAnsi="Book Antiqua" w:cs="Book Antiqua"/>
          <w:i/>
          <w:iCs/>
        </w:rPr>
        <w:t>Cancers (Basel)</w:t>
      </w:r>
      <w:r>
        <w:rPr>
          <w:rFonts w:ascii="Book Antiqua" w:hAnsi="Book Antiqua" w:cs="Book Antiqua"/>
        </w:rPr>
        <w:t xml:space="preserve"> 2021; </w:t>
      </w:r>
      <w:r>
        <w:rPr>
          <w:rFonts w:ascii="Book Antiqua" w:hAnsi="Book Antiqua" w:cs="Book Antiqua"/>
          <w:b/>
          <w:bCs/>
        </w:rPr>
        <w:t>13</w:t>
      </w:r>
      <w:r>
        <w:rPr>
          <w:rFonts w:ascii="Book Antiqua" w:hAnsi="Book Antiqua" w:cs="Book Antiqua"/>
        </w:rPr>
        <w:t xml:space="preserve"> [PMID: 34066144 DOI: 10.3390/cancers13102339]</w:t>
      </w:r>
    </w:p>
    <w:p w14:paraId="64AE6899" w14:textId="77777777" w:rsidR="00F67380" w:rsidRDefault="00000000">
      <w:pPr>
        <w:spacing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Hudis C</w:t>
      </w:r>
      <w:r>
        <w:rPr>
          <w:rFonts w:ascii="Book Antiqua" w:hAnsi="Book Antiqua" w:cs="Book Antiqua"/>
        </w:rPr>
        <w:t xml:space="preserve">, Swanton C, Janjigian YY, Lee R, Sutherland S, Lehman R, Chandarlapaty S, Hamilton N, Gajria D, Knowles J, Shah J, Shannon K, Tetteh E, Sullivan DM, Moreno C, Yan L, Han HS. A phase 1 study evaluating the combination of an allosteric AKT inhibitor (MK-2206) and trastuzumab in patients with HER2-positive solid tumors. </w:t>
      </w:r>
      <w:r>
        <w:rPr>
          <w:rFonts w:ascii="Book Antiqua" w:hAnsi="Book Antiqua" w:cs="Book Antiqua"/>
          <w:i/>
          <w:iCs/>
        </w:rPr>
        <w:t>Breast Cancer Res</w:t>
      </w:r>
      <w:r>
        <w:rPr>
          <w:rFonts w:ascii="Book Antiqua" w:hAnsi="Book Antiqua" w:cs="Book Antiqua"/>
        </w:rPr>
        <w:t xml:space="preserve"> 2013; </w:t>
      </w:r>
      <w:r>
        <w:rPr>
          <w:rFonts w:ascii="Book Antiqua" w:hAnsi="Book Antiqua" w:cs="Book Antiqua"/>
          <w:b/>
          <w:bCs/>
        </w:rPr>
        <w:t>15</w:t>
      </w:r>
      <w:r>
        <w:rPr>
          <w:rFonts w:ascii="Book Antiqua" w:hAnsi="Book Antiqua" w:cs="Book Antiqua"/>
        </w:rPr>
        <w:t>: R110 [PMID: 24252402 DOI: 10.1186/bcr3577]</w:t>
      </w:r>
    </w:p>
    <w:p w14:paraId="11EF9A4A" w14:textId="77777777" w:rsidR="00F67380" w:rsidRDefault="00000000">
      <w:pPr>
        <w:spacing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Rocca A</w:t>
      </w:r>
      <w:r>
        <w:rPr>
          <w:rFonts w:ascii="Book Antiqua" w:hAnsi="Book Antiqua" w:cs="Book Antiqua"/>
        </w:rPr>
        <w:t xml:space="preserve">, Cortesi P, Cortesi L, Gianni L, Matteucci F, Fantini L, Maestri A, Giunchi DC, Cavanna L, Ciani R, Falcini F, Bagni A, Meldoli E, Dall'Agata M, Volpi R, Andreis D, Nanni O, Curcio A, Lucchi L, Amadori D, Fedeli A. Phase II study of liposomal doxorubicin, docetaxel and trastuzumab in combination with metformin as neoadjuvant therapy for HER2-positive breast cancer. </w:t>
      </w:r>
      <w:r>
        <w:rPr>
          <w:rFonts w:ascii="Book Antiqua" w:hAnsi="Book Antiqua" w:cs="Book Antiqua"/>
          <w:i/>
          <w:iCs/>
        </w:rPr>
        <w:t>Ther Adv Med Oncol</w:t>
      </w:r>
      <w:r>
        <w:rPr>
          <w:rFonts w:ascii="Book Antiqua" w:hAnsi="Book Antiqua" w:cs="Book Antiqua"/>
        </w:rPr>
        <w:t xml:space="preserve"> 2021; </w:t>
      </w:r>
      <w:r>
        <w:rPr>
          <w:rFonts w:ascii="Book Antiqua" w:hAnsi="Book Antiqua" w:cs="Book Antiqua"/>
          <w:b/>
          <w:bCs/>
        </w:rPr>
        <w:t>13</w:t>
      </w:r>
      <w:r>
        <w:rPr>
          <w:rFonts w:ascii="Book Antiqua" w:hAnsi="Book Antiqua" w:cs="Book Antiqua"/>
        </w:rPr>
        <w:t>: 1758835920985632 [PMID: 33613693 DOI: 10.1177/1758835920985632]</w:t>
      </w:r>
    </w:p>
    <w:p w14:paraId="2FFEC128" w14:textId="77777777" w:rsidR="00F67380" w:rsidRDefault="00000000">
      <w:pPr>
        <w:spacing w:line="360" w:lineRule="auto"/>
        <w:jc w:val="both"/>
        <w:rPr>
          <w:rFonts w:ascii="Book Antiqua" w:hAnsi="Book Antiqua" w:cs="Book Antiqua"/>
        </w:rPr>
      </w:pPr>
      <w:r>
        <w:rPr>
          <w:rFonts w:ascii="Book Antiqua" w:hAnsi="Book Antiqua" w:cs="Book Antiqua"/>
        </w:rPr>
        <w:t xml:space="preserve">42 </w:t>
      </w:r>
      <w:r>
        <w:rPr>
          <w:rFonts w:ascii="Book Antiqua" w:hAnsi="Book Antiqua" w:cs="Book Antiqua"/>
          <w:b/>
          <w:bCs/>
        </w:rPr>
        <w:t>Sachlos E</w:t>
      </w:r>
      <w:r>
        <w:rPr>
          <w:rFonts w:ascii="Book Antiqua" w:hAnsi="Book Antiqua" w:cs="Book Antiqua"/>
        </w:rPr>
        <w:t xml:space="preserve">, Risueño RM, Laronde S, Shapovalova Z, Lee JH, Russell J, Malig M, McNicol JD, Fiebig-Comyn A, Graham M, Levadoux-Martin M, Lee JB, Giacomelli AO, Hassell JA, Fischer-Russell D, Trus MR, Foley R, Leber B, Xenocostas A, Brown ED, Collins TJ, Bhatia M. Identification of drugs including a dopamine receptor antagonist that selectively target cancer stem cells. </w:t>
      </w:r>
      <w:r>
        <w:rPr>
          <w:rFonts w:ascii="Book Antiqua" w:hAnsi="Book Antiqua" w:cs="Book Antiqua"/>
          <w:i/>
          <w:iCs/>
        </w:rPr>
        <w:t>Cell</w:t>
      </w:r>
      <w:r>
        <w:rPr>
          <w:rFonts w:ascii="Book Antiqua" w:hAnsi="Book Antiqua" w:cs="Book Antiqua"/>
        </w:rPr>
        <w:t xml:space="preserve"> 2012; </w:t>
      </w:r>
      <w:r>
        <w:rPr>
          <w:rFonts w:ascii="Book Antiqua" w:hAnsi="Book Antiqua" w:cs="Book Antiqua"/>
          <w:b/>
          <w:bCs/>
        </w:rPr>
        <w:t>149</w:t>
      </w:r>
      <w:r>
        <w:rPr>
          <w:rFonts w:ascii="Book Antiqua" w:hAnsi="Book Antiqua" w:cs="Book Antiqua"/>
        </w:rPr>
        <w:t>: 1284-1297 [PMID: 22632761 DOI: 10.1016/j.cell.2012.03.049]</w:t>
      </w:r>
    </w:p>
    <w:p w14:paraId="5B44DED1" w14:textId="77777777" w:rsidR="00F67380" w:rsidRDefault="00000000">
      <w:pPr>
        <w:spacing w:line="360" w:lineRule="auto"/>
        <w:jc w:val="both"/>
        <w:rPr>
          <w:rFonts w:ascii="Book Antiqua" w:hAnsi="Book Antiqua" w:cs="Book Antiqua"/>
        </w:rPr>
      </w:pPr>
      <w:r>
        <w:rPr>
          <w:rFonts w:ascii="Book Antiqua" w:hAnsi="Book Antiqua" w:cs="Book Antiqua"/>
        </w:rPr>
        <w:t xml:space="preserve">43 </w:t>
      </w:r>
      <w:r>
        <w:rPr>
          <w:rFonts w:ascii="Book Antiqua" w:hAnsi="Book Antiqua" w:cs="Book Antiqua"/>
          <w:b/>
          <w:bCs/>
        </w:rPr>
        <w:t>Choi AR</w:t>
      </w:r>
      <w:r>
        <w:rPr>
          <w:rFonts w:ascii="Book Antiqua" w:hAnsi="Book Antiqua" w:cs="Book Antiqua"/>
        </w:rPr>
        <w:t xml:space="preserve">, Kim JH, Yoon S. Thioridazine specifically sensitizes drug-resistant cancer cells through highly increase in apoptosis and P-gp inhibition. </w:t>
      </w:r>
      <w:r>
        <w:rPr>
          <w:rFonts w:ascii="Book Antiqua" w:hAnsi="Book Antiqua" w:cs="Book Antiqua"/>
          <w:i/>
          <w:iCs/>
        </w:rPr>
        <w:t>Tumour Biol</w:t>
      </w:r>
      <w:r>
        <w:rPr>
          <w:rFonts w:ascii="Book Antiqua" w:hAnsi="Book Antiqua" w:cs="Book Antiqua"/>
        </w:rPr>
        <w:t xml:space="preserve"> 2014; </w:t>
      </w:r>
      <w:r>
        <w:rPr>
          <w:rFonts w:ascii="Book Antiqua" w:hAnsi="Book Antiqua" w:cs="Book Antiqua"/>
          <w:b/>
          <w:bCs/>
        </w:rPr>
        <w:t>35</w:t>
      </w:r>
      <w:r>
        <w:rPr>
          <w:rFonts w:ascii="Book Antiqua" w:hAnsi="Book Antiqua" w:cs="Book Antiqua"/>
        </w:rPr>
        <w:t>: 9831-9838 [PMID: 24989930 DOI: 10.1007/s13277-014-2278-1]</w:t>
      </w:r>
    </w:p>
    <w:p w14:paraId="7C24D61B" w14:textId="77777777" w:rsidR="00F67380" w:rsidRDefault="00000000">
      <w:pPr>
        <w:spacing w:line="360" w:lineRule="auto"/>
        <w:jc w:val="both"/>
        <w:rPr>
          <w:rFonts w:ascii="Book Antiqua" w:hAnsi="Book Antiqua" w:cs="Book Antiqua"/>
        </w:rPr>
      </w:pPr>
      <w:r>
        <w:rPr>
          <w:rFonts w:ascii="Book Antiqua" w:hAnsi="Book Antiqua" w:cs="Book Antiqua"/>
        </w:rPr>
        <w:t xml:space="preserve">44 </w:t>
      </w:r>
      <w:r>
        <w:rPr>
          <w:rFonts w:ascii="Book Antiqua" w:hAnsi="Book Antiqua" w:cs="Book Antiqua"/>
          <w:b/>
          <w:bCs/>
        </w:rPr>
        <w:t>Yong M</w:t>
      </w:r>
      <w:r>
        <w:rPr>
          <w:rFonts w:ascii="Book Antiqua" w:hAnsi="Book Antiqua" w:cs="Book Antiqua"/>
        </w:rPr>
        <w:t xml:space="preserve">, Yu T, Tian S, Liu S, Xu J, Hu J, Hu L. DR2 blocker thioridazine: A promising drug for ovarian cancer therapy. </w:t>
      </w:r>
      <w:r>
        <w:rPr>
          <w:rFonts w:ascii="Book Antiqua" w:hAnsi="Book Antiqua" w:cs="Book Antiqua"/>
          <w:i/>
          <w:iCs/>
        </w:rPr>
        <w:t>Oncol Lett</w:t>
      </w:r>
      <w:r>
        <w:rPr>
          <w:rFonts w:ascii="Book Antiqua" w:hAnsi="Book Antiqua" w:cs="Book Antiqua"/>
        </w:rPr>
        <w:t xml:space="preserve"> 2017; </w:t>
      </w:r>
      <w:r>
        <w:rPr>
          <w:rFonts w:ascii="Book Antiqua" w:hAnsi="Book Antiqua" w:cs="Book Antiqua"/>
          <w:b/>
          <w:bCs/>
        </w:rPr>
        <w:t>14</w:t>
      </w:r>
      <w:r>
        <w:rPr>
          <w:rFonts w:ascii="Book Antiqua" w:hAnsi="Book Antiqua" w:cs="Book Antiqua"/>
        </w:rPr>
        <w:t>: 8171-8177 [PMID: 29344260 DOI: 10.3892/ol.2017.7184]</w:t>
      </w:r>
    </w:p>
    <w:p w14:paraId="2C36D660" w14:textId="77777777" w:rsidR="00F67380" w:rsidRDefault="00000000">
      <w:pPr>
        <w:spacing w:line="360" w:lineRule="auto"/>
        <w:jc w:val="both"/>
        <w:rPr>
          <w:rFonts w:ascii="Book Antiqua" w:hAnsi="Book Antiqua" w:cs="Book Antiqua"/>
        </w:rPr>
      </w:pPr>
      <w:r>
        <w:rPr>
          <w:rFonts w:ascii="Book Antiqua" w:hAnsi="Book Antiqua" w:cs="Book Antiqua"/>
        </w:rPr>
        <w:lastRenderedPageBreak/>
        <w:t xml:space="preserve">45 </w:t>
      </w:r>
      <w:r>
        <w:rPr>
          <w:rFonts w:ascii="Book Antiqua" w:hAnsi="Book Antiqua" w:cs="Book Antiqua"/>
          <w:b/>
          <w:bCs/>
        </w:rPr>
        <w:t>Park MS</w:t>
      </w:r>
      <w:r>
        <w:rPr>
          <w:rFonts w:ascii="Book Antiqua" w:hAnsi="Book Antiqua" w:cs="Book Antiqua"/>
        </w:rPr>
        <w:t xml:space="preserve">, Dong SM, Kim BR, Seo SH, Kang S, Lee EJ, Lee SH, Rho SB. Thioridazine inhibits angiogenesis and tumor growth by targeting the VEGFR-2/PI3K/mTOR pathway in ovarian cancer xenografts. </w:t>
      </w:r>
      <w:r>
        <w:rPr>
          <w:rFonts w:ascii="Book Antiqua" w:hAnsi="Book Antiqua" w:cs="Book Antiqua"/>
          <w:i/>
          <w:iCs/>
        </w:rPr>
        <w:t>Oncotarget</w:t>
      </w:r>
      <w:r>
        <w:rPr>
          <w:rFonts w:ascii="Book Antiqua" w:hAnsi="Book Antiqua" w:cs="Book Antiqua"/>
        </w:rPr>
        <w:t xml:space="preserve"> 2014; </w:t>
      </w:r>
      <w:r>
        <w:rPr>
          <w:rFonts w:ascii="Book Antiqua" w:hAnsi="Book Antiqua" w:cs="Book Antiqua"/>
          <w:b/>
          <w:bCs/>
        </w:rPr>
        <w:t>5</w:t>
      </w:r>
      <w:r>
        <w:rPr>
          <w:rFonts w:ascii="Book Antiqua" w:hAnsi="Book Antiqua" w:cs="Book Antiqua"/>
        </w:rPr>
        <w:t>: 4929-4934 [PMID: 24952635 DOI: 10.18632/oncotarget.2063]</w:t>
      </w:r>
    </w:p>
    <w:p w14:paraId="4ECAF16C" w14:textId="77777777" w:rsidR="00F67380" w:rsidRDefault="00000000">
      <w:pPr>
        <w:spacing w:line="360" w:lineRule="auto"/>
        <w:jc w:val="both"/>
        <w:rPr>
          <w:rFonts w:ascii="Book Antiqua" w:hAnsi="Book Antiqua" w:cs="Book Antiqua"/>
        </w:rPr>
      </w:pPr>
      <w:r>
        <w:rPr>
          <w:rFonts w:ascii="Book Antiqua" w:hAnsi="Book Antiqua" w:cs="Book Antiqua"/>
        </w:rPr>
        <w:t xml:space="preserve">46 </w:t>
      </w:r>
      <w:r>
        <w:rPr>
          <w:rFonts w:ascii="Book Antiqua" w:hAnsi="Book Antiqua" w:cs="Book Antiqua"/>
          <w:b/>
          <w:bCs/>
        </w:rPr>
        <w:t>Johannessen TC</w:t>
      </w:r>
      <w:r>
        <w:rPr>
          <w:rFonts w:ascii="Book Antiqua" w:hAnsi="Book Antiqua" w:cs="Book Antiqua"/>
        </w:rPr>
        <w:t xml:space="preserve">, Hasan-Olive MM, Zhu H, Denisova O, Grudic A, Latif MA, Saed H, Varughese JK, Røsland GV, Yang N, Sundstrøm T, Nordal A, Tronstad KJ, Wang J, Lund-Johansen M, Simonsen A, Janji B, Westermarck J, Bjerkvig R, Prestegarden L. Thioridazine inhibits autophagy and sensitizes glioblastoma cells to temozolomide. </w:t>
      </w:r>
      <w:r>
        <w:rPr>
          <w:rFonts w:ascii="Book Antiqua" w:hAnsi="Book Antiqua" w:cs="Book Antiqua"/>
          <w:i/>
          <w:iCs/>
        </w:rPr>
        <w:t>Int J Cancer</w:t>
      </w:r>
      <w:r>
        <w:rPr>
          <w:rFonts w:ascii="Book Antiqua" w:hAnsi="Book Antiqua" w:cs="Book Antiqua"/>
        </w:rPr>
        <w:t xml:space="preserve"> 2019; </w:t>
      </w:r>
      <w:r>
        <w:rPr>
          <w:rFonts w:ascii="Book Antiqua" w:hAnsi="Book Antiqua" w:cs="Book Antiqua"/>
          <w:b/>
          <w:bCs/>
        </w:rPr>
        <w:t>144</w:t>
      </w:r>
      <w:r>
        <w:rPr>
          <w:rFonts w:ascii="Book Antiqua" w:hAnsi="Book Antiqua" w:cs="Book Antiqua"/>
        </w:rPr>
        <w:t>: 1735-1745 [PMID: 30289977 DOI: 10.1002/ijc.31912]</w:t>
      </w:r>
    </w:p>
    <w:p w14:paraId="5A9CA030" w14:textId="77777777" w:rsidR="00F67380" w:rsidRDefault="00000000">
      <w:pPr>
        <w:spacing w:line="360" w:lineRule="auto"/>
        <w:jc w:val="both"/>
        <w:rPr>
          <w:rFonts w:ascii="Book Antiqua" w:hAnsi="Book Antiqua" w:cs="Book Antiqua"/>
        </w:rPr>
      </w:pPr>
      <w:r>
        <w:rPr>
          <w:rFonts w:ascii="Book Antiqua" w:hAnsi="Book Antiqua" w:cs="Book Antiqua"/>
        </w:rPr>
        <w:t xml:space="preserve">47 </w:t>
      </w:r>
      <w:r>
        <w:rPr>
          <w:rFonts w:ascii="Book Antiqua" w:hAnsi="Book Antiqua" w:cs="Book Antiqua"/>
          <w:b/>
          <w:bCs/>
        </w:rPr>
        <w:t>Tran TH</w:t>
      </w:r>
      <w:r>
        <w:rPr>
          <w:rFonts w:ascii="Book Antiqua" w:hAnsi="Book Antiqua" w:cs="Book Antiqua"/>
        </w:rPr>
        <w:t xml:space="preserve">, Kao M, Liu HS, Hong YR, Su Y, Huang CF. Repurposing thioridazine for inducing immunogenic cell death in colorectal cancer via eIF2α/ATF4/CHOP and secretory autophagy pathways. </w:t>
      </w:r>
      <w:r>
        <w:rPr>
          <w:rFonts w:ascii="Book Antiqua" w:hAnsi="Book Antiqua" w:cs="Book Antiqua"/>
          <w:i/>
          <w:iCs/>
        </w:rPr>
        <w:t>Cell Commun Signal</w:t>
      </w:r>
      <w:r>
        <w:rPr>
          <w:rFonts w:ascii="Book Antiqua" w:hAnsi="Book Antiqua" w:cs="Book Antiqua"/>
        </w:rPr>
        <w:t xml:space="preserve"> 2023; </w:t>
      </w:r>
      <w:r>
        <w:rPr>
          <w:rFonts w:ascii="Book Antiqua" w:hAnsi="Book Antiqua" w:cs="Book Antiqua"/>
          <w:b/>
          <w:bCs/>
        </w:rPr>
        <w:t>21</w:t>
      </w:r>
      <w:r>
        <w:rPr>
          <w:rFonts w:ascii="Book Antiqua" w:hAnsi="Book Antiqua" w:cs="Book Antiqua"/>
        </w:rPr>
        <w:t>: 184 [PMID: 37488534 DOI: 10.1186/s12964-023-01190-5]</w:t>
      </w:r>
    </w:p>
    <w:p w14:paraId="45BA371D" w14:textId="77777777" w:rsidR="00F67380" w:rsidRDefault="00F67380">
      <w:pPr>
        <w:adjustRightInd w:val="0"/>
        <w:snapToGrid w:val="0"/>
        <w:spacing w:line="360" w:lineRule="auto"/>
        <w:jc w:val="both"/>
        <w:rPr>
          <w:rFonts w:ascii="Book Antiqua" w:hAnsi="Book Antiqua" w:cs="Book Antiqua"/>
        </w:rPr>
        <w:sectPr w:rsidR="00F67380">
          <w:pgSz w:w="12240" w:h="15840"/>
          <w:pgMar w:top="1440" w:right="1440" w:bottom="1440" w:left="1440" w:header="720" w:footer="720" w:gutter="0"/>
          <w:cols w:space="720"/>
          <w:docGrid w:linePitch="360"/>
        </w:sectPr>
      </w:pPr>
    </w:p>
    <w:p w14:paraId="13E14009"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43624D58"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Institutional review board statement: </w:t>
      </w:r>
      <w:r>
        <w:rPr>
          <w:rFonts w:ascii="Book Antiqua" w:eastAsia="Book Antiqua" w:hAnsi="Book Antiqua" w:cs="Book Antiqua"/>
          <w:szCs w:val="20"/>
        </w:rPr>
        <w:t xml:space="preserve">The study was reviewed and approved by </w:t>
      </w:r>
      <w:r>
        <w:rPr>
          <w:rFonts w:ascii="Book Antiqua" w:eastAsia="Book Antiqua" w:hAnsi="Book Antiqua" w:cs="Book Antiqua"/>
          <w:szCs w:val="20"/>
          <w:shd w:val="clear" w:color="auto" w:fill="FFFFFF"/>
        </w:rPr>
        <w:t>the Ethics Committee of the Medical School of Henan University</w:t>
      </w:r>
      <w:r>
        <w:rPr>
          <w:rFonts w:ascii="Book Antiqua" w:eastAsia="宋体" w:hAnsi="Book Antiqua" w:cs="Book Antiqua" w:hint="eastAsia"/>
          <w:szCs w:val="20"/>
          <w:lang w:eastAsia="zh-CN"/>
        </w:rPr>
        <w:t xml:space="preserve"> </w:t>
      </w:r>
      <w:r>
        <w:rPr>
          <w:rFonts w:ascii="Book Antiqua" w:eastAsia="Book Antiqua" w:hAnsi="Book Antiqua" w:cs="Book Antiqua"/>
          <w:szCs w:val="20"/>
          <w:shd w:val="clear" w:color="auto" w:fill="FFFFFF"/>
        </w:rPr>
        <w:t>(HUSOM2022-452)</w:t>
      </w:r>
      <w:r>
        <w:rPr>
          <w:rFonts w:ascii="Book Antiqua" w:eastAsia="Book Antiqua" w:hAnsi="Book Antiqua" w:cs="Book Antiqua"/>
          <w:szCs w:val="20"/>
        </w:rPr>
        <w:t>.</w:t>
      </w:r>
    </w:p>
    <w:p w14:paraId="2D3E0C07" w14:textId="77777777" w:rsidR="00F67380" w:rsidRDefault="00F67380">
      <w:pPr>
        <w:adjustRightInd w:val="0"/>
        <w:snapToGrid w:val="0"/>
        <w:spacing w:line="360" w:lineRule="auto"/>
        <w:jc w:val="both"/>
        <w:rPr>
          <w:rFonts w:ascii="Book Antiqua" w:hAnsi="Book Antiqua" w:cs="Book Antiqua"/>
        </w:rPr>
      </w:pPr>
    </w:p>
    <w:p w14:paraId="406020F7" w14:textId="77777777" w:rsidR="00F67380" w:rsidRDefault="00000000">
      <w:pPr>
        <w:adjustRightInd w:val="0"/>
        <w:snapToGrid w:val="0"/>
        <w:spacing w:line="360" w:lineRule="auto"/>
        <w:jc w:val="both"/>
        <w:rPr>
          <w:rFonts w:ascii="Book Antiqua" w:eastAsia="宋体" w:hAnsi="Book Antiqua" w:cs="Book Antiqua"/>
        </w:rPr>
      </w:pPr>
      <w:r>
        <w:rPr>
          <w:rFonts w:ascii="Book Antiqua" w:eastAsia="Book Antiqua" w:hAnsi="Book Antiqua" w:cs="Book Antiqua"/>
          <w:b/>
          <w:bCs/>
          <w:szCs w:val="21"/>
        </w:rPr>
        <w:t xml:space="preserve">Institutional animal care and use committee statement: </w:t>
      </w:r>
      <w:r>
        <w:rPr>
          <w:rFonts w:ascii="Book Antiqua" w:eastAsia="宋体" w:hAnsi="Book Antiqua" w:cs="Book Antiqua"/>
        </w:rPr>
        <w:t xml:space="preserve">All procedures involving animals were reviewed and approved by the Institutional Animal Care and Use Committee of the </w:t>
      </w:r>
      <w:r>
        <w:rPr>
          <w:rFonts w:ascii="Book Antiqua" w:eastAsia="Book Antiqua" w:hAnsi="Book Antiqua" w:cs="Book Antiqua"/>
          <w:szCs w:val="20"/>
          <w:shd w:val="clear" w:color="auto" w:fill="FFFFFF"/>
        </w:rPr>
        <w:t>Medical School of Henan University</w:t>
      </w:r>
      <w:r>
        <w:rPr>
          <w:rFonts w:ascii="Book Antiqua" w:eastAsia="宋体" w:hAnsi="Book Antiqua" w:cs="Book Antiqua"/>
        </w:rPr>
        <w:t xml:space="preserve"> (protocol number: </w:t>
      </w:r>
      <w:r>
        <w:rPr>
          <w:rFonts w:ascii="Book Antiqua" w:eastAsia="Book Antiqua" w:hAnsi="Book Antiqua" w:cs="Book Antiqua"/>
          <w:szCs w:val="20"/>
          <w:shd w:val="clear" w:color="auto" w:fill="FFFFFF"/>
        </w:rPr>
        <w:t>HUSOM2022-439</w:t>
      </w:r>
      <w:r>
        <w:rPr>
          <w:rFonts w:ascii="Book Antiqua" w:eastAsia="宋体" w:hAnsi="Book Antiqua" w:cs="Book Antiqua" w:hint="eastAsia"/>
          <w:szCs w:val="20"/>
          <w:shd w:val="clear" w:color="auto" w:fill="FFFFFF"/>
          <w:lang w:eastAsia="zh-CN"/>
        </w:rPr>
        <w:t>)</w:t>
      </w:r>
      <w:r>
        <w:rPr>
          <w:rFonts w:ascii="Book Antiqua" w:eastAsia="宋体" w:hAnsi="Book Antiqua" w:cs="Book Antiqua"/>
        </w:rPr>
        <w:t>.</w:t>
      </w:r>
    </w:p>
    <w:p w14:paraId="42DD74F4" w14:textId="77777777" w:rsidR="00F67380" w:rsidRDefault="00F67380">
      <w:pPr>
        <w:adjustRightInd w:val="0"/>
        <w:snapToGrid w:val="0"/>
        <w:spacing w:line="360" w:lineRule="auto"/>
        <w:jc w:val="both"/>
        <w:rPr>
          <w:rFonts w:ascii="Book Antiqua" w:hAnsi="Book Antiqua" w:cs="Book Antiqua"/>
        </w:rPr>
      </w:pPr>
    </w:p>
    <w:p w14:paraId="44DC8A95"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Conflict-of-interest statement: </w:t>
      </w:r>
      <w:r>
        <w:rPr>
          <w:rFonts w:ascii="Book Antiqua" w:eastAsia="Book Antiqua" w:hAnsi="Book Antiqua" w:cs="Book Antiqua"/>
          <w:szCs w:val="20"/>
        </w:rPr>
        <w:t>The authors declare no conflict of interest.</w:t>
      </w:r>
    </w:p>
    <w:p w14:paraId="5BBD5D14" w14:textId="77777777" w:rsidR="00F67380" w:rsidRDefault="00F67380">
      <w:pPr>
        <w:adjustRightInd w:val="0"/>
        <w:snapToGrid w:val="0"/>
        <w:spacing w:line="360" w:lineRule="auto"/>
        <w:jc w:val="both"/>
        <w:rPr>
          <w:rFonts w:ascii="Book Antiqua" w:hAnsi="Book Antiqua" w:cs="Book Antiqua"/>
        </w:rPr>
      </w:pPr>
    </w:p>
    <w:p w14:paraId="0AA8B823"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Data sharing statement: </w:t>
      </w:r>
      <w:r>
        <w:rPr>
          <w:rFonts w:ascii="Book Antiqua" w:eastAsia="Book Antiqua" w:hAnsi="Book Antiqua" w:cs="Book Antiqua"/>
          <w:szCs w:val="20"/>
        </w:rPr>
        <w:t>Relevant research data have been</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presented</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in the text. All data will be provided upon request if necessary.</w:t>
      </w:r>
    </w:p>
    <w:p w14:paraId="05ACD176" w14:textId="77777777" w:rsidR="00F67380" w:rsidRDefault="00F67380">
      <w:pPr>
        <w:adjustRightInd w:val="0"/>
        <w:snapToGrid w:val="0"/>
        <w:spacing w:line="360" w:lineRule="auto"/>
        <w:jc w:val="both"/>
        <w:rPr>
          <w:rFonts w:ascii="Book Antiqua" w:hAnsi="Book Antiqua" w:cs="Book Antiqua"/>
        </w:rPr>
      </w:pPr>
    </w:p>
    <w:p w14:paraId="51EC5EED" w14:textId="77777777" w:rsidR="00F67380" w:rsidRDefault="00000000">
      <w:pPr>
        <w:adjustRightInd w:val="0"/>
        <w:snapToGrid w:val="0"/>
        <w:spacing w:line="360" w:lineRule="auto"/>
        <w:jc w:val="both"/>
        <w:rPr>
          <w:rFonts w:ascii="Book Antiqua" w:eastAsia="Book Antiqua" w:hAnsi="Book Antiqua" w:cs="Book Antiqua"/>
          <w:szCs w:val="20"/>
        </w:rPr>
      </w:pPr>
      <w:r>
        <w:rPr>
          <w:rFonts w:ascii="Book Antiqua" w:eastAsia="Book Antiqua" w:hAnsi="Book Antiqua" w:cs="Book Antiqua"/>
          <w:b/>
          <w:bCs/>
        </w:rPr>
        <w:t xml:space="preserve">ARRIVE guidelines statement: </w:t>
      </w:r>
      <w:r>
        <w:rPr>
          <w:rFonts w:ascii="Book Antiqua" w:eastAsia="Book Antiqua" w:hAnsi="Book Antiqua" w:cs="Book Antiqua"/>
          <w:szCs w:val="20"/>
        </w:rPr>
        <w:t>The authors have read the ARRIVE guidelines, and the manuscript was prepared and revised according to the ARRIVE guidelines.</w:t>
      </w:r>
    </w:p>
    <w:p w14:paraId="740299BD" w14:textId="77777777" w:rsidR="00F67380" w:rsidRDefault="00F67380">
      <w:pPr>
        <w:adjustRightInd w:val="0"/>
        <w:snapToGrid w:val="0"/>
        <w:spacing w:line="360" w:lineRule="auto"/>
        <w:jc w:val="both"/>
        <w:rPr>
          <w:rFonts w:ascii="Book Antiqua" w:eastAsia="Book Antiqua" w:hAnsi="Book Antiqua" w:cs="Book Antiqua"/>
          <w:szCs w:val="20"/>
        </w:rPr>
      </w:pPr>
    </w:p>
    <w:p w14:paraId="22D0DA3A"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50B292" w14:textId="77777777" w:rsidR="00F67380" w:rsidRDefault="00F67380">
      <w:pPr>
        <w:adjustRightInd w:val="0"/>
        <w:snapToGrid w:val="0"/>
        <w:spacing w:line="360" w:lineRule="auto"/>
        <w:jc w:val="both"/>
        <w:rPr>
          <w:rFonts w:ascii="Book Antiqua" w:hAnsi="Book Antiqua" w:cs="Book Antiqua"/>
        </w:rPr>
      </w:pPr>
    </w:p>
    <w:p w14:paraId="4FDF5A2A" w14:textId="77777777" w:rsidR="00F67380"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692CFE7" w14:textId="77777777" w:rsidR="00F67380" w:rsidRDefault="00F67380">
      <w:pPr>
        <w:adjustRightInd w:val="0"/>
        <w:snapToGrid w:val="0"/>
        <w:spacing w:line="360" w:lineRule="auto"/>
        <w:jc w:val="both"/>
        <w:rPr>
          <w:rFonts w:ascii="Book Antiqua" w:eastAsia="Book Antiqua" w:hAnsi="Book Antiqua" w:cs="Book Antiqua"/>
        </w:rPr>
      </w:pPr>
    </w:p>
    <w:p w14:paraId="093EB82C"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62C2F00" w14:textId="77777777" w:rsidR="00F67380" w:rsidRDefault="00F67380">
      <w:pPr>
        <w:adjustRightInd w:val="0"/>
        <w:snapToGrid w:val="0"/>
        <w:spacing w:line="360" w:lineRule="auto"/>
        <w:jc w:val="both"/>
        <w:rPr>
          <w:rFonts w:ascii="Book Antiqua" w:hAnsi="Book Antiqua" w:cs="Book Antiqua"/>
        </w:rPr>
      </w:pPr>
    </w:p>
    <w:p w14:paraId="2813E3A0"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rPr>
        <w:t>September 17, 2023</w:t>
      </w:r>
    </w:p>
    <w:p w14:paraId="1E1035B0"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8, 2023</w:t>
      </w:r>
    </w:p>
    <w:p w14:paraId="6EE85C21"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63234ADB" w14:textId="77777777" w:rsidR="00F67380" w:rsidRDefault="00F67380">
      <w:pPr>
        <w:adjustRightInd w:val="0"/>
        <w:snapToGrid w:val="0"/>
        <w:spacing w:line="360" w:lineRule="auto"/>
        <w:jc w:val="both"/>
        <w:rPr>
          <w:rFonts w:ascii="Book Antiqua" w:hAnsi="Book Antiqua" w:cs="Book Antiqua"/>
        </w:rPr>
      </w:pPr>
    </w:p>
    <w:p w14:paraId="5BFBB0EA"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61BED66D"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134F022"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16ED2EB5"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24258E07"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0</w:t>
      </w:r>
    </w:p>
    <w:p w14:paraId="4FC665D4"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C, C</w:t>
      </w:r>
    </w:p>
    <w:p w14:paraId="093D5434"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10D40EBC" w14:textId="77777777" w:rsidR="00F67380"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3245EC7C" w14:textId="77777777" w:rsidR="00F67380" w:rsidRDefault="00F67380">
      <w:pPr>
        <w:adjustRightInd w:val="0"/>
        <w:snapToGrid w:val="0"/>
        <w:spacing w:line="360" w:lineRule="auto"/>
        <w:jc w:val="both"/>
        <w:rPr>
          <w:rFonts w:ascii="Book Antiqua" w:hAnsi="Book Antiqua" w:cs="Book Antiqua"/>
        </w:rPr>
      </w:pPr>
    </w:p>
    <w:p w14:paraId="3F8E0EA3" w14:textId="77777777" w:rsidR="00F67380" w:rsidRDefault="00000000">
      <w:pPr>
        <w:adjustRightInd w:val="0"/>
        <w:snapToGrid w:val="0"/>
        <w:spacing w:line="360" w:lineRule="auto"/>
        <w:jc w:val="both"/>
        <w:rPr>
          <w:rFonts w:ascii="Book Antiqua" w:hAnsi="Book Antiqua" w:cs="Book Antiqua"/>
        </w:rPr>
        <w:sectPr w:rsidR="00F6738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de Melo FF, Brazil; Kotelevets SM, Russia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P-Editor: </w:t>
      </w:r>
    </w:p>
    <w:p w14:paraId="47D468E4" w14:textId="77777777" w:rsidR="00F67380"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AC8DF53" w14:textId="77777777" w:rsidR="00F67380" w:rsidRDefault="00000000">
      <w:pPr>
        <w:adjustRightInd w:val="0"/>
        <w:snapToGrid w:val="0"/>
        <w:spacing w:line="360" w:lineRule="auto"/>
        <w:jc w:val="both"/>
        <w:rPr>
          <w:rFonts w:ascii="Book Antiqua" w:eastAsia="Book Antiqua" w:hAnsi="Book Antiqua" w:cs="Book Antiqua"/>
          <w:szCs w:val="20"/>
        </w:rPr>
      </w:pPr>
      <w:r>
        <w:rPr>
          <w:noProof/>
        </w:rPr>
        <w:drawing>
          <wp:inline distT="0" distB="0" distL="114300" distR="114300" wp14:anchorId="5C657419" wp14:editId="3B23B880">
            <wp:extent cx="4754880" cy="468630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4754880" cy="4686300"/>
                    </a:xfrm>
                    <a:prstGeom prst="rect">
                      <a:avLst/>
                    </a:prstGeom>
                    <a:noFill/>
                    <a:ln>
                      <a:noFill/>
                    </a:ln>
                  </pic:spPr>
                </pic:pic>
              </a:graphicData>
            </a:graphic>
          </wp:inline>
        </w:drawing>
      </w:r>
    </w:p>
    <w:p w14:paraId="472C4D97" w14:textId="77777777" w:rsidR="00F67380" w:rsidRDefault="00000000">
      <w:pPr>
        <w:adjustRightInd w:val="0"/>
        <w:snapToGrid w:val="0"/>
        <w:spacing w:line="360" w:lineRule="auto"/>
        <w:jc w:val="both"/>
        <w:rPr>
          <w:rFonts w:ascii="Book Antiqua" w:eastAsia="宋体" w:hAnsi="Book Antiqua" w:cs="Book Antiqua"/>
          <w:szCs w:val="20"/>
          <w:highlight w:val="yellow"/>
          <w:shd w:val="clear" w:color="auto" w:fill="FFFFFF"/>
          <w:lang w:eastAsia="zh-CN"/>
        </w:rPr>
      </w:pPr>
      <w:r>
        <w:rPr>
          <w:rFonts w:ascii="Book Antiqua" w:eastAsia="Book Antiqua" w:hAnsi="Book Antiqua" w:cs="Book Antiqua"/>
          <w:b/>
          <w:bCs/>
          <w:szCs w:val="20"/>
          <w:shd w:val="clear" w:color="auto" w:fill="FFFFFF"/>
        </w:rPr>
        <w:t xml:space="preserve">Figure 1 Elevated </w:t>
      </w:r>
      <w:r>
        <w:rPr>
          <w:rFonts w:ascii="Book Antiqua" w:eastAsia="Book Antiqua" w:hAnsi="Book Antiqua" w:cs="Book Antiqua"/>
          <w:b/>
          <w:bCs/>
          <w:szCs w:val="20"/>
        </w:rPr>
        <w:t>S-phase kinase associated protein 2</w:t>
      </w:r>
      <w:r>
        <w:rPr>
          <w:rFonts w:ascii="Book Antiqua" w:eastAsia="Book Antiqua" w:hAnsi="Book Antiqua" w:cs="Book Antiqua"/>
          <w:b/>
          <w:bCs/>
          <w:szCs w:val="20"/>
          <w:shd w:val="clear" w:color="auto" w:fill="FFFFFF"/>
        </w:rPr>
        <w:t xml:space="preserve"> expression contributes to trastuzumab resistance in </w:t>
      </w:r>
      <w:r>
        <w:rPr>
          <w:rFonts w:ascii="Book Antiqua" w:eastAsia="宋体" w:hAnsi="Book Antiqua" w:cs="Book Antiqua" w:hint="eastAsia"/>
          <w:b/>
          <w:bCs/>
          <w:color w:val="000000"/>
          <w:szCs w:val="20"/>
          <w:lang w:eastAsia="zh-CN"/>
        </w:rPr>
        <w:t>human epidermal growth factor receptor 2</w:t>
      </w:r>
      <w:r>
        <w:rPr>
          <w:rFonts w:ascii="Book Antiqua" w:eastAsia="Book Antiqua" w:hAnsi="Book Antiqua" w:cs="Book Antiqua"/>
          <w:b/>
          <w:bCs/>
          <w:szCs w:val="20"/>
          <w:shd w:val="clear" w:color="auto" w:fill="FFFFFF"/>
        </w:rPr>
        <w:t xml:space="preserve">-positive </w:t>
      </w:r>
      <w:r>
        <w:rPr>
          <w:rFonts w:ascii="Book Antiqua" w:eastAsia="Book Antiqua" w:hAnsi="Book Antiqua" w:cs="Book Antiqua"/>
          <w:b/>
          <w:bCs/>
          <w:color w:val="000000"/>
          <w:szCs w:val="20"/>
        </w:rPr>
        <w:t>gastric cancer</w:t>
      </w:r>
      <w:r>
        <w:rPr>
          <w:rFonts w:ascii="Book Antiqua" w:eastAsia="Book Antiqua" w:hAnsi="Book Antiqua" w:cs="Book Antiqua"/>
          <w:b/>
          <w:bCs/>
          <w:szCs w:val="20"/>
          <w:shd w:val="clear" w:color="auto" w:fill="FFFFFF"/>
        </w:rPr>
        <w:t xml:space="preserve"> cells.</w:t>
      </w:r>
      <w:r>
        <w:rPr>
          <w:rFonts w:ascii="Book Antiqua" w:eastAsia="Book Antiqua" w:hAnsi="Book Antiqua" w:cs="Book Antiqua"/>
          <w:szCs w:val="20"/>
          <w:shd w:val="clear" w:color="auto" w:fill="FFFFFF"/>
        </w:rPr>
        <w:t xml:space="preserve"> A</w:t>
      </w:r>
      <w:r>
        <w:rPr>
          <w:rFonts w:ascii="Book Antiqua" w:eastAsia="Book Antiqua"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Western blotting was used to measure the </w:t>
      </w:r>
      <w:r>
        <w:rPr>
          <w:rFonts w:ascii="Book Antiqua" w:eastAsia="Book Antiqua" w:hAnsi="Book Antiqua" w:cs="Book Antiqua"/>
          <w:szCs w:val="20"/>
        </w:rPr>
        <w:t>S-phase kinase associated protein 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Skp2</w:t>
      </w:r>
      <w:r>
        <w:rPr>
          <w:rFonts w:ascii="Book Antiqua" w:eastAsia="宋体" w:hAnsi="Book Antiqua" w:cs="Book Antiqua" w:hint="eastAsia"/>
          <w:color w:val="000000"/>
          <w:szCs w:val="20"/>
          <w:lang w:eastAsia="zh-CN"/>
        </w:rPr>
        <w:t>)</w:t>
      </w:r>
      <w:r>
        <w:rPr>
          <w:rFonts w:ascii="Book Antiqua" w:eastAsia="Book Antiqua" w:hAnsi="Book Antiqua" w:cs="Book Antiqua"/>
          <w:szCs w:val="20"/>
          <w:shd w:val="clear" w:color="auto" w:fill="FFFFFF"/>
        </w:rPr>
        <w:t xml:space="preserve"> expression level in human </w:t>
      </w:r>
      <w:r>
        <w:rPr>
          <w:rFonts w:ascii="Book Antiqua" w:eastAsia="Book Antiqua" w:hAnsi="Book Antiqua" w:cs="Book Antiqua"/>
          <w:color w:val="000000"/>
          <w:szCs w:val="20"/>
        </w:rPr>
        <w:t>gastric cancer</w:t>
      </w:r>
      <w:r>
        <w:rPr>
          <w:rFonts w:ascii="Book Antiqua" w:eastAsia="Book Antiqua" w:hAnsi="Book Antiqua" w:cs="Book Antiqua"/>
          <w:szCs w:val="20"/>
        </w:rPr>
        <w:t xml:space="preserve"> (GC)</w:t>
      </w:r>
      <w:r>
        <w:rPr>
          <w:rFonts w:ascii="Book Antiqua" w:eastAsia="Book Antiqua" w:hAnsi="Book Antiqua" w:cs="Book Antiqua"/>
          <w:szCs w:val="20"/>
          <w:shd w:val="clear" w:color="auto" w:fill="FFFFFF"/>
        </w:rPr>
        <w:t xml:space="preserve"> cell lines</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B</w:t>
      </w:r>
      <w:r>
        <w:rPr>
          <w:rFonts w:ascii="Book Antiqua" w:eastAsia="Book Antiqua" w:hAnsi="Book Antiqua" w:cs="Book Antiqua" w:hint="eastAsia"/>
          <w:szCs w:val="20"/>
          <w:shd w:val="clear" w:color="auto" w:fill="FFFFFF"/>
          <w:lang w:eastAsia="zh-CN"/>
        </w:rPr>
        <w:t xml:space="preserve"> and </w:t>
      </w:r>
      <w:r>
        <w:rPr>
          <w:rFonts w:ascii="Book Antiqua" w:eastAsia="Book Antiqua" w:hAnsi="Book Antiqua" w:cs="Book Antiqua"/>
          <w:szCs w:val="20"/>
          <w:shd w:val="clear" w:color="auto" w:fill="FFFFFF"/>
        </w:rPr>
        <w:t>C</w:t>
      </w:r>
      <w:r>
        <w:rPr>
          <w:rFonts w:ascii="Book Antiqua" w:eastAsia="Book Antiqua"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Skp2</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expression in HGC27 and HGC27-R cells and SGC7901 and SGC7901-R cells was</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analyzed by Western blotting</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D</w:t>
      </w:r>
      <w:r>
        <w:rPr>
          <w:rFonts w:ascii="Book Antiqua" w:eastAsia="Book Antiqua"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Skp2 expression levels in HGC27 cells transfected with empty vector (pcDNA3.1), OX-SKP2-1 or OX-SKP2-2 (pcDNA3.1/SKP2) were determined by </w:t>
      </w:r>
      <w:r>
        <w:rPr>
          <w:rFonts w:ascii="Book Antiqua" w:eastAsia="宋体" w:hAnsi="Book Antiqua" w:cs="Book Antiqua" w:hint="eastAsia"/>
          <w:szCs w:val="20"/>
          <w:shd w:val="clear" w:color="auto" w:fill="FFFFFF"/>
          <w:lang w:eastAsia="zh-CN"/>
        </w:rPr>
        <w:t>w</w:t>
      </w:r>
      <w:r>
        <w:rPr>
          <w:rFonts w:ascii="Book Antiqua" w:eastAsia="Book Antiqua" w:hAnsi="Book Antiqua" w:cs="Book Antiqua"/>
          <w:szCs w:val="20"/>
          <w:shd w:val="clear" w:color="auto" w:fill="FFFFFF"/>
        </w:rPr>
        <w:t>estern blotting</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E</w:t>
      </w:r>
      <w:r>
        <w:rPr>
          <w:rFonts w:ascii="Book Antiqua" w:eastAsia="Book Antiqua"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HGC27 cells stably transfected with empty vector or OX-SKP2-2 were cultured with or without trastuzumab (0, 2.5, 5,</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and 10</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 xml:space="preserve">μg/mL) for 48 h. Proliferation activity was analyzed by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ell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 xml:space="preserve">ounting </w:t>
      </w:r>
      <w:r>
        <w:rPr>
          <w:rFonts w:ascii="Book Antiqua" w:eastAsia="宋体" w:hAnsi="Book Antiqua" w:cs="Book Antiqua" w:hint="eastAsia"/>
          <w:color w:val="000000"/>
          <w:szCs w:val="20"/>
          <w:lang w:eastAsia="zh-CN"/>
        </w:rPr>
        <w:t>k</w:t>
      </w:r>
      <w:r>
        <w:rPr>
          <w:rFonts w:ascii="Book Antiqua" w:eastAsia="Book Antiqua" w:hAnsi="Book Antiqua" w:cs="Book Antiqua"/>
          <w:color w:val="000000"/>
          <w:szCs w:val="20"/>
        </w:rPr>
        <w:t>it-8 (CCK-8</w:t>
      </w:r>
      <w:r>
        <w:rPr>
          <w:rFonts w:ascii="Book Antiqua" w:eastAsia="宋体" w:hAnsi="Book Antiqua" w:cs="Book Antiqua" w:hint="eastAsia"/>
          <w:color w:val="000000"/>
          <w:szCs w:val="20"/>
          <w:lang w:eastAsia="zh-CN"/>
        </w:rPr>
        <w:t>)</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assays</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F</w:t>
      </w:r>
      <w:r>
        <w:rPr>
          <w:rFonts w:ascii="Book Antiqua" w:eastAsia="Book Antiqua"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HGC27-R cells were transfected with or without </w:t>
      </w:r>
      <w:r>
        <w:rPr>
          <w:rFonts w:ascii="Book Antiqua" w:eastAsia="宋体" w:hAnsi="Book Antiqua" w:cs="Book Antiqua" w:hint="eastAsia"/>
          <w:color w:val="000000"/>
          <w:szCs w:val="20"/>
          <w:lang w:eastAsia="zh-CN"/>
        </w:rPr>
        <w:t>s</w:t>
      </w:r>
      <w:r>
        <w:rPr>
          <w:rFonts w:ascii="Book Antiqua" w:eastAsia="Book Antiqua" w:hAnsi="Book Antiqua" w:cs="Book Antiqua"/>
          <w:color w:val="000000"/>
          <w:szCs w:val="20"/>
        </w:rPr>
        <w:t>mall interfering RNA</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negative control</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szCs w:val="20"/>
          <w:shd w:val="clear" w:color="auto" w:fill="FFFFFF"/>
        </w:rPr>
        <w:t>siRNA-</w:t>
      </w:r>
      <w:r>
        <w:rPr>
          <w:rFonts w:ascii="Book Antiqua" w:eastAsia="Book Antiqua" w:hAnsi="Book Antiqua" w:cs="Book Antiqua"/>
          <w:szCs w:val="20"/>
          <w:shd w:val="clear" w:color="auto" w:fill="FFFFFF"/>
        </w:rPr>
        <w:lastRenderedPageBreak/>
        <w:t>NC</w:t>
      </w:r>
      <w:r>
        <w:rPr>
          <w:rFonts w:ascii="Book Antiqua" w:eastAsia="宋体" w:hAnsi="Book Antiqua" w:cs="Book Antiqua" w:hint="eastAsia"/>
          <w:color w:val="000000"/>
          <w:szCs w:val="20"/>
          <w:lang w:eastAsia="zh-CN"/>
        </w:rPr>
        <w:t>)</w:t>
      </w:r>
      <w:r>
        <w:rPr>
          <w:rFonts w:ascii="Book Antiqua" w:eastAsia="Book Antiqua" w:hAnsi="Book Antiqua" w:cs="Book Antiqua"/>
          <w:szCs w:val="20"/>
          <w:shd w:val="clear" w:color="auto" w:fill="FFFFFF"/>
        </w:rPr>
        <w:t xml:space="preserve"> or siRNA-SKP2 for 72 h. Skp2 expression was measured by </w:t>
      </w:r>
      <w:r>
        <w:rPr>
          <w:rFonts w:ascii="Book Antiqua" w:eastAsia="宋体" w:hAnsi="Book Antiqua" w:cs="Book Antiqua" w:hint="eastAsia"/>
          <w:szCs w:val="20"/>
          <w:shd w:val="clear" w:color="auto" w:fill="FFFFFF"/>
          <w:lang w:eastAsia="zh-CN"/>
        </w:rPr>
        <w:t>w</w:t>
      </w:r>
      <w:r>
        <w:rPr>
          <w:rFonts w:ascii="Book Antiqua" w:eastAsia="Book Antiqua" w:hAnsi="Book Antiqua" w:cs="Book Antiqua"/>
          <w:szCs w:val="20"/>
          <w:shd w:val="clear" w:color="auto" w:fill="FFFFFF"/>
        </w:rPr>
        <w:t>estern blotting</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G</w:t>
      </w:r>
      <w:r>
        <w:rPr>
          <w:rFonts w:ascii="Book Antiqua" w:eastAsia="Book Antiqua"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HGC27 cells transfected with siRNA-NC or siRNA-SKP2-2</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were cultured with or without 10 μg/mL trastuzumab. CCK-8</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 xml:space="preserve">assays were used to analyze proliferation activity. The experiments were performed in triplicate. </w:t>
      </w:r>
      <w:r>
        <w:rPr>
          <w:rFonts w:ascii="Book Antiqua" w:eastAsia="宋体" w:hAnsi="Book Antiqua" w:cs="Book Antiqua" w:hint="eastAsia"/>
          <w:szCs w:val="20"/>
          <w:shd w:val="clear" w:color="auto" w:fill="FFFFFF"/>
          <w:vertAlign w:val="superscript"/>
          <w:lang w:eastAsia="zh-CN"/>
        </w:rPr>
        <w:t>b</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&lt;</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 xml:space="preserve">0.01; </w:t>
      </w:r>
      <w:r>
        <w:rPr>
          <w:rFonts w:ascii="Book Antiqua" w:eastAsia="宋体" w:hAnsi="Book Antiqua" w:cs="Book Antiqua" w:hint="eastAsia"/>
          <w:szCs w:val="20"/>
          <w:shd w:val="clear" w:color="auto" w:fill="FFFFFF"/>
          <w:vertAlign w:val="superscript"/>
          <w:lang w:eastAsia="zh-CN"/>
        </w:rPr>
        <w:t>c</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&lt;</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 xml:space="preserve">0.001; </w:t>
      </w:r>
      <w:r>
        <w:rPr>
          <w:rFonts w:ascii="Book Antiqua" w:eastAsia="宋体" w:hAnsi="Book Antiqua" w:cs="Book Antiqua" w:hint="eastAsia"/>
          <w:szCs w:val="20"/>
          <w:shd w:val="clear" w:color="auto" w:fill="FFFFFF"/>
          <w:vertAlign w:val="superscript"/>
          <w:lang w:eastAsia="zh-CN"/>
        </w:rPr>
        <w:t>d</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&lt;</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0.0001.</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color w:val="000000"/>
          <w:szCs w:val="20"/>
        </w:rPr>
        <w:t>Skp2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szCs w:val="20"/>
        </w:rPr>
        <w:t>S-phase kinase associated protein 2</w:t>
      </w:r>
      <w:r>
        <w:rPr>
          <w:rFonts w:ascii="Book Antiqua" w:eastAsia="宋体" w:hAnsi="Book Antiqua" w:cs="Book Antiqua" w:hint="eastAsia"/>
          <w:szCs w:val="20"/>
          <w:lang w:eastAsia="zh-CN"/>
        </w:rPr>
        <w:t xml:space="preserve">; </w:t>
      </w:r>
      <w:r>
        <w:rPr>
          <w:rFonts w:ascii="Book Antiqua" w:eastAsia="Book Antiqua" w:hAnsi="Book Antiqua" w:cs="Book Antiqua"/>
          <w:color w:val="000000"/>
          <w:szCs w:val="20"/>
        </w:rPr>
        <w:t>siRNA</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Small interfering RNA</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NC</w:t>
      </w:r>
      <w:r>
        <w:rPr>
          <w:rFonts w:ascii="Book Antiqua" w:eastAsia="宋体" w:hAnsi="Book Antiqua" w:cs="Book Antiqua" w:hint="eastAsia"/>
          <w:color w:val="000000"/>
          <w:szCs w:val="20"/>
          <w:lang w:eastAsia="zh-CN"/>
        </w:rPr>
        <w:t>: N</w:t>
      </w:r>
      <w:r>
        <w:rPr>
          <w:rFonts w:ascii="Book Antiqua" w:eastAsia="Book Antiqua" w:hAnsi="Book Antiqua" w:cs="Book Antiqua"/>
          <w:color w:val="000000"/>
          <w:szCs w:val="20"/>
        </w:rPr>
        <w:t>egative control</w:t>
      </w:r>
      <w:r>
        <w:rPr>
          <w:rFonts w:ascii="Book Antiqua" w:eastAsia="宋体" w:hAnsi="Book Antiqua" w:cs="Book Antiqua" w:hint="eastAsia"/>
          <w:color w:val="000000"/>
          <w:szCs w:val="20"/>
          <w:lang w:eastAsia="zh-CN"/>
        </w:rPr>
        <w:t>.</w:t>
      </w:r>
    </w:p>
    <w:p w14:paraId="09A97CEA" w14:textId="77777777" w:rsidR="00F67380" w:rsidRDefault="00F67380">
      <w:pPr>
        <w:adjustRightInd w:val="0"/>
        <w:snapToGrid w:val="0"/>
        <w:spacing w:line="360" w:lineRule="auto"/>
        <w:jc w:val="both"/>
        <w:rPr>
          <w:rFonts w:ascii="Book Antiqua" w:eastAsia="Book Antiqua" w:hAnsi="Book Antiqua" w:cs="Book Antiqua"/>
          <w:szCs w:val="20"/>
        </w:rPr>
      </w:pPr>
    </w:p>
    <w:p w14:paraId="4629D56E" w14:textId="77777777" w:rsidR="00F67380" w:rsidRDefault="00F67380">
      <w:pPr>
        <w:adjustRightInd w:val="0"/>
        <w:snapToGrid w:val="0"/>
        <w:spacing w:line="360" w:lineRule="auto"/>
        <w:jc w:val="both"/>
        <w:rPr>
          <w:rFonts w:ascii="Book Antiqua" w:eastAsia="Book Antiqua" w:hAnsi="Book Antiqua" w:cs="Book Antiqua"/>
          <w:szCs w:val="20"/>
        </w:rPr>
      </w:pPr>
    </w:p>
    <w:p w14:paraId="4DEDAE2F" w14:textId="77777777" w:rsidR="00F67380" w:rsidRDefault="00000000">
      <w:pPr>
        <w:adjustRightInd w:val="0"/>
        <w:snapToGrid w:val="0"/>
        <w:spacing w:line="360" w:lineRule="auto"/>
        <w:jc w:val="both"/>
        <w:rPr>
          <w:rFonts w:ascii="Book Antiqua" w:eastAsia="Book Antiqua" w:hAnsi="Book Antiqua" w:cs="Book Antiqua"/>
          <w:b/>
          <w:bCs/>
          <w:szCs w:val="20"/>
          <w:shd w:val="clear" w:color="auto" w:fill="FFFFFF"/>
        </w:rPr>
      </w:pPr>
      <w:r>
        <w:rPr>
          <w:noProof/>
        </w:rPr>
        <w:drawing>
          <wp:inline distT="0" distB="0" distL="114300" distR="114300" wp14:anchorId="6469E309" wp14:editId="4D37B69F">
            <wp:extent cx="5942965" cy="5777865"/>
            <wp:effectExtent l="0" t="0" r="63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42965" cy="5777865"/>
                    </a:xfrm>
                    <a:prstGeom prst="rect">
                      <a:avLst/>
                    </a:prstGeom>
                    <a:noFill/>
                    <a:ln>
                      <a:noFill/>
                    </a:ln>
                  </pic:spPr>
                </pic:pic>
              </a:graphicData>
            </a:graphic>
          </wp:inline>
        </w:drawing>
      </w:r>
    </w:p>
    <w:p w14:paraId="32401705" w14:textId="77777777" w:rsidR="00F67380" w:rsidRDefault="00000000">
      <w:pPr>
        <w:adjustRightInd w:val="0"/>
        <w:snapToGrid w:val="0"/>
        <w:spacing w:line="360" w:lineRule="auto"/>
        <w:jc w:val="both"/>
        <w:rPr>
          <w:rFonts w:ascii="Book Antiqua" w:eastAsia="宋体" w:hAnsi="Book Antiqua" w:cs="Book Antiqua"/>
          <w:szCs w:val="20"/>
          <w:shd w:val="clear" w:color="auto" w:fill="FFFFFF"/>
          <w:lang w:eastAsia="zh-CN"/>
        </w:rPr>
      </w:pPr>
      <w:r>
        <w:rPr>
          <w:rFonts w:ascii="Book Antiqua" w:eastAsia="Book Antiqua" w:hAnsi="Book Antiqua" w:cs="Book Antiqua"/>
          <w:b/>
          <w:bCs/>
          <w:szCs w:val="20"/>
          <w:shd w:val="clear" w:color="auto" w:fill="FFFFFF"/>
        </w:rPr>
        <w:lastRenderedPageBreak/>
        <w:t>Figure 2 Thioridazine can inhibit</w:t>
      </w:r>
      <w:r>
        <w:rPr>
          <w:rFonts w:ascii="Book Antiqua" w:eastAsia="宋体" w:hAnsi="Book Antiqua" w:cs="Book Antiqua" w:hint="eastAsia"/>
          <w:b/>
          <w:bCs/>
          <w:szCs w:val="20"/>
          <w:shd w:val="clear" w:color="auto" w:fill="FFFFFF"/>
          <w:lang w:eastAsia="zh-CN"/>
        </w:rPr>
        <w:t xml:space="preserve"> </w:t>
      </w:r>
      <w:r>
        <w:rPr>
          <w:rFonts w:ascii="Book Antiqua" w:eastAsia="Book Antiqua" w:hAnsi="Book Antiqua" w:cs="Book Antiqua"/>
          <w:b/>
          <w:bCs/>
          <w:szCs w:val="20"/>
        </w:rPr>
        <w:t>S-phase kinase associated protein 2</w:t>
      </w:r>
      <w:r>
        <w:rPr>
          <w:rFonts w:ascii="Book Antiqua" w:eastAsia="Book Antiqua" w:hAnsi="Book Antiqua" w:cs="Book Antiqua"/>
          <w:b/>
          <w:bCs/>
          <w:szCs w:val="20"/>
          <w:shd w:val="clear" w:color="auto" w:fill="FFFFFF"/>
        </w:rPr>
        <w:t xml:space="preserve"> expression and </w:t>
      </w:r>
      <w:r>
        <w:rPr>
          <w:rFonts w:ascii="Book Antiqua" w:eastAsia="Book Antiqua" w:hAnsi="Book Antiqua" w:cs="Book Antiqua" w:hint="eastAsia"/>
          <w:b/>
          <w:bCs/>
          <w:szCs w:val="20"/>
          <w:shd w:val="clear" w:color="auto" w:fill="FFFFFF"/>
        </w:rPr>
        <w:t>protein kinase B</w:t>
      </w:r>
      <w:r>
        <w:rPr>
          <w:rFonts w:ascii="Book Antiqua" w:eastAsia="Book Antiqua" w:hAnsi="Book Antiqua" w:cs="Book Antiqua"/>
          <w:b/>
          <w:bCs/>
          <w:szCs w:val="20"/>
          <w:shd w:val="clear" w:color="auto" w:fill="FFFFFF"/>
        </w:rPr>
        <w:t xml:space="preserve"> activation triggered by ErbB signaling.</w:t>
      </w:r>
      <w:r>
        <w:rPr>
          <w:rFonts w:ascii="Book Antiqua" w:eastAsia="Book Antiqua" w:hAnsi="Book Antiqua" w:cs="Book Antiqua"/>
          <w:szCs w:val="20"/>
          <w:shd w:val="clear" w:color="auto" w:fill="FFFFFF"/>
        </w:rPr>
        <w:t xml:space="preserve"> A</w:t>
      </w:r>
      <w:r>
        <w:rPr>
          <w:rFonts w:ascii="Book Antiqua" w:eastAsia="Book Antiqua"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The interaction between the ligand thioridazine and the active pocket</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 xml:space="preserve">of </w:t>
      </w:r>
      <w:r>
        <w:rPr>
          <w:rFonts w:ascii="Book Antiqua" w:eastAsia="Book Antiqua" w:hAnsi="Book Antiqua" w:cs="Book Antiqua"/>
          <w:szCs w:val="20"/>
        </w:rPr>
        <w:t>S-phase kinase associated protein 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Skp2</w:t>
      </w:r>
      <w:r>
        <w:rPr>
          <w:rFonts w:ascii="Book Antiqua" w:eastAsia="宋体" w:hAnsi="Book Antiqua" w:cs="Book Antiqua" w:hint="eastAsia"/>
          <w:color w:val="000000"/>
          <w:szCs w:val="20"/>
          <w:lang w:eastAsia="zh-CN"/>
        </w:rPr>
        <w:t>)</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(1FS2) was examined</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B</w:t>
      </w:r>
      <w:r>
        <w:rPr>
          <w:rFonts w:ascii="Book Antiqua" w:eastAsia="Book Antiqua" w:hAnsi="Book Antiqua" w:cs="Book Antiqua" w:hint="eastAsia"/>
          <w:szCs w:val="20"/>
          <w:shd w:val="clear" w:color="auto" w:fill="FFFFFF"/>
          <w:lang w:eastAsia="zh-CN"/>
        </w:rPr>
        <w:t>:</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3D structural schematic showing the binding of thioridazine to Skp2</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C</w:t>
      </w:r>
      <w:r>
        <w:rPr>
          <w:rFonts w:ascii="Book Antiqua" w:eastAsia="Book Antiqua" w:hAnsi="Book Antiqua" w:cs="Book Antiqua" w:hint="eastAsia"/>
          <w:szCs w:val="20"/>
          <w:shd w:val="clear" w:color="auto" w:fill="FFFFFF"/>
          <w:lang w:eastAsia="zh-CN"/>
        </w:rPr>
        <w:t>:</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Dihedral angle diagram showing the mode of interaction between thioridazine and Skp2</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D</w:t>
      </w:r>
      <w:r>
        <w:rPr>
          <w:rFonts w:ascii="Book Antiqua" w:eastAsia="Book Antiqua" w:hAnsi="Book Antiqua" w:cs="Book Antiqua" w:hint="eastAsia"/>
          <w:szCs w:val="20"/>
          <w:shd w:val="clear" w:color="auto" w:fill="FFFFFF"/>
          <w:lang w:eastAsia="zh-CN"/>
        </w:rPr>
        <w:t>:</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HGC-27-R</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cells were exposed for 24 h to dimethyl sulfoxide or 30</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µM thioridazine</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 xml:space="preserve">and subjected to </w:t>
      </w:r>
      <w:r>
        <w:rPr>
          <w:rFonts w:ascii="Book Antiqua" w:eastAsia="宋体" w:hAnsi="Book Antiqua" w:cs="Book Antiqua" w:hint="eastAsia"/>
          <w:szCs w:val="20"/>
          <w:shd w:val="clear" w:color="auto" w:fill="FFFFFF"/>
          <w:lang w:eastAsia="zh-CN"/>
        </w:rPr>
        <w:t xml:space="preserve">the </w:t>
      </w:r>
      <w:r>
        <w:rPr>
          <w:rFonts w:ascii="Book Antiqua" w:eastAsia="Book Antiqua" w:hAnsi="Book Antiqua" w:cs="Book Antiqua"/>
          <w:color w:val="000000"/>
          <w:szCs w:val="20"/>
        </w:rPr>
        <w:t>Cellular Thermal Shift Assay</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E</w:t>
      </w:r>
      <w:r>
        <w:rPr>
          <w:rFonts w:ascii="Book Antiqua" w:eastAsia="Book Antiqua" w:hAnsi="Book Antiqua" w:cs="Book Antiqua" w:hint="eastAsia"/>
          <w:szCs w:val="20"/>
          <w:shd w:val="clear" w:color="auto" w:fill="FFFFFF"/>
          <w:lang w:eastAsia="zh-CN"/>
        </w:rPr>
        <w:t xml:space="preserve"> and</w:t>
      </w:r>
      <w:r>
        <w:rPr>
          <w:rFonts w:ascii="Book Antiqua" w:eastAsia="Book Antiqua" w:hAnsi="Book Antiqua" w:cs="Book Antiqua"/>
          <w:szCs w:val="20"/>
          <w:shd w:val="clear" w:color="auto" w:fill="FFFFFF"/>
        </w:rPr>
        <w:t xml:space="preserve"> F</w:t>
      </w:r>
      <w:r>
        <w:rPr>
          <w:rFonts w:ascii="Book Antiqua" w:eastAsia="Book Antiqua"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HGC27-R</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and SGC7901-R</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cells were treated with different concentrations of thioridazine</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for 24 h. Western blotting was</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used to analyze Skp2 expression</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G</w:t>
      </w:r>
      <w:r>
        <w:rPr>
          <w:rFonts w:ascii="Book Antiqua" w:eastAsia="Book Antiqua"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HGC27 cells were treated with the indicated concentrations for 42 h and were then treated with 5 μM</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MG132 for 6 h. The</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protein</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expression level of Skp2 was analyzed by</w:t>
      </w:r>
      <w:r>
        <w:rPr>
          <w:rFonts w:ascii="Book Antiqua" w:eastAsia="宋体" w:hAnsi="Book Antiqua" w:cs="Book Antiqua" w:hint="eastAsia"/>
          <w:szCs w:val="20"/>
          <w:shd w:val="clear" w:color="auto" w:fill="FFFFFF"/>
          <w:lang w:eastAsia="zh-CN"/>
        </w:rPr>
        <w:t xml:space="preserve"> w</w:t>
      </w:r>
      <w:r>
        <w:rPr>
          <w:rFonts w:ascii="Book Antiqua" w:eastAsia="Book Antiqua" w:hAnsi="Book Antiqua" w:cs="Book Antiqua"/>
          <w:szCs w:val="20"/>
          <w:shd w:val="clear" w:color="auto" w:fill="FFFFFF"/>
        </w:rPr>
        <w:t>estern blotting</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H</w:t>
      </w:r>
      <w:r>
        <w:rPr>
          <w:rFonts w:ascii="Book Antiqua" w:eastAsia="Book Antiqua" w:hAnsi="Book Antiqua" w:cs="Book Antiqua" w:hint="eastAsia"/>
          <w:szCs w:val="20"/>
          <w:shd w:val="clear" w:color="auto" w:fill="FFFFFF"/>
          <w:lang w:eastAsia="zh-CN"/>
        </w:rPr>
        <w:t xml:space="preserve"> and</w:t>
      </w:r>
      <w:r>
        <w:rPr>
          <w:rFonts w:ascii="Book Antiqua" w:eastAsia="Book Antiqua" w:hAnsi="Book Antiqua" w:cs="Book Antiqua"/>
          <w:szCs w:val="20"/>
          <w:shd w:val="clear" w:color="auto" w:fill="FFFFFF"/>
        </w:rPr>
        <w:t xml:space="preserve"> I</w:t>
      </w:r>
      <w:r>
        <w:rPr>
          <w:rFonts w:ascii="Book Antiqua" w:eastAsia="Book Antiqua"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HGC27-R</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and SGC7901-R</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cells</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were treated with various concentrations of thioridazine for 24 h. The mRNA expression level of SKP2 was analyzed by Q-PCR</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J</w:t>
      </w:r>
      <w:r>
        <w:rPr>
          <w:rFonts w:ascii="Book Antiqua" w:eastAsia="Book Antiqua" w:hAnsi="Book Antiqua" w:cs="Book Antiqua" w:hint="eastAsia"/>
          <w:szCs w:val="20"/>
          <w:shd w:val="clear" w:color="auto" w:fill="FFFFFF"/>
          <w:lang w:eastAsia="zh-CN"/>
        </w:rPr>
        <w:t xml:space="preserve"> and</w:t>
      </w:r>
      <w:r>
        <w:rPr>
          <w:rFonts w:ascii="Book Antiqua" w:eastAsia="Book Antiqua" w:hAnsi="Book Antiqua" w:cs="Book Antiqua"/>
          <w:szCs w:val="20"/>
          <w:shd w:val="clear" w:color="auto" w:fill="FFFFFF"/>
        </w:rPr>
        <w:t xml:space="preserve"> K</w:t>
      </w:r>
      <w:r>
        <w:rPr>
          <w:rFonts w:ascii="Book Antiqua" w:eastAsia="Book Antiqua"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HGC27-R cells were pretreated with or without thioridazine (5</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μM) for 2 h, followed by stimulation with epidermal growth factor (100 μg/mL)</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or heregulin (50 μg/mL)</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At the indicated times, Skp2 and p-</w:t>
      </w:r>
      <w:r>
        <w:rPr>
          <w:rFonts w:ascii="Book Antiqua" w:eastAsia="Book Antiqua" w:hAnsi="Book Antiqua" w:cs="Book Antiqua" w:hint="eastAsia"/>
          <w:szCs w:val="20"/>
          <w:shd w:val="clear" w:color="auto" w:fill="FFFFFF"/>
        </w:rPr>
        <w:t>protein kinase B</w:t>
      </w:r>
      <w:r>
        <w:rPr>
          <w:rFonts w:ascii="Book Antiqua" w:eastAsia="Book Antiqua" w:hAnsi="Book Antiqua" w:cs="Book Antiqua"/>
          <w:szCs w:val="20"/>
          <w:shd w:val="clear" w:color="auto" w:fill="FFFFFF"/>
        </w:rPr>
        <w:t xml:space="preserve"> protein levels were</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 xml:space="preserve">assessed. </w:t>
      </w:r>
      <w:r>
        <w:rPr>
          <w:rFonts w:ascii="Book Antiqua" w:eastAsia="宋体" w:hAnsi="Book Antiqua" w:cs="Book Antiqua" w:hint="eastAsia"/>
          <w:szCs w:val="20"/>
          <w:shd w:val="clear" w:color="auto" w:fill="FFFFFF"/>
          <w:vertAlign w:val="superscript"/>
          <w:lang w:eastAsia="zh-CN"/>
        </w:rPr>
        <w:t>b</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&lt;</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 xml:space="preserve">0.01; </w:t>
      </w:r>
      <w:r>
        <w:rPr>
          <w:rFonts w:ascii="Book Antiqua" w:eastAsia="宋体" w:hAnsi="Book Antiqua" w:cs="Book Antiqua" w:hint="eastAsia"/>
          <w:szCs w:val="20"/>
          <w:shd w:val="clear" w:color="auto" w:fill="FFFFFF"/>
          <w:vertAlign w:val="superscript"/>
          <w:lang w:eastAsia="zh-CN"/>
        </w:rPr>
        <w:t>c</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&lt;</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 xml:space="preserve">0.001; </w:t>
      </w:r>
      <w:r>
        <w:rPr>
          <w:rFonts w:ascii="Book Antiqua" w:eastAsia="宋体" w:hAnsi="Book Antiqua" w:cs="Book Antiqua" w:hint="eastAsia"/>
          <w:szCs w:val="20"/>
          <w:shd w:val="clear" w:color="auto" w:fill="FFFFFF"/>
          <w:vertAlign w:val="superscript"/>
          <w:lang w:eastAsia="zh-CN"/>
        </w:rPr>
        <w:t>d</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&lt;</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0.0001</w:t>
      </w:r>
      <w:r>
        <w:rPr>
          <w:rFonts w:ascii="Book Antiqua" w:eastAsia="宋体" w:hAnsi="Book Antiqua" w:cs="Book Antiqua" w:hint="eastAsia"/>
          <w:szCs w:val="20"/>
          <w:shd w:val="clear" w:color="auto" w:fill="FFFFFF"/>
          <w:lang w:eastAsia="zh-CN"/>
        </w:rPr>
        <w:t xml:space="preserve">. </w:t>
      </w:r>
      <w:r>
        <w:rPr>
          <w:rFonts w:ascii="Book Antiqua" w:eastAsia="Book Antiqua" w:hAnsi="Book Antiqua" w:cs="Book Antiqua"/>
          <w:szCs w:val="20"/>
          <w:shd w:val="clear" w:color="auto" w:fill="FFFFFF"/>
        </w:rPr>
        <w:t>Thior</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w:t>
      </w:r>
      <w:r>
        <w:rPr>
          <w:rFonts w:ascii="Book Antiqua" w:eastAsia="宋体" w:hAnsi="Book Antiqua" w:cs="Book Antiqua" w:hint="eastAsia"/>
          <w:szCs w:val="20"/>
          <w:shd w:val="clear" w:color="auto" w:fill="FFFFFF"/>
          <w:lang w:eastAsia="zh-CN"/>
        </w:rPr>
        <w:t>T</w:t>
      </w:r>
      <w:r>
        <w:rPr>
          <w:rFonts w:ascii="Book Antiqua" w:eastAsia="Book Antiqua" w:hAnsi="Book Antiqua" w:cs="Book Antiqua"/>
          <w:szCs w:val="20"/>
          <w:shd w:val="clear" w:color="auto" w:fill="FFFFFF"/>
        </w:rPr>
        <w:t xml:space="preserve">hioridazine; </w:t>
      </w:r>
      <w:r>
        <w:rPr>
          <w:rFonts w:ascii="Book Antiqua" w:eastAsia="Book Antiqua" w:hAnsi="Book Antiqua" w:cs="Book Antiqua"/>
          <w:color w:val="000000"/>
          <w:szCs w:val="20"/>
        </w:rPr>
        <w:t>Skp2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szCs w:val="20"/>
        </w:rPr>
        <w:t>S-phase kinase associated protein 2</w:t>
      </w:r>
      <w:r>
        <w:rPr>
          <w:rFonts w:ascii="Book Antiqua" w:eastAsia="宋体" w:hAnsi="Book Antiqua" w:cs="Book Antiqua" w:hint="eastAsia"/>
          <w:szCs w:val="20"/>
          <w:lang w:eastAsia="zh-CN"/>
        </w:rPr>
        <w:t>; EGF: Epidermal growth factor; HRG: Heregulin.</w:t>
      </w:r>
    </w:p>
    <w:p w14:paraId="5FBFDB67" w14:textId="77777777" w:rsidR="00F67380" w:rsidRDefault="00F67380">
      <w:pPr>
        <w:adjustRightInd w:val="0"/>
        <w:snapToGrid w:val="0"/>
        <w:spacing w:line="360" w:lineRule="auto"/>
        <w:jc w:val="both"/>
        <w:rPr>
          <w:rFonts w:ascii="Book Antiqua" w:eastAsia="Book Antiqua" w:hAnsi="Book Antiqua" w:cs="Book Antiqua"/>
          <w:szCs w:val="20"/>
        </w:rPr>
      </w:pPr>
    </w:p>
    <w:p w14:paraId="5E50EE49" w14:textId="77777777" w:rsidR="00F67380" w:rsidRDefault="00000000">
      <w:pPr>
        <w:adjustRightInd w:val="0"/>
        <w:snapToGrid w:val="0"/>
        <w:spacing w:line="360" w:lineRule="auto"/>
        <w:jc w:val="both"/>
        <w:rPr>
          <w:rFonts w:ascii="Book Antiqua" w:eastAsia="Book Antiqua" w:hAnsi="Book Antiqua" w:cs="Book Antiqua"/>
          <w:szCs w:val="20"/>
        </w:rPr>
      </w:pPr>
      <w:r>
        <w:rPr>
          <w:noProof/>
        </w:rPr>
        <w:lastRenderedPageBreak/>
        <w:drawing>
          <wp:inline distT="0" distB="0" distL="114300" distR="114300" wp14:anchorId="6D65D03E" wp14:editId="75F2DC99">
            <wp:extent cx="5768340" cy="5097780"/>
            <wp:effectExtent l="0" t="0" r="762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768340" cy="5097780"/>
                    </a:xfrm>
                    <a:prstGeom prst="rect">
                      <a:avLst/>
                    </a:prstGeom>
                    <a:noFill/>
                    <a:ln>
                      <a:noFill/>
                    </a:ln>
                  </pic:spPr>
                </pic:pic>
              </a:graphicData>
            </a:graphic>
          </wp:inline>
        </w:drawing>
      </w:r>
    </w:p>
    <w:p w14:paraId="61D247A0" w14:textId="77777777" w:rsidR="00F67380"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 xml:space="preserve">Figure 3 Thioridazine increases the primary susceptibility of </w:t>
      </w:r>
      <w:r>
        <w:rPr>
          <w:rFonts w:ascii="Book Antiqua" w:eastAsia="Book Antiqua" w:hAnsi="Book Antiqua" w:cs="Book Antiqua"/>
          <w:b/>
          <w:bCs/>
          <w:color w:val="000000"/>
          <w:szCs w:val="20"/>
        </w:rPr>
        <w:t>gastric cancer</w:t>
      </w:r>
      <w:r>
        <w:rPr>
          <w:rFonts w:ascii="Book Antiqua" w:hAnsi="Book Antiqua" w:cs="Book Antiqua"/>
          <w:b/>
          <w:bCs/>
        </w:rPr>
        <w:t xml:space="preserve"> cells to trastuzumab </w:t>
      </w:r>
      <w:r>
        <w:rPr>
          <w:rFonts w:ascii="Book Antiqua" w:hAnsi="Book Antiqua" w:cs="Book Antiqua"/>
          <w:b/>
          <w:bCs/>
          <w:i/>
          <w:iCs/>
        </w:rPr>
        <w:t>in vitro</w:t>
      </w:r>
      <w:r>
        <w:rPr>
          <w:rFonts w:ascii="Book Antiqua" w:hAnsi="Book Antiqua" w:cs="Book Antiqua"/>
          <w:b/>
          <w:bCs/>
        </w:rPr>
        <w:t xml:space="preserve"> and </w:t>
      </w:r>
      <w:r>
        <w:rPr>
          <w:rFonts w:ascii="Book Antiqua" w:hAnsi="Book Antiqua" w:cs="Book Antiqua"/>
          <w:b/>
          <w:bCs/>
          <w:i/>
          <w:iCs/>
        </w:rPr>
        <w:t>in vivo</w:t>
      </w:r>
      <w:r>
        <w:rPr>
          <w:rFonts w:ascii="Book Antiqua" w:hAnsi="Book Antiqua" w:cs="Book Antiqua"/>
          <w:b/>
          <w:bCs/>
        </w:rPr>
        <w:t>.</w:t>
      </w:r>
      <w:r>
        <w:rPr>
          <w:rFonts w:ascii="Book Antiqua" w:hAnsi="Book Antiqua" w:cs="Book Antiqua"/>
        </w:rPr>
        <w:t xml:space="preserve"> A and B: HGC27-R and SGC7901-R cells were treated with phosphate-buffered saline</w:t>
      </w:r>
      <w:r>
        <w:rPr>
          <w:rFonts w:ascii="Book Antiqua" w:eastAsia="宋体" w:hAnsi="Book Antiqua" w:cs="Book Antiqua" w:hint="eastAsia"/>
          <w:lang w:eastAsia="zh-CN"/>
        </w:rPr>
        <w:t xml:space="preserve"> (PBS)</w:t>
      </w:r>
      <w:r>
        <w:rPr>
          <w:rFonts w:ascii="Book Antiqua" w:hAnsi="Book Antiqua" w:cs="Book Antiqua"/>
        </w:rPr>
        <w:t>, thioridazine (5 μM), trastuzumab (5</w:t>
      </w:r>
      <w:r>
        <w:rPr>
          <w:rFonts w:ascii="Book Antiqua" w:eastAsia="宋体" w:hAnsi="Book Antiqua" w:cs="Book Antiqua" w:hint="eastAsia"/>
          <w:lang w:eastAsia="zh-CN"/>
        </w:rPr>
        <w:t xml:space="preserve"> </w:t>
      </w:r>
      <w:r>
        <w:rPr>
          <w:rFonts w:ascii="Book Antiqua" w:hAnsi="Book Antiqua" w:cs="Book Antiqua"/>
        </w:rPr>
        <w:t>μg/mL), or thioridazine (5 μM) plus trastuzumab (5 μg/mL) for 24 h.</w:t>
      </w:r>
      <w:r>
        <w:rPr>
          <w:rFonts w:ascii="Book Antiqua" w:eastAsia="宋体" w:hAnsi="Book Antiqua" w:cs="Book Antiqua" w:hint="eastAsia"/>
          <w:lang w:eastAsia="zh-CN"/>
        </w:rPr>
        <w:t xml:space="preserve"> </w:t>
      </w:r>
      <w:r>
        <w:rPr>
          <w:rFonts w:ascii="Book Antiqua" w:eastAsia="Book Antiqua" w:hAnsi="Book Antiqua" w:cs="Book Antiqua"/>
          <w:szCs w:val="20"/>
        </w:rPr>
        <w:t>S-phase kinase associated protein 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Skp2</w:t>
      </w:r>
      <w:r>
        <w:rPr>
          <w:rFonts w:ascii="Book Antiqua" w:eastAsia="宋体" w:hAnsi="Book Antiqua" w:cs="Book Antiqua" w:hint="eastAsia"/>
          <w:color w:val="000000"/>
          <w:szCs w:val="20"/>
          <w:lang w:eastAsia="zh-CN"/>
        </w:rPr>
        <w:t>)</w:t>
      </w:r>
      <w:r>
        <w:rPr>
          <w:rFonts w:ascii="Book Antiqua" w:eastAsia="宋体" w:hAnsi="Book Antiqua" w:cs="Book Antiqua" w:hint="eastAsia"/>
          <w:lang w:eastAsia="zh-CN"/>
        </w:rPr>
        <w:t xml:space="preserve"> </w:t>
      </w:r>
      <w:r>
        <w:rPr>
          <w:rFonts w:ascii="Book Antiqua" w:hAnsi="Book Antiqua" w:cs="Book Antiqua"/>
        </w:rPr>
        <w:t>expression was</w:t>
      </w:r>
      <w:r>
        <w:rPr>
          <w:rFonts w:ascii="Book Antiqua" w:eastAsia="宋体" w:hAnsi="Book Antiqua" w:cs="Book Antiqua" w:hint="eastAsia"/>
          <w:lang w:eastAsia="zh-CN"/>
        </w:rPr>
        <w:t xml:space="preserve">  </w:t>
      </w:r>
      <w:r>
        <w:rPr>
          <w:rFonts w:ascii="Book Antiqua" w:hAnsi="Book Antiqua" w:cs="Book Antiqua"/>
        </w:rPr>
        <w:t>determined by</w:t>
      </w:r>
      <w:r>
        <w:rPr>
          <w:rFonts w:ascii="Book Antiqua" w:eastAsia="宋体" w:hAnsi="Book Antiqua" w:cs="Book Antiqua" w:hint="eastAsia"/>
          <w:lang w:eastAsia="zh-CN"/>
        </w:rPr>
        <w:t xml:space="preserve"> w</w:t>
      </w:r>
      <w:r>
        <w:rPr>
          <w:rFonts w:ascii="Book Antiqua" w:hAnsi="Book Antiqua" w:cs="Book Antiqua"/>
        </w:rPr>
        <w:t>estern blotting</w:t>
      </w:r>
      <w:r>
        <w:rPr>
          <w:rFonts w:ascii="Book Antiqua" w:eastAsia="宋体" w:hAnsi="Book Antiqua" w:cs="Book Antiqua" w:hint="eastAsia"/>
          <w:lang w:eastAsia="zh-CN"/>
        </w:rPr>
        <w:t>;</w:t>
      </w:r>
      <w:r>
        <w:rPr>
          <w:rFonts w:ascii="Book Antiqua" w:hAnsi="Book Antiqua" w:cs="Book Antiqua"/>
        </w:rPr>
        <w:t xml:space="preserve"> C and D: HGC27 and SGC7901 cells were treated with trastuzumab (10 μg/mL) or thioridazine (2.5 μM) alone or in combination for 48 h. Proliferation activity was evaluated by cell counting kit-8</w:t>
      </w:r>
      <w:r>
        <w:rPr>
          <w:rFonts w:ascii="Book Antiqua" w:eastAsia="宋体" w:hAnsi="Book Antiqua" w:cs="Book Antiqua" w:hint="eastAsia"/>
          <w:lang w:eastAsia="zh-CN"/>
        </w:rPr>
        <w:t xml:space="preserve"> </w:t>
      </w:r>
      <w:r>
        <w:rPr>
          <w:rFonts w:ascii="Book Antiqua" w:hAnsi="Book Antiqua" w:cs="Book Antiqua"/>
        </w:rPr>
        <w:t>assays</w:t>
      </w:r>
      <w:r>
        <w:rPr>
          <w:rFonts w:ascii="Book Antiqua" w:eastAsia="宋体" w:hAnsi="Book Antiqua" w:cs="Book Antiqua" w:hint="eastAsia"/>
          <w:lang w:eastAsia="zh-CN"/>
        </w:rPr>
        <w:t>;</w:t>
      </w:r>
      <w:r>
        <w:rPr>
          <w:rFonts w:ascii="Book Antiqua" w:hAnsi="Book Antiqua" w:cs="Book Antiqua"/>
        </w:rPr>
        <w:t xml:space="preserve"> E and F: HGC27 and SGC7901 cells were treated with trastuzumab (10 μg/mL) or thioridazine (2.5 μM) alone or in combination for</w:t>
      </w:r>
      <w:r>
        <w:rPr>
          <w:rFonts w:ascii="Book Antiqua" w:eastAsia="宋体" w:hAnsi="Book Antiqua" w:cs="Book Antiqua" w:hint="eastAsia"/>
          <w:lang w:eastAsia="zh-CN"/>
        </w:rPr>
        <w:t xml:space="preserve"> </w:t>
      </w:r>
      <w:r>
        <w:rPr>
          <w:rFonts w:ascii="Book Antiqua" w:hAnsi="Book Antiqua" w:cs="Book Antiqua"/>
        </w:rPr>
        <w:t xml:space="preserve">various times. The expression of Skp2 and Parp was analyzed by </w:t>
      </w:r>
      <w:r>
        <w:rPr>
          <w:rFonts w:ascii="Book Antiqua" w:eastAsia="宋体" w:hAnsi="Book Antiqua" w:cs="Book Antiqua" w:hint="eastAsia"/>
          <w:lang w:eastAsia="zh-CN"/>
        </w:rPr>
        <w:t>w</w:t>
      </w:r>
      <w:r>
        <w:rPr>
          <w:rFonts w:ascii="Book Antiqua" w:hAnsi="Book Antiqua" w:cs="Book Antiqua"/>
        </w:rPr>
        <w:t>estern blotting</w:t>
      </w:r>
      <w:r>
        <w:rPr>
          <w:rFonts w:ascii="Book Antiqua" w:eastAsia="宋体" w:hAnsi="Book Antiqua" w:cs="Book Antiqua" w:hint="eastAsia"/>
          <w:lang w:eastAsia="zh-CN"/>
        </w:rPr>
        <w:t>;</w:t>
      </w:r>
      <w:r>
        <w:rPr>
          <w:rFonts w:ascii="Book Antiqua" w:hAnsi="Book Antiqua" w:cs="Book Antiqua"/>
        </w:rPr>
        <w:t xml:space="preserve"> G and H: HGC27 cells were treated with trastuzumab (10 μg/mL) or thioridazine (2.5 μM) alone or in combination for 24 h, </w:t>
      </w:r>
      <w:r>
        <w:rPr>
          <w:rFonts w:ascii="Book Antiqua" w:hAnsi="Book Antiqua" w:cs="Book Antiqua"/>
        </w:rPr>
        <w:lastRenderedPageBreak/>
        <w:t xml:space="preserve">followed by an apoptosis assay, </w:t>
      </w:r>
      <w:r>
        <w:rPr>
          <w:rFonts w:ascii="Book Antiqua" w:eastAsia="宋体" w:hAnsi="Book Antiqua" w:cs="Book Antiqua" w:hint="eastAsia"/>
          <w:lang w:eastAsia="zh-CN"/>
        </w:rPr>
        <w:t>q</w:t>
      </w:r>
      <w:r>
        <w:rPr>
          <w:rFonts w:ascii="Book Antiqua" w:hAnsi="Book Antiqua" w:cs="Book Antiqua"/>
        </w:rPr>
        <w:t>uantitative results</w:t>
      </w:r>
      <w:r>
        <w:rPr>
          <w:rFonts w:ascii="Book Antiqua" w:eastAsia="宋体" w:hAnsi="Book Antiqua" w:cs="Book Antiqua" w:hint="eastAsia"/>
          <w:lang w:eastAsia="zh-CN"/>
        </w:rPr>
        <w:t>;</w:t>
      </w:r>
      <w:r>
        <w:rPr>
          <w:rFonts w:ascii="Book Antiqua" w:hAnsi="Book Antiqua" w:cs="Book Antiqua"/>
        </w:rPr>
        <w:t xml:space="preserve"> I-K: Nude mice were injected s.c. with 0.1 mL of an HGC27 cell suspension (3</w:t>
      </w:r>
      <w:r>
        <w:rPr>
          <w:rFonts w:ascii="Book Antiqua" w:eastAsia="宋体" w:hAnsi="Book Antiqua" w:cs="Book Antiqua" w:hint="eastAsia"/>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10</w:t>
      </w:r>
      <w:r>
        <w:rPr>
          <w:rFonts w:ascii="Book Antiqua" w:hAnsi="Book Antiqua" w:cs="Book Antiqua"/>
          <w:vertAlign w:val="superscript"/>
        </w:rPr>
        <w:t>7</w:t>
      </w:r>
      <w:r>
        <w:rPr>
          <w:rFonts w:ascii="Book Antiqua" w:eastAsia="宋体" w:hAnsi="Book Antiqua" w:cs="Book Antiqua" w:hint="eastAsia"/>
          <w:lang w:eastAsia="zh-CN"/>
        </w:rPr>
        <w:t xml:space="preserve"> </w:t>
      </w:r>
      <w:r>
        <w:rPr>
          <w:rFonts w:ascii="Book Antiqua" w:hAnsi="Book Antiqua" w:cs="Book Antiqua"/>
        </w:rPr>
        <w:t xml:space="preserve">cells/mL) in the right upper flank. The mice were treated with PBS, trastuzumab (0.5 mg/kg), thioridazine (25 mg/kg), or trastuzumab (0.5 mg/kg) plus thioridazine (25 mg/kg) daily by intraperitoneal (i.p.) injection beginning 7 d after cell implantation. After two weeks of drug administration, the mice were sacrificed. Primary tumors were excised, photographed, and weighed. Western blot analysis was used to assess Skp2 expression in primary tumors. </w:t>
      </w:r>
      <w:r>
        <w:rPr>
          <w:rFonts w:ascii="Book Antiqua" w:eastAsia="宋体" w:hAnsi="Book Antiqua" w:cs="Book Antiqua" w:hint="eastAsia"/>
          <w:vertAlign w:val="superscript"/>
          <w:lang w:eastAsia="zh-CN"/>
        </w:rPr>
        <w:t>a</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lang w:eastAsia="zh-CN"/>
        </w:rPr>
        <w:t xml:space="preserve"> </w:t>
      </w:r>
      <w:r>
        <w:rPr>
          <w:rFonts w:ascii="Book Antiqua" w:hAnsi="Book Antiqua" w:cs="Book Antiqua"/>
        </w:rPr>
        <w:t xml:space="preserve">&lt; 0.05; </w:t>
      </w:r>
      <w:r>
        <w:rPr>
          <w:rFonts w:ascii="Book Antiqua" w:eastAsia="宋体" w:hAnsi="Book Antiqua" w:cs="Book Antiqua" w:hint="eastAsia"/>
          <w:vertAlign w:val="superscript"/>
          <w:lang w:eastAsia="zh-CN"/>
        </w:rPr>
        <w:t>b</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lang w:eastAsia="zh-CN"/>
        </w:rPr>
        <w:t xml:space="preserve"> </w:t>
      </w:r>
      <w:r>
        <w:rPr>
          <w:rFonts w:ascii="Book Antiqua" w:hAnsi="Book Antiqua" w:cs="Book Antiqua"/>
        </w:rPr>
        <w:t>&lt; 0.01.</w:t>
      </w:r>
      <w:r>
        <w:rPr>
          <w:rFonts w:ascii="Book Antiqua" w:eastAsia="宋体" w:hAnsi="Book Antiqua" w:cs="Book Antiqua" w:hint="eastAsia"/>
          <w:lang w:eastAsia="zh-CN"/>
        </w:rPr>
        <w:t xml:space="preserve"> </w:t>
      </w:r>
      <w:r>
        <w:rPr>
          <w:rFonts w:ascii="Book Antiqua" w:eastAsia="Book Antiqua" w:hAnsi="Book Antiqua" w:cs="Book Antiqua"/>
          <w:szCs w:val="20"/>
          <w:shd w:val="clear" w:color="auto" w:fill="FFFFFF"/>
        </w:rPr>
        <w:t>Thior</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w:t>
      </w:r>
      <w:r>
        <w:rPr>
          <w:rFonts w:ascii="Book Antiqua" w:eastAsia="宋体" w:hAnsi="Book Antiqua" w:cs="Book Antiqua" w:hint="eastAsia"/>
          <w:szCs w:val="20"/>
          <w:shd w:val="clear" w:color="auto" w:fill="FFFFFF"/>
          <w:lang w:eastAsia="zh-CN"/>
        </w:rPr>
        <w:t>T</w:t>
      </w:r>
      <w:r>
        <w:rPr>
          <w:rFonts w:ascii="Book Antiqua" w:eastAsia="Book Antiqua" w:hAnsi="Book Antiqua" w:cs="Book Antiqua"/>
          <w:szCs w:val="20"/>
          <w:shd w:val="clear" w:color="auto" w:fill="FFFFFF"/>
        </w:rPr>
        <w:t>hioridazine; Trast</w:t>
      </w:r>
      <w:r>
        <w:rPr>
          <w:rFonts w:ascii="Book Antiqua" w:eastAsia="宋体" w:hAnsi="Book Antiqua" w:cs="Book Antiqua" w:hint="eastAsia"/>
          <w:szCs w:val="20"/>
          <w:shd w:val="clear" w:color="auto" w:fill="FFFFFF"/>
          <w:lang w:eastAsia="zh-CN"/>
        </w:rPr>
        <w:t>:</w:t>
      </w:r>
      <w:r>
        <w:rPr>
          <w:rFonts w:ascii="Book Antiqua" w:eastAsia="Book Antiqua" w:hAnsi="Book Antiqua" w:cs="Book Antiqua"/>
          <w:szCs w:val="20"/>
          <w:shd w:val="clear" w:color="auto" w:fill="FFFFFF"/>
        </w:rPr>
        <w:t xml:space="preserve"> </w:t>
      </w:r>
      <w:r>
        <w:rPr>
          <w:rFonts w:ascii="Book Antiqua" w:eastAsia="宋体" w:hAnsi="Book Antiqua" w:cs="Book Antiqua" w:hint="eastAsia"/>
          <w:szCs w:val="20"/>
          <w:shd w:val="clear" w:color="auto" w:fill="FFFFFF"/>
          <w:lang w:eastAsia="zh-CN"/>
        </w:rPr>
        <w:t>T</w:t>
      </w:r>
      <w:r>
        <w:rPr>
          <w:rFonts w:ascii="Book Antiqua" w:eastAsia="Book Antiqua" w:hAnsi="Book Antiqua" w:cs="Book Antiqua"/>
          <w:szCs w:val="20"/>
          <w:shd w:val="clear" w:color="auto" w:fill="FFFFFF"/>
        </w:rPr>
        <w:t>rastuzumab</w:t>
      </w:r>
      <w:r>
        <w:rPr>
          <w:rFonts w:ascii="Book Antiqua" w:eastAsia="宋体" w:hAnsi="Book Antiqua" w:cs="Book Antiqua" w:hint="eastAsia"/>
          <w:szCs w:val="20"/>
          <w:shd w:val="clear" w:color="auto" w:fill="FFFFFF"/>
          <w:lang w:eastAsia="zh-CN"/>
        </w:rPr>
        <w:t>.</w:t>
      </w:r>
    </w:p>
    <w:p w14:paraId="5B12AE8C" w14:textId="77777777" w:rsidR="00F67380" w:rsidRDefault="00F67380">
      <w:pPr>
        <w:adjustRightInd w:val="0"/>
        <w:snapToGrid w:val="0"/>
        <w:spacing w:line="360" w:lineRule="auto"/>
        <w:jc w:val="both"/>
        <w:rPr>
          <w:rFonts w:ascii="Book Antiqua" w:hAnsi="Book Antiqua" w:cs="Book Antiqua"/>
        </w:rPr>
      </w:pPr>
    </w:p>
    <w:p w14:paraId="76BF2080" w14:textId="77777777" w:rsidR="00F67380" w:rsidRDefault="00000000">
      <w:pPr>
        <w:adjustRightInd w:val="0"/>
        <w:snapToGrid w:val="0"/>
        <w:spacing w:line="360" w:lineRule="auto"/>
        <w:jc w:val="both"/>
        <w:rPr>
          <w:rFonts w:ascii="Book Antiqua" w:hAnsi="Book Antiqua" w:cs="Book Antiqua"/>
        </w:rPr>
      </w:pPr>
      <w:r>
        <w:rPr>
          <w:noProof/>
        </w:rPr>
        <w:drawing>
          <wp:inline distT="0" distB="0" distL="114300" distR="114300" wp14:anchorId="0105C003" wp14:editId="54A3F241">
            <wp:extent cx="5036820" cy="5173980"/>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036820" cy="5173980"/>
                    </a:xfrm>
                    <a:prstGeom prst="rect">
                      <a:avLst/>
                    </a:prstGeom>
                    <a:noFill/>
                    <a:ln>
                      <a:noFill/>
                    </a:ln>
                  </pic:spPr>
                </pic:pic>
              </a:graphicData>
            </a:graphic>
          </wp:inline>
        </w:drawing>
      </w:r>
    </w:p>
    <w:p w14:paraId="1D4EC111" w14:textId="77777777" w:rsidR="00F67380" w:rsidRDefault="00F67380">
      <w:pPr>
        <w:adjustRightInd w:val="0"/>
        <w:snapToGrid w:val="0"/>
        <w:spacing w:line="360" w:lineRule="auto"/>
        <w:jc w:val="both"/>
        <w:rPr>
          <w:rFonts w:ascii="Book Antiqua" w:hAnsi="Book Antiqua" w:cs="Book Antiqua"/>
        </w:rPr>
      </w:pPr>
    </w:p>
    <w:p w14:paraId="715178AC" w14:textId="77777777" w:rsidR="00F67380" w:rsidRDefault="00000000">
      <w:pPr>
        <w:adjustRightInd w:val="0"/>
        <w:snapToGrid w:val="0"/>
        <w:spacing w:line="360" w:lineRule="auto"/>
        <w:jc w:val="both"/>
        <w:rPr>
          <w:rFonts w:ascii="Book Antiqua" w:hAnsi="Book Antiqua" w:cs="Book Antiqua"/>
        </w:rPr>
      </w:pPr>
      <w:r>
        <w:rPr>
          <w:rFonts w:ascii="Book Antiqua" w:hAnsi="Book Antiqua" w:cs="Book Antiqua"/>
          <w:b/>
          <w:bCs/>
        </w:rPr>
        <w:lastRenderedPageBreak/>
        <w:t>Figure 4 Thioridazine combined with lapatinib decreases S-phase kinase associated protein 2/p-</w:t>
      </w:r>
      <w:r>
        <w:rPr>
          <w:rFonts w:ascii="Book Antiqua" w:hAnsi="Book Antiqua" w:cs="Book Antiqua" w:hint="eastAsia"/>
          <w:b/>
          <w:bCs/>
        </w:rPr>
        <w:t>protein kinase B</w:t>
      </w:r>
      <w:r>
        <w:rPr>
          <w:rFonts w:ascii="Book Antiqua" w:hAnsi="Book Antiqua" w:cs="Book Antiqua"/>
          <w:b/>
          <w:bCs/>
        </w:rPr>
        <w:t xml:space="preserve">/p-mammalian target of rapamycin/glucose transporter type 1 protein levels and glycolysis in gastric cancer cells. </w:t>
      </w:r>
      <w:r>
        <w:rPr>
          <w:rFonts w:ascii="Book Antiqua" w:hAnsi="Book Antiqua" w:cs="Book Antiqua"/>
        </w:rPr>
        <w:t>A-C: HGC27, HGC27-R and SGC7901-R cells were treated with thioridazine (5 μM) alone or in combination with</w:t>
      </w:r>
      <w:r>
        <w:rPr>
          <w:rFonts w:ascii="Book Antiqua" w:eastAsia="宋体" w:hAnsi="Book Antiqua" w:cs="Book Antiqua" w:hint="eastAsia"/>
          <w:lang w:eastAsia="zh-CN"/>
        </w:rPr>
        <w:t xml:space="preserve"> </w:t>
      </w:r>
      <w:r>
        <w:rPr>
          <w:rFonts w:ascii="Book Antiqua" w:hAnsi="Book Antiqua" w:cs="Book Antiqua"/>
        </w:rPr>
        <w:t>lapatinib (5 μM)</w:t>
      </w:r>
      <w:r>
        <w:rPr>
          <w:rFonts w:ascii="Book Antiqua" w:eastAsia="宋体" w:hAnsi="Book Antiqua" w:cs="Book Antiqua" w:hint="eastAsia"/>
          <w:lang w:eastAsia="zh-CN"/>
        </w:rPr>
        <w:t xml:space="preserve"> </w:t>
      </w:r>
      <w:r>
        <w:rPr>
          <w:rFonts w:ascii="Book Antiqua" w:hAnsi="Book Antiqua" w:cs="Book Antiqua"/>
        </w:rPr>
        <w:t>for 24 h.</w:t>
      </w:r>
      <w:r>
        <w:rPr>
          <w:rFonts w:ascii="Book Antiqua" w:eastAsia="宋体" w:hAnsi="Book Antiqua" w:cs="Book Antiqua" w:hint="eastAsia"/>
          <w:lang w:eastAsia="zh-CN"/>
        </w:rPr>
        <w:t xml:space="preserve"> </w:t>
      </w:r>
      <w:r>
        <w:rPr>
          <w:rFonts w:ascii="Book Antiqua" w:hAnsi="Book Antiqua" w:cs="Book Antiqua"/>
        </w:rPr>
        <w:t>S-phase kinase associated protein 2 (Skp2), p-</w:t>
      </w:r>
      <w:r>
        <w:rPr>
          <w:rFonts w:ascii="Book Antiqua" w:hAnsi="Book Antiqua" w:cs="Book Antiqua" w:hint="eastAsia"/>
        </w:rPr>
        <w:t>protein kinase B</w:t>
      </w:r>
      <w:r>
        <w:rPr>
          <w:rFonts w:ascii="Book Antiqua" w:eastAsia="宋体" w:hAnsi="Book Antiqua" w:cs="Book Antiqua" w:hint="eastAsia"/>
          <w:lang w:eastAsia="zh-CN"/>
        </w:rPr>
        <w:t xml:space="preserve"> (</w:t>
      </w:r>
      <w:r>
        <w:rPr>
          <w:rFonts w:ascii="Book Antiqua" w:hAnsi="Book Antiqua" w:cs="Book Antiqua"/>
        </w:rPr>
        <w:t>Akt</w:t>
      </w:r>
      <w:r>
        <w:rPr>
          <w:rFonts w:ascii="Book Antiqua" w:eastAsia="宋体" w:hAnsi="Book Antiqua" w:cs="Book Antiqua" w:hint="eastAsia"/>
          <w:lang w:eastAsia="zh-CN"/>
        </w:rPr>
        <w:t>)</w:t>
      </w:r>
      <w:r>
        <w:rPr>
          <w:rFonts w:ascii="Book Antiqua" w:hAnsi="Book Antiqua" w:cs="Book Antiqua"/>
        </w:rPr>
        <w:t>, Akt, p-mammalian target of rapamycin, and</w:t>
      </w:r>
      <w:r>
        <w:rPr>
          <w:rFonts w:ascii="Book Antiqua" w:eastAsia="宋体" w:hAnsi="Book Antiqua" w:cs="Book Antiqua" w:hint="eastAsia"/>
          <w:lang w:eastAsia="zh-CN"/>
        </w:rPr>
        <w:t xml:space="preserve"> </w:t>
      </w:r>
      <w:r>
        <w:rPr>
          <w:rFonts w:ascii="Book Antiqua" w:hAnsi="Book Antiqua" w:cs="Book Antiqua"/>
        </w:rPr>
        <w:t>glucose transporter type 1 protein levels were</w:t>
      </w:r>
      <w:r>
        <w:rPr>
          <w:rFonts w:ascii="Book Antiqua" w:eastAsia="宋体" w:hAnsi="Book Antiqua" w:cs="Book Antiqua" w:hint="eastAsia"/>
          <w:lang w:eastAsia="zh-CN"/>
        </w:rPr>
        <w:t xml:space="preserve">  </w:t>
      </w:r>
      <w:r>
        <w:rPr>
          <w:rFonts w:ascii="Book Antiqua" w:hAnsi="Book Antiqua" w:cs="Book Antiqua"/>
        </w:rPr>
        <w:t>analyzed</w:t>
      </w:r>
      <w:r>
        <w:rPr>
          <w:rFonts w:ascii="Book Antiqua" w:eastAsia="宋体" w:hAnsi="Book Antiqua" w:cs="Book Antiqua" w:hint="eastAsia"/>
          <w:lang w:eastAsia="zh-CN"/>
        </w:rPr>
        <w:t xml:space="preserve"> </w:t>
      </w:r>
      <w:r>
        <w:rPr>
          <w:rFonts w:ascii="Book Antiqua" w:hAnsi="Book Antiqua" w:cs="Book Antiqua"/>
        </w:rPr>
        <w:t xml:space="preserve">by </w:t>
      </w:r>
      <w:r>
        <w:rPr>
          <w:rFonts w:ascii="Book Antiqua" w:eastAsia="宋体" w:hAnsi="Book Antiqua" w:cs="Book Antiqua" w:hint="eastAsia"/>
          <w:lang w:eastAsia="zh-CN"/>
        </w:rPr>
        <w:t>w</w:t>
      </w:r>
      <w:r>
        <w:rPr>
          <w:rFonts w:ascii="Book Antiqua" w:hAnsi="Book Antiqua" w:cs="Book Antiqua"/>
        </w:rPr>
        <w:t>estern blotting</w:t>
      </w:r>
      <w:r>
        <w:rPr>
          <w:rFonts w:ascii="Book Antiqua" w:eastAsia="宋体" w:hAnsi="Book Antiqua" w:cs="Book Antiqua" w:hint="eastAsia"/>
          <w:lang w:eastAsia="zh-CN"/>
        </w:rPr>
        <w:t>;</w:t>
      </w:r>
      <w:r>
        <w:rPr>
          <w:rFonts w:ascii="Book Antiqua" w:hAnsi="Book Antiqua" w:cs="Book Antiqua"/>
        </w:rPr>
        <w:t xml:space="preserve"> D-G: HGC27-R cells were treated with thioridazine (5 μM) and lapatinib (5 μM) alone or in combination for 24 h. The glucose uptake rate and lactate production rate were</w:t>
      </w:r>
      <w:r>
        <w:rPr>
          <w:rFonts w:ascii="Book Antiqua" w:eastAsia="宋体" w:hAnsi="Book Antiqua" w:cs="Book Antiqua" w:hint="eastAsia"/>
          <w:lang w:eastAsia="zh-CN"/>
        </w:rPr>
        <w:t xml:space="preserve"> </w:t>
      </w:r>
      <w:r>
        <w:rPr>
          <w:rFonts w:ascii="Book Antiqua" w:hAnsi="Book Antiqua" w:cs="Book Antiqua"/>
        </w:rPr>
        <w:t>measured</w:t>
      </w:r>
      <w:r>
        <w:rPr>
          <w:rFonts w:ascii="Book Antiqua" w:eastAsia="宋体" w:hAnsi="Book Antiqua" w:cs="Book Antiqua" w:hint="eastAsia"/>
          <w:lang w:eastAsia="zh-CN"/>
        </w:rPr>
        <w:t xml:space="preserve"> </w:t>
      </w:r>
      <w:r>
        <w:rPr>
          <w:rFonts w:ascii="Book Antiqua" w:hAnsi="Book Antiqua" w:cs="Book Antiqua"/>
        </w:rPr>
        <w:t>following the manufacturer's instructions</w:t>
      </w:r>
      <w:r>
        <w:rPr>
          <w:rFonts w:ascii="Book Antiqua" w:eastAsia="宋体" w:hAnsi="Book Antiqua" w:cs="Book Antiqua" w:hint="eastAsia"/>
          <w:lang w:eastAsia="zh-CN"/>
        </w:rPr>
        <w:t>;</w:t>
      </w:r>
      <w:r>
        <w:rPr>
          <w:rFonts w:ascii="Book Antiqua" w:hAnsi="Book Antiqua" w:cs="Book Antiqua"/>
        </w:rPr>
        <w:t xml:space="preserve"> H and I: HGC27-R cells were</w:t>
      </w:r>
      <w:r>
        <w:rPr>
          <w:rFonts w:ascii="Book Antiqua" w:eastAsia="宋体" w:hAnsi="Book Antiqua" w:cs="Book Antiqua" w:hint="eastAsia"/>
          <w:lang w:eastAsia="zh-CN"/>
        </w:rPr>
        <w:t xml:space="preserve">  </w:t>
      </w:r>
      <w:r>
        <w:rPr>
          <w:rFonts w:ascii="Book Antiqua" w:hAnsi="Book Antiqua" w:cs="Book Antiqua"/>
        </w:rPr>
        <w:t>divided into two groups that were transfected with</w:t>
      </w:r>
      <w:r>
        <w:rPr>
          <w:rFonts w:ascii="Book Antiqua" w:eastAsia="宋体" w:hAnsi="Book Antiqua" w:cs="Book Antiqua" w:hint="eastAsia"/>
          <w:lang w:eastAsia="zh-CN"/>
        </w:rPr>
        <w:t xml:space="preserve"> s</w:t>
      </w:r>
      <w:r>
        <w:rPr>
          <w:rFonts w:ascii="Book Antiqua" w:hAnsi="Book Antiqua" w:cs="Book Antiqua"/>
        </w:rPr>
        <w:t>mall interfering RNA (siRNA)</w:t>
      </w:r>
      <w:r>
        <w:rPr>
          <w:rFonts w:ascii="Book Antiqua" w:eastAsia="宋体" w:hAnsi="Book Antiqua" w:cs="Book Antiqua" w:hint="eastAsia"/>
          <w:lang w:eastAsia="zh-CN"/>
        </w:rPr>
        <w:t xml:space="preserve"> </w:t>
      </w:r>
      <w:r>
        <w:rPr>
          <w:rFonts w:ascii="Book Antiqua" w:hAnsi="Book Antiqua" w:cs="Book Antiqua"/>
        </w:rPr>
        <w:t>negative control</w:t>
      </w:r>
      <w:r>
        <w:rPr>
          <w:rFonts w:ascii="Book Antiqua" w:eastAsia="宋体" w:hAnsi="Book Antiqua" w:cs="Book Antiqua" w:hint="eastAsia"/>
          <w:lang w:eastAsia="zh-CN"/>
        </w:rPr>
        <w:t xml:space="preserve"> </w:t>
      </w:r>
      <w:r>
        <w:rPr>
          <w:rFonts w:ascii="Book Antiqua" w:hAnsi="Book Antiqua" w:cs="Book Antiqua"/>
        </w:rPr>
        <w:t>or</w:t>
      </w:r>
      <w:r>
        <w:rPr>
          <w:rFonts w:ascii="Book Antiqua" w:eastAsia="宋体" w:hAnsi="Book Antiqua" w:cs="Book Antiqua" w:hint="eastAsia"/>
          <w:lang w:eastAsia="zh-CN"/>
        </w:rPr>
        <w:t xml:space="preserve"> </w:t>
      </w:r>
      <w:r>
        <w:rPr>
          <w:rFonts w:ascii="Book Antiqua" w:hAnsi="Book Antiqua" w:cs="Book Antiqua"/>
        </w:rPr>
        <w:t>siRNA</w:t>
      </w:r>
      <w:r>
        <w:rPr>
          <w:rFonts w:ascii="Book Antiqua" w:eastAsia="宋体" w:hAnsi="Book Antiqua" w:cs="Book Antiqua" w:hint="eastAsia"/>
          <w:lang w:eastAsia="zh-CN"/>
        </w:rPr>
        <w:t xml:space="preserve"> </w:t>
      </w:r>
      <w:r>
        <w:rPr>
          <w:rFonts w:ascii="Book Antiqua" w:hAnsi="Book Antiqua" w:cs="Book Antiqua"/>
        </w:rPr>
        <w:t>SKP2</w:t>
      </w:r>
      <w:r>
        <w:rPr>
          <w:rFonts w:ascii="Book Antiqua" w:eastAsia="宋体" w:hAnsi="Book Antiqua" w:cs="Book Antiqua" w:hint="eastAsia"/>
          <w:lang w:eastAsia="zh-CN"/>
        </w:rPr>
        <w:t xml:space="preserve"> </w:t>
      </w:r>
      <w:r>
        <w:rPr>
          <w:rFonts w:ascii="Book Antiqua" w:hAnsi="Book Antiqua" w:cs="Book Antiqua"/>
        </w:rPr>
        <w:t>2</w:t>
      </w:r>
      <w:r>
        <w:rPr>
          <w:rFonts w:ascii="Book Antiqua" w:eastAsia="宋体" w:hAnsi="Book Antiqua" w:cs="Book Antiqua" w:hint="eastAsia"/>
          <w:lang w:eastAsia="zh-CN"/>
        </w:rPr>
        <w:t xml:space="preserve"> </w:t>
      </w:r>
      <w:r>
        <w:rPr>
          <w:rFonts w:ascii="Book Antiqua" w:hAnsi="Book Antiqua" w:cs="Book Antiqua"/>
        </w:rPr>
        <w:t>for 48</w:t>
      </w:r>
      <w:r>
        <w:rPr>
          <w:rFonts w:ascii="Book Antiqua" w:eastAsia="宋体" w:hAnsi="Book Antiqua" w:cs="Book Antiqua" w:hint="eastAsia"/>
          <w:lang w:eastAsia="zh-CN"/>
        </w:rPr>
        <w:t xml:space="preserve"> </w:t>
      </w:r>
      <w:r>
        <w:rPr>
          <w:rFonts w:ascii="Book Antiqua" w:hAnsi="Book Antiqua" w:cs="Book Antiqua"/>
        </w:rPr>
        <w:t>h.</w:t>
      </w:r>
      <w:r>
        <w:rPr>
          <w:rFonts w:ascii="Book Antiqua" w:eastAsia="宋体" w:hAnsi="Book Antiqua" w:cs="Book Antiqua" w:hint="eastAsia"/>
          <w:lang w:eastAsia="zh-CN"/>
        </w:rPr>
        <w:t xml:space="preserve"> </w:t>
      </w:r>
      <w:r>
        <w:rPr>
          <w:rFonts w:ascii="Book Antiqua" w:hAnsi="Book Antiqua" w:cs="Book Antiqua"/>
        </w:rPr>
        <w:t>Each group was treated without or with thioridazine (5 μM)</w:t>
      </w:r>
      <w:r>
        <w:rPr>
          <w:rFonts w:ascii="Book Antiqua" w:eastAsia="宋体" w:hAnsi="Book Antiqua" w:cs="Book Antiqua" w:hint="eastAsia"/>
          <w:lang w:eastAsia="zh-CN"/>
        </w:rPr>
        <w:t xml:space="preserve"> </w:t>
      </w:r>
      <w:r>
        <w:rPr>
          <w:rFonts w:ascii="Book Antiqua" w:hAnsi="Book Antiqua" w:cs="Book Antiqua"/>
        </w:rPr>
        <w:t>for another 24 h. The glucose uptake rate and lactate production rate in all groups were</w:t>
      </w:r>
      <w:r>
        <w:rPr>
          <w:rFonts w:ascii="Book Antiqua" w:eastAsia="宋体" w:hAnsi="Book Antiqua" w:cs="Book Antiqua" w:hint="eastAsia"/>
          <w:lang w:eastAsia="zh-CN"/>
        </w:rPr>
        <w:t xml:space="preserve"> </w:t>
      </w:r>
      <w:r>
        <w:rPr>
          <w:rFonts w:ascii="Book Antiqua" w:hAnsi="Book Antiqua" w:cs="Book Antiqua"/>
        </w:rPr>
        <w:t xml:space="preserve">measured. </w:t>
      </w:r>
      <w:r>
        <w:rPr>
          <w:rFonts w:ascii="Book Antiqua" w:eastAsia="宋体" w:hAnsi="Book Antiqua" w:cs="Book Antiqua" w:hint="eastAsia"/>
          <w:vertAlign w:val="superscript"/>
          <w:lang w:eastAsia="zh-CN"/>
        </w:rPr>
        <w:t>a</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 xml:space="preserve">0.05; </w:t>
      </w:r>
      <w:r>
        <w:rPr>
          <w:rFonts w:ascii="Book Antiqua" w:eastAsia="宋体" w:hAnsi="Book Antiqua" w:cs="Book Antiqua" w:hint="eastAsia"/>
          <w:vertAlign w:val="superscript"/>
          <w:lang w:eastAsia="zh-CN"/>
        </w:rPr>
        <w:t>b</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 xml:space="preserve">0.01; </w:t>
      </w:r>
      <w:r>
        <w:rPr>
          <w:rFonts w:ascii="Book Antiqua" w:eastAsia="宋体" w:hAnsi="Book Antiqua" w:cs="Book Antiqua" w:hint="eastAsia"/>
          <w:vertAlign w:val="superscript"/>
          <w:lang w:eastAsia="zh-CN"/>
        </w:rPr>
        <w:t>c</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 xml:space="preserve">0.001; </w:t>
      </w:r>
      <w:r>
        <w:rPr>
          <w:rFonts w:ascii="Book Antiqua" w:eastAsia="宋体" w:hAnsi="Book Antiqua" w:cs="Book Antiqua" w:hint="eastAsia"/>
          <w:vertAlign w:val="superscript"/>
          <w:lang w:eastAsia="zh-CN"/>
        </w:rPr>
        <w:t>d</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0.0001.</w:t>
      </w:r>
      <w:r>
        <w:rPr>
          <w:rFonts w:ascii="Book Antiqua" w:eastAsia="宋体" w:hAnsi="Book Antiqua" w:cs="Book Antiqua" w:hint="eastAsia"/>
          <w:lang w:eastAsia="zh-CN"/>
        </w:rPr>
        <w:t xml:space="preserve"> </w:t>
      </w:r>
      <w:r>
        <w:rPr>
          <w:rFonts w:ascii="Book Antiqua" w:hAnsi="Book Antiqua" w:cs="Book Antiqua"/>
        </w:rPr>
        <w:t>Thior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hioridazine; Lap</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L</w:t>
      </w:r>
      <w:r>
        <w:rPr>
          <w:rFonts w:ascii="Book Antiqua" w:hAnsi="Book Antiqua" w:cs="Book Antiqua"/>
        </w:rPr>
        <w:t>apatinib.</w:t>
      </w:r>
    </w:p>
    <w:p w14:paraId="5D8F53F8" w14:textId="77777777" w:rsidR="00F67380" w:rsidRDefault="00F67380">
      <w:pPr>
        <w:adjustRightInd w:val="0"/>
        <w:snapToGrid w:val="0"/>
        <w:spacing w:line="360" w:lineRule="auto"/>
        <w:jc w:val="both"/>
        <w:rPr>
          <w:rFonts w:ascii="Book Antiqua" w:hAnsi="Book Antiqua" w:cs="Book Antiqua"/>
        </w:rPr>
      </w:pPr>
    </w:p>
    <w:p w14:paraId="5E954A1A" w14:textId="77777777" w:rsidR="00F67380" w:rsidRDefault="00F67380">
      <w:pPr>
        <w:adjustRightInd w:val="0"/>
        <w:snapToGrid w:val="0"/>
        <w:spacing w:line="360" w:lineRule="auto"/>
        <w:jc w:val="both"/>
        <w:rPr>
          <w:rFonts w:ascii="Book Antiqua" w:hAnsi="Book Antiqua" w:cs="Book Antiqua"/>
        </w:rPr>
      </w:pPr>
    </w:p>
    <w:p w14:paraId="2048AEB3" w14:textId="77777777" w:rsidR="00F67380" w:rsidRDefault="00000000">
      <w:pPr>
        <w:adjustRightInd w:val="0"/>
        <w:snapToGrid w:val="0"/>
        <w:spacing w:line="360" w:lineRule="auto"/>
        <w:jc w:val="both"/>
        <w:rPr>
          <w:rFonts w:ascii="Book Antiqua" w:hAnsi="Book Antiqua" w:cs="Book Antiqua"/>
        </w:rPr>
      </w:pPr>
      <w:r>
        <w:rPr>
          <w:noProof/>
        </w:rPr>
        <w:lastRenderedPageBreak/>
        <w:drawing>
          <wp:inline distT="0" distB="0" distL="114300" distR="114300" wp14:anchorId="3091862D" wp14:editId="59D53421">
            <wp:extent cx="5939790" cy="490347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939790" cy="4903470"/>
                    </a:xfrm>
                    <a:prstGeom prst="rect">
                      <a:avLst/>
                    </a:prstGeom>
                    <a:noFill/>
                    <a:ln>
                      <a:noFill/>
                    </a:ln>
                  </pic:spPr>
                </pic:pic>
              </a:graphicData>
            </a:graphic>
          </wp:inline>
        </w:drawing>
      </w:r>
    </w:p>
    <w:p w14:paraId="1F62C80B" w14:textId="77777777" w:rsidR="00F67380" w:rsidRDefault="00000000">
      <w:pPr>
        <w:adjustRightInd w:val="0"/>
        <w:snapToGrid w:val="0"/>
        <w:spacing w:line="360" w:lineRule="auto"/>
        <w:jc w:val="both"/>
        <w:rPr>
          <w:rFonts w:ascii="Book Antiqua" w:hAnsi="Book Antiqua" w:cs="Book Antiqua"/>
        </w:rPr>
      </w:pPr>
      <w:r>
        <w:rPr>
          <w:rFonts w:ascii="Book Antiqua" w:hAnsi="Book Antiqua" w:cs="Book Antiqua"/>
          <w:b/>
          <w:bCs/>
        </w:rPr>
        <w:t xml:space="preserve">Figure 5 The combination of thioridazine and lapatinib exhibits more pronounced antitumor activity than either alone in vitro against trastuzumab-resistant gastric cancercells. </w:t>
      </w:r>
      <w:r>
        <w:rPr>
          <w:rFonts w:ascii="Book Antiqua" w:hAnsi="Book Antiqua" w:cs="Book Antiqua"/>
        </w:rPr>
        <w:t xml:space="preserve">A-C: </w:t>
      </w:r>
      <w:r>
        <w:rPr>
          <w:rFonts w:ascii="Book Antiqua" w:eastAsia="宋体" w:hAnsi="Book Antiqua" w:cs="Book Antiqua" w:hint="eastAsia"/>
          <w:lang w:eastAsia="zh-CN"/>
        </w:rPr>
        <w:t>T</w:t>
      </w:r>
      <w:r>
        <w:rPr>
          <w:rFonts w:ascii="Book Antiqua" w:hAnsi="Book Antiqua" w:cs="Book Antiqua"/>
        </w:rPr>
        <w:t>o</w:t>
      </w:r>
      <w:r>
        <w:rPr>
          <w:rFonts w:ascii="Book Antiqua" w:eastAsia="宋体" w:hAnsi="Book Antiqua" w:cs="Book Antiqua" w:hint="eastAsia"/>
          <w:lang w:eastAsia="zh-CN"/>
        </w:rPr>
        <w:t xml:space="preserve"> </w:t>
      </w:r>
      <w:r>
        <w:rPr>
          <w:rFonts w:ascii="Book Antiqua" w:hAnsi="Book Antiqua" w:cs="Book Antiqua"/>
        </w:rPr>
        <w:t>HGC27-R, SGC7901-R, and NCI-N87-R cells were treated</w:t>
      </w:r>
      <w:r>
        <w:rPr>
          <w:rFonts w:ascii="Book Antiqua" w:eastAsia="宋体" w:hAnsi="Book Antiqua" w:cs="Book Antiqua" w:hint="eastAsia"/>
          <w:lang w:eastAsia="zh-CN"/>
        </w:rPr>
        <w:t xml:space="preserve"> </w:t>
      </w:r>
      <w:r>
        <w:rPr>
          <w:rFonts w:ascii="Book Antiqua" w:hAnsi="Book Antiqua" w:cs="Book Antiqua"/>
        </w:rPr>
        <w:t>with</w:t>
      </w:r>
      <w:r>
        <w:rPr>
          <w:rFonts w:ascii="Book Antiqua" w:eastAsia="宋体" w:hAnsi="Book Antiqua" w:cs="Book Antiqua" w:hint="eastAsia"/>
          <w:lang w:eastAsia="zh-CN"/>
        </w:rPr>
        <w:t xml:space="preserve"> </w:t>
      </w:r>
      <w:r>
        <w:rPr>
          <w:rFonts w:ascii="Book Antiqua" w:hAnsi="Book Antiqua" w:cs="Book Antiqua"/>
        </w:rPr>
        <w:t>trastuzumab (10 μg/mL) or thioridazine (5 μM) alone or in combination for 48 h. Proliferation activity was evaluated by cell counting kit-8</w:t>
      </w:r>
      <w:r>
        <w:rPr>
          <w:rFonts w:ascii="Book Antiqua" w:eastAsia="宋体" w:hAnsi="Book Antiqua" w:cs="Book Antiqua" w:hint="eastAsia"/>
          <w:lang w:eastAsia="zh-CN"/>
        </w:rPr>
        <w:t xml:space="preserve"> </w:t>
      </w:r>
      <w:r>
        <w:rPr>
          <w:rFonts w:ascii="Book Antiqua" w:hAnsi="Book Antiqua" w:cs="Book Antiqua"/>
        </w:rPr>
        <w:t>assays</w:t>
      </w:r>
      <w:r>
        <w:rPr>
          <w:rFonts w:ascii="Book Antiqua" w:eastAsia="宋体" w:hAnsi="Book Antiqua" w:cs="Book Antiqua" w:hint="eastAsia"/>
          <w:lang w:eastAsia="zh-CN"/>
        </w:rPr>
        <w:t>;</w:t>
      </w:r>
      <w:r>
        <w:rPr>
          <w:rFonts w:ascii="Book Antiqua" w:hAnsi="Book Antiqua" w:cs="Book Antiqua"/>
        </w:rPr>
        <w:t xml:space="preserve"> D-F: HGC27-R cells were treated with lapatinib (1 μM or 2 μM) in the presence or absence of thioridazine (5 μM) for 24 h, followed by an apoptosis assay. Similar experiments were performed and results were quantified in SGC7901-R cells. The experiments were repeated three times. </w:t>
      </w:r>
      <w:r>
        <w:rPr>
          <w:rFonts w:ascii="Book Antiqua" w:eastAsia="宋体" w:hAnsi="Book Antiqua" w:cs="Book Antiqua" w:hint="eastAsia"/>
          <w:vertAlign w:val="superscript"/>
          <w:lang w:eastAsia="zh-CN"/>
        </w:rPr>
        <w:t>b</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lang w:eastAsia="zh-CN"/>
        </w:rPr>
        <w:t xml:space="preserve"> </w:t>
      </w:r>
      <w:r>
        <w:rPr>
          <w:rFonts w:ascii="Book Antiqua" w:hAnsi="Book Antiqua" w:cs="Book Antiqua"/>
        </w:rPr>
        <w:t>&lt; 0.01.</w:t>
      </w:r>
      <w:r>
        <w:rPr>
          <w:rFonts w:ascii="Book Antiqua" w:eastAsia="宋体" w:hAnsi="Book Antiqua" w:cs="Book Antiqua" w:hint="eastAsia"/>
          <w:lang w:eastAsia="zh-CN"/>
        </w:rPr>
        <w:t xml:space="preserve"> </w:t>
      </w:r>
      <w:r>
        <w:rPr>
          <w:rFonts w:ascii="Book Antiqua" w:hAnsi="Book Antiqua" w:cs="Book Antiqua"/>
        </w:rPr>
        <w:t>Thior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hioridazine; Lap</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L</w:t>
      </w:r>
      <w:r>
        <w:rPr>
          <w:rFonts w:ascii="Book Antiqua" w:hAnsi="Book Antiqua" w:cs="Book Antiqua"/>
        </w:rPr>
        <w:t>apatinib.</w:t>
      </w:r>
    </w:p>
    <w:p w14:paraId="2BA11E9F" w14:textId="77777777" w:rsidR="00F67380" w:rsidRDefault="00F67380">
      <w:pPr>
        <w:adjustRightInd w:val="0"/>
        <w:snapToGrid w:val="0"/>
        <w:spacing w:line="360" w:lineRule="auto"/>
        <w:jc w:val="both"/>
        <w:rPr>
          <w:rFonts w:ascii="Book Antiqua" w:eastAsia="宋体" w:hAnsi="Book Antiqua" w:cs="Book Antiqua"/>
          <w:lang w:eastAsia="zh-CN"/>
        </w:rPr>
      </w:pPr>
    </w:p>
    <w:p w14:paraId="5F207E52" w14:textId="77777777" w:rsidR="00F67380" w:rsidRDefault="00F67380">
      <w:pPr>
        <w:adjustRightInd w:val="0"/>
        <w:snapToGrid w:val="0"/>
        <w:spacing w:line="360" w:lineRule="auto"/>
        <w:jc w:val="both"/>
        <w:rPr>
          <w:rFonts w:ascii="Book Antiqua" w:hAnsi="Book Antiqua" w:cs="Book Antiqua"/>
        </w:rPr>
      </w:pPr>
    </w:p>
    <w:p w14:paraId="7C9AF158" w14:textId="77777777" w:rsidR="00F67380" w:rsidRDefault="00000000">
      <w:pPr>
        <w:adjustRightInd w:val="0"/>
        <w:snapToGrid w:val="0"/>
        <w:spacing w:line="360" w:lineRule="auto"/>
        <w:jc w:val="both"/>
        <w:rPr>
          <w:rFonts w:ascii="Book Antiqua" w:hAnsi="Book Antiqua" w:cs="Book Antiqua"/>
        </w:rPr>
      </w:pPr>
      <w:r>
        <w:rPr>
          <w:noProof/>
        </w:rPr>
        <w:lastRenderedPageBreak/>
        <w:drawing>
          <wp:inline distT="0" distB="0" distL="114300" distR="114300" wp14:anchorId="633DB046" wp14:editId="50A068E9">
            <wp:extent cx="5939790" cy="3880485"/>
            <wp:effectExtent l="0" t="0" r="381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939790" cy="3880485"/>
                    </a:xfrm>
                    <a:prstGeom prst="rect">
                      <a:avLst/>
                    </a:prstGeom>
                    <a:noFill/>
                    <a:ln>
                      <a:noFill/>
                    </a:ln>
                  </pic:spPr>
                </pic:pic>
              </a:graphicData>
            </a:graphic>
          </wp:inline>
        </w:drawing>
      </w:r>
    </w:p>
    <w:p w14:paraId="5F29A9D7" w14:textId="77777777" w:rsidR="00F67380"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 xml:space="preserve">Figure 6 Coadministration of thioridazine and lapatinib demonstrates potent anticancer activity in mice harboring gastric cancer xenografts. </w:t>
      </w:r>
      <w:r>
        <w:rPr>
          <w:rFonts w:ascii="Book Antiqua" w:hAnsi="Book Antiqua" w:cs="Book Antiqua"/>
        </w:rPr>
        <w:t>A: SGC7901-R cells (1</w:t>
      </w:r>
      <w:r>
        <w:rPr>
          <w:rFonts w:ascii="Book Antiqua" w:eastAsia="宋体" w:hAnsi="Book Antiqua" w:cs="Book Antiqua" w:hint="eastAsia"/>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10</w:t>
      </w:r>
      <w:r>
        <w:rPr>
          <w:rFonts w:ascii="Book Antiqua" w:hAnsi="Book Antiqua" w:cs="Book Antiqua"/>
          <w:vertAlign w:val="superscript"/>
        </w:rPr>
        <w:t>6</w:t>
      </w:r>
      <w:r>
        <w:rPr>
          <w:rFonts w:ascii="Book Antiqua" w:hAnsi="Book Antiqua" w:cs="Book Antiqua"/>
        </w:rPr>
        <w:t>) were injected s.c. into the flanks of nude mice. Ten days post-implantation, the mice were randomized into four groups of five mice each. Then, the mice were treated by i.p. injection with phosphate-buffered saline, lapatinib (70 mg/kg), thioridazine (25 mg/kg), or lapatinib (70 mg/kg) plus thioridazine (25 mg/kg) for 14 d. Gross morphology of the final excised xenograft tumor masses</w:t>
      </w:r>
      <w:r>
        <w:rPr>
          <w:rFonts w:ascii="Book Antiqua" w:eastAsia="宋体" w:hAnsi="Book Antiqua" w:cs="Book Antiqua" w:hint="eastAsia"/>
          <w:lang w:eastAsia="zh-CN"/>
        </w:rPr>
        <w:t>;</w:t>
      </w:r>
      <w:r>
        <w:rPr>
          <w:rFonts w:ascii="Book Antiqua" w:hAnsi="Book Antiqua" w:cs="Book Antiqua"/>
        </w:rPr>
        <w:t xml:space="preserve"> B: Tumor volumes following treatments were recorded</w:t>
      </w:r>
      <w:r>
        <w:rPr>
          <w:rFonts w:ascii="Book Antiqua" w:eastAsia="宋体" w:hAnsi="Book Antiqua" w:cs="Book Antiqua" w:hint="eastAsia"/>
          <w:lang w:eastAsia="zh-CN"/>
        </w:rPr>
        <w:t>;</w:t>
      </w:r>
      <w:r>
        <w:rPr>
          <w:rFonts w:ascii="Book Antiqua" w:hAnsi="Book Antiqua" w:cs="Book Antiqua"/>
        </w:rPr>
        <w:t xml:space="preserve"> C: Wet tumor weights</w:t>
      </w:r>
      <w:r>
        <w:rPr>
          <w:rFonts w:ascii="Book Antiqua" w:eastAsia="宋体" w:hAnsi="Book Antiqua" w:cs="Book Antiqua" w:hint="eastAsia"/>
          <w:lang w:eastAsia="zh-CN"/>
        </w:rPr>
        <w:t>;</w:t>
      </w:r>
      <w:r>
        <w:rPr>
          <w:rFonts w:ascii="Book Antiqua" w:hAnsi="Book Antiqua" w:cs="Book Antiqua"/>
        </w:rPr>
        <w:t xml:space="preserve"> D:</w:t>
      </w:r>
      <w:r>
        <w:rPr>
          <w:rFonts w:ascii="Book Antiqua" w:eastAsia="宋体" w:hAnsi="Book Antiqua" w:cs="Book Antiqua" w:hint="eastAsia"/>
          <w:lang w:eastAsia="zh-CN"/>
        </w:rPr>
        <w:t xml:space="preserve"> </w:t>
      </w:r>
      <w:r>
        <w:rPr>
          <w:rFonts w:ascii="Book Antiqua" w:hAnsi="Book Antiqua" w:cs="Book Antiqua"/>
        </w:rPr>
        <w:t>Body weights of mice</w:t>
      </w:r>
      <w:r>
        <w:rPr>
          <w:rFonts w:ascii="Book Antiqua" w:eastAsia="宋体" w:hAnsi="Book Antiqua" w:cs="Book Antiqua" w:hint="eastAsia"/>
          <w:lang w:eastAsia="zh-CN"/>
        </w:rPr>
        <w:t>;</w:t>
      </w:r>
      <w:r>
        <w:rPr>
          <w:rFonts w:ascii="Book Antiqua" w:hAnsi="Book Antiqua" w:cs="Book Antiqua"/>
        </w:rPr>
        <w:t xml:space="preserve"> E: S-phase kinase associated protein 2 (Skp2) expression was evaluated by immunohistochemistry</w:t>
      </w:r>
      <w:r>
        <w:rPr>
          <w:rFonts w:ascii="Book Antiqua" w:eastAsia="宋体" w:hAnsi="Book Antiqua" w:cs="Book Antiqua" w:hint="eastAsia"/>
          <w:lang w:eastAsia="zh-CN"/>
        </w:rPr>
        <w:t xml:space="preserve"> </w:t>
      </w:r>
      <w:r>
        <w:rPr>
          <w:rFonts w:ascii="Book Antiqua" w:hAnsi="Book Antiqua" w:cs="Book Antiqua"/>
        </w:rPr>
        <w:t>in primary tumors (scale bar = 100 μm)</w:t>
      </w:r>
      <w:r>
        <w:rPr>
          <w:rFonts w:ascii="Book Antiqua" w:eastAsia="宋体" w:hAnsi="Book Antiqua" w:cs="Book Antiqua" w:hint="eastAsia"/>
          <w:lang w:eastAsia="zh-CN"/>
        </w:rPr>
        <w:t>;</w:t>
      </w:r>
      <w:r>
        <w:rPr>
          <w:rFonts w:ascii="Book Antiqua" w:hAnsi="Book Antiqua" w:cs="Book Antiqua"/>
        </w:rPr>
        <w:t xml:space="preserve"> F: The protein levels of Skp2, </w:t>
      </w:r>
      <w:r>
        <w:rPr>
          <w:rFonts w:ascii="Book Antiqua" w:hAnsi="Book Antiqua" w:cs="Book Antiqua" w:hint="eastAsia"/>
        </w:rPr>
        <w:t>protein kinase B</w:t>
      </w:r>
      <w:r>
        <w:rPr>
          <w:rFonts w:ascii="Book Antiqua" w:eastAsia="宋体" w:hAnsi="Book Antiqua" w:cs="Book Antiqua" w:hint="eastAsia"/>
          <w:lang w:eastAsia="zh-CN"/>
        </w:rPr>
        <w:t xml:space="preserve"> (</w:t>
      </w:r>
      <w:r>
        <w:rPr>
          <w:rFonts w:ascii="Book Antiqua" w:hAnsi="Book Antiqua" w:cs="Book Antiqua"/>
        </w:rPr>
        <w:t>Akt</w:t>
      </w:r>
      <w:r>
        <w:rPr>
          <w:rFonts w:ascii="Book Antiqua" w:eastAsia="宋体" w:hAnsi="Book Antiqua" w:cs="Book Antiqua" w:hint="eastAsia"/>
          <w:lang w:eastAsia="zh-CN"/>
        </w:rPr>
        <w:t>)</w:t>
      </w:r>
      <w:r>
        <w:rPr>
          <w:rFonts w:ascii="Book Antiqua" w:hAnsi="Book Antiqua" w:cs="Book Antiqua"/>
        </w:rPr>
        <w:t>, p-Akt, glucose transporter type 1,</w:t>
      </w:r>
      <w:r>
        <w:rPr>
          <w:rFonts w:ascii="Book Antiqua" w:eastAsia="宋体" w:hAnsi="Book Antiqua" w:cs="Book Antiqua" w:hint="eastAsia"/>
          <w:lang w:eastAsia="zh-CN"/>
        </w:rPr>
        <w:t xml:space="preserve"> </w:t>
      </w:r>
      <w:r>
        <w:rPr>
          <w:rFonts w:ascii="Book Antiqua" w:hAnsi="Book Antiqua" w:cs="Book Antiqua"/>
        </w:rPr>
        <w:t xml:space="preserve">and GAPDH in two primary tumors from each group were measured by </w:t>
      </w:r>
      <w:r>
        <w:rPr>
          <w:rFonts w:ascii="Book Antiqua" w:eastAsia="宋体" w:hAnsi="Book Antiqua" w:cs="Book Antiqua" w:hint="eastAsia"/>
          <w:lang w:eastAsia="zh-CN"/>
        </w:rPr>
        <w:t>w</w:t>
      </w:r>
      <w:r>
        <w:rPr>
          <w:rFonts w:ascii="Book Antiqua" w:hAnsi="Book Antiqua" w:cs="Book Antiqua"/>
        </w:rPr>
        <w:t xml:space="preserve">estern blotting. </w:t>
      </w:r>
      <w:r>
        <w:rPr>
          <w:rFonts w:ascii="Book Antiqua" w:eastAsia="宋体" w:hAnsi="Book Antiqua" w:cs="Book Antiqua" w:hint="eastAsia"/>
          <w:vertAlign w:val="superscript"/>
          <w:lang w:eastAsia="zh-CN"/>
        </w:rPr>
        <w:t>b</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 xml:space="preserve">0.01, </w:t>
      </w:r>
      <w:r>
        <w:rPr>
          <w:rFonts w:ascii="Book Antiqua" w:eastAsia="宋体" w:hAnsi="Book Antiqua" w:cs="Book Antiqua" w:hint="eastAsia"/>
          <w:vertAlign w:val="superscript"/>
          <w:lang w:eastAsia="zh-CN"/>
        </w:rPr>
        <w:t>d</w:t>
      </w:r>
      <w:r>
        <w:rPr>
          <w:rFonts w:ascii="Book Antiqua" w:eastAsia="宋体" w:hAnsi="Book Antiqua" w:cs="Book Antiqua" w:hint="eastAsia"/>
          <w:i/>
          <w:iCs/>
          <w:szCs w:val="20"/>
          <w:shd w:val="clear" w:color="auto" w:fill="FFFFFF"/>
          <w:lang w:eastAsia="zh-CN"/>
        </w:rPr>
        <w:t>P</w:t>
      </w:r>
      <w:r>
        <w:rPr>
          <w:rFonts w:ascii="Book Antiqua" w:eastAsia="宋体" w:hAnsi="Book Antiqua" w:cs="Book Antiqua" w:hint="eastAsia"/>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0.0001.</w:t>
      </w:r>
      <w:r>
        <w:rPr>
          <w:rFonts w:ascii="Book Antiqua" w:eastAsia="宋体" w:hAnsi="Book Antiqua" w:cs="Book Antiqua" w:hint="eastAsia"/>
          <w:lang w:eastAsia="zh-CN"/>
        </w:rPr>
        <w:t xml:space="preserve"> </w:t>
      </w:r>
      <w:r>
        <w:rPr>
          <w:rFonts w:ascii="Book Antiqua" w:hAnsi="Book Antiqua" w:cs="Book Antiqua"/>
        </w:rPr>
        <w:t>Thior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hioridazine; Lap</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L</w:t>
      </w:r>
      <w:r>
        <w:rPr>
          <w:rFonts w:ascii="Book Antiqua" w:hAnsi="Book Antiqua" w:cs="Book Antiqua"/>
        </w:rPr>
        <w:t>apatinib.</w:t>
      </w:r>
    </w:p>
    <w:sectPr w:rsidR="00F673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7256A" w14:textId="77777777" w:rsidR="009222DD" w:rsidRDefault="009222DD">
      <w:r>
        <w:separator/>
      </w:r>
    </w:p>
  </w:endnote>
  <w:endnote w:type="continuationSeparator" w:id="0">
    <w:p w14:paraId="7385C346" w14:textId="77777777" w:rsidR="009222DD" w:rsidRDefault="00922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192801"/>
    </w:sdtPr>
    <w:sdtContent>
      <w:sdt>
        <w:sdtPr>
          <w:id w:val="860082579"/>
        </w:sdtPr>
        <w:sdtContent>
          <w:p w14:paraId="770E20E4" w14:textId="77777777" w:rsidR="00F67380" w:rsidRDefault="00000000">
            <w:pPr>
              <w:pStyle w:val="a4"/>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33</w:t>
            </w:r>
            <w:r>
              <w:rPr>
                <w:rFonts w:ascii="Book Antiqua" w:hAnsi="Book Antiqua"/>
                <w:bCs/>
                <w:sz w:val="24"/>
                <w:szCs w:val="24"/>
              </w:rPr>
              <w:fldChar w:fldCharType="end"/>
            </w:r>
          </w:p>
        </w:sdtContent>
      </w:sdt>
    </w:sdtContent>
  </w:sdt>
  <w:p w14:paraId="7410CEED" w14:textId="77777777" w:rsidR="00F67380" w:rsidRDefault="00F6738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77B57" w14:textId="77777777" w:rsidR="009222DD" w:rsidRDefault="009222DD">
      <w:r>
        <w:separator/>
      </w:r>
    </w:p>
  </w:footnote>
  <w:footnote w:type="continuationSeparator" w:id="0">
    <w:p w14:paraId="2CE6886C" w14:textId="77777777" w:rsidR="009222DD" w:rsidRDefault="009222D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3164ED"/>
    <w:rsid w:val="005714C6"/>
    <w:rsid w:val="005A0FB6"/>
    <w:rsid w:val="006C7867"/>
    <w:rsid w:val="008555F9"/>
    <w:rsid w:val="00863F46"/>
    <w:rsid w:val="008E2A0E"/>
    <w:rsid w:val="009222DD"/>
    <w:rsid w:val="00A77B3E"/>
    <w:rsid w:val="00A835D2"/>
    <w:rsid w:val="00CA2A55"/>
    <w:rsid w:val="00ED5986"/>
    <w:rsid w:val="00EF5BA2"/>
    <w:rsid w:val="00F67380"/>
    <w:rsid w:val="00F9257D"/>
    <w:rsid w:val="01084EDF"/>
    <w:rsid w:val="012F2443"/>
    <w:rsid w:val="01396E1E"/>
    <w:rsid w:val="015B6D94"/>
    <w:rsid w:val="016025FC"/>
    <w:rsid w:val="01610BE3"/>
    <w:rsid w:val="01787946"/>
    <w:rsid w:val="01B666C0"/>
    <w:rsid w:val="01D803E5"/>
    <w:rsid w:val="01F82835"/>
    <w:rsid w:val="01FC18B1"/>
    <w:rsid w:val="020B07BA"/>
    <w:rsid w:val="024912E2"/>
    <w:rsid w:val="0250441F"/>
    <w:rsid w:val="02750329"/>
    <w:rsid w:val="027C3466"/>
    <w:rsid w:val="02A97FD3"/>
    <w:rsid w:val="02CD1F13"/>
    <w:rsid w:val="02CE17E8"/>
    <w:rsid w:val="02E01C47"/>
    <w:rsid w:val="030B2A3C"/>
    <w:rsid w:val="03351867"/>
    <w:rsid w:val="03B7227C"/>
    <w:rsid w:val="03EF1A15"/>
    <w:rsid w:val="045E36B4"/>
    <w:rsid w:val="04A942BA"/>
    <w:rsid w:val="04C11604"/>
    <w:rsid w:val="04D37589"/>
    <w:rsid w:val="04E43544"/>
    <w:rsid w:val="04E470A0"/>
    <w:rsid w:val="05143E2A"/>
    <w:rsid w:val="053B7608"/>
    <w:rsid w:val="054A0E25"/>
    <w:rsid w:val="057228FE"/>
    <w:rsid w:val="05760640"/>
    <w:rsid w:val="05AC22B4"/>
    <w:rsid w:val="06007F0A"/>
    <w:rsid w:val="061614DB"/>
    <w:rsid w:val="062067FE"/>
    <w:rsid w:val="065564A8"/>
    <w:rsid w:val="06581AF4"/>
    <w:rsid w:val="06606BFB"/>
    <w:rsid w:val="06A411DD"/>
    <w:rsid w:val="06A967F3"/>
    <w:rsid w:val="06BD229F"/>
    <w:rsid w:val="06DC2725"/>
    <w:rsid w:val="06FD5DD1"/>
    <w:rsid w:val="07097292"/>
    <w:rsid w:val="074B1659"/>
    <w:rsid w:val="07854B6B"/>
    <w:rsid w:val="079528D4"/>
    <w:rsid w:val="07C17B6D"/>
    <w:rsid w:val="082A74C0"/>
    <w:rsid w:val="08493DEA"/>
    <w:rsid w:val="086A1FB2"/>
    <w:rsid w:val="08730E67"/>
    <w:rsid w:val="08901A19"/>
    <w:rsid w:val="08A52FEB"/>
    <w:rsid w:val="08A70B11"/>
    <w:rsid w:val="08D31906"/>
    <w:rsid w:val="08ED6E6B"/>
    <w:rsid w:val="090221EB"/>
    <w:rsid w:val="092108C3"/>
    <w:rsid w:val="0935611C"/>
    <w:rsid w:val="09756E61"/>
    <w:rsid w:val="09AB2883"/>
    <w:rsid w:val="09AD2157"/>
    <w:rsid w:val="09F61D50"/>
    <w:rsid w:val="09FE6E56"/>
    <w:rsid w:val="0A12645E"/>
    <w:rsid w:val="0A1E3055"/>
    <w:rsid w:val="0AEC3153"/>
    <w:rsid w:val="0B09160F"/>
    <w:rsid w:val="0B1B7594"/>
    <w:rsid w:val="0B9C6927"/>
    <w:rsid w:val="0B9F0D16"/>
    <w:rsid w:val="0BC1319E"/>
    <w:rsid w:val="0BEA58E4"/>
    <w:rsid w:val="0C232BA4"/>
    <w:rsid w:val="0C692CAD"/>
    <w:rsid w:val="0C8C3F10"/>
    <w:rsid w:val="0C931AD8"/>
    <w:rsid w:val="0D1424ED"/>
    <w:rsid w:val="0D2C3CDA"/>
    <w:rsid w:val="0D3112F1"/>
    <w:rsid w:val="0D35493D"/>
    <w:rsid w:val="0D6F756B"/>
    <w:rsid w:val="0D7511DD"/>
    <w:rsid w:val="0D870F11"/>
    <w:rsid w:val="0DA10224"/>
    <w:rsid w:val="0E1A2C2A"/>
    <w:rsid w:val="0E5928AD"/>
    <w:rsid w:val="0E5B4877"/>
    <w:rsid w:val="0E8B67DF"/>
    <w:rsid w:val="0EBE4E06"/>
    <w:rsid w:val="0ECA37AB"/>
    <w:rsid w:val="0EDB59B8"/>
    <w:rsid w:val="0F276507"/>
    <w:rsid w:val="0F4470B9"/>
    <w:rsid w:val="0F4672D5"/>
    <w:rsid w:val="0F4E618A"/>
    <w:rsid w:val="0F7F6343"/>
    <w:rsid w:val="0F977B31"/>
    <w:rsid w:val="0FCB3337"/>
    <w:rsid w:val="0FE16FFE"/>
    <w:rsid w:val="102B2027"/>
    <w:rsid w:val="10B22749"/>
    <w:rsid w:val="10B95885"/>
    <w:rsid w:val="10D821AF"/>
    <w:rsid w:val="1134315E"/>
    <w:rsid w:val="113E0119"/>
    <w:rsid w:val="11586E4C"/>
    <w:rsid w:val="117B6FDE"/>
    <w:rsid w:val="11D10EB5"/>
    <w:rsid w:val="11E9219A"/>
    <w:rsid w:val="12282CC2"/>
    <w:rsid w:val="127C300E"/>
    <w:rsid w:val="128F4AEF"/>
    <w:rsid w:val="12CD386A"/>
    <w:rsid w:val="12E3308D"/>
    <w:rsid w:val="134F0723"/>
    <w:rsid w:val="13765CAF"/>
    <w:rsid w:val="138228A6"/>
    <w:rsid w:val="13A75E69"/>
    <w:rsid w:val="13B30CB1"/>
    <w:rsid w:val="13D11138"/>
    <w:rsid w:val="14411E19"/>
    <w:rsid w:val="145E0C1D"/>
    <w:rsid w:val="146D70B2"/>
    <w:rsid w:val="1546345F"/>
    <w:rsid w:val="158F3058"/>
    <w:rsid w:val="15A5462A"/>
    <w:rsid w:val="15AE1224"/>
    <w:rsid w:val="15FB249C"/>
    <w:rsid w:val="1602382A"/>
    <w:rsid w:val="161A0B74"/>
    <w:rsid w:val="16287735"/>
    <w:rsid w:val="16442095"/>
    <w:rsid w:val="16704C38"/>
    <w:rsid w:val="16BE59A3"/>
    <w:rsid w:val="16D74CB7"/>
    <w:rsid w:val="174A7237"/>
    <w:rsid w:val="178C3CF3"/>
    <w:rsid w:val="178F5592"/>
    <w:rsid w:val="179C380B"/>
    <w:rsid w:val="17FD24FB"/>
    <w:rsid w:val="181066D2"/>
    <w:rsid w:val="18506ACF"/>
    <w:rsid w:val="18A312F5"/>
    <w:rsid w:val="18A8690B"/>
    <w:rsid w:val="18ED07C2"/>
    <w:rsid w:val="18FD242D"/>
    <w:rsid w:val="193E726F"/>
    <w:rsid w:val="19597C05"/>
    <w:rsid w:val="19670574"/>
    <w:rsid w:val="196A1E12"/>
    <w:rsid w:val="198C33B8"/>
    <w:rsid w:val="198D243A"/>
    <w:rsid w:val="19A03A86"/>
    <w:rsid w:val="19D84FCE"/>
    <w:rsid w:val="19DB061A"/>
    <w:rsid w:val="1A204BC7"/>
    <w:rsid w:val="1A72564F"/>
    <w:rsid w:val="1A7F5449"/>
    <w:rsid w:val="1AB07CF9"/>
    <w:rsid w:val="1AB86BAD"/>
    <w:rsid w:val="1AF71484"/>
    <w:rsid w:val="1B087B35"/>
    <w:rsid w:val="1B09565B"/>
    <w:rsid w:val="1B4B7A22"/>
    <w:rsid w:val="1B9969DF"/>
    <w:rsid w:val="1BCF41AF"/>
    <w:rsid w:val="1C9B0535"/>
    <w:rsid w:val="1CC23D13"/>
    <w:rsid w:val="1D126A49"/>
    <w:rsid w:val="1D1327C1"/>
    <w:rsid w:val="1D214EDE"/>
    <w:rsid w:val="1D772D50"/>
    <w:rsid w:val="1D7E7C3A"/>
    <w:rsid w:val="1DB47B00"/>
    <w:rsid w:val="1DBA49EB"/>
    <w:rsid w:val="1DD106B2"/>
    <w:rsid w:val="1DEF6D8A"/>
    <w:rsid w:val="1E1E31CB"/>
    <w:rsid w:val="1E2307E2"/>
    <w:rsid w:val="1E3173A3"/>
    <w:rsid w:val="1E5906A7"/>
    <w:rsid w:val="1E9B0CC0"/>
    <w:rsid w:val="1EB458DE"/>
    <w:rsid w:val="1EDF0BAD"/>
    <w:rsid w:val="1EEB57A3"/>
    <w:rsid w:val="1EF04B68"/>
    <w:rsid w:val="1EF87EC0"/>
    <w:rsid w:val="1F022AED"/>
    <w:rsid w:val="1F0D1E03"/>
    <w:rsid w:val="1F833C2E"/>
    <w:rsid w:val="1FA83694"/>
    <w:rsid w:val="1FC3227C"/>
    <w:rsid w:val="1FDA1374"/>
    <w:rsid w:val="1FED554B"/>
    <w:rsid w:val="20032679"/>
    <w:rsid w:val="203171E6"/>
    <w:rsid w:val="20623843"/>
    <w:rsid w:val="20A7394C"/>
    <w:rsid w:val="20AF45AF"/>
    <w:rsid w:val="20D02EA3"/>
    <w:rsid w:val="20D12777"/>
    <w:rsid w:val="20EF0E4F"/>
    <w:rsid w:val="20F85F56"/>
    <w:rsid w:val="22743D02"/>
    <w:rsid w:val="22765384"/>
    <w:rsid w:val="22A46395"/>
    <w:rsid w:val="22CA56D0"/>
    <w:rsid w:val="22E42C35"/>
    <w:rsid w:val="22E91FFA"/>
    <w:rsid w:val="22FD5AA5"/>
    <w:rsid w:val="231B5003"/>
    <w:rsid w:val="23614286"/>
    <w:rsid w:val="2369313B"/>
    <w:rsid w:val="23847F75"/>
    <w:rsid w:val="23957A8C"/>
    <w:rsid w:val="24A501A2"/>
    <w:rsid w:val="24A563F4"/>
    <w:rsid w:val="251175E6"/>
    <w:rsid w:val="258B55EA"/>
    <w:rsid w:val="25C91C6F"/>
    <w:rsid w:val="25DA3E7C"/>
    <w:rsid w:val="261849A4"/>
    <w:rsid w:val="26213859"/>
    <w:rsid w:val="262E41C8"/>
    <w:rsid w:val="26571970"/>
    <w:rsid w:val="265956E8"/>
    <w:rsid w:val="26A85D28"/>
    <w:rsid w:val="26AD77E2"/>
    <w:rsid w:val="273B094A"/>
    <w:rsid w:val="273E668C"/>
    <w:rsid w:val="27565784"/>
    <w:rsid w:val="27CE17BE"/>
    <w:rsid w:val="27EC7E96"/>
    <w:rsid w:val="28074CD0"/>
    <w:rsid w:val="28433F5A"/>
    <w:rsid w:val="2899001E"/>
    <w:rsid w:val="28A075FF"/>
    <w:rsid w:val="28B704A4"/>
    <w:rsid w:val="28D252DE"/>
    <w:rsid w:val="29080D00"/>
    <w:rsid w:val="2967011C"/>
    <w:rsid w:val="29712D49"/>
    <w:rsid w:val="299407E6"/>
    <w:rsid w:val="29D46E34"/>
    <w:rsid w:val="29DE3ED0"/>
    <w:rsid w:val="29E928DF"/>
    <w:rsid w:val="2A241B69"/>
    <w:rsid w:val="2A3F69A3"/>
    <w:rsid w:val="2A7C19A5"/>
    <w:rsid w:val="2A9C5BA4"/>
    <w:rsid w:val="2AA9206F"/>
    <w:rsid w:val="2AB253C7"/>
    <w:rsid w:val="2ACA729C"/>
    <w:rsid w:val="2ACF7D27"/>
    <w:rsid w:val="2B876854"/>
    <w:rsid w:val="2B8C5C18"/>
    <w:rsid w:val="2C1874AC"/>
    <w:rsid w:val="2C1A76C8"/>
    <w:rsid w:val="2C372028"/>
    <w:rsid w:val="2C697D08"/>
    <w:rsid w:val="2D2B1461"/>
    <w:rsid w:val="2D872B3B"/>
    <w:rsid w:val="2DD5619C"/>
    <w:rsid w:val="2DF126AA"/>
    <w:rsid w:val="2E057F04"/>
    <w:rsid w:val="2E1D6FFC"/>
    <w:rsid w:val="2E33681F"/>
    <w:rsid w:val="2E7A444E"/>
    <w:rsid w:val="2E905A1F"/>
    <w:rsid w:val="2EE30245"/>
    <w:rsid w:val="2EF37D5C"/>
    <w:rsid w:val="2F120B2A"/>
    <w:rsid w:val="2F1531D0"/>
    <w:rsid w:val="2F4800A8"/>
    <w:rsid w:val="2F740E9D"/>
    <w:rsid w:val="2F8512FC"/>
    <w:rsid w:val="2FB4573E"/>
    <w:rsid w:val="2FC242FE"/>
    <w:rsid w:val="2FE34275"/>
    <w:rsid w:val="303F76FD"/>
    <w:rsid w:val="30A13F14"/>
    <w:rsid w:val="30D22E77"/>
    <w:rsid w:val="3115220C"/>
    <w:rsid w:val="31336B36"/>
    <w:rsid w:val="314E571E"/>
    <w:rsid w:val="31532D34"/>
    <w:rsid w:val="3186310A"/>
    <w:rsid w:val="319F5F79"/>
    <w:rsid w:val="31CD2AE7"/>
    <w:rsid w:val="323668DE"/>
    <w:rsid w:val="3267118D"/>
    <w:rsid w:val="32981347"/>
    <w:rsid w:val="32C043F9"/>
    <w:rsid w:val="330B38C7"/>
    <w:rsid w:val="334E5F30"/>
    <w:rsid w:val="33802506"/>
    <w:rsid w:val="338813BB"/>
    <w:rsid w:val="33A855B9"/>
    <w:rsid w:val="33AF4B9A"/>
    <w:rsid w:val="33BB156D"/>
    <w:rsid w:val="342F5CDB"/>
    <w:rsid w:val="343230D5"/>
    <w:rsid w:val="345C0152"/>
    <w:rsid w:val="34684D49"/>
    <w:rsid w:val="349F69BC"/>
    <w:rsid w:val="34AD15E3"/>
    <w:rsid w:val="34E940DB"/>
    <w:rsid w:val="350902DA"/>
    <w:rsid w:val="35610116"/>
    <w:rsid w:val="356279EA"/>
    <w:rsid w:val="357065AB"/>
    <w:rsid w:val="358636D8"/>
    <w:rsid w:val="36D84407"/>
    <w:rsid w:val="36E44B5A"/>
    <w:rsid w:val="36E7289C"/>
    <w:rsid w:val="371051BC"/>
    <w:rsid w:val="372431A9"/>
    <w:rsid w:val="37270EEB"/>
    <w:rsid w:val="37607F59"/>
    <w:rsid w:val="37667C65"/>
    <w:rsid w:val="37A95DA4"/>
    <w:rsid w:val="37E312B6"/>
    <w:rsid w:val="37FC5ED4"/>
    <w:rsid w:val="38003C16"/>
    <w:rsid w:val="383513E6"/>
    <w:rsid w:val="385775AE"/>
    <w:rsid w:val="3958538C"/>
    <w:rsid w:val="39B8407C"/>
    <w:rsid w:val="39C26CA9"/>
    <w:rsid w:val="39D72754"/>
    <w:rsid w:val="3A123281"/>
    <w:rsid w:val="3A4D6EBA"/>
    <w:rsid w:val="3A6F5083"/>
    <w:rsid w:val="3A706705"/>
    <w:rsid w:val="3AC0768C"/>
    <w:rsid w:val="3ADC3D9A"/>
    <w:rsid w:val="3AE35129"/>
    <w:rsid w:val="3AEF7F72"/>
    <w:rsid w:val="3B057795"/>
    <w:rsid w:val="3B5D312D"/>
    <w:rsid w:val="3B844B5E"/>
    <w:rsid w:val="3B9D5C20"/>
    <w:rsid w:val="3BB23479"/>
    <w:rsid w:val="3BCE402B"/>
    <w:rsid w:val="3C1063F2"/>
    <w:rsid w:val="3C237ED3"/>
    <w:rsid w:val="3C463BC1"/>
    <w:rsid w:val="3C8F5568"/>
    <w:rsid w:val="3CAB143F"/>
    <w:rsid w:val="3CED6733"/>
    <w:rsid w:val="3CF03B2D"/>
    <w:rsid w:val="3CFB0E50"/>
    <w:rsid w:val="3CFE449C"/>
    <w:rsid w:val="3D163594"/>
    <w:rsid w:val="3D233F03"/>
    <w:rsid w:val="3D361E88"/>
    <w:rsid w:val="3D762284"/>
    <w:rsid w:val="3D78424E"/>
    <w:rsid w:val="3DCE3E6E"/>
    <w:rsid w:val="3DD376D7"/>
    <w:rsid w:val="3E083824"/>
    <w:rsid w:val="3E285C74"/>
    <w:rsid w:val="3E3C1720"/>
    <w:rsid w:val="3E877EFE"/>
    <w:rsid w:val="3EE85404"/>
    <w:rsid w:val="3F1E7077"/>
    <w:rsid w:val="3F4F0FDF"/>
    <w:rsid w:val="3F5B5BD6"/>
    <w:rsid w:val="3F8E1B07"/>
    <w:rsid w:val="3F8F587F"/>
    <w:rsid w:val="3F942E96"/>
    <w:rsid w:val="3FC27A03"/>
    <w:rsid w:val="40175FA1"/>
    <w:rsid w:val="403B0335"/>
    <w:rsid w:val="40464190"/>
    <w:rsid w:val="40A610D2"/>
    <w:rsid w:val="40C672BD"/>
    <w:rsid w:val="40CD2B03"/>
    <w:rsid w:val="41362456"/>
    <w:rsid w:val="416D399E"/>
    <w:rsid w:val="419D0727"/>
    <w:rsid w:val="41C21F3C"/>
    <w:rsid w:val="41D81760"/>
    <w:rsid w:val="41EE0F83"/>
    <w:rsid w:val="42B0448A"/>
    <w:rsid w:val="42C27D1A"/>
    <w:rsid w:val="42C615B8"/>
    <w:rsid w:val="430F7403"/>
    <w:rsid w:val="435766B4"/>
    <w:rsid w:val="435B7529"/>
    <w:rsid w:val="43813731"/>
    <w:rsid w:val="43943464"/>
    <w:rsid w:val="43A062AD"/>
    <w:rsid w:val="440A1978"/>
    <w:rsid w:val="443469F5"/>
    <w:rsid w:val="446B0669"/>
    <w:rsid w:val="44957494"/>
    <w:rsid w:val="44983428"/>
    <w:rsid w:val="4513485D"/>
    <w:rsid w:val="451A208F"/>
    <w:rsid w:val="455235D7"/>
    <w:rsid w:val="456B4699"/>
    <w:rsid w:val="459B6D2C"/>
    <w:rsid w:val="459E681C"/>
    <w:rsid w:val="45C75D73"/>
    <w:rsid w:val="45DE30BD"/>
    <w:rsid w:val="45E32481"/>
    <w:rsid w:val="45F60406"/>
    <w:rsid w:val="46244F73"/>
    <w:rsid w:val="465A0995"/>
    <w:rsid w:val="467632F5"/>
    <w:rsid w:val="46A77952"/>
    <w:rsid w:val="46D70238"/>
    <w:rsid w:val="46DC3AA0"/>
    <w:rsid w:val="46E841F3"/>
    <w:rsid w:val="46EB5A91"/>
    <w:rsid w:val="46FC1A4C"/>
    <w:rsid w:val="47017063"/>
    <w:rsid w:val="473F7B8B"/>
    <w:rsid w:val="477535AD"/>
    <w:rsid w:val="478F0B12"/>
    <w:rsid w:val="47FE7A46"/>
    <w:rsid w:val="481334F1"/>
    <w:rsid w:val="48223734"/>
    <w:rsid w:val="482C6361"/>
    <w:rsid w:val="48657AC5"/>
    <w:rsid w:val="48A04659"/>
    <w:rsid w:val="48A71E8C"/>
    <w:rsid w:val="48EB1D78"/>
    <w:rsid w:val="48EB7FCA"/>
    <w:rsid w:val="491C12E5"/>
    <w:rsid w:val="49335773"/>
    <w:rsid w:val="49470F79"/>
    <w:rsid w:val="49583186"/>
    <w:rsid w:val="496164DE"/>
    <w:rsid w:val="49830203"/>
    <w:rsid w:val="49D00F6E"/>
    <w:rsid w:val="49E35145"/>
    <w:rsid w:val="49F92273"/>
    <w:rsid w:val="4A4756D4"/>
    <w:rsid w:val="4A834233"/>
    <w:rsid w:val="4AA96FA0"/>
    <w:rsid w:val="4B0610EB"/>
    <w:rsid w:val="4B887D52"/>
    <w:rsid w:val="4B9B709A"/>
    <w:rsid w:val="4BA12BC2"/>
    <w:rsid w:val="4BEF1B80"/>
    <w:rsid w:val="4BFF5B3B"/>
    <w:rsid w:val="4C207F8B"/>
    <w:rsid w:val="4C417F01"/>
    <w:rsid w:val="4C7107E7"/>
    <w:rsid w:val="4CE27936"/>
    <w:rsid w:val="4D453A21"/>
    <w:rsid w:val="4D7D31BB"/>
    <w:rsid w:val="4D88228C"/>
    <w:rsid w:val="4D9752A9"/>
    <w:rsid w:val="4D9D560B"/>
    <w:rsid w:val="4E3917D8"/>
    <w:rsid w:val="4E881E17"/>
    <w:rsid w:val="4EB946C7"/>
    <w:rsid w:val="4EE334F2"/>
    <w:rsid w:val="4EEC684A"/>
    <w:rsid w:val="4F1D07B2"/>
    <w:rsid w:val="4F3B1580"/>
    <w:rsid w:val="4F440434"/>
    <w:rsid w:val="4F4641AC"/>
    <w:rsid w:val="4F5F0DCA"/>
    <w:rsid w:val="4F8B7E11"/>
    <w:rsid w:val="4FF754A7"/>
    <w:rsid w:val="50131BB5"/>
    <w:rsid w:val="503C110B"/>
    <w:rsid w:val="504A12BE"/>
    <w:rsid w:val="50C64E79"/>
    <w:rsid w:val="50D43A3A"/>
    <w:rsid w:val="50DE21C3"/>
    <w:rsid w:val="50E35A2B"/>
    <w:rsid w:val="50EC0D83"/>
    <w:rsid w:val="5220523B"/>
    <w:rsid w:val="52734B8D"/>
    <w:rsid w:val="52754DA9"/>
    <w:rsid w:val="5290573F"/>
    <w:rsid w:val="5295167A"/>
    <w:rsid w:val="52C5363A"/>
    <w:rsid w:val="52F21F55"/>
    <w:rsid w:val="52F97788"/>
    <w:rsid w:val="53057EDB"/>
    <w:rsid w:val="5334431C"/>
    <w:rsid w:val="53670B95"/>
    <w:rsid w:val="538232D9"/>
    <w:rsid w:val="53876B42"/>
    <w:rsid w:val="53982AFD"/>
    <w:rsid w:val="539C2D37"/>
    <w:rsid w:val="53E421E6"/>
    <w:rsid w:val="54210D44"/>
    <w:rsid w:val="54745318"/>
    <w:rsid w:val="54EC75A4"/>
    <w:rsid w:val="54FB77E7"/>
    <w:rsid w:val="5511700B"/>
    <w:rsid w:val="55410F72"/>
    <w:rsid w:val="554533AB"/>
    <w:rsid w:val="55A439DB"/>
    <w:rsid w:val="55D944B8"/>
    <w:rsid w:val="55EF09CE"/>
    <w:rsid w:val="55F01EC6"/>
    <w:rsid w:val="563C1E65"/>
    <w:rsid w:val="56876E58"/>
    <w:rsid w:val="56C54297"/>
    <w:rsid w:val="56DA342C"/>
    <w:rsid w:val="56F41583"/>
    <w:rsid w:val="57454D4A"/>
    <w:rsid w:val="574A2360"/>
    <w:rsid w:val="574D3BFE"/>
    <w:rsid w:val="57856050"/>
    <w:rsid w:val="57C06AC6"/>
    <w:rsid w:val="57D77F1E"/>
    <w:rsid w:val="580A7D41"/>
    <w:rsid w:val="580C5867"/>
    <w:rsid w:val="58276B45"/>
    <w:rsid w:val="58577DBC"/>
    <w:rsid w:val="585D4315"/>
    <w:rsid w:val="587A0A23"/>
    <w:rsid w:val="58935F89"/>
    <w:rsid w:val="589715D5"/>
    <w:rsid w:val="58B02697"/>
    <w:rsid w:val="5900361E"/>
    <w:rsid w:val="592866D1"/>
    <w:rsid w:val="592D018B"/>
    <w:rsid w:val="59305585"/>
    <w:rsid w:val="5939268C"/>
    <w:rsid w:val="594352B9"/>
    <w:rsid w:val="596C2A61"/>
    <w:rsid w:val="596D0588"/>
    <w:rsid w:val="59DE358E"/>
    <w:rsid w:val="59FE7432"/>
    <w:rsid w:val="5A225816"/>
    <w:rsid w:val="5A6C4CE3"/>
    <w:rsid w:val="5A706581"/>
    <w:rsid w:val="5A987886"/>
    <w:rsid w:val="5B0E7B48"/>
    <w:rsid w:val="5B5C08B4"/>
    <w:rsid w:val="5B8878FB"/>
    <w:rsid w:val="5BE33D5D"/>
    <w:rsid w:val="5BE508A9"/>
    <w:rsid w:val="5BFE2871"/>
    <w:rsid w:val="5CBF559E"/>
    <w:rsid w:val="5D535CE6"/>
    <w:rsid w:val="5DA12EF6"/>
    <w:rsid w:val="5DB04EE7"/>
    <w:rsid w:val="5DC015CE"/>
    <w:rsid w:val="5DC6470A"/>
    <w:rsid w:val="5DDE7CA6"/>
    <w:rsid w:val="5E0B036F"/>
    <w:rsid w:val="5E1B4A56"/>
    <w:rsid w:val="5E1B6804"/>
    <w:rsid w:val="5EB76E76"/>
    <w:rsid w:val="5EFA466C"/>
    <w:rsid w:val="5F1514A5"/>
    <w:rsid w:val="5F8D3732"/>
    <w:rsid w:val="5FBB029F"/>
    <w:rsid w:val="5FBC5DC5"/>
    <w:rsid w:val="5FCA669A"/>
    <w:rsid w:val="5FF4555F"/>
    <w:rsid w:val="5FF53085"/>
    <w:rsid w:val="5FF732A1"/>
    <w:rsid w:val="6028345A"/>
    <w:rsid w:val="603B318E"/>
    <w:rsid w:val="60C70EC5"/>
    <w:rsid w:val="60F375C4"/>
    <w:rsid w:val="61453B98"/>
    <w:rsid w:val="614B5652"/>
    <w:rsid w:val="61734BA9"/>
    <w:rsid w:val="61776447"/>
    <w:rsid w:val="61994610"/>
    <w:rsid w:val="61A66D2D"/>
    <w:rsid w:val="61B41449"/>
    <w:rsid w:val="61FA2BD4"/>
    <w:rsid w:val="620C3034"/>
    <w:rsid w:val="624D53FA"/>
    <w:rsid w:val="62832BCA"/>
    <w:rsid w:val="62E713AB"/>
    <w:rsid w:val="62EE44E7"/>
    <w:rsid w:val="6311467A"/>
    <w:rsid w:val="6315416A"/>
    <w:rsid w:val="63387E58"/>
    <w:rsid w:val="634265E1"/>
    <w:rsid w:val="63A454EE"/>
    <w:rsid w:val="63AE1EC8"/>
    <w:rsid w:val="641B57B0"/>
    <w:rsid w:val="645667E8"/>
    <w:rsid w:val="646F1658"/>
    <w:rsid w:val="64AD2180"/>
    <w:rsid w:val="64F733FB"/>
    <w:rsid w:val="650C50F9"/>
    <w:rsid w:val="65670581"/>
    <w:rsid w:val="65FE7137"/>
    <w:rsid w:val="662D1609"/>
    <w:rsid w:val="663A3EE7"/>
    <w:rsid w:val="66884C53"/>
    <w:rsid w:val="66925AD1"/>
    <w:rsid w:val="6692787F"/>
    <w:rsid w:val="66D47E98"/>
    <w:rsid w:val="66DE2AC5"/>
    <w:rsid w:val="66F61BBC"/>
    <w:rsid w:val="66F83B86"/>
    <w:rsid w:val="672229B1"/>
    <w:rsid w:val="679715F1"/>
    <w:rsid w:val="67B20BAC"/>
    <w:rsid w:val="67B51A77"/>
    <w:rsid w:val="67C47F0C"/>
    <w:rsid w:val="67D619EE"/>
    <w:rsid w:val="68190258"/>
    <w:rsid w:val="68354966"/>
    <w:rsid w:val="683C3F47"/>
    <w:rsid w:val="685079F2"/>
    <w:rsid w:val="688A4CB2"/>
    <w:rsid w:val="68AF64C7"/>
    <w:rsid w:val="68BC0BE4"/>
    <w:rsid w:val="68ED3493"/>
    <w:rsid w:val="68EF2D67"/>
    <w:rsid w:val="69085BD7"/>
    <w:rsid w:val="690A5DF3"/>
    <w:rsid w:val="691E189E"/>
    <w:rsid w:val="693C3AD3"/>
    <w:rsid w:val="6942558D"/>
    <w:rsid w:val="69583BF5"/>
    <w:rsid w:val="69594684"/>
    <w:rsid w:val="696E6382"/>
    <w:rsid w:val="69855479"/>
    <w:rsid w:val="69913E1E"/>
    <w:rsid w:val="6994390F"/>
    <w:rsid w:val="69AF24F6"/>
    <w:rsid w:val="6A050368"/>
    <w:rsid w:val="6A184540"/>
    <w:rsid w:val="6A1C4030"/>
    <w:rsid w:val="6A516D7C"/>
    <w:rsid w:val="6A694D9B"/>
    <w:rsid w:val="6A8F4802"/>
    <w:rsid w:val="6AE21764"/>
    <w:rsid w:val="6AEA1A38"/>
    <w:rsid w:val="6AF91C7B"/>
    <w:rsid w:val="6B1765A5"/>
    <w:rsid w:val="6B2D7B77"/>
    <w:rsid w:val="6B39651C"/>
    <w:rsid w:val="6B621F16"/>
    <w:rsid w:val="6BB64010"/>
    <w:rsid w:val="6BCB7ABB"/>
    <w:rsid w:val="6BD44496"/>
    <w:rsid w:val="6C027255"/>
    <w:rsid w:val="6C755C79"/>
    <w:rsid w:val="6C8D2FC3"/>
    <w:rsid w:val="6C9F4AA4"/>
    <w:rsid w:val="6CF070AE"/>
    <w:rsid w:val="6CFC3CA5"/>
    <w:rsid w:val="6D064B23"/>
    <w:rsid w:val="6D2A25C0"/>
    <w:rsid w:val="6D5835D1"/>
    <w:rsid w:val="6DDA2238"/>
    <w:rsid w:val="6DF66946"/>
    <w:rsid w:val="6E1A6AD8"/>
    <w:rsid w:val="6E3A4A84"/>
    <w:rsid w:val="6EA57E47"/>
    <w:rsid w:val="6EBA7973"/>
    <w:rsid w:val="6EF72976"/>
    <w:rsid w:val="6F375468"/>
    <w:rsid w:val="6FAA5C3A"/>
    <w:rsid w:val="6FB70357"/>
    <w:rsid w:val="6FC82564"/>
    <w:rsid w:val="6FDD600F"/>
    <w:rsid w:val="6FE27182"/>
    <w:rsid w:val="6FFE7D34"/>
    <w:rsid w:val="70422316"/>
    <w:rsid w:val="704F058F"/>
    <w:rsid w:val="706C4C6E"/>
    <w:rsid w:val="707F2C23"/>
    <w:rsid w:val="70912956"/>
    <w:rsid w:val="70B5586B"/>
    <w:rsid w:val="70D6480D"/>
    <w:rsid w:val="711A779F"/>
    <w:rsid w:val="71551BD5"/>
    <w:rsid w:val="718A5D23"/>
    <w:rsid w:val="71FE7A8B"/>
    <w:rsid w:val="72001B41"/>
    <w:rsid w:val="72141A90"/>
    <w:rsid w:val="722F2426"/>
    <w:rsid w:val="72936E59"/>
    <w:rsid w:val="729624A5"/>
    <w:rsid w:val="72A51015"/>
    <w:rsid w:val="72CE1C3F"/>
    <w:rsid w:val="72D059B7"/>
    <w:rsid w:val="73610D05"/>
    <w:rsid w:val="73697BBA"/>
    <w:rsid w:val="73771891"/>
    <w:rsid w:val="73A82490"/>
    <w:rsid w:val="73BA21C4"/>
    <w:rsid w:val="73D02B91"/>
    <w:rsid w:val="73D2575F"/>
    <w:rsid w:val="74177616"/>
    <w:rsid w:val="74475895"/>
    <w:rsid w:val="74A25132"/>
    <w:rsid w:val="74A72748"/>
    <w:rsid w:val="74CC6652"/>
    <w:rsid w:val="74E05C5A"/>
    <w:rsid w:val="74F6547D"/>
    <w:rsid w:val="75271ADB"/>
    <w:rsid w:val="754B7577"/>
    <w:rsid w:val="7561323F"/>
    <w:rsid w:val="757A4300"/>
    <w:rsid w:val="757A7E5C"/>
    <w:rsid w:val="75BF3AC1"/>
    <w:rsid w:val="75F0011F"/>
    <w:rsid w:val="762027B2"/>
    <w:rsid w:val="762A53DF"/>
    <w:rsid w:val="76820AEE"/>
    <w:rsid w:val="76911902"/>
    <w:rsid w:val="76A827A7"/>
    <w:rsid w:val="76B178AE"/>
    <w:rsid w:val="76E732D0"/>
    <w:rsid w:val="77D221D2"/>
    <w:rsid w:val="77E37F3B"/>
    <w:rsid w:val="780305DD"/>
    <w:rsid w:val="789254BD"/>
    <w:rsid w:val="78E026CC"/>
    <w:rsid w:val="79102FB2"/>
    <w:rsid w:val="7919798C"/>
    <w:rsid w:val="79892D64"/>
    <w:rsid w:val="79955265"/>
    <w:rsid w:val="79BF0534"/>
    <w:rsid w:val="7A3902E6"/>
    <w:rsid w:val="7A5275FA"/>
    <w:rsid w:val="7A613399"/>
    <w:rsid w:val="7A9E639B"/>
    <w:rsid w:val="7ABE07EB"/>
    <w:rsid w:val="7AD63D87"/>
    <w:rsid w:val="7B533629"/>
    <w:rsid w:val="7B871525"/>
    <w:rsid w:val="7BDE7397"/>
    <w:rsid w:val="7BFC15CB"/>
    <w:rsid w:val="7C43544C"/>
    <w:rsid w:val="7CE4330E"/>
    <w:rsid w:val="7D020E63"/>
    <w:rsid w:val="7DBD122E"/>
    <w:rsid w:val="7DCE51E9"/>
    <w:rsid w:val="7DD24CD9"/>
    <w:rsid w:val="7DDF2F52"/>
    <w:rsid w:val="7DFB58B2"/>
    <w:rsid w:val="7DFF1847"/>
    <w:rsid w:val="7E33329E"/>
    <w:rsid w:val="7E374B3D"/>
    <w:rsid w:val="7E431733"/>
    <w:rsid w:val="7E6873EC"/>
    <w:rsid w:val="7EC16AFC"/>
    <w:rsid w:val="7EE822DB"/>
    <w:rsid w:val="7EEA1BAF"/>
    <w:rsid w:val="7EF42A2E"/>
    <w:rsid w:val="7EFB200E"/>
    <w:rsid w:val="7F45772D"/>
    <w:rsid w:val="7F645E05"/>
    <w:rsid w:val="7F8C2C66"/>
    <w:rsid w:val="7FA067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F8C183"/>
  <w15:docId w15:val="{1452F32C-F57F-4F8C-8AD7-4F2478744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character" w:styleId="a8">
    <w:name w:val="Strong"/>
    <w:basedOn w:val="a0"/>
    <w:qFormat/>
    <w:rPr>
      <w:b/>
    </w:rPr>
  </w:style>
  <w:style w:type="character" w:styleId="a9">
    <w:name w:val="Hyperlink"/>
    <w:basedOn w:val="a0"/>
    <w:qFormat/>
    <w:rPr>
      <w:color w:val="0000FF"/>
      <w:u w:val="single"/>
    </w:rPr>
  </w:style>
  <w:style w:type="character" w:customStyle="1" w:styleId="10">
    <w:name w:val="10"/>
    <w:basedOn w:val="a0"/>
    <w:qFormat/>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styleId="aa">
    <w:name w:val="Revision"/>
    <w:hidden/>
    <w:uiPriority w:val="99"/>
    <w:unhideWhenUsed/>
    <w:rsid w:val="006C7867"/>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36454580" TargetMode="Externa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www.so.com/Link?m=wEws4FUvd9Nf9d5LScy5rtBMJHKAsQVYquqDDRrWGfO7d4diNQT2hzOBNygzKKNbDoeCbtSazViybgwnYbbgtE8mncxGU1jBgTbOMOkvzYAWFE0te8qZDZA8XuSxhgUrjfalGd+xJB2yLvQFMlOQPuEmPPidGlMvGgLkY95Lsav24DB0F7%20L0U+yFvIaB0XBz7BQDhJJJxohGPa5%20LqBUzMHiXc+JnDsiDzsyoS+Y+YpsnF/fI3a02RnLgK/oyZVzfFG2Z/107bcMI="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doi.org/10.1200/jco.2015.62.6598"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doi.org/10.1158/0008-5472.SABCS-09-61"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8648</Words>
  <Characters>49295</Characters>
  <Application>Microsoft Office Word</Application>
  <DocSecurity>0</DocSecurity>
  <Lines>410</Lines>
  <Paragraphs>115</Paragraphs>
  <ScaleCrop>false</ScaleCrop>
  <Company>BPG</Company>
  <LinksUpToDate>false</LinksUpToDate>
  <CharactersWithSpaces>57828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Jin-Lei Wang</cp:lastModifiedBy>
  <cp:revision>4</cp:revision>
  <dcterms:created xsi:type="dcterms:W3CDTF">2023-11-09T07:58:00Z</dcterms:created>
  <dcterms:modified xsi:type="dcterms:W3CDTF">2023-11-17T08:50:00Z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828E2E25E3AB476C8020D78AA14E5018_12</vt:lpwstr>
  </property>
</Properties>
</file>