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2AE9"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rPr>
        <w:t xml:space="preserve">Name of Journal: </w:t>
      </w:r>
      <w:r w:rsidRPr="00B51896">
        <w:rPr>
          <w:rFonts w:ascii="Book Antiqua" w:eastAsia="Book Antiqua" w:hAnsi="Book Antiqua" w:cs="Book Antiqua"/>
          <w:i/>
        </w:rPr>
        <w:t>World Journal of Gastrointestinal Surgery</w:t>
      </w:r>
    </w:p>
    <w:p w14:paraId="6F10FFA8"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rPr>
        <w:t xml:space="preserve">Manuscript NO: </w:t>
      </w:r>
      <w:r w:rsidRPr="00B51896">
        <w:rPr>
          <w:rFonts w:ascii="Book Antiqua" w:eastAsia="Book Antiqua" w:hAnsi="Book Antiqua" w:cs="Book Antiqua"/>
        </w:rPr>
        <w:t>87407</w:t>
      </w:r>
    </w:p>
    <w:p w14:paraId="7A2CD27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rPr>
        <w:t xml:space="preserve">Manuscript Type: </w:t>
      </w:r>
      <w:r w:rsidRPr="00B51896">
        <w:rPr>
          <w:rFonts w:ascii="Book Antiqua" w:eastAsia="Book Antiqua" w:hAnsi="Book Antiqua" w:cs="Book Antiqua"/>
        </w:rPr>
        <w:t>ORIGINAL ARTICLE</w:t>
      </w:r>
    </w:p>
    <w:p w14:paraId="24939BAA" w14:textId="77777777" w:rsidR="00D60238" w:rsidRPr="00B51896" w:rsidRDefault="00D60238" w:rsidP="00EC0DF5">
      <w:pPr>
        <w:spacing w:line="360" w:lineRule="auto"/>
        <w:jc w:val="both"/>
        <w:rPr>
          <w:rFonts w:ascii="Book Antiqua" w:hAnsi="Book Antiqua"/>
        </w:rPr>
      </w:pPr>
    </w:p>
    <w:p w14:paraId="4DC7A0A6"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rPr>
        <w:t>Retrospective Study</w:t>
      </w:r>
    </w:p>
    <w:p w14:paraId="7E6ADC9D"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color w:val="000000"/>
        </w:rPr>
        <w:t>Hepatic venous pressure gradient: Inaccurately estimates portal venous pressure gradient in alcoholic cirrhosis and portal hypertension</w:t>
      </w:r>
    </w:p>
    <w:p w14:paraId="649E6AD8" w14:textId="77777777" w:rsidR="00D60238" w:rsidRPr="00B51896" w:rsidRDefault="00D60238" w:rsidP="00EC0DF5">
      <w:pPr>
        <w:spacing w:line="360" w:lineRule="auto"/>
        <w:jc w:val="both"/>
        <w:rPr>
          <w:rFonts w:ascii="Book Antiqua" w:hAnsi="Book Antiqua"/>
        </w:rPr>
      </w:pPr>
    </w:p>
    <w:p w14:paraId="2C75CB65"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 xml:space="preserve">Zhang D </w:t>
      </w:r>
      <w:r w:rsidRPr="00B51896">
        <w:rPr>
          <w:rFonts w:ascii="Book Antiqua" w:eastAsia="Book Antiqua" w:hAnsi="Book Antiqua" w:cs="Book Antiqua"/>
          <w:i/>
          <w:iCs/>
          <w:color w:val="000000"/>
        </w:rPr>
        <w:t xml:space="preserve">et al. </w:t>
      </w:r>
      <w:r w:rsidRPr="00B51896">
        <w:rPr>
          <w:rFonts w:ascii="Book Antiqua" w:eastAsia="Book Antiqua" w:hAnsi="Book Antiqua" w:cs="Book Antiqua"/>
          <w:color w:val="000000"/>
        </w:rPr>
        <w:t>Correlation between HVPG and PPG</w:t>
      </w:r>
    </w:p>
    <w:p w14:paraId="3E089CE3" w14:textId="77777777" w:rsidR="00D60238" w:rsidRPr="00B51896" w:rsidRDefault="00D60238" w:rsidP="00EC0DF5">
      <w:pPr>
        <w:spacing w:line="360" w:lineRule="auto"/>
        <w:jc w:val="both"/>
        <w:rPr>
          <w:rFonts w:ascii="Book Antiqua" w:hAnsi="Book Antiqua"/>
        </w:rPr>
      </w:pPr>
    </w:p>
    <w:p w14:paraId="6B7776F8"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Dan Zhang, Tao Wang, Zhen-Dong Yue, Lei Wang, Zhen-Hua Fan, Yi-Fan Wu, Fu-Quan Liu</w:t>
      </w:r>
    </w:p>
    <w:p w14:paraId="611C055F" w14:textId="77777777" w:rsidR="00D60238" w:rsidRPr="00B51896" w:rsidRDefault="00D60238" w:rsidP="00EC0DF5">
      <w:pPr>
        <w:spacing w:line="360" w:lineRule="auto"/>
        <w:jc w:val="both"/>
        <w:rPr>
          <w:rFonts w:ascii="Book Antiqua" w:hAnsi="Book Antiqua"/>
        </w:rPr>
      </w:pPr>
    </w:p>
    <w:p w14:paraId="0B07025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color w:val="000000"/>
        </w:rPr>
        <w:t xml:space="preserve">Dan Zhang, Zhen-Dong Yue, Lei Wang, Zhen-Hua Fan, Yi-Fan Wu, Fu-Quan Liu, </w:t>
      </w:r>
      <w:r w:rsidRPr="00B51896">
        <w:rPr>
          <w:rFonts w:ascii="Book Antiqua" w:eastAsia="Book Antiqua" w:hAnsi="Book Antiqua" w:cs="Book Antiqua"/>
          <w:color w:val="000000"/>
        </w:rPr>
        <w:t>Department of Interventional Therapy, Beijing Shijitan Hospital, Capital Medical University, Beijing 100038, China</w:t>
      </w:r>
    </w:p>
    <w:p w14:paraId="26F10AD0" w14:textId="77777777" w:rsidR="00D60238" w:rsidRPr="00B51896" w:rsidRDefault="00D60238" w:rsidP="00EC0DF5">
      <w:pPr>
        <w:spacing w:line="360" w:lineRule="auto"/>
        <w:jc w:val="both"/>
        <w:rPr>
          <w:rFonts w:ascii="Book Antiqua" w:hAnsi="Book Antiqua"/>
        </w:rPr>
      </w:pPr>
    </w:p>
    <w:p w14:paraId="08388D2E" w14:textId="5F06EDE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color w:val="000000"/>
        </w:rPr>
        <w:t xml:space="preserve">Tao Wang, </w:t>
      </w:r>
      <w:r w:rsidRPr="00B51896">
        <w:rPr>
          <w:rFonts w:ascii="Book Antiqua" w:eastAsia="Book Antiqua" w:hAnsi="Book Antiqua" w:cs="Book Antiqua"/>
          <w:color w:val="000000"/>
        </w:rPr>
        <w:t xml:space="preserve">Department of Interventional Therapy, Yantai Yuhuangding Hospital of Qingdao University, Yantai 264099, </w:t>
      </w:r>
      <w:r w:rsidR="00D80FAA" w:rsidRPr="00B51896">
        <w:rPr>
          <w:rFonts w:ascii="Book Antiqua" w:eastAsia="Book Antiqua" w:hAnsi="Book Antiqua" w:cs="Book Antiqua"/>
          <w:color w:val="000000"/>
        </w:rPr>
        <w:t>Shandong</w:t>
      </w:r>
      <w:r w:rsidRPr="00B51896">
        <w:rPr>
          <w:rFonts w:ascii="Book Antiqua" w:eastAsia="Book Antiqua" w:hAnsi="Book Antiqua" w:cs="Book Antiqua"/>
          <w:color w:val="000000"/>
        </w:rPr>
        <w:t xml:space="preserve"> Province, China</w:t>
      </w:r>
    </w:p>
    <w:p w14:paraId="7C8CD95A" w14:textId="77777777" w:rsidR="00D60238" w:rsidRPr="00B51896" w:rsidRDefault="00D60238" w:rsidP="00EC0DF5">
      <w:pPr>
        <w:spacing w:line="360" w:lineRule="auto"/>
        <w:jc w:val="both"/>
        <w:rPr>
          <w:rFonts w:ascii="Book Antiqua" w:hAnsi="Book Antiqua"/>
        </w:rPr>
      </w:pPr>
    </w:p>
    <w:p w14:paraId="427B420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color w:val="000000"/>
        </w:rPr>
        <w:t xml:space="preserve">Author contributions: </w:t>
      </w:r>
      <w:r w:rsidRPr="00B51896">
        <w:rPr>
          <w:rFonts w:ascii="Book Antiqua" w:eastAsia="Book Antiqua" w:hAnsi="Book Antiqua" w:cs="Book Antiqua"/>
          <w:color w:val="000000"/>
        </w:rPr>
        <w:t>Liu FQ designed the research; Wang T, Yue ZD, Wang L, Fan ZH and Wu YF performed the research; Zhang D analyzed the data and wrote the paper; Liu FQ reviewed and revised the manuscript; All authors have read and approved the final manuscript.</w:t>
      </w:r>
    </w:p>
    <w:p w14:paraId="0DA051B9" w14:textId="77777777" w:rsidR="00D60238" w:rsidRPr="00B51896" w:rsidRDefault="00D60238" w:rsidP="00EC0DF5">
      <w:pPr>
        <w:spacing w:line="360" w:lineRule="auto"/>
        <w:jc w:val="both"/>
        <w:rPr>
          <w:rFonts w:ascii="Book Antiqua" w:hAnsi="Book Antiqua"/>
        </w:rPr>
      </w:pPr>
    </w:p>
    <w:p w14:paraId="5A6BD782" w14:textId="27415049" w:rsidR="00D60238" w:rsidRPr="00B51896" w:rsidRDefault="00E04F37" w:rsidP="00EC0DF5">
      <w:pPr>
        <w:spacing w:line="360" w:lineRule="auto"/>
        <w:rPr>
          <w:rFonts w:ascii="Book Antiqua" w:eastAsia="Book Antiqua" w:hAnsi="Book Antiqua" w:cs="Book Antiqua"/>
          <w:color w:val="000000"/>
        </w:rPr>
      </w:pPr>
      <w:r w:rsidRPr="00B51896">
        <w:rPr>
          <w:rFonts w:ascii="Book Antiqua" w:eastAsia="Book Antiqua" w:hAnsi="Book Antiqua" w:cs="Book Antiqua"/>
          <w:b/>
          <w:bCs/>
          <w:color w:val="000000"/>
        </w:rPr>
        <w:t xml:space="preserve">Supported by </w:t>
      </w:r>
      <w:r w:rsidRPr="00B51896">
        <w:rPr>
          <w:rFonts w:ascii="Book Antiqua" w:eastAsia="Book Antiqua" w:hAnsi="Book Antiqua" w:cs="Book Antiqua"/>
          <w:color w:val="000000"/>
        </w:rPr>
        <w:t>the Capital Health Research and Development of Special</w:t>
      </w:r>
      <w:r w:rsidR="00BF49D0" w:rsidRPr="00B51896">
        <w:rPr>
          <w:rFonts w:ascii="Book Antiqua" w:eastAsia="Book Antiqua" w:hAnsi="Book Antiqua" w:cs="Book Antiqua"/>
          <w:color w:val="000000"/>
        </w:rPr>
        <w:t>, No. 2018-1-2081</w:t>
      </w:r>
      <w:r w:rsidRPr="00B51896">
        <w:rPr>
          <w:rFonts w:ascii="Book Antiqua" w:eastAsia="Book Antiqua" w:hAnsi="Book Antiqua" w:cs="Book Antiqua"/>
          <w:color w:val="000000"/>
        </w:rPr>
        <w:t>; National Natural Science Foundation of China, No. 81871461.</w:t>
      </w:r>
    </w:p>
    <w:p w14:paraId="1BF11E24" w14:textId="77777777" w:rsidR="00D60238" w:rsidRPr="00B51896" w:rsidRDefault="00D60238" w:rsidP="00EC0DF5">
      <w:pPr>
        <w:spacing w:line="360" w:lineRule="auto"/>
        <w:jc w:val="both"/>
        <w:rPr>
          <w:rFonts w:ascii="Book Antiqua" w:hAnsi="Book Antiqua"/>
        </w:rPr>
      </w:pPr>
    </w:p>
    <w:p w14:paraId="0C1E09D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color w:val="000000"/>
        </w:rPr>
        <w:lastRenderedPageBreak/>
        <w:t xml:space="preserve">Corresponding author: Fu-Quan Liu, MM, Chief Doctor, Doctor, Professor, </w:t>
      </w:r>
      <w:r w:rsidRPr="00B51896">
        <w:rPr>
          <w:rFonts w:ascii="Book Antiqua" w:eastAsia="Book Antiqua" w:hAnsi="Book Antiqua" w:cs="Book Antiqua"/>
          <w:color w:val="000000"/>
        </w:rPr>
        <w:t>Department of Interventional Therapy, Beijing Shijitan Hospital, Capital Medical University, No.10 Tieyi Road, Yangfangdian Street, Haidian District, Beijing 100038, China. liufuquan@ccmu.edu.cn</w:t>
      </w:r>
    </w:p>
    <w:p w14:paraId="776D6BBA" w14:textId="77777777" w:rsidR="00D60238" w:rsidRPr="00B51896" w:rsidRDefault="00D60238" w:rsidP="00EC0DF5">
      <w:pPr>
        <w:spacing w:line="360" w:lineRule="auto"/>
        <w:jc w:val="both"/>
        <w:rPr>
          <w:rFonts w:ascii="Book Antiqua" w:hAnsi="Book Antiqua"/>
        </w:rPr>
      </w:pPr>
    </w:p>
    <w:p w14:paraId="3BCAB5DB"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Received: </w:t>
      </w:r>
      <w:r w:rsidRPr="00B51896">
        <w:rPr>
          <w:rFonts w:ascii="Book Antiqua" w:eastAsia="Book Antiqua" w:hAnsi="Book Antiqua" w:cs="Book Antiqua"/>
        </w:rPr>
        <w:t>August 13, 2023</w:t>
      </w:r>
    </w:p>
    <w:p w14:paraId="6AAF72FD"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Revised: </w:t>
      </w:r>
      <w:r w:rsidRPr="00B51896">
        <w:rPr>
          <w:rFonts w:ascii="Book Antiqua" w:eastAsia="Book Antiqua" w:hAnsi="Book Antiqua" w:cs="Book Antiqua"/>
        </w:rPr>
        <w:t>October 3, 2023</w:t>
      </w:r>
    </w:p>
    <w:p w14:paraId="67DB4B58" w14:textId="26C8684C"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Accepted: </w:t>
      </w:r>
      <w:r w:rsidR="00D7534C" w:rsidRPr="00B51896">
        <w:rPr>
          <w:rFonts w:ascii="Book Antiqua" w:eastAsia="Book Antiqua" w:hAnsi="Book Antiqua" w:cs="Book Antiqua"/>
        </w:rPr>
        <w:t>October 23, 2023</w:t>
      </w:r>
    </w:p>
    <w:p w14:paraId="62E65D56" w14:textId="7FC23796"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Published online:</w:t>
      </w:r>
      <w:r w:rsidR="00246C5E" w:rsidRPr="00B51896">
        <w:rPr>
          <w:rFonts w:ascii="Book Antiqua" w:hAnsi="Book Antiqua" w:cs="Book Antiqua" w:hint="eastAsia"/>
          <w:b/>
          <w:bCs/>
          <w:lang w:eastAsia="zh-CN"/>
        </w:rPr>
        <w:t xml:space="preserve"> </w:t>
      </w:r>
      <w:r w:rsidR="00246C5E" w:rsidRPr="00B51896">
        <w:rPr>
          <w:rFonts w:ascii="Book Antiqua" w:hAnsi="Book Antiqua" w:cs="Book Antiqua"/>
          <w:bCs/>
          <w:lang w:eastAsia="zh-CN"/>
        </w:rPr>
        <w:t>November 27, 2023</w:t>
      </w:r>
      <w:r w:rsidRPr="00B51896">
        <w:rPr>
          <w:rFonts w:ascii="Book Antiqua" w:eastAsia="Book Antiqua" w:hAnsi="Book Antiqua" w:cs="Book Antiqua"/>
          <w:b/>
          <w:bCs/>
        </w:rPr>
        <w:t xml:space="preserve"> </w:t>
      </w:r>
    </w:p>
    <w:p w14:paraId="4FA4E805" w14:textId="77777777" w:rsidR="00D60238" w:rsidRPr="00B51896" w:rsidRDefault="00D60238" w:rsidP="00EC0DF5">
      <w:pPr>
        <w:spacing w:line="360" w:lineRule="auto"/>
        <w:jc w:val="both"/>
        <w:rPr>
          <w:rFonts w:ascii="Book Antiqua" w:hAnsi="Book Antiqua"/>
        </w:rPr>
        <w:sectPr w:rsidR="00D60238" w:rsidRPr="00B51896">
          <w:footerReference w:type="default" r:id="rId6"/>
          <w:pgSz w:w="12240" w:h="15840"/>
          <w:pgMar w:top="1440" w:right="1440" w:bottom="1440" w:left="1440" w:header="720" w:footer="720" w:gutter="0"/>
          <w:cols w:space="720"/>
          <w:docGrid w:linePitch="360"/>
        </w:sectPr>
      </w:pPr>
    </w:p>
    <w:p w14:paraId="0465F3F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lastRenderedPageBreak/>
        <w:t>Abstract</w:t>
      </w:r>
    </w:p>
    <w:p w14:paraId="564C1C26"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BACKGROUND</w:t>
      </w:r>
    </w:p>
    <w:p w14:paraId="40E0AF1A" w14:textId="083CEC81"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 xml:space="preserve">Portal hypertension (PHT) in </w:t>
      </w:r>
      <w:r w:rsidRPr="00B51896">
        <w:rPr>
          <w:rFonts w:ascii="Book Antiqua" w:eastAsia="Book Antiqua" w:hAnsi="Book Antiqua" w:cs="Book Antiqua"/>
          <w:color w:val="000000"/>
          <w:lang w:eastAsia="zh-CN"/>
        </w:rPr>
        <w:t xml:space="preserve">patients with </w:t>
      </w:r>
      <w:r w:rsidRPr="00B51896">
        <w:rPr>
          <w:rFonts w:ascii="Book Antiqua" w:eastAsia="Book Antiqua" w:hAnsi="Book Antiqua" w:cs="Book Antiqua"/>
          <w:color w:val="000000"/>
        </w:rPr>
        <w:t>alcoholic cirrhosis causes a range of clinical symptoms</w:t>
      </w:r>
      <w:r w:rsidRPr="00B51896">
        <w:rPr>
          <w:rFonts w:ascii="Book Antiqua" w:eastAsia="Book Antiqua" w:hAnsi="Book Antiqua" w:cs="Book Antiqua"/>
          <w:color w:val="000000"/>
          <w:lang w:eastAsia="zh-CN"/>
        </w:rPr>
        <w:t>,</w:t>
      </w:r>
      <w:r w:rsidRPr="00B51896">
        <w:rPr>
          <w:rFonts w:ascii="Book Antiqua" w:eastAsia="Book Antiqua" w:hAnsi="Book Antiqua" w:cs="Book Antiqua"/>
          <w:color w:val="000000"/>
        </w:rPr>
        <w:t xml:space="preserve"> including gastroesophageal varices and ascites. The hepatic venous pressure gradient (HVPG), which is easier to measure,</w:t>
      </w:r>
      <w:r w:rsidR="00735F82"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has replaced the</w:t>
      </w:r>
      <w:r w:rsidR="00735F82"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portal venous pressure gradient (PPG)</w:t>
      </w:r>
      <w:r w:rsidR="00735F82"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as the gold standard for diagnosing PHT in clinical practice. Therefore, attention should be paid to the correlation between HVPG and PPG.</w:t>
      </w:r>
    </w:p>
    <w:p w14:paraId="06AA555C" w14:textId="77777777" w:rsidR="00D60238" w:rsidRPr="00B51896" w:rsidRDefault="00D60238" w:rsidP="00EC0DF5">
      <w:pPr>
        <w:spacing w:line="360" w:lineRule="auto"/>
        <w:jc w:val="both"/>
        <w:rPr>
          <w:rFonts w:ascii="Book Antiqua" w:hAnsi="Book Antiqua"/>
        </w:rPr>
      </w:pPr>
    </w:p>
    <w:p w14:paraId="4F9966E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AIM</w:t>
      </w:r>
    </w:p>
    <w:p w14:paraId="4B0D02B5"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To explore the correlation between HVPG and PPG in patients with alcoholic cirrhosis and PHT.</w:t>
      </w:r>
    </w:p>
    <w:p w14:paraId="4D2DB757" w14:textId="77777777" w:rsidR="00D60238" w:rsidRPr="00B51896" w:rsidRDefault="00D60238" w:rsidP="00EC0DF5">
      <w:pPr>
        <w:spacing w:line="360" w:lineRule="auto"/>
        <w:jc w:val="both"/>
        <w:rPr>
          <w:rFonts w:ascii="Book Antiqua" w:hAnsi="Book Antiqua"/>
        </w:rPr>
      </w:pPr>
    </w:p>
    <w:p w14:paraId="6DDF596C"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METHODS</w:t>
      </w:r>
    </w:p>
    <w:p w14:paraId="2C7675C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Between January 2017 and June 2020, 134 patients with alcoholic cirrhosis and PHT who met the inclusion criteria underwent various pressure measurements during transjugular intrahepatic portosystemic shunt procedures. </w:t>
      </w:r>
      <w:r w:rsidRPr="00B51896">
        <w:rPr>
          <w:rFonts w:ascii="Book Antiqua" w:eastAsia="Book Antiqua" w:hAnsi="Book Antiqua" w:cs="Book Antiqua"/>
          <w:lang w:eastAsia="zh-CN"/>
        </w:rPr>
        <w:t>C</w:t>
      </w:r>
      <w:r w:rsidRPr="00B51896">
        <w:rPr>
          <w:rFonts w:ascii="Book Antiqua" w:eastAsia="Book Antiqua" w:hAnsi="Book Antiqua" w:cs="Book Antiqua"/>
        </w:rPr>
        <w:t>orrelations were assessed using Pearson’s correlation coefficient to estimate the correlation coefficient (r) and determination coefficient (R</w:t>
      </w:r>
      <w:r w:rsidRPr="00B51896">
        <w:rPr>
          <w:rFonts w:ascii="Book Antiqua" w:eastAsia="Book Antiqua" w:hAnsi="Book Antiqua" w:cs="Book Antiqua"/>
          <w:vertAlign w:val="superscript"/>
        </w:rPr>
        <w:t>2</w:t>
      </w:r>
      <w:r w:rsidRPr="00B51896">
        <w:rPr>
          <w:rFonts w:ascii="Book Antiqua" w:eastAsia="Book Antiqua" w:hAnsi="Book Antiqua" w:cs="Book Antiqua"/>
        </w:rPr>
        <w:t xml:space="preserve">). Bland-Altman plots were constructed to further analyze the agreement between the measurements. Disagreements were analyzed using paired t-tests, and </w:t>
      </w:r>
      <w:r w:rsidRPr="00B51896">
        <w:rPr>
          <w:rFonts w:ascii="Book Antiqua" w:eastAsia="Book Antiqua" w:hAnsi="Book Antiqua" w:cs="Book Antiqua"/>
          <w:i/>
        </w:rPr>
        <w:t>P</w:t>
      </w:r>
      <w:r w:rsidRPr="00B51896">
        <w:rPr>
          <w:rFonts w:ascii="Book Antiqua" w:eastAsia="Book Antiqua" w:hAnsi="Book Antiqua" w:cs="Book Antiqua"/>
        </w:rPr>
        <w:t>-values &lt; 0.05 were considered statistically significant.</w:t>
      </w:r>
    </w:p>
    <w:p w14:paraId="579027C8" w14:textId="77777777" w:rsidR="00D60238" w:rsidRPr="00B51896" w:rsidRDefault="00D60238" w:rsidP="00EC0DF5">
      <w:pPr>
        <w:spacing w:line="360" w:lineRule="auto"/>
        <w:jc w:val="both"/>
        <w:rPr>
          <w:rFonts w:ascii="Book Antiqua" w:hAnsi="Book Antiqua"/>
        </w:rPr>
      </w:pPr>
    </w:p>
    <w:p w14:paraId="5053061D"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RESULTS</w:t>
      </w:r>
    </w:p>
    <w:p w14:paraId="1C1E53F0" w14:textId="16F5D88C"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In this study, the correlation coefficient (r) and determination coefficient (R2) between HVPG and PPG were 0.201 and 0.040, respectively (</w:t>
      </w:r>
      <w:r w:rsidRPr="00B51896">
        <w:rPr>
          <w:rFonts w:ascii="Book Antiqua" w:eastAsia="Book Antiqua" w:hAnsi="Book Antiqua" w:cs="Book Antiqua"/>
          <w:i/>
          <w:iCs/>
        </w:rPr>
        <w:t>P</w:t>
      </w:r>
      <w:r w:rsidRPr="00B51896">
        <w:rPr>
          <w:rFonts w:ascii="Book Antiqua" w:eastAsia="Book Antiqua" w:hAnsi="Book Antiqua" w:cs="Book Antiqua"/>
        </w:rPr>
        <w:t xml:space="preserve"> = 0.020). In the 108 patients with no collateral branch, the average </w:t>
      </w:r>
      <w:r w:rsidR="009E5191" w:rsidRPr="00B51896">
        <w:rPr>
          <w:rFonts w:ascii="Book Antiqua" w:eastAsia="Book Antiqua" w:hAnsi="Book Antiqua" w:cs="Book Antiqua"/>
          <w:color w:val="000000"/>
        </w:rPr>
        <w:t>wedged hepatic venous pressure</w:t>
      </w:r>
      <w:r w:rsidRPr="00B51896">
        <w:rPr>
          <w:rFonts w:ascii="Book Antiqua" w:eastAsia="Book Antiqua" w:hAnsi="Book Antiqua" w:cs="Book Antiqua"/>
        </w:rPr>
        <w:t xml:space="preserve"> was lower than the average </w:t>
      </w:r>
      <w:r w:rsidR="009E5191" w:rsidRPr="00B51896">
        <w:rPr>
          <w:rFonts w:ascii="Book Antiqua" w:eastAsia="Book Antiqua" w:hAnsi="Book Antiqua" w:cs="Book Antiqua"/>
          <w:color w:val="000000"/>
        </w:rPr>
        <w:t>portal venous pressure</w:t>
      </w:r>
      <w:r w:rsidRPr="00B51896">
        <w:rPr>
          <w:rFonts w:ascii="Book Antiqua" w:eastAsia="Book Antiqua" w:hAnsi="Book Antiqua" w:cs="Book Antiqua"/>
        </w:rPr>
        <w:t xml:space="preserve"> (30.65 ± 8.17 </w:t>
      </w:r>
      <w:r w:rsidRPr="00B51896">
        <w:rPr>
          <w:rFonts w:ascii="Book Antiqua" w:eastAsia="Book Antiqua" w:hAnsi="Book Antiqua" w:cs="Book Antiqua"/>
          <w:i/>
          <w:iCs/>
        </w:rPr>
        <w:t>vs.</w:t>
      </w:r>
      <w:r w:rsidRPr="00B51896">
        <w:rPr>
          <w:rFonts w:ascii="Book Antiqua" w:eastAsia="Book Antiqua" w:hAnsi="Book Antiqua" w:cs="Book Antiqua"/>
        </w:rPr>
        <w:t xml:space="preserve"> 33.25 ± 6.60 mmHg, </w:t>
      </w:r>
      <w:r w:rsidRPr="00B51896">
        <w:rPr>
          <w:rFonts w:ascii="Book Antiqua" w:eastAsia="Book Antiqua" w:hAnsi="Book Antiqua" w:cs="Book Antiqua"/>
          <w:i/>
          <w:iCs/>
        </w:rPr>
        <w:t>P</w:t>
      </w:r>
      <w:r w:rsidRPr="00B51896">
        <w:rPr>
          <w:rFonts w:ascii="Book Antiqua" w:eastAsia="Book Antiqua" w:hAnsi="Book Antiqua" w:cs="Book Antiqua"/>
        </w:rPr>
        <w:t xml:space="preserve"> = 0.002). Hepatic collaterals were identified in 26 cases with balloon occlusion hepatic venography (19.4 %), while the average PPG was significantly higher than the average HVPG (25.94 ± 7.42</w:t>
      </w:r>
      <w:r w:rsidR="009E5191" w:rsidRPr="00B51896">
        <w:rPr>
          <w:rFonts w:ascii="Book Antiqua" w:eastAsia="Book Antiqua" w:hAnsi="Book Antiqua" w:cs="Book Antiqua"/>
        </w:rPr>
        <w:t xml:space="preserve"> mmHg</w:t>
      </w:r>
      <w:r w:rsidRPr="00B51896">
        <w:rPr>
          <w:rFonts w:ascii="Book Antiqua" w:eastAsia="Book Antiqua" w:hAnsi="Book Antiqua" w:cs="Book Antiqua"/>
        </w:rPr>
        <w:t xml:space="preserve"> </w:t>
      </w:r>
      <w:r w:rsidRPr="00B51896">
        <w:rPr>
          <w:rFonts w:ascii="Book Antiqua" w:eastAsia="Book Antiqua" w:hAnsi="Book Antiqua" w:cs="Book Antiqua"/>
          <w:i/>
          <w:iCs/>
        </w:rPr>
        <w:t>vs.</w:t>
      </w:r>
      <w:r w:rsidRPr="00B51896">
        <w:rPr>
          <w:rFonts w:ascii="Book Antiqua" w:eastAsia="Book Antiqua" w:hAnsi="Book Antiqua" w:cs="Book Antiqua"/>
        </w:rPr>
        <w:t xml:space="preserve"> 9.86 ± 7.44 mmHg; </w:t>
      </w:r>
      <w:r w:rsidR="009E5191" w:rsidRPr="00B51896">
        <w:rPr>
          <w:rFonts w:ascii="Book Antiqua" w:eastAsia="Book Antiqua" w:hAnsi="Book Antiqua" w:cs="Book Antiqua"/>
          <w:i/>
          <w:iCs/>
        </w:rPr>
        <w:t>P</w:t>
      </w:r>
      <w:r w:rsidRPr="00B51896">
        <w:rPr>
          <w:rFonts w:ascii="Book Antiqua" w:eastAsia="Book Antiqua" w:hAnsi="Book Antiqua" w:cs="Book Antiqua"/>
        </w:rPr>
        <w:t xml:space="preserve"> &lt; 0.001). The differences between HVPG and PPG </w:t>
      </w:r>
      <w:r w:rsidRPr="00B51896">
        <w:rPr>
          <w:rFonts w:ascii="Book Antiqua" w:eastAsia="Book Antiqua" w:hAnsi="Book Antiqua" w:cs="Book Antiqua"/>
        </w:rPr>
        <w:lastRenderedPageBreak/>
        <w:t xml:space="preserve">&lt; 5 mmHg in the collateral </w:t>
      </w:r>
      <w:r w:rsidRPr="00B51896">
        <w:rPr>
          <w:rFonts w:ascii="Book Antiqua" w:eastAsia="Book Antiqua" w:hAnsi="Book Antiqua" w:cs="Book Antiqua"/>
          <w:i/>
          <w:iCs/>
        </w:rPr>
        <w:t>vs</w:t>
      </w:r>
      <w:r w:rsidRPr="00B51896">
        <w:rPr>
          <w:rFonts w:ascii="Book Antiqua" w:eastAsia="Book Antiqua" w:hAnsi="Book Antiqua" w:cs="Book Antiqua"/>
        </w:rPr>
        <w:t xml:space="preserve"> no collateral branch groups were three cases (11.54%) and 44 cases (40.74%), respectively.</w:t>
      </w:r>
    </w:p>
    <w:p w14:paraId="5286EA04" w14:textId="77777777" w:rsidR="00D60238" w:rsidRPr="00B51896" w:rsidRDefault="00D60238" w:rsidP="00EC0DF5">
      <w:pPr>
        <w:spacing w:line="360" w:lineRule="auto"/>
        <w:jc w:val="both"/>
        <w:rPr>
          <w:rFonts w:ascii="Book Antiqua" w:hAnsi="Book Antiqua"/>
        </w:rPr>
      </w:pPr>
    </w:p>
    <w:p w14:paraId="1CCC6E67"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CONCLUSION</w:t>
      </w:r>
    </w:p>
    <w:p w14:paraId="69B41BD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In most patients, HVPG cannot accurately represent PPG. The formation of hepatic collaterals is a vital reason for the strong underestimation of HVPG.</w:t>
      </w:r>
    </w:p>
    <w:p w14:paraId="3D9BF5D2" w14:textId="77777777" w:rsidR="00D60238" w:rsidRPr="00B51896" w:rsidRDefault="00D60238" w:rsidP="00EC0DF5">
      <w:pPr>
        <w:spacing w:line="360" w:lineRule="auto"/>
        <w:jc w:val="both"/>
        <w:rPr>
          <w:rFonts w:ascii="Book Antiqua" w:hAnsi="Book Antiqua"/>
        </w:rPr>
      </w:pPr>
    </w:p>
    <w:p w14:paraId="23324B6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Key Words: </w:t>
      </w:r>
      <w:r w:rsidRPr="00B51896">
        <w:rPr>
          <w:rFonts w:ascii="Book Antiqua" w:eastAsia="Book Antiqua" w:hAnsi="Book Antiqua" w:cs="Book Antiqua"/>
        </w:rPr>
        <w:t>Portal hypertension; Portal venous pressure gradient; Hepatic venous pressure gradient; Alcoholic cirrhosis; Hepatic collateral</w:t>
      </w:r>
    </w:p>
    <w:p w14:paraId="5B83D7FB" w14:textId="77777777" w:rsidR="00D60238" w:rsidRPr="00B51896" w:rsidRDefault="00D60238" w:rsidP="00EC0DF5">
      <w:pPr>
        <w:spacing w:line="360" w:lineRule="auto"/>
        <w:jc w:val="both"/>
        <w:rPr>
          <w:rFonts w:ascii="Book Antiqua" w:hAnsi="Book Antiqua"/>
        </w:rPr>
      </w:pPr>
    </w:p>
    <w:p w14:paraId="05C41CB0" w14:textId="77777777" w:rsidR="00195DD6" w:rsidRPr="00B51896" w:rsidRDefault="00195DD6" w:rsidP="00195DD6">
      <w:pPr>
        <w:spacing w:line="360" w:lineRule="auto"/>
        <w:rPr>
          <w:rFonts w:ascii="Book Antiqua" w:eastAsia="Book Antiqua" w:hAnsi="Book Antiqua" w:cs="Book Antiqua"/>
          <w:color w:val="000000"/>
        </w:rPr>
      </w:pPr>
      <w:r w:rsidRPr="00B51896">
        <w:rPr>
          <w:rFonts w:ascii="Book Antiqua" w:eastAsia="Book Antiqua" w:hAnsi="Book Antiqua" w:cs="Book Antiqua"/>
          <w:b/>
          <w:color w:val="000000"/>
        </w:rPr>
        <w:t>©The</w:t>
      </w:r>
      <w:r w:rsidRPr="00B51896">
        <w:rPr>
          <w:rFonts w:ascii="Book Antiqua" w:eastAsia="Book Antiqua" w:hAnsi="Book Antiqua" w:cs="Book Antiqua"/>
          <w:color w:val="000000"/>
        </w:rPr>
        <w:t xml:space="preserve"> </w:t>
      </w:r>
      <w:r w:rsidRPr="00B51896">
        <w:rPr>
          <w:rFonts w:ascii="Book Antiqua" w:eastAsia="Book Antiqua" w:hAnsi="Book Antiqua" w:cs="Book Antiqua"/>
          <w:b/>
          <w:color w:val="000000"/>
        </w:rPr>
        <w:t>Author(s) 202</w:t>
      </w:r>
      <w:r w:rsidRPr="00B51896">
        <w:rPr>
          <w:rFonts w:ascii="Book Antiqua" w:hAnsi="Book Antiqua" w:cs="Book Antiqua"/>
          <w:b/>
          <w:color w:val="000000"/>
        </w:rPr>
        <w:t>3</w:t>
      </w:r>
      <w:r w:rsidRPr="00B51896">
        <w:rPr>
          <w:rFonts w:ascii="Book Antiqua" w:eastAsia="Book Antiqua" w:hAnsi="Book Antiqua" w:cs="Book Antiqua"/>
          <w:b/>
          <w:color w:val="000000"/>
        </w:rPr>
        <w:t xml:space="preserve">. </w:t>
      </w:r>
      <w:r w:rsidRPr="00B51896">
        <w:rPr>
          <w:rFonts w:ascii="Book Antiqua" w:eastAsia="Book Antiqua" w:hAnsi="Book Antiqua" w:cs="Book Antiqua"/>
          <w:color w:val="000000"/>
        </w:rPr>
        <w:t xml:space="preserve">Published by Baishideng Publishing Group Inc. All rights reserved. </w:t>
      </w:r>
    </w:p>
    <w:p w14:paraId="4F8D3419" w14:textId="77777777" w:rsidR="00195DD6" w:rsidRPr="00B51896" w:rsidRDefault="00195DD6" w:rsidP="00195DD6">
      <w:pPr>
        <w:spacing w:line="360" w:lineRule="auto"/>
        <w:jc w:val="both"/>
        <w:rPr>
          <w:lang w:eastAsia="zh-CN"/>
        </w:rPr>
      </w:pPr>
    </w:p>
    <w:p w14:paraId="05E6128B" w14:textId="446CD711" w:rsidR="00195DD6" w:rsidRPr="00B51896" w:rsidRDefault="00195DD6" w:rsidP="00195DD6">
      <w:pPr>
        <w:spacing w:line="360" w:lineRule="auto"/>
        <w:jc w:val="both"/>
        <w:rPr>
          <w:rFonts w:ascii="Book Antiqua" w:hAnsi="Book Antiqua" w:cs="Book Antiqua"/>
          <w:lang w:eastAsia="zh-CN"/>
        </w:rPr>
      </w:pPr>
      <w:r w:rsidRPr="00B51896">
        <w:rPr>
          <w:rFonts w:ascii="Book Antiqua" w:eastAsia="Book Antiqua" w:hAnsi="Book Antiqua" w:cs="Book Antiqua"/>
          <w:b/>
          <w:color w:val="000000"/>
        </w:rPr>
        <w:t xml:space="preserve">Citation: </w:t>
      </w:r>
      <w:r w:rsidR="00E04F37" w:rsidRPr="00B51896">
        <w:rPr>
          <w:rFonts w:ascii="Book Antiqua" w:eastAsia="Book Antiqua" w:hAnsi="Book Antiqua" w:cs="Book Antiqua"/>
        </w:rPr>
        <w:t xml:space="preserve">Zhang D, Wang T, Yue ZD, Wang L, Fan ZH, Wu YF, Liu FQ. Hepatic venous pressure gradient: inaccurately estimates portal venous pressure gradient in alcoholic cirrhosis and portal hypertension. </w:t>
      </w:r>
      <w:r w:rsidR="00E04F37" w:rsidRPr="00B51896">
        <w:rPr>
          <w:rFonts w:ascii="Book Antiqua" w:eastAsia="Book Antiqua" w:hAnsi="Book Antiqua" w:cs="Book Antiqua"/>
          <w:i/>
          <w:iCs/>
        </w:rPr>
        <w:t>World J Gastrointest Surg</w:t>
      </w:r>
      <w:r w:rsidR="00E04F37" w:rsidRPr="00B51896">
        <w:rPr>
          <w:rFonts w:ascii="Book Antiqua" w:eastAsia="Book Antiqua" w:hAnsi="Book Antiqua" w:cs="Book Antiqua"/>
        </w:rPr>
        <w:t xml:space="preserve"> </w:t>
      </w:r>
      <w:r w:rsidR="00246C5E" w:rsidRPr="00B51896">
        <w:rPr>
          <w:rFonts w:ascii="Book Antiqua" w:eastAsia="Book Antiqua" w:hAnsi="Book Antiqua" w:cs="Book Antiqua"/>
        </w:rPr>
        <w:t>2023; 15(</w:t>
      </w:r>
      <w:r w:rsidR="00246C5E" w:rsidRPr="00B51896">
        <w:rPr>
          <w:rFonts w:ascii="Book Antiqua" w:hAnsi="Book Antiqua" w:cs="Book Antiqua" w:hint="eastAsia"/>
          <w:lang w:eastAsia="zh-CN"/>
        </w:rPr>
        <w:t>11</w:t>
      </w:r>
      <w:r w:rsidR="00246C5E" w:rsidRPr="00B51896">
        <w:rPr>
          <w:rFonts w:ascii="Book Antiqua" w:eastAsia="Book Antiqua" w:hAnsi="Book Antiqua" w:cs="Book Antiqua"/>
        </w:rPr>
        <w:t xml:space="preserve">): </w:t>
      </w:r>
      <w:r w:rsidR="00A707AB" w:rsidRPr="00B51896">
        <w:rPr>
          <w:rFonts w:ascii="Book Antiqua" w:hAnsi="Book Antiqua" w:cs="Book Antiqua"/>
          <w:lang w:eastAsia="zh-CN"/>
        </w:rPr>
        <w:t>2490-2499</w:t>
      </w:r>
    </w:p>
    <w:p w14:paraId="590DE983" w14:textId="445F5214" w:rsidR="00195DD6" w:rsidRPr="00B51896" w:rsidRDefault="00246C5E" w:rsidP="00EC0DF5">
      <w:pPr>
        <w:spacing w:line="360" w:lineRule="auto"/>
        <w:jc w:val="both"/>
        <w:rPr>
          <w:rFonts w:ascii="Book Antiqua" w:hAnsi="Book Antiqua" w:cs="Book Antiqua"/>
          <w:lang w:eastAsia="zh-CN"/>
        </w:rPr>
      </w:pPr>
      <w:r w:rsidRPr="00B51896">
        <w:rPr>
          <w:rFonts w:ascii="Book Antiqua" w:eastAsia="Book Antiqua" w:hAnsi="Book Antiqua" w:cs="Book Antiqua"/>
          <w:b/>
          <w:bCs/>
        </w:rPr>
        <w:t>URL:</w:t>
      </w:r>
      <w:r w:rsidRPr="00B51896">
        <w:rPr>
          <w:rFonts w:ascii="Book Antiqua" w:eastAsia="Book Antiqua" w:hAnsi="Book Antiqua" w:cs="Book Antiqua"/>
        </w:rPr>
        <w:t xml:space="preserve"> https://www.wjgnet.com/1948-9366/full/v15/i</w:t>
      </w:r>
      <w:r w:rsidRPr="00B51896">
        <w:rPr>
          <w:rFonts w:ascii="Book Antiqua" w:hAnsi="Book Antiqua" w:cs="Book Antiqua" w:hint="eastAsia"/>
          <w:lang w:eastAsia="zh-CN"/>
        </w:rPr>
        <w:t>11</w:t>
      </w:r>
      <w:r w:rsidRPr="00B51896">
        <w:rPr>
          <w:rFonts w:ascii="Book Antiqua" w:eastAsia="Book Antiqua" w:hAnsi="Book Antiqua" w:cs="Book Antiqua"/>
        </w:rPr>
        <w:t>/</w:t>
      </w:r>
      <w:r w:rsidR="00A707AB" w:rsidRPr="00B51896">
        <w:rPr>
          <w:rFonts w:ascii="Book Antiqua" w:hAnsi="Book Antiqua" w:cs="Book Antiqua"/>
          <w:lang w:eastAsia="zh-CN"/>
        </w:rPr>
        <w:t>2490</w:t>
      </w:r>
      <w:r w:rsidRPr="00B51896">
        <w:rPr>
          <w:rFonts w:ascii="Book Antiqua" w:eastAsia="Book Antiqua" w:hAnsi="Book Antiqua" w:cs="Book Antiqua"/>
        </w:rPr>
        <w:t xml:space="preserve">.htm </w:t>
      </w:r>
      <w:r w:rsidRPr="00B51896">
        <w:rPr>
          <w:rFonts w:ascii="Book Antiqua" w:hAnsi="Book Antiqua" w:cs="Book Antiqua" w:hint="eastAsia"/>
          <w:lang w:eastAsia="zh-CN"/>
        </w:rPr>
        <w:t xml:space="preserve"> </w:t>
      </w:r>
    </w:p>
    <w:p w14:paraId="6C01940B" w14:textId="79215C44" w:rsidR="00D60238" w:rsidRPr="00B51896" w:rsidRDefault="00246C5E" w:rsidP="00EC0DF5">
      <w:pPr>
        <w:spacing w:line="360" w:lineRule="auto"/>
        <w:jc w:val="both"/>
        <w:rPr>
          <w:rFonts w:ascii="Book Antiqua" w:hAnsi="Book Antiqua"/>
        </w:rPr>
      </w:pPr>
      <w:r w:rsidRPr="00B51896">
        <w:rPr>
          <w:rFonts w:ascii="Book Antiqua" w:eastAsia="Book Antiqua" w:hAnsi="Book Antiqua" w:cs="Book Antiqua"/>
          <w:b/>
          <w:bCs/>
        </w:rPr>
        <w:t>DOI:</w:t>
      </w:r>
      <w:r w:rsidRPr="00B51896">
        <w:rPr>
          <w:rFonts w:ascii="Book Antiqua" w:eastAsia="Book Antiqua" w:hAnsi="Book Antiqua" w:cs="Book Antiqua"/>
        </w:rPr>
        <w:t xml:space="preserve"> https://dx.doi.org/10.4240/wjgs.v15.i</w:t>
      </w:r>
      <w:r w:rsidRPr="00B51896">
        <w:rPr>
          <w:rFonts w:ascii="Book Antiqua" w:hAnsi="Book Antiqua" w:cs="Book Antiqua" w:hint="eastAsia"/>
          <w:lang w:eastAsia="zh-CN"/>
        </w:rPr>
        <w:t>11</w:t>
      </w:r>
      <w:r w:rsidRPr="00B51896">
        <w:rPr>
          <w:rFonts w:ascii="Book Antiqua" w:eastAsia="Book Antiqua" w:hAnsi="Book Antiqua" w:cs="Book Antiqua"/>
        </w:rPr>
        <w:t>.</w:t>
      </w:r>
      <w:r w:rsidR="00A707AB" w:rsidRPr="00B51896">
        <w:rPr>
          <w:rFonts w:ascii="Book Antiqua" w:hAnsi="Book Antiqua" w:cs="Book Antiqua"/>
          <w:lang w:eastAsia="zh-CN"/>
        </w:rPr>
        <w:t>2490</w:t>
      </w:r>
    </w:p>
    <w:p w14:paraId="13995E5D" w14:textId="77777777" w:rsidR="00D60238" w:rsidRPr="00B51896" w:rsidRDefault="00D60238" w:rsidP="00EC0DF5">
      <w:pPr>
        <w:spacing w:line="360" w:lineRule="auto"/>
        <w:jc w:val="both"/>
        <w:rPr>
          <w:rFonts w:ascii="Book Antiqua" w:hAnsi="Book Antiqua"/>
        </w:rPr>
      </w:pPr>
    </w:p>
    <w:p w14:paraId="7DC5CCB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Core Tip: </w:t>
      </w:r>
      <w:r w:rsidRPr="00B51896">
        <w:rPr>
          <w:rFonts w:ascii="Book Antiqua" w:eastAsia="Book Antiqua" w:hAnsi="Book Antiqua" w:cs="Book Antiqua"/>
        </w:rPr>
        <w:t>Portal hypertension (PHT) in alcoholic cirrhosis causes a range of clinical symptoms, including gastroesophageal varices and ascites. Because it is easier to measure, the hepatic venous pressure gradient (HVPG) has replaced the portal venous pressure gradient (PPG) as the gold standard for diagnosing PHT in clinical practice. However, our study showed a poor correlation between HVPG and PPG in patients with PHT and alcoholic cirrhosis. The underestimation of HVPG may be related to the formation of hepatic collaterals.</w:t>
      </w:r>
    </w:p>
    <w:p w14:paraId="284B1B11" w14:textId="77777777" w:rsidR="00D60238" w:rsidRPr="00B51896" w:rsidRDefault="00D60238" w:rsidP="00EC0DF5">
      <w:pPr>
        <w:spacing w:line="360" w:lineRule="auto"/>
        <w:jc w:val="both"/>
        <w:rPr>
          <w:rFonts w:ascii="Book Antiqua" w:hAnsi="Book Antiqua"/>
        </w:rPr>
      </w:pPr>
    </w:p>
    <w:p w14:paraId="645A107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INTRODUCTION</w:t>
      </w:r>
    </w:p>
    <w:p w14:paraId="6E35EB3C" w14:textId="4A19CE28"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lastRenderedPageBreak/>
        <w:t>Alcoholic cirrhosis is a vital factor in portal hypertension (PHT), with an increased prevalence in recent years</w:t>
      </w:r>
      <w:r w:rsidRPr="00B51896">
        <w:rPr>
          <w:rFonts w:ascii="Book Antiqua" w:eastAsia="Book Antiqua" w:hAnsi="Book Antiqua" w:cs="Book Antiqua"/>
          <w:color w:val="000000"/>
          <w:vertAlign w:val="superscript"/>
        </w:rPr>
        <w:t>[1]</w:t>
      </w:r>
      <w:r w:rsidRPr="00B51896">
        <w:rPr>
          <w:rFonts w:ascii="Book Antiqua" w:eastAsia="Book Antiqua" w:hAnsi="Book Antiqua" w:cs="Book Antiqua"/>
          <w:color w:val="000000"/>
        </w:rPr>
        <w:t>. The blood alcohol concentration in those with extended periods of heavy drinking tends to exceed the recommended consumption limits by far. With intrahepatic vasoconstriction, the blood flow is decreased, and hemodynamic disorder occurs, which can trigger hepatic microvascular disturbances and hypoxemia</w:t>
      </w:r>
      <w:r w:rsidRPr="00B51896">
        <w:rPr>
          <w:rFonts w:ascii="Book Antiqua" w:eastAsia="Book Antiqua" w:hAnsi="Book Antiqua" w:cs="Book Antiqua"/>
          <w:color w:val="000000"/>
          <w:vertAlign w:val="superscript"/>
        </w:rPr>
        <w:t>[2]</w:t>
      </w:r>
      <w:r w:rsidRPr="00B51896">
        <w:rPr>
          <w:rFonts w:ascii="Book Antiqua" w:eastAsia="Book Antiqua" w:hAnsi="Book Antiqua" w:cs="Book Antiqua"/>
          <w:color w:val="000000"/>
        </w:rPr>
        <w:t>. Hepatocellular necrosis can occur, leading to fibrosis. This gradual development causes the segmentation and destruction of the normal structure of the hepatic lobules, with the occurrence of pseudolobules and nodular regeneration of hepatocytes, development of alcoholic cirrhosis</w:t>
      </w:r>
      <w:r w:rsidRPr="00B51896">
        <w:rPr>
          <w:rFonts w:ascii="Book Antiqua" w:eastAsia="Book Antiqua" w:hAnsi="Book Antiqua" w:cs="Book Antiqua"/>
          <w:color w:val="000000"/>
          <w:vertAlign w:val="superscript"/>
        </w:rPr>
        <w:t>[3]</w:t>
      </w:r>
      <w:r w:rsidRPr="00B51896">
        <w:rPr>
          <w:rFonts w:ascii="Book Antiqua" w:eastAsia="Book Antiqua" w:hAnsi="Book Antiqua" w:cs="Book Antiqua"/>
          <w:color w:val="000000"/>
        </w:rPr>
        <w:t>, and progression to PHT. The initial stage has no characteristic symptoms, while a series of clinical patterns may occur during decompensation in patients with alcoholic cirrhosis, including gastroesophageal varices, gastrointestinal bleeding, and ascites</w:t>
      </w:r>
      <w:r w:rsidRPr="00B51896">
        <w:rPr>
          <w:rFonts w:ascii="Book Antiqua" w:eastAsia="Book Antiqua" w:hAnsi="Book Antiqua" w:cs="Book Antiqua"/>
          <w:color w:val="000000"/>
          <w:vertAlign w:val="superscript"/>
        </w:rPr>
        <w:t>[4,5]</w:t>
      </w:r>
      <w:r w:rsidRPr="00B51896">
        <w:rPr>
          <w:rFonts w:ascii="Book Antiqua" w:eastAsia="Book Antiqua" w:hAnsi="Book Antiqua" w:cs="Book Antiqua"/>
          <w:color w:val="000000"/>
        </w:rPr>
        <w:t>. These symptoms are directly related to an increased portal venous pressure (PVP), which contributes to the accurate diagnosis and prognosis of patients with PHT</w:t>
      </w:r>
      <w:r w:rsidRPr="00B51896">
        <w:rPr>
          <w:rFonts w:ascii="Book Antiqua" w:eastAsia="Book Antiqua" w:hAnsi="Book Antiqua" w:cs="Book Antiqua"/>
          <w:color w:val="000000"/>
          <w:vertAlign w:val="superscript"/>
        </w:rPr>
        <w:t>[6]</w:t>
      </w:r>
      <w:r w:rsidRPr="00B51896">
        <w:rPr>
          <w:rFonts w:ascii="Book Antiqua" w:eastAsia="Book Antiqua" w:hAnsi="Book Antiqua" w:cs="Book Antiqua"/>
          <w:color w:val="000000"/>
        </w:rPr>
        <w:t xml:space="preserve">. The </w:t>
      </w:r>
      <w:r w:rsidR="00CD0273" w:rsidRPr="00B51896">
        <w:rPr>
          <w:rFonts w:ascii="Book Antiqua" w:eastAsia="Book Antiqua" w:hAnsi="Book Antiqua" w:cs="Book Antiqua"/>
          <w:color w:val="000000"/>
        </w:rPr>
        <w:t>PVP</w:t>
      </w:r>
      <w:r w:rsidRPr="00B51896">
        <w:rPr>
          <w:rFonts w:ascii="Book Antiqua" w:eastAsia="Book Antiqua" w:hAnsi="Book Antiqua" w:cs="Book Antiqua"/>
          <w:color w:val="000000"/>
        </w:rPr>
        <w:t xml:space="preserve"> gradient (PPG) is the gold standard for the diagnosis of PHT. PPG is calculated by subtracting the inferior vena cava </w:t>
      </w:r>
      <w:r w:rsidR="00B56157" w:rsidRPr="00B51896">
        <w:rPr>
          <w:rFonts w:ascii="Book Antiqua" w:eastAsia="Book Antiqua" w:hAnsi="Book Antiqua" w:cs="Book Antiqua"/>
          <w:color w:val="000000"/>
        </w:rPr>
        <w:t>(IVC)</w:t>
      </w:r>
      <w:r w:rsidR="00A170FE" w:rsidRPr="00B51896">
        <w:rPr>
          <w:rFonts w:ascii="Book Antiqua" w:eastAsia="Book Antiqua" w:hAnsi="Book Antiqua" w:cs="Book Antiqua"/>
          <w:color w:val="000000"/>
        </w:rPr>
        <w:t xml:space="preserve"> pressure</w:t>
      </w:r>
      <w:r w:rsidR="00B56157"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(IVCP) from PVP. The portal vein is located in the abdominal cavity, and PVP measurements requires strong technical skills. PVP is measured by direct cannulation of the portal vein, which is more invasive and carries a higher risk than the wedged hepatic venous pressure (WHVP). Therefore, PVP cannot be applied in a broad range of clinical settings. Currently, WHVP is used to represent PVP. The hepatic venous pressure gradient (HVPG) is calculated by subtracting the free hepatic venous pressure (FHVP) from WHVP. Because the technique for measuring hepatic vein pressure is simple, HVPG has been the gold standard in PHT diagnosis, as it indirectly reflects PPG</w:t>
      </w:r>
      <w:r w:rsidRPr="00B51896">
        <w:rPr>
          <w:rFonts w:ascii="Book Antiqua" w:eastAsia="Book Antiqua" w:hAnsi="Book Antiqua" w:cs="Book Antiqua"/>
          <w:color w:val="000000"/>
          <w:vertAlign w:val="superscript"/>
        </w:rPr>
        <w:t>[7]</w:t>
      </w:r>
      <w:r w:rsidRPr="00B51896">
        <w:rPr>
          <w:rFonts w:ascii="Book Antiqua" w:eastAsia="Book Antiqua" w:hAnsi="Book Antiqua" w:cs="Book Antiqua"/>
          <w:color w:val="000000"/>
        </w:rPr>
        <w:t>.</w:t>
      </w:r>
    </w:p>
    <w:p w14:paraId="2EDC0E0C" w14:textId="77777777" w:rsidR="00636F6A"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Few studies have deeply explored the relationship between HVPG and PPG in patients with alcoholic cirrhosis and PHT. Therefore, whether HVPG can represent PPG remains controversial.</w:t>
      </w:r>
    </w:p>
    <w:p w14:paraId="5E2E81CD" w14:textId="4EEE44C9"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The present study aimed to examine the correlation between HVPG and PPG in patients with alcoholic cirrhosis and complications of PHT</w:t>
      </w:r>
      <w:r w:rsidR="00636F6A"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as well as determine whether HVPG can represent PPG.</w:t>
      </w:r>
    </w:p>
    <w:p w14:paraId="393686C4" w14:textId="77777777" w:rsidR="00D60238" w:rsidRPr="00B51896" w:rsidRDefault="00D60238" w:rsidP="00EC0DF5">
      <w:pPr>
        <w:spacing w:line="360" w:lineRule="auto"/>
        <w:jc w:val="both"/>
        <w:rPr>
          <w:rFonts w:ascii="Book Antiqua" w:hAnsi="Book Antiqua"/>
        </w:rPr>
      </w:pPr>
    </w:p>
    <w:p w14:paraId="7BDCD94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MATERIALS AND METHODS</w:t>
      </w:r>
    </w:p>
    <w:p w14:paraId="62877A76"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i/>
          <w:iCs/>
          <w:color w:val="000000"/>
        </w:rPr>
        <w:t>Patients’ basic information</w:t>
      </w:r>
    </w:p>
    <w:p w14:paraId="0271F7C8" w14:textId="423B792E" w:rsidR="00D60238" w:rsidRPr="00B51896" w:rsidRDefault="00E04F37" w:rsidP="00EC0DF5">
      <w:pPr>
        <w:spacing w:line="360" w:lineRule="auto"/>
        <w:ind w:firstLine="4"/>
        <w:jc w:val="both"/>
        <w:rPr>
          <w:rFonts w:ascii="Book Antiqua" w:hAnsi="Book Antiqua"/>
        </w:rPr>
      </w:pPr>
      <w:r w:rsidRPr="00B51896">
        <w:rPr>
          <w:rFonts w:ascii="Book Antiqua" w:eastAsia="Book Antiqua" w:hAnsi="Book Antiqua" w:cs="Book Antiqua"/>
          <w:color w:val="000000"/>
        </w:rPr>
        <w:t xml:space="preserve">We performed a retrospective study of patients with alcoholic cirrhosis and PHT complications who underwent transjugular intrahepatic portosystemic shunt (TIPS) placement and were admitted to our hospital between June 2017 and June 2020. Approval for the study was obtained </w:t>
      </w:r>
      <w:r w:rsidRPr="00B51896">
        <w:rPr>
          <w:rFonts w:ascii="Book Antiqua" w:eastAsia="Book Antiqua" w:hAnsi="Book Antiqua" w:cs="Book Antiqua"/>
          <w:color w:val="000000"/>
          <w:lang w:eastAsia="zh-CN"/>
        </w:rPr>
        <w:t>from</w:t>
      </w:r>
      <w:r w:rsidRPr="00B51896">
        <w:rPr>
          <w:rFonts w:ascii="Book Antiqua" w:eastAsia="Book Antiqua" w:hAnsi="Book Antiqua" w:cs="Book Antiqua"/>
          <w:color w:val="000000"/>
        </w:rPr>
        <w:t xml:space="preserve"> the ethics committee of our institution, and all patients provided informed consent to undergo TIPS creation and pressure measurements. The following inclusion criteria were applied: </w:t>
      </w:r>
      <w:r w:rsidR="00636F6A" w:rsidRPr="00B51896">
        <w:rPr>
          <w:rFonts w:ascii="Book Antiqua" w:eastAsia="Book Antiqua" w:hAnsi="Book Antiqua" w:cs="Book Antiqua"/>
          <w:color w:val="000000"/>
        </w:rPr>
        <w:t>(</w:t>
      </w:r>
      <w:r w:rsidRPr="00B51896">
        <w:rPr>
          <w:rFonts w:ascii="Book Antiqua" w:eastAsia="Book Antiqua" w:hAnsi="Book Antiqua" w:cs="Book Antiqua"/>
          <w:color w:val="000000"/>
        </w:rPr>
        <w:t>1) indication for TIPS</w:t>
      </w:r>
      <w:r w:rsidR="00636F6A"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w:t>
      </w:r>
      <w:r w:rsidR="00636F6A" w:rsidRPr="00B51896">
        <w:rPr>
          <w:rFonts w:ascii="Book Antiqua" w:eastAsia="Book Antiqua" w:hAnsi="Book Antiqua" w:cs="Book Antiqua"/>
          <w:color w:val="000000"/>
        </w:rPr>
        <w:t>(</w:t>
      </w:r>
      <w:r w:rsidRPr="00B51896">
        <w:rPr>
          <w:rFonts w:ascii="Book Antiqua" w:eastAsia="Book Antiqua" w:hAnsi="Book Antiqua" w:cs="Book Antiqua"/>
          <w:color w:val="000000"/>
        </w:rPr>
        <w:t>2) age of 18–75 years</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3) elective TIPS surgery</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and </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4) normal hepatic veins and IVC. The following exclusion criteria were applied: </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1) portal vein tumor thrombus</w:t>
      </w:r>
      <w:r w:rsidR="00B56157" w:rsidRPr="00B51896">
        <w:rPr>
          <w:rFonts w:ascii="Book Antiqua" w:eastAsia="Book Antiqua" w:hAnsi="Book Antiqua" w:cs="Book Antiqua"/>
          <w:color w:val="000000"/>
        </w:rPr>
        <w:t>; (</w:t>
      </w:r>
      <w:r w:rsidRPr="00B51896">
        <w:rPr>
          <w:rFonts w:ascii="Book Antiqua" w:eastAsia="Book Antiqua" w:hAnsi="Book Antiqua" w:cs="Book Antiqua"/>
          <w:color w:val="000000"/>
        </w:rPr>
        <w:t>2) arteriovenous fistula</w:t>
      </w:r>
      <w:r w:rsidR="00B56157" w:rsidRPr="00B51896">
        <w:rPr>
          <w:rFonts w:ascii="Book Antiqua" w:eastAsia="Book Antiqua" w:hAnsi="Book Antiqua" w:cs="Book Antiqua"/>
          <w:color w:val="000000"/>
        </w:rPr>
        <w:t>; (</w:t>
      </w:r>
      <w:r w:rsidRPr="00B51896">
        <w:rPr>
          <w:rFonts w:ascii="Book Antiqua" w:eastAsia="Book Antiqua" w:hAnsi="Book Antiqua" w:cs="Book Antiqua"/>
          <w:color w:val="000000"/>
        </w:rPr>
        <w:t>3) portal vein thrombosis affecting blood flow (</w:t>
      </w:r>
      <w:r w:rsidRPr="00B51896">
        <w:rPr>
          <w:rFonts w:ascii="Book Antiqua" w:eastAsia="Book Antiqua" w:hAnsi="Book Antiqua" w:cs="Book Antiqua"/>
          <w:i/>
          <w:iCs/>
          <w:color w:val="000000"/>
        </w:rPr>
        <w:t>e.g.</w:t>
      </w:r>
      <w:r w:rsidRPr="00B51896">
        <w:rPr>
          <w:rFonts w:ascii="Book Antiqua" w:eastAsia="Book Antiqua" w:hAnsi="Book Antiqua" w:cs="Book Antiqua"/>
          <w:color w:val="000000"/>
        </w:rPr>
        <w:t>, generally occurring over one-third of the main portal vein)</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4) administration of drugs affecting PVP within </w:t>
      </w:r>
      <w:r w:rsidR="00B56157" w:rsidRPr="00B51896">
        <w:rPr>
          <w:rFonts w:ascii="Book Antiqua" w:eastAsia="Book Antiqua" w:hAnsi="Book Antiqua" w:cs="Book Antiqua"/>
          <w:color w:val="000000"/>
        </w:rPr>
        <w:t>1</w:t>
      </w:r>
      <w:r w:rsidRPr="00B51896">
        <w:rPr>
          <w:rFonts w:ascii="Book Antiqua" w:eastAsia="Book Antiqua" w:hAnsi="Book Antiqua" w:cs="Book Antiqua"/>
          <w:color w:val="000000"/>
        </w:rPr>
        <w:t xml:space="preserve"> wk</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and </w:t>
      </w:r>
      <w:r w:rsidR="00B56157" w:rsidRPr="00B51896">
        <w:rPr>
          <w:rFonts w:ascii="Book Antiqua" w:eastAsia="Book Antiqua" w:hAnsi="Book Antiqua" w:cs="Book Antiqua"/>
          <w:color w:val="000000"/>
        </w:rPr>
        <w:t>(</w:t>
      </w:r>
      <w:r w:rsidRPr="00B51896">
        <w:rPr>
          <w:rFonts w:ascii="Book Antiqua" w:eastAsia="Book Antiqua" w:hAnsi="Book Antiqua" w:cs="Book Antiqua"/>
          <w:color w:val="000000"/>
        </w:rPr>
        <w:t>5) intraoperative factors affecting the accuracy of manometry, such as gallbladder cardiac reflex and incomplete balloon closure</w:t>
      </w:r>
      <w:r w:rsidRPr="00B51896">
        <w:rPr>
          <w:rFonts w:ascii="Book Antiqua" w:eastAsia="Book Antiqua" w:hAnsi="Book Antiqua" w:cs="Book Antiqua"/>
          <w:i/>
          <w:iCs/>
          <w:color w:val="000000"/>
        </w:rPr>
        <w:t>.</w:t>
      </w:r>
    </w:p>
    <w:p w14:paraId="693B713F" w14:textId="77777777"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A total of 134 patients with alcoholic cirrhosis and PHT complications undergoing TIPS were included in this study. Various venous pressures were measured during the TIPS procedure, and HVPG and PPG were calculated. Patient characteristics are summarized in Table 1. Patients were aged from 18–75 years old (average, 55.02 ± 10.65 years) and included 119 men (88.8 %) and 15 women (11.2 %). Of the 134 patients, 77 cases were complicated by gastrointestinal bleeding (57.5 %), 46 had refractory ascites (34.3 %), 6 had gastrointestinal bleeding associated with refractory ascites (4.5 %), and 5 had other conditions (</w:t>
      </w:r>
      <w:r w:rsidRPr="00B51896">
        <w:rPr>
          <w:rFonts w:ascii="Book Antiqua" w:eastAsia="Book Antiqua" w:hAnsi="Book Antiqua" w:cs="Book Antiqua"/>
          <w:i/>
          <w:iCs/>
          <w:color w:val="000000"/>
        </w:rPr>
        <w:t>e.g.</w:t>
      </w:r>
      <w:r w:rsidRPr="00B51896">
        <w:rPr>
          <w:rFonts w:ascii="Book Antiqua" w:eastAsia="Book Antiqua" w:hAnsi="Book Antiqua" w:cs="Book Antiqua"/>
          <w:color w:val="000000"/>
        </w:rPr>
        <w:t>, shunt restenosis and abdominal pain). According to the Child-Pugh classification, 52 (38. 8%) patients had class A, 68 (50.8 %) had class B, and 14 (10.4 %) had class C liver disease. Fifteen patients with alcoholic cirrhosis and PHT also had hepatocellular carcinoma.</w:t>
      </w:r>
    </w:p>
    <w:p w14:paraId="28746392" w14:textId="77777777" w:rsidR="00D60238" w:rsidRPr="00B51896" w:rsidRDefault="00D60238" w:rsidP="00EC0DF5">
      <w:pPr>
        <w:spacing w:line="360" w:lineRule="auto"/>
        <w:jc w:val="both"/>
        <w:rPr>
          <w:rFonts w:ascii="Book Antiqua" w:hAnsi="Book Antiqua"/>
        </w:rPr>
      </w:pPr>
    </w:p>
    <w:p w14:paraId="141C8ED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i/>
          <w:iCs/>
          <w:color w:val="000000"/>
        </w:rPr>
        <w:t>Pressure measurement method</w:t>
      </w:r>
    </w:p>
    <w:p w14:paraId="269F92F0" w14:textId="030C962F" w:rsidR="00D60238" w:rsidRPr="00B51896" w:rsidRDefault="00E04F37" w:rsidP="00EC0DF5">
      <w:pPr>
        <w:spacing w:line="360" w:lineRule="auto"/>
        <w:ind w:firstLine="4"/>
        <w:jc w:val="both"/>
        <w:rPr>
          <w:rFonts w:ascii="Book Antiqua" w:hAnsi="Book Antiqua"/>
        </w:rPr>
      </w:pPr>
      <w:r w:rsidRPr="00B51896">
        <w:rPr>
          <w:rFonts w:ascii="Book Antiqua" w:eastAsia="Book Antiqua" w:hAnsi="Book Antiqua" w:cs="Book Antiqua"/>
          <w:color w:val="000000"/>
        </w:rPr>
        <w:lastRenderedPageBreak/>
        <w:t xml:space="preserve">Preoperatively, all patients underwent various examinations, including a complete blood count, biochemical tests; quantitation of liver function; analysis of the indocyanine green retention rate at 15 min, blood ammonia level, blood type, coagulation status, and tumor markers; </w:t>
      </w:r>
      <w:r w:rsidR="002E34BC" w:rsidRPr="00B51896">
        <w:rPr>
          <w:rFonts w:ascii="Book Antiqua" w:eastAsia="Book Antiqua" w:hAnsi="Book Antiqua" w:cs="Book Antiqua"/>
          <w:color w:val="000000"/>
        </w:rPr>
        <w:t>electrocardiogram</w:t>
      </w:r>
      <w:r w:rsidRPr="00B51896">
        <w:rPr>
          <w:rFonts w:ascii="Book Antiqua" w:eastAsia="Book Antiqua" w:hAnsi="Book Antiqua" w:cs="Book Antiqua"/>
          <w:color w:val="000000"/>
        </w:rPr>
        <w:t xml:space="preserve">; portal vein ultrasound; and enhanced abdominal CT and/or magnetic resonance examination. The coagulation status, platelet count, and bilirubin, albumin, and hemoglobin levels were adjusted to adapt to interventional surgery. The effects and risks of the surgery were explained to the patients and their families, and informed consent was obtained. The ethics committee of the hospital approved the protocol </w:t>
      </w:r>
      <w:r w:rsidR="00C96026" w:rsidRPr="00B51896">
        <w:rPr>
          <w:rFonts w:ascii="Book Antiqua" w:eastAsia="Book Antiqua" w:hAnsi="Book Antiqua" w:cs="Book Antiqua"/>
          <w:color w:val="000000"/>
        </w:rPr>
        <w:t>[</w:t>
      </w:r>
      <w:r w:rsidRPr="00B51896">
        <w:rPr>
          <w:rFonts w:ascii="Book Antiqua" w:eastAsia="Book Antiqua" w:hAnsi="Book Antiqua" w:cs="Book Antiqua"/>
          <w:color w:val="000000"/>
        </w:rPr>
        <w:t>2018(01)</w:t>
      </w:r>
      <w:r w:rsidR="00C96026" w:rsidRPr="00B51896">
        <w:rPr>
          <w:rFonts w:ascii="Book Antiqua" w:eastAsia="Book Antiqua" w:hAnsi="Book Antiqua" w:cs="Book Antiqua"/>
          <w:color w:val="000000"/>
        </w:rPr>
        <w:t>]</w:t>
      </w:r>
      <w:r w:rsidRPr="00B51896">
        <w:rPr>
          <w:rFonts w:ascii="Book Antiqua" w:eastAsia="Book Antiqua" w:hAnsi="Book Antiqua" w:cs="Book Antiqua"/>
          <w:color w:val="000000"/>
        </w:rPr>
        <w:t>, and all patients provided written informed consent to participate in the study.</w:t>
      </w:r>
    </w:p>
    <w:p w14:paraId="52D4BEB4" w14:textId="699AC09B"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The method for measuring the hepatic pressure has been described previously</w:t>
      </w:r>
      <w:r w:rsidRPr="00B51896">
        <w:rPr>
          <w:rFonts w:ascii="Book Antiqua" w:eastAsia="Book Antiqua" w:hAnsi="Book Antiqua" w:cs="Book Antiqua"/>
          <w:color w:val="000000"/>
          <w:vertAlign w:val="superscript"/>
        </w:rPr>
        <w:t>[8]</w:t>
      </w:r>
      <w:r w:rsidRPr="00B51896">
        <w:rPr>
          <w:rFonts w:ascii="Book Antiqua" w:eastAsia="Book Antiqua" w:hAnsi="Book Antiqua" w:cs="Book Antiqua"/>
          <w:color w:val="000000"/>
        </w:rPr>
        <w:t>. Briefly, after routine disinfection and towel placement, the right internal jugular vein was punctured under local anesthesia and intubation was performed. The Rösch-Uchida Transjugular Liver Access Set (RUPS-100, specialized for TIPS; Cook Medical, U</w:t>
      </w:r>
      <w:r w:rsidR="00C96026" w:rsidRPr="00B51896">
        <w:rPr>
          <w:rFonts w:ascii="Book Antiqua" w:eastAsia="Book Antiqua" w:hAnsi="Book Antiqua" w:cs="Book Antiqua"/>
          <w:color w:val="000000"/>
        </w:rPr>
        <w:t xml:space="preserve">nited </w:t>
      </w:r>
      <w:r w:rsidRPr="00B51896">
        <w:rPr>
          <w:rFonts w:ascii="Book Antiqua" w:eastAsia="Book Antiqua" w:hAnsi="Book Antiqua" w:cs="Book Antiqua"/>
          <w:color w:val="000000"/>
        </w:rPr>
        <w:t>S</w:t>
      </w:r>
      <w:r w:rsidR="00C96026" w:rsidRPr="00B51896">
        <w:rPr>
          <w:rFonts w:ascii="Book Antiqua" w:eastAsia="Book Antiqua" w:hAnsi="Book Antiqua" w:cs="Book Antiqua"/>
          <w:color w:val="000000"/>
        </w:rPr>
        <w:t>tates</w:t>
      </w:r>
      <w:r w:rsidRPr="00B51896">
        <w:rPr>
          <w:rFonts w:ascii="Book Antiqua" w:eastAsia="Book Antiqua" w:hAnsi="Book Antiqua" w:cs="Book Antiqua"/>
          <w:color w:val="000000"/>
        </w:rPr>
        <w:t xml:space="preserve">) was placed in the right atrium and IVC, and the pressure was measured. A Fogarty balloon catheter (Edwards Lifesciences, </w:t>
      </w:r>
      <w:r w:rsidR="00C96026" w:rsidRPr="00B51896">
        <w:rPr>
          <w:rFonts w:ascii="Book Antiqua" w:eastAsia="Book Antiqua" w:hAnsi="Book Antiqua" w:cs="Book Antiqua"/>
          <w:color w:val="000000"/>
        </w:rPr>
        <w:t>United States</w:t>
      </w:r>
      <w:r w:rsidRPr="00B51896">
        <w:rPr>
          <w:rFonts w:ascii="Book Antiqua" w:eastAsia="Book Antiqua" w:hAnsi="Book Antiqua" w:cs="Book Antiqua"/>
          <w:color w:val="000000"/>
        </w:rPr>
        <w:t xml:space="preserve">) was inserted through the 10-French outer sheath. Under the guidance of the guidewire, the catheter was passed through the superior vena cava, right atrium, and IVC and was then advanced into the hepatic vein. The balloon-tipped catheter was placed 3–5 cm peripheral to the junction of the hepatic vein and the IVC. WHVP and FHVP measurements were obtained before and after occlusion of the hepatic vein using a balloon inflated with 5 mL of contrast medium. All measurements were performed three times. Pressure values were recorded when they were stable, and the mean WHVP and FHVP values were taken; HVPG was subsequently calculated. After measurements, the balloon was blocked to obtain occluded hepatic venography (15 mL of contrast agent, 5 mL/s, pressure 200–300 psi), and WHVP and FHVP were remeasured. After observing the balloon catheter occlusion after balloon expansion, the balloon catheter position was adjusted for retesting and angiography once occlusion occurred. The hepatic parenchyma and portal vein were punctured through the IVC or hepatic vein. After a </w:t>
      </w:r>
      <w:r w:rsidRPr="00B51896">
        <w:rPr>
          <w:rFonts w:ascii="Book Antiqua" w:eastAsia="Book Antiqua" w:hAnsi="Book Antiqua" w:cs="Book Antiqua"/>
          <w:color w:val="000000"/>
        </w:rPr>
        <w:lastRenderedPageBreak/>
        <w:t>successful puncture, a pigtail catheter was inserted into the splenic or superior mesenteric vein for venography. Before shunting, the pressure of the main trunk of the portal vein was measured three times for an average value, and PPG was calculated. Subsequently, the liver tissue from the preshunt channel was obtained, and the shunt channel was established. The pressure of the main trunk of the portal vein was remeasured three times for an average value, and PPG was calculated. An indwelling catheter was placed in the portal vein for at least 24 h postoperatively, and PVP was measured three times daily. IVCP and right atrial pressure measurements were repeated three times during extubation to obtain average values.</w:t>
      </w:r>
    </w:p>
    <w:p w14:paraId="46A4DE1A" w14:textId="77777777" w:rsidR="00D60238" w:rsidRPr="00B51896" w:rsidRDefault="00D60238" w:rsidP="00EC0DF5">
      <w:pPr>
        <w:spacing w:line="360" w:lineRule="auto"/>
        <w:ind w:firstLine="480"/>
        <w:jc w:val="both"/>
        <w:rPr>
          <w:rFonts w:ascii="Book Antiqua" w:hAnsi="Book Antiqua"/>
        </w:rPr>
      </w:pPr>
    </w:p>
    <w:p w14:paraId="3DE955B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i/>
          <w:iCs/>
          <w:color w:val="000000"/>
        </w:rPr>
        <w:t>Statistical methods</w:t>
      </w:r>
    </w:p>
    <w:p w14:paraId="3B898E17" w14:textId="2948397D"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 xml:space="preserve">Statistical analyses were performed using SPSS (version 25.0; IBM SPSS Statistics, NC, </w:t>
      </w:r>
      <w:r w:rsidR="00467337" w:rsidRPr="00B51896">
        <w:rPr>
          <w:rFonts w:ascii="Book Antiqua" w:eastAsia="Book Antiqua" w:hAnsi="Book Antiqua" w:cs="Book Antiqua"/>
          <w:color w:val="000000"/>
        </w:rPr>
        <w:t>United States</w:t>
      </w:r>
      <w:r w:rsidRPr="00B51896">
        <w:rPr>
          <w:rFonts w:ascii="Book Antiqua" w:eastAsia="Book Antiqua" w:hAnsi="Book Antiqua" w:cs="Book Antiqua"/>
          <w:color w:val="000000"/>
        </w:rPr>
        <w:t xml:space="preserve">) and GraphPad Prism 8 (GraphPad, Inc., La Jolla, CA, </w:t>
      </w:r>
      <w:r w:rsidR="00467337" w:rsidRPr="00B51896">
        <w:rPr>
          <w:rFonts w:ascii="Book Antiqua" w:eastAsia="Book Antiqua" w:hAnsi="Book Antiqua" w:cs="Book Antiqua"/>
          <w:color w:val="000000"/>
        </w:rPr>
        <w:t>United States</w:t>
      </w:r>
      <w:r w:rsidRPr="00B51896">
        <w:rPr>
          <w:rFonts w:ascii="Book Antiqua" w:eastAsia="Book Antiqua" w:hAnsi="Book Antiqua" w:cs="Book Antiqua"/>
          <w:color w:val="000000"/>
        </w:rPr>
        <w:t>). The results are expressed as mean ± SD. Correlations were assessed using Pearson’s correlation coefficient to estimate the correlation coefficient (r) and the determination coefficient (R</w:t>
      </w:r>
      <w:r w:rsidRPr="00B51896">
        <w:rPr>
          <w:rFonts w:ascii="Book Antiqua" w:eastAsia="Book Antiqua" w:hAnsi="Book Antiqua" w:cs="Book Antiqua"/>
          <w:color w:val="000000"/>
          <w:vertAlign w:val="superscript"/>
        </w:rPr>
        <w:t>2</w:t>
      </w:r>
      <w:r w:rsidRPr="00B51896">
        <w:rPr>
          <w:rFonts w:ascii="Book Antiqua" w:eastAsia="Book Antiqua" w:hAnsi="Book Antiqua" w:cs="Book Antiqua"/>
          <w:color w:val="000000"/>
        </w:rPr>
        <w:t xml:space="preserve">). Bland-Altman plots were constructed to further analyze the agreement between measurements. Differences between PPG and HVPG, WHVP and PVP, and FHVP and IVCP were analyzed using paired t-test. Statistical significance was set at </w:t>
      </w:r>
      <w:r w:rsidRPr="00B51896">
        <w:rPr>
          <w:rFonts w:ascii="Book Antiqua" w:eastAsia="Book Antiqua" w:hAnsi="Book Antiqua" w:cs="Book Antiqua"/>
          <w:i/>
          <w:color w:val="000000"/>
        </w:rPr>
        <w:t>P</w:t>
      </w:r>
      <w:r w:rsidR="00467337"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&lt; 0.05.</w:t>
      </w:r>
    </w:p>
    <w:p w14:paraId="271CEEEF" w14:textId="77777777" w:rsidR="00D60238" w:rsidRPr="00B51896" w:rsidRDefault="00D60238" w:rsidP="00EC0DF5">
      <w:pPr>
        <w:spacing w:line="360" w:lineRule="auto"/>
        <w:jc w:val="both"/>
        <w:rPr>
          <w:rFonts w:ascii="Book Antiqua" w:hAnsi="Book Antiqua"/>
        </w:rPr>
      </w:pPr>
    </w:p>
    <w:p w14:paraId="1C0713D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RESULTS</w:t>
      </w:r>
    </w:p>
    <w:p w14:paraId="5691618B" w14:textId="77777777" w:rsidR="00D60238" w:rsidRPr="00B51896" w:rsidRDefault="00E04F37" w:rsidP="00EC0DF5">
      <w:pPr>
        <w:spacing w:line="360" w:lineRule="auto"/>
        <w:ind w:firstLine="4"/>
        <w:jc w:val="both"/>
        <w:rPr>
          <w:rFonts w:ascii="Book Antiqua" w:hAnsi="Book Antiqua"/>
        </w:rPr>
      </w:pPr>
      <w:r w:rsidRPr="00B51896">
        <w:rPr>
          <w:rFonts w:ascii="Book Antiqua" w:eastAsia="Book Antiqua" w:hAnsi="Book Antiqua" w:cs="Book Antiqua"/>
          <w:color w:val="000000"/>
        </w:rPr>
        <w:t>Among the 134 patients with alcoholic cirrhosis with PHT complications, intraoperative venograms showed portal vein collateral formation in 26 (19.40 %) patients and no portal vein collateralization in 108 (80.60 %) patients (Figure 1). As shown in Figure 2, WHVP and HVPG were significantly lower than PVP and HVPG, respectively. The average FHVP was higher than the average IVCP.</w:t>
      </w:r>
    </w:p>
    <w:p w14:paraId="2257F90D" w14:textId="291CEB32"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In the 134 patients with alcoholic cirrhosis with PHT complications, the average WHVP was lower than the average PVP (28.70 ± 8.78</w:t>
      </w:r>
      <w:r w:rsidR="003501FF" w:rsidRPr="00B51896">
        <w:rPr>
          <w:rFonts w:ascii="Book Antiqua" w:eastAsia="Book Antiqua" w:hAnsi="Book Antiqua" w:cs="Book Antiqua"/>
          <w:color w:val="000000"/>
        </w:rPr>
        <w:t xml:space="preserve"> mmHg</w:t>
      </w:r>
      <w:r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33.58 ± 6.91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(Table 2). The r and R</w:t>
      </w:r>
      <w:r w:rsidRPr="00B51896">
        <w:rPr>
          <w:rFonts w:ascii="Book Antiqua" w:eastAsia="Book Antiqua" w:hAnsi="Book Antiqua" w:cs="Book Antiqua"/>
          <w:color w:val="000000"/>
          <w:vertAlign w:val="superscript"/>
        </w:rPr>
        <w:t>2</w:t>
      </w:r>
      <w:r w:rsidR="003501FF"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 xml:space="preserve">values between WHVP and PVP were 0.270 and 0.073, </w:t>
      </w:r>
      <w:r w:rsidRPr="00B51896">
        <w:rPr>
          <w:rFonts w:ascii="Book Antiqua" w:eastAsia="Book Antiqua" w:hAnsi="Book Antiqua" w:cs="Book Antiqua"/>
          <w:color w:val="000000"/>
        </w:rPr>
        <w:lastRenderedPageBreak/>
        <w:t>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0.002), and the average difference between them was –4.82 ± 9.60 mmHg </w:t>
      </w:r>
      <w:r w:rsidR="003501FF"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95 % limits of agreement </w:t>
      </w:r>
      <w:r w:rsidRPr="00B51896">
        <w:rPr>
          <w:rFonts w:ascii="Book Antiqua" w:eastAsia="Book Antiqua" w:hAnsi="Book Antiqua" w:cs="Book Antiqua"/>
          <w:color w:val="000000"/>
          <w:lang w:eastAsia="zh-CN"/>
        </w:rPr>
        <w:t>(</w:t>
      </w:r>
      <w:r w:rsidRPr="00B51896">
        <w:rPr>
          <w:rFonts w:ascii="Book Antiqua" w:eastAsia="Book Antiqua" w:hAnsi="Book Antiqua" w:cs="Book Antiqua"/>
          <w:color w:val="000000"/>
        </w:rPr>
        <w:t>LoA) –23.64 to 13.99</w:t>
      </w:r>
      <w:r w:rsidR="003501FF"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(Table 3 and Figure 3). The average HVPG was lower than the average PPG (16.96 ± 9.41 </w:t>
      </w:r>
      <w:r w:rsidR="003501FF" w:rsidRPr="00B51896">
        <w:rPr>
          <w:rFonts w:ascii="Book Antiqua" w:eastAsia="Book Antiqua" w:hAnsi="Book Antiqua" w:cs="Book Antiqua"/>
          <w:color w:val="000000"/>
        </w:rPr>
        <w:t>mmHg</w:t>
      </w:r>
      <w:r w:rsidR="003501FF" w:rsidRPr="00B51896">
        <w:rPr>
          <w:rFonts w:ascii="Book Antiqua" w:eastAsia="Book Antiqua" w:hAnsi="Book Antiqua" w:cs="Book Antiqua"/>
          <w:i/>
          <w:iCs/>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24.73 ± 6.92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(Table 2). The r and R</w:t>
      </w:r>
      <w:r w:rsidRPr="00B51896">
        <w:rPr>
          <w:rFonts w:ascii="Book Antiqua" w:eastAsia="Book Antiqua" w:hAnsi="Book Antiqua" w:cs="Book Antiqua"/>
          <w:color w:val="000000"/>
          <w:vertAlign w:val="superscript"/>
        </w:rPr>
        <w:t>2</w:t>
      </w:r>
      <w:r w:rsidR="003501FF"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between the HVPG and PPG were 0.201 and 0.040, 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0.020), and the average difference between them was –7.77 ± 10.50 mmHg (95 % LoA –28.35 to 12.80) (Table 3 and Figure 3).</w:t>
      </w:r>
    </w:p>
    <w:p w14:paraId="23FA1C40" w14:textId="2DED2C65"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In the 26 patients with collateral branches, the average WHVP was lower than the average PVP (20.89 ± 6.69</w:t>
      </w:r>
      <w:r w:rsidR="00605D01" w:rsidRPr="00B51896">
        <w:rPr>
          <w:rFonts w:ascii="Book Antiqua" w:eastAsia="Book Antiqua" w:hAnsi="Book Antiqua" w:cs="Book Antiqua"/>
          <w:color w:val="000000"/>
        </w:rPr>
        <w:t xml:space="preserve"> mmHg</w:t>
      </w:r>
      <w:r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34.96 ± 8.08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(Table 2). The r and R</w:t>
      </w:r>
      <w:r w:rsidRPr="00B51896">
        <w:rPr>
          <w:rFonts w:ascii="Book Antiqua" w:eastAsia="Book Antiqua" w:hAnsi="Book Antiqua" w:cs="Book Antiqua"/>
          <w:color w:val="000000"/>
          <w:vertAlign w:val="superscript"/>
        </w:rPr>
        <w:t>2</w:t>
      </w:r>
      <w:r w:rsidR="00605D01"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between WHVP and PVP were 0.303 and 0.092, 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0.133), and the average difference between them was 14.07 ± 8.79 mmHg (95 % LoA –3.16 to 31.31) (Table 3 and Figure 4). The average HVPG was lower than the average PPG (9.86 ± 7.44 </w:t>
      </w:r>
      <w:r w:rsidR="00605D01" w:rsidRPr="00B51896">
        <w:rPr>
          <w:rFonts w:ascii="Book Antiqua" w:eastAsia="Book Antiqua" w:hAnsi="Book Antiqua" w:cs="Book Antiqua"/>
          <w:color w:val="000000"/>
        </w:rPr>
        <w:t>mmHg</w:t>
      </w:r>
      <w:r w:rsidR="00605D01" w:rsidRPr="00B51896">
        <w:rPr>
          <w:rFonts w:ascii="Book Antiqua" w:eastAsia="Book Antiqua" w:hAnsi="Book Antiqua" w:cs="Book Antiqua"/>
          <w:i/>
          <w:iCs/>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25.94 ± 7.42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(Table 2). The r and R</w:t>
      </w:r>
      <w:r w:rsidRPr="00B51896">
        <w:rPr>
          <w:rFonts w:ascii="Book Antiqua" w:eastAsia="Book Antiqua" w:hAnsi="Book Antiqua" w:cs="Book Antiqua"/>
          <w:color w:val="000000"/>
          <w:vertAlign w:val="superscript"/>
        </w:rPr>
        <w:t>2</w:t>
      </w:r>
      <w:r w:rsidR="00605D01"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between the HVPG and PPG were 0.208 and 0.043, 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0.309), and the average difference between them was 16.08 ± 9.35 mmHg (95 % LoA – 2.25 to 34.40) (Table 3 and Figure 4).</w:t>
      </w:r>
    </w:p>
    <w:p w14:paraId="4D1A8363" w14:textId="3F79CFE4"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 xml:space="preserve">In the 108 patients with no collateral branches, the average WHVP was lower than the average PVP (30.65 ± 8.17 </w:t>
      </w:r>
      <w:r w:rsidR="00605D01" w:rsidRPr="00B51896">
        <w:rPr>
          <w:rFonts w:ascii="Book Antiqua" w:eastAsia="Book Antiqua" w:hAnsi="Book Antiqua" w:cs="Book Antiqua"/>
          <w:color w:val="000000"/>
        </w:rPr>
        <w:t xml:space="preserve">mmHg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33.25 ± 6.60 mmHg;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0.002) (Table 2). The r and R</w:t>
      </w:r>
      <w:r w:rsidRPr="00B51896">
        <w:rPr>
          <w:rFonts w:ascii="Book Antiqua" w:eastAsia="Book Antiqua" w:hAnsi="Book Antiqua" w:cs="Book Antiqua"/>
          <w:color w:val="000000"/>
          <w:vertAlign w:val="superscript"/>
        </w:rPr>
        <w:t>2</w:t>
      </w:r>
      <w:r w:rsidR="00605D01"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between WHVP and PVP were 0.368 and 0.135, respectively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and the average difference between them was 2.60 ± 8.41 mmHg (95 % LoA –13.88 to 19.07) (Table 3 and Figure 5). The average HVPG was lower than the average PPG (18.67 ± 9.05</w:t>
      </w:r>
      <w:r w:rsidR="004258E3" w:rsidRPr="00B51896">
        <w:rPr>
          <w:rFonts w:ascii="Book Antiqua" w:eastAsia="Book Antiqua" w:hAnsi="Book Antiqua" w:cs="Book Antiqua"/>
          <w:color w:val="000000"/>
        </w:rPr>
        <w:t xml:space="preserve"> mmHg</w:t>
      </w:r>
      <w:r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24.44 ± 6.79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(Table 2). The r and R</w:t>
      </w:r>
      <w:r w:rsidRPr="00B51896">
        <w:rPr>
          <w:rFonts w:ascii="Book Antiqua" w:eastAsia="Book Antiqua" w:hAnsi="Book Antiqua" w:cs="Book Antiqua"/>
          <w:color w:val="000000"/>
          <w:vertAlign w:val="superscript"/>
        </w:rPr>
        <w:t>2</w:t>
      </w:r>
      <w:r w:rsidR="004258E3" w:rsidRPr="00B51896">
        <w:rPr>
          <w:rFonts w:ascii="Book Antiqua" w:eastAsia="Book Antiqua" w:hAnsi="Book Antiqua" w:cs="Book Antiqua"/>
          <w:color w:val="000000"/>
        </w:rPr>
        <w:t xml:space="preserve"> </w:t>
      </w:r>
      <w:r w:rsidRPr="00B51896">
        <w:rPr>
          <w:rFonts w:ascii="Book Antiqua" w:eastAsia="Book Antiqua" w:hAnsi="Book Antiqua" w:cs="Book Antiqua"/>
          <w:color w:val="000000"/>
        </w:rPr>
        <w:t>values between the HVPG and PPG were 0.263 and 0.069, 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0.006), and the average difference between them was 5.77 ± 9.79 mmHg (95 % LoA –13.41 to 24.95 mmHg (mean) (Table 3 and Figure 5).</w:t>
      </w:r>
    </w:p>
    <w:p w14:paraId="0D2F5964" w14:textId="77777777"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As shown in Figure 6, 3 (11.54%) patients in the collateral branches group and 59 (54.63%) patients in the no collateral branches groups had differences between WHVP and PVP of less than 5 mmHg. In addition, 3 (11.54%) patients in the collateral branches group and 44 (40.74%) patients in the no collateral branches groups had differences between HVPG and PPG of less than 5 mmHg.</w:t>
      </w:r>
    </w:p>
    <w:p w14:paraId="6C84FE6F" w14:textId="77777777" w:rsidR="00D60238" w:rsidRPr="00B51896" w:rsidRDefault="00D60238" w:rsidP="00EC0DF5">
      <w:pPr>
        <w:spacing w:line="360" w:lineRule="auto"/>
        <w:ind w:firstLine="4"/>
        <w:jc w:val="both"/>
        <w:rPr>
          <w:rFonts w:ascii="Book Antiqua" w:hAnsi="Book Antiqua"/>
        </w:rPr>
      </w:pPr>
    </w:p>
    <w:p w14:paraId="4521CF8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DISCUSSION</w:t>
      </w:r>
    </w:p>
    <w:p w14:paraId="3D223FFC" w14:textId="6A49A98C" w:rsidR="00D60238" w:rsidRPr="00B51896" w:rsidRDefault="00E04F37" w:rsidP="00EC0DF5">
      <w:pPr>
        <w:spacing w:line="360" w:lineRule="auto"/>
        <w:ind w:firstLine="4"/>
        <w:jc w:val="both"/>
        <w:rPr>
          <w:rFonts w:ascii="Book Antiqua" w:hAnsi="Book Antiqua"/>
        </w:rPr>
      </w:pPr>
      <w:r w:rsidRPr="00B51896">
        <w:rPr>
          <w:rFonts w:ascii="Book Antiqua" w:eastAsia="Book Antiqua" w:hAnsi="Book Antiqua" w:cs="Book Antiqua"/>
          <w:color w:val="000000"/>
        </w:rPr>
        <w:t>Alcoholic cirrhosis associated with PHT is a common liver disease. Based on the pathological changes in the liver, significant changes in liver hemodynamics occur, and vascular resistance is increased, causing gradually elevated PVP. Clinically, the symptoms gradually become more conspicuous and their severity is directly associated with the degree of PVP</w:t>
      </w:r>
      <w:r w:rsidRPr="00B51896">
        <w:rPr>
          <w:rFonts w:ascii="Book Antiqua" w:eastAsia="Book Antiqua" w:hAnsi="Book Antiqua" w:cs="Book Antiqua"/>
          <w:color w:val="000000"/>
          <w:vertAlign w:val="superscript"/>
        </w:rPr>
        <w:t>[9]</w:t>
      </w:r>
      <w:r w:rsidRPr="00B51896">
        <w:rPr>
          <w:rFonts w:ascii="Book Antiqua" w:eastAsia="Book Antiqua" w:hAnsi="Book Antiqua" w:cs="Book Antiqua"/>
          <w:color w:val="000000"/>
        </w:rPr>
        <w:t>. In clinical practice, the degree of PHT in patients with liver cirrhosis is mainly evaluated based on clinical symptoms, signs, imaging examinations, and gastroscopy; however, these evaluation methods typically have a low sensitivity. Accurate assessments require direct PVP measurements</w:t>
      </w:r>
      <w:r w:rsidRPr="00B51896">
        <w:rPr>
          <w:rFonts w:ascii="Book Antiqua" w:eastAsia="Book Antiqua" w:hAnsi="Book Antiqua" w:cs="Book Antiqua"/>
          <w:color w:val="000000"/>
          <w:vertAlign w:val="superscript"/>
        </w:rPr>
        <w:t>[10]</w:t>
      </w:r>
      <w:r w:rsidRPr="00B51896">
        <w:rPr>
          <w:rFonts w:ascii="Book Antiqua" w:eastAsia="Book Antiqua" w:hAnsi="Book Antiqua" w:cs="Book Antiqua"/>
          <w:color w:val="000000"/>
        </w:rPr>
        <w:t>. Comparing the risks and benefits of the assessment, the technique is too complicated, and the trauma is too severe. In recent years, many researchers have measured the hepatic vein pressure instead of directly measuring PVP as the gold standard to reflect PVP in clinical applications</w:t>
      </w:r>
      <w:r w:rsidRPr="00B51896">
        <w:rPr>
          <w:rFonts w:ascii="Book Antiqua" w:eastAsia="Book Antiqua" w:hAnsi="Book Antiqua" w:cs="Book Antiqua"/>
          <w:color w:val="000000"/>
          <w:vertAlign w:val="superscript"/>
        </w:rPr>
        <w:t>[11,12]</w:t>
      </w:r>
      <w:r w:rsidRPr="00B51896">
        <w:rPr>
          <w:rFonts w:ascii="Book Antiqua" w:eastAsia="Book Antiqua" w:hAnsi="Book Antiqua" w:cs="Book Antiqua"/>
          <w:color w:val="000000"/>
        </w:rPr>
        <w:t xml:space="preserve">. Research on noninvasive portal vein manometry also considers the hepatic vein pressure as a standard. There are two principal ways to measure the hepatic vein pressure: </w:t>
      </w:r>
      <w:r w:rsidR="004258E3" w:rsidRPr="00B51896">
        <w:rPr>
          <w:rFonts w:ascii="Book Antiqua" w:eastAsia="Book Antiqua" w:hAnsi="Book Antiqua" w:cs="Book Antiqua"/>
          <w:color w:val="000000"/>
        </w:rPr>
        <w:t>I</w:t>
      </w:r>
      <w:r w:rsidRPr="00B51896">
        <w:rPr>
          <w:rFonts w:ascii="Book Antiqua" w:eastAsia="Book Antiqua" w:hAnsi="Book Antiqua" w:cs="Book Antiqua"/>
          <w:color w:val="000000"/>
        </w:rPr>
        <w:t xml:space="preserve">ntubating the hepatic vein through the jugular or femoral vein to measure WHVP or FHVP, respectively. HVPG is calculated by subtracting FHVP from WHVP. WHVP can be measured using two methods: </w:t>
      </w:r>
      <w:r w:rsidR="004258E3" w:rsidRPr="00B51896">
        <w:rPr>
          <w:rFonts w:ascii="Book Antiqua" w:eastAsia="Book Antiqua" w:hAnsi="Book Antiqua" w:cs="Book Antiqua"/>
          <w:color w:val="000000"/>
        </w:rPr>
        <w:t>M</w:t>
      </w:r>
      <w:r w:rsidRPr="00B51896">
        <w:rPr>
          <w:rFonts w:ascii="Book Antiqua" w:eastAsia="Book Antiqua" w:hAnsi="Book Antiqua" w:cs="Book Antiqua"/>
          <w:color w:val="000000"/>
        </w:rPr>
        <w:t>easuring the pressure after the balloon blocks the hepatic vein or obtaining the pressure by inserting an end-hole catheter into the end of the branch of the hepatic vein. The former method is more accurate and is commonly used</w:t>
      </w:r>
      <w:r w:rsidRPr="00B51896">
        <w:rPr>
          <w:rFonts w:ascii="Book Antiqua" w:eastAsia="Book Antiqua" w:hAnsi="Book Antiqua" w:cs="Book Antiqua"/>
          <w:color w:val="000000"/>
          <w:vertAlign w:val="superscript"/>
        </w:rPr>
        <w:t>[13]</w:t>
      </w:r>
      <w:r w:rsidRPr="00B51896">
        <w:rPr>
          <w:rFonts w:ascii="Book Antiqua" w:eastAsia="Book Antiqua" w:hAnsi="Book Antiqua" w:cs="Book Antiqua"/>
          <w:color w:val="000000"/>
        </w:rPr>
        <w:t>. In normal liver hemodynamics, PVP is equal to or greater than the hepatic sinus pressure, WHVP is equal to the hepatic sinus pressure, and FHVP is 0.5–1.0 mmHg higher than IVCP</w:t>
      </w:r>
      <w:r w:rsidRPr="00B51896">
        <w:rPr>
          <w:rFonts w:ascii="Book Antiqua" w:eastAsia="Book Antiqua" w:hAnsi="Book Antiqua" w:cs="Book Antiqua"/>
          <w:color w:val="000000"/>
          <w:vertAlign w:val="superscript"/>
        </w:rPr>
        <w:t>[7]</w:t>
      </w:r>
      <w:r w:rsidRPr="00B51896">
        <w:rPr>
          <w:rFonts w:ascii="Book Antiqua" w:eastAsia="Book Antiqua" w:hAnsi="Book Antiqua" w:cs="Book Antiqua"/>
          <w:color w:val="000000"/>
        </w:rPr>
        <w:t>. Therefore, HVPG indirectly represents PPG and the portal vein perfusion pressure</w:t>
      </w:r>
      <w:r w:rsidRPr="00B51896">
        <w:rPr>
          <w:rFonts w:ascii="Book Antiqua" w:eastAsia="Book Antiqua" w:hAnsi="Book Antiqua" w:cs="Book Antiqua"/>
          <w:color w:val="000000"/>
          <w:vertAlign w:val="superscript"/>
        </w:rPr>
        <w:t>[8,14]</w:t>
      </w:r>
      <w:r w:rsidRPr="00B51896">
        <w:rPr>
          <w:rFonts w:ascii="Book Antiqua" w:eastAsia="Book Antiqua" w:hAnsi="Book Antiqua" w:cs="Book Antiqua"/>
          <w:color w:val="000000"/>
        </w:rPr>
        <w:t>. It is more meaningful to use PPG than PVP to predict the risk of various PHT complications</w:t>
      </w:r>
      <w:r w:rsidRPr="00B51896">
        <w:rPr>
          <w:rFonts w:ascii="Book Antiqua" w:eastAsia="Book Antiqua" w:hAnsi="Book Antiqua" w:cs="Book Antiqua"/>
          <w:color w:val="000000"/>
          <w:vertAlign w:val="superscript"/>
        </w:rPr>
        <w:t>[8,15]</w:t>
      </w:r>
      <w:r w:rsidRPr="00B51896">
        <w:rPr>
          <w:rFonts w:ascii="Book Antiqua" w:eastAsia="Book Antiqua" w:hAnsi="Book Antiqua" w:cs="Book Antiqua"/>
          <w:color w:val="000000"/>
        </w:rPr>
        <w:t>. Significant pathological changes occur in the hepatic tissue structure of patients with alcoholic cirrhosis and PHT, resulting in significant changes in liver hemodynamics. Regarding whether WHVP is representative of PVP, some scholars believe that WHVP and PVP are correlated in patients with alcoholic cirrhosis</w:t>
      </w:r>
      <w:r w:rsidRPr="00B51896">
        <w:rPr>
          <w:rFonts w:ascii="Book Antiqua" w:eastAsia="Book Antiqua" w:hAnsi="Book Antiqua" w:cs="Book Antiqua"/>
          <w:color w:val="000000"/>
          <w:vertAlign w:val="superscript"/>
        </w:rPr>
        <w:t>[16,17]</w:t>
      </w:r>
      <w:r w:rsidRPr="00B51896">
        <w:rPr>
          <w:rFonts w:ascii="Book Antiqua" w:eastAsia="Book Antiqua" w:hAnsi="Book Antiqua" w:cs="Book Antiqua"/>
          <w:color w:val="000000"/>
        </w:rPr>
        <w:t xml:space="preserve">. However, this remains controversial, </w:t>
      </w:r>
      <w:r w:rsidRPr="00B51896">
        <w:rPr>
          <w:rFonts w:ascii="Book Antiqua" w:eastAsia="Book Antiqua" w:hAnsi="Book Antiqua" w:cs="Book Antiqua"/>
          <w:color w:val="000000"/>
        </w:rPr>
        <w:lastRenderedPageBreak/>
        <w:t>as the number of cases is limited. Difference in WHVP and PVP have been reported in patients with cirrhosis with the same etiology but different pathology types. In macronodular cirrhosis, WHVP and PVP are poorly correlated</w:t>
      </w:r>
      <w:r w:rsidRPr="00B51896">
        <w:rPr>
          <w:rFonts w:ascii="Book Antiqua" w:eastAsia="Book Antiqua" w:hAnsi="Book Antiqua" w:cs="Book Antiqua"/>
          <w:color w:val="000000"/>
          <w:vertAlign w:val="superscript"/>
        </w:rPr>
        <w:t>[18]</w:t>
      </w:r>
      <w:r w:rsidRPr="00B51896">
        <w:rPr>
          <w:rFonts w:ascii="Book Antiqua" w:eastAsia="Book Antiqua" w:hAnsi="Book Antiqua" w:cs="Book Antiqua"/>
          <w:color w:val="000000"/>
        </w:rPr>
        <w:t>, possibly due to the existence of normal tissues between macronodules</w:t>
      </w:r>
      <w:r w:rsidRPr="00B51896">
        <w:rPr>
          <w:rFonts w:ascii="Book Antiqua" w:eastAsia="Book Antiqua" w:hAnsi="Book Antiqua" w:cs="Book Antiqua"/>
          <w:color w:val="000000"/>
          <w:vertAlign w:val="superscript"/>
        </w:rPr>
        <w:t>[16]</w:t>
      </w:r>
      <w:r w:rsidRPr="00B51896">
        <w:rPr>
          <w:rFonts w:ascii="Book Antiqua" w:eastAsia="Book Antiqua" w:hAnsi="Book Antiqua" w:cs="Book Antiqua"/>
          <w:color w:val="000000"/>
        </w:rPr>
        <w:t>. Few studies have reported whether HVPG can accurately reflect PPG. The results of this study showed that the correlation between WHVP and PVP is very poor, and the correlation between HVPG and PPG also poor. In 47 patients, PPG exceeded HVPG by less than 5 mmHg, accounting for 35.1 % of patients. Therefore, most HVPG measurements cannot accurately represent PPG, partly because of the vascularization of the collateral branches of the hepatic vein. In our study, 26 patients (19.4 %) had collateral branches of the hepatic vein, and WHVP and HVPG were both grossly underestimated. These results are consistent with those of other studies. Patients without collateral branches of the hepatic vein accounted for a large proportion (80.6 %). The average WHVP was lower than the average PVP, and the average HVPG was significantly lower than the average PPG. For a small number of patients, the WHVP was greater than the PVP, and the HVPG was greater than the PPG. However, the underlying mechanism remains unclear. Reportedly, patients with a WHVP higher than the PVP are likely to have adverse hepatic blood flow, opening of the paraumbilical vein, anastomoses between the portal vein and IVC, and a gastrorenal shunt</w:t>
      </w:r>
      <w:r w:rsidRPr="00B51896">
        <w:rPr>
          <w:rFonts w:ascii="Book Antiqua" w:eastAsia="Book Antiqua" w:hAnsi="Book Antiqua" w:cs="Book Antiqua"/>
          <w:color w:val="000000"/>
          <w:vertAlign w:val="superscript"/>
        </w:rPr>
        <w:t>[16,19]</w:t>
      </w:r>
      <w:r w:rsidRPr="00B51896">
        <w:rPr>
          <w:rFonts w:ascii="Book Antiqua" w:eastAsia="Book Antiqua" w:hAnsi="Book Antiqua" w:cs="Book Antiqua"/>
          <w:color w:val="000000"/>
        </w:rPr>
        <w:t>. These scenarios were not present in the vast majority of patients in this study.</w:t>
      </w:r>
    </w:p>
    <w:p w14:paraId="65FD8242" w14:textId="2B8EFEE9"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The factors influencing the pressure measurements were strictly controlled before the operation. Patients who received preoperative health education and those who underwent elective surgery were selected, and patients were given adequate psychological preparation to allow for active compliance with the procedure. Suitable paracentesis was performed for patients with large ascites, and the use of drugs that affect the venous pressure, such as non-selective β-receptor blockers that influence PVP</w:t>
      </w:r>
      <w:r w:rsidRPr="00B51896">
        <w:rPr>
          <w:rFonts w:ascii="Book Antiqua" w:eastAsia="Book Antiqua" w:hAnsi="Book Antiqua" w:cs="Book Antiqua"/>
          <w:color w:val="000000"/>
          <w:vertAlign w:val="superscript"/>
        </w:rPr>
        <w:t>[12,20-22]</w:t>
      </w:r>
      <w:r w:rsidRPr="00B51896">
        <w:rPr>
          <w:rFonts w:ascii="Book Antiqua" w:eastAsia="Book Antiqua" w:hAnsi="Book Antiqua" w:cs="Book Antiqua"/>
          <w:color w:val="000000"/>
        </w:rPr>
        <w:t>, or propofol deep sedation, which can affect PPG</w:t>
      </w:r>
      <w:r w:rsidRPr="00B51896">
        <w:rPr>
          <w:rFonts w:ascii="Book Antiqua" w:eastAsia="Book Antiqua" w:hAnsi="Book Antiqua" w:cs="Book Antiqua"/>
          <w:color w:val="000000"/>
          <w:vertAlign w:val="superscript"/>
        </w:rPr>
        <w:t>[19,23]</w:t>
      </w:r>
      <w:r w:rsidRPr="00B51896">
        <w:rPr>
          <w:rFonts w:ascii="Book Antiqua" w:eastAsia="Book Antiqua" w:hAnsi="Book Antiqua" w:cs="Book Antiqua"/>
          <w:color w:val="000000"/>
        </w:rPr>
        <w:t xml:space="preserve">, were avoided. During the TIPS procedure and pressure measurement, clinicians should perform local anesthesia, measure the pressure after the patient is stable, repeat the measurement </w:t>
      </w:r>
      <w:r w:rsidRPr="00B51896">
        <w:rPr>
          <w:rFonts w:ascii="Book Antiqua" w:eastAsia="Book Antiqua" w:hAnsi="Book Antiqua" w:cs="Book Antiqua"/>
          <w:color w:val="000000"/>
        </w:rPr>
        <w:lastRenderedPageBreak/>
        <w:t>several times, and ensure that the catheter is at the same location for each measurement. Gallbladder-heart reflections and incomplete balloon occlusion shoud be considered during the procedure. If these conditions are not corrected, patients should be excluded.</w:t>
      </w:r>
    </w:p>
    <w:p w14:paraId="497B0467" w14:textId="77777777" w:rsidR="00D60238" w:rsidRPr="00B51896" w:rsidRDefault="00E04F37" w:rsidP="00EC0DF5">
      <w:pPr>
        <w:spacing w:line="360" w:lineRule="auto"/>
        <w:ind w:firstLine="480"/>
        <w:jc w:val="both"/>
        <w:rPr>
          <w:rFonts w:ascii="Book Antiqua" w:hAnsi="Book Antiqua"/>
        </w:rPr>
      </w:pPr>
      <w:r w:rsidRPr="00B51896">
        <w:rPr>
          <w:rFonts w:ascii="Book Antiqua" w:eastAsia="Book Antiqua" w:hAnsi="Book Antiqua" w:cs="Book Antiqua"/>
          <w:color w:val="000000"/>
        </w:rPr>
        <w:t>Our study was limited by the fact that this was a retrospective study with a small sample size. Although all study patients had alcoholic cirrhosis patients, the degree of progression of cirrhosis and the pathological type varied, with some cases progressing to hepatocellular carcinoma, resulting in different hepatic structural and hemodynamic changes, the potential impact of which is unclear. Considering these preliminary findings, prospective studies are necessary to validate our findings.</w:t>
      </w:r>
    </w:p>
    <w:p w14:paraId="0F64C8E0" w14:textId="77777777" w:rsidR="00D60238" w:rsidRPr="00B51896" w:rsidRDefault="00D60238" w:rsidP="00EC0DF5">
      <w:pPr>
        <w:spacing w:line="360" w:lineRule="auto"/>
        <w:jc w:val="both"/>
        <w:rPr>
          <w:rFonts w:ascii="Book Antiqua" w:hAnsi="Book Antiqua"/>
        </w:rPr>
      </w:pPr>
    </w:p>
    <w:p w14:paraId="287AEA9B"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CONCLUSION</w:t>
      </w:r>
    </w:p>
    <w:p w14:paraId="0E86FCC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In conclusion, the correlation is very poor between WHVP and PVP as well as that between HVPG and PPG in patients with alcoholic cirrhosis and complications of PHT. HVPG cannot accurately represent PPG in most patients, and the former is lower than the latter. The formation of hepatic collaterals is a vital reason for the strong underestimation of HVPG. Except for the influencing factors of hepatic collateral branches in a few patients, the correlation in most cases remained poor. The cause remains unknown, and further investigations are required in this area to elucidate these mechanisms.</w:t>
      </w:r>
    </w:p>
    <w:p w14:paraId="6B9B0D51" w14:textId="77777777" w:rsidR="00D60238" w:rsidRPr="00B51896" w:rsidRDefault="00D60238" w:rsidP="00EC0DF5">
      <w:pPr>
        <w:spacing w:line="360" w:lineRule="auto"/>
        <w:jc w:val="both"/>
        <w:rPr>
          <w:rFonts w:ascii="Book Antiqua" w:hAnsi="Book Antiqua"/>
        </w:rPr>
      </w:pPr>
    </w:p>
    <w:p w14:paraId="365AC5C7"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aps/>
          <w:color w:val="000000"/>
          <w:u w:val="single"/>
        </w:rPr>
        <w:t>ARTICLE HIGHLIGHTS</w:t>
      </w:r>
    </w:p>
    <w:p w14:paraId="536225C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background</w:t>
      </w:r>
    </w:p>
    <w:p w14:paraId="774F3B5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The hepatic venous pressure gradient (HVPG), rather than the portal venous pressure gradient (PPG), is regarded as the gold standard for diagnosing portal hypertension (PHT).</w:t>
      </w:r>
    </w:p>
    <w:p w14:paraId="35A598AF" w14:textId="77777777" w:rsidR="00D60238" w:rsidRPr="00B51896" w:rsidRDefault="00D60238" w:rsidP="00EC0DF5">
      <w:pPr>
        <w:spacing w:line="360" w:lineRule="auto"/>
        <w:jc w:val="both"/>
        <w:rPr>
          <w:rFonts w:ascii="Book Antiqua" w:hAnsi="Book Antiqua"/>
        </w:rPr>
      </w:pPr>
    </w:p>
    <w:p w14:paraId="2CDF3E1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motivation</w:t>
      </w:r>
    </w:p>
    <w:p w14:paraId="0B5D4A3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The relationship between HVPG and PPG is controversial and lacks substantial research to prove it.</w:t>
      </w:r>
    </w:p>
    <w:p w14:paraId="14F46491" w14:textId="77777777" w:rsidR="00D60238" w:rsidRPr="00B51896" w:rsidRDefault="00D60238" w:rsidP="00EC0DF5">
      <w:pPr>
        <w:spacing w:line="360" w:lineRule="auto"/>
        <w:jc w:val="both"/>
        <w:rPr>
          <w:rFonts w:ascii="Book Antiqua" w:hAnsi="Book Antiqua"/>
        </w:rPr>
      </w:pPr>
    </w:p>
    <w:p w14:paraId="7EC2C09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objectives</w:t>
      </w:r>
    </w:p>
    <w:p w14:paraId="1062C68F" w14:textId="5FC0606D"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This study aimed to classify the</w:t>
      </w:r>
      <w:r w:rsidR="006E6DAD" w:rsidRPr="00B51896">
        <w:rPr>
          <w:rFonts w:ascii="Book Antiqua" w:eastAsia="Book Antiqua" w:hAnsi="Book Antiqua" w:cs="Book Antiqua"/>
          <w:color w:val="000000"/>
        </w:rPr>
        <w:t xml:space="preserve"> c</w:t>
      </w:r>
      <w:r w:rsidRPr="00B51896">
        <w:rPr>
          <w:rFonts w:ascii="Book Antiqua" w:eastAsia="Book Antiqua" w:hAnsi="Book Antiqua" w:cs="Book Antiqua"/>
          <w:color w:val="000000"/>
        </w:rPr>
        <w:t>orrelation between HVPG and PPG in patients with alcoholic cirrhosis and PHT.</w:t>
      </w:r>
    </w:p>
    <w:p w14:paraId="386818DE" w14:textId="77777777" w:rsidR="00D60238" w:rsidRPr="00B51896" w:rsidRDefault="00D60238" w:rsidP="00EC0DF5">
      <w:pPr>
        <w:spacing w:line="360" w:lineRule="auto"/>
        <w:jc w:val="both"/>
        <w:rPr>
          <w:rFonts w:ascii="Book Antiqua" w:hAnsi="Book Antiqua"/>
        </w:rPr>
      </w:pPr>
    </w:p>
    <w:p w14:paraId="0C8EC9F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methods</w:t>
      </w:r>
    </w:p>
    <w:p w14:paraId="5CE740AE"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This retrospective analysis of various pressures during transjugular intrahepatic portosystemic shunt (TIPS) procedures explored the relationship between HVPG and PPG in patients with alcoholic cirrhosis and PHT.</w:t>
      </w:r>
    </w:p>
    <w:p w14:paraId="2EA92A47" w14:textId="77777777" w:rsidR="00D60238" w:rsidRPr="00B51896" w:rsidRDefault="00D60238" w:rsidP="00EC0DF5">
      <w:pPr>
        <w:spacing w:line="360" w:lineRule="auto"/>
        <w:jc w:val="both"/>
        <w:rPr>
          <w:rFonts w:ascii="Book Antiqua" w:hAnsi="Book Antiqua"/>
        </w:rPr>
      </w:pPr>
    </w:p>
    <w:p w14:paraId="2AC7C22E"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results</w:t>
      </w:r>
    </w:p>
    <w:p w14:paraId="4C713720" w14:textId="310451BF"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The correlation coefficient (r) and determination coefficient (R</w:t>
      </w:r>
      <w:r w:rsidRPr="00B51896">
        <w:rPr>
          <w:rFonts w:ascii="Book Antiqua" w:eastAsia="Book Antiqua" w:hAnsi="Book Antiqua" w:cs="Book Antiqua"/>
          <w:color w:val="000000"/>
          <w:vertAlign w:val="superscript"/>
        </w:rPr>
        <w:t>2</w:t>
      </w:r>
      <w:r w:rsidRPr="00B51896">
        <w:rPr>
          <w:rFonts w:ascii="Book Antiqua" w:eastAsia="Book Antiqua" w:hAnsi="Book Antiqua" w:cs="Book Antiqua"/>
          <w:color w:val="000000"/>
        </w:rPr>
        <w:t>) between HVPG and PPG were 0.201 and 0.040, respectively (</w:t>
      </w:r>
      <w:r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 0.020). Hepatic collaterals were identified in 26 patients with balloon occlusion hepatic venography (19.4%), while the average PPG was significantly higher than the average HVPG (25.94 ± 7.42 </w:t>
      </w:r>
      <w:r w:rsidR="006E6DAD" w:rsidRPr="00B51896">
        <w:rPr>
          <w:rFonts w:ascii="Book Antiqua" w:eastAsia="Book Antiqua" w:hAnsi="Book Antiqua" w:cs="Book Antiqua"/>
          <w:color w:val="000000"/>
        </w:rPr>
        <w:t>mmHg</w:t>
      </w:r>
      <w:r w:rsidR="006E6DAD" w:rsidRPr="00B51896">
        <w:rPr>
          <w:rFonts w:ascii="Book Antiqua" w:eastAsia="Book Antiqua" w:hAnsi="Book Antiqua" w:cs="Book Antiqua"/>
          <w:i/>
          <w:iCs/>
          <w:color w:val="000000"/>
        </w:rPr>
        <w:t xml:space="preserve"> </w:t>
      </w:r>
      <w:r w:rsidRPr="00B51896">
        <w:rPr>
          <w:rFonts w:ascii="Book Antiqua" w:eastAsia="Book Antiqua" w:hAnsi="Book Antiqua" w:cs="Book Antiqua"/>
          <w:i/>
          <w:iCs/>
          <w:color w:val="000000"/>
        </w:rPr>
        <w:t>vs.</w:t>
      </w:r>
      <w:r w:rsidRPr="00B51896">
        <w:rPr>
          <w:rFonts w:ascii="Book Antiqua" w:eastAsia="Book Antiqua" w:hAnsi="Book Antiqua" w:cs="Book Antiqua"/>
          <w:color w:val="000000"/>
        </w:rPr>
        <w:t xml:space="preserve"> 9.86 ± 7.44 mmHg; </w:t>
      </w:r>
      <w:r w:rsidRPr="00B51896">
        <w:rPr>
          <w:rFonts w:ascii="Book Antiqua" w:eastAsia="Book Antiqua" w:hAnsi="Book Antiqua" w:cs="Book Antiqua"/>
          <w:i/>
          <w:color w:val="000000"/>
        </w:rPr>
        <w:t>P</w:t>
      </w:r>
      <w:r w:rsidRPr="00B51896">
        <w:rPr>
          <w:rFonts w:ascii="Book Antiqua" w:eastAsia="Book Antiqua" w:hAnsi="Book Antiqua" w:cs="Book Antiqua"/>
          <w:color w:val="000000"/>
        </w:rPr>
        <w:t xml:space="preserve"> &lt; 0.001). The collateral versus no collateral branches groups had 3 (11.54%) and 44 (40.74%) patients, respectively, with differences of &lt; 5 mmHg between HVPG and PPG.</w:t>
      </w:r>
    </w:p>
    <w:p w14:paraId="2E5CAD5A" w14:textId="77777777" w:rsidR="00D60238" w:rsidRPr="00B51896" w:rsidRDefault="00D60238" w:rsidP="00EC0DF5">
      <w:pPr>
        <w:spacing w:line="360" w:lineRule="auto"/>
        <w:jc w:val="both"/>
        <w:rPr>
          <w:rFonts w:ascii="Book Antiqua" w:hAnsi="Book Antiqua"/>
        </w:rPr>
      </w:pPr>
    </w:p>
    <w:p w14:paraId="347330A9"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conclusions</w:t>
      </w:r>
    </w:p>
    <w:p w14:paraId="421E8A8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HVPG cannot accurately represent PPG in most patients. The formation of hepatic collaterals is a vital reason for the strong underestimation of HVPG.</w:t>
      </w:r>
    </w:p>
    <w:p w14:paraId="28B438CD" w14:textId="77777777" w:rsidR="00D60238" w:rsidRPr="00B51896" w:rsidRDefault="00D60238" w:rsidP="00EC0DF5">
      <w:pPr>
        <w:spacing w:line="360" w:lineRule="auto"/>
        <w:jc w:val="both"/>
        <w:rPr>
          <w:rFonts w:ascii="Book Antiqua" w:hAnsi="Book Antiqua"/>
        </w:rPr>
      </w:pPr>
    </w:p>
    <w:p w14:paraId="24F3E452"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i/>
          <w:color w:val="000000"/>
        </w:rPr>
        <w:t>Research perspectives</w:t>
      </w:r>
    </w:p>
    <w:p w14:paraId="3B8ADB15"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color w:val="000000"/>
        </w:rPr>
        <w:t>Based on different pressures during TIPS procedures, the correlation and differences between HVPG and PPG of patients were explored.</w:t>
      </w:r>
    </w:p>
    <w:p w14:paraId="59037E6F" w14:textId="77777777" w:rsidR="00D60238" w:rsidRPr="00B51896" w:rsidRDefault="00D60238" w:rsidP="00EC0DF5">
      <w:pPr>
        <w:spacing w:line="360" w:lineRule="auto"/>
        <w:jc w:val="both"/>
        <w:rPr>
          <w:rFonts w:ascii="Book Antiqua" w:hAnsi="Book Antiqua"/>
        </w:rPr>
      </w:pPr>
    </w:p>
    <w:p w14:paraId="76163EF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REFERENCES</w:t>
      </w:r>
    </w:p>
    <w:p w14:paraId="4E797C7D"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lastRenderedPageBreak/>
        <w:t xml:space="preserve">1 </w:t>
      </w:r>
      <w:r w:rsidRPr="00B51896">
        <w:rPr>
          <w:rFonts w:ascii="Book Antiqua" w:eastAsia="Book Antiqua" w:hAnsi="Book Antiqua" w:cs="Book Antiqua"/>
          <w:b/>
          <w:bCs/>
        </w:rPr>
        <w:t>Huang DQ</w:t>
      </w:r>
      <w:r w:rsidRPr="00B51896">
        <w:rPr>
          <w:rFonts w:ascii="Book Antiqua" w:eastAsia="Book Antiqua" w:hAnsi="Book Antiqua" w:cs="Book Antiqua"/>
        </w:rPr>
        <w:t xml:space="preserve">, Mathurin P, Cortez-Pinto H, Loomba R. Global epidemiology of alcohol-associated cirrhosis and HCC: trends, projections and risk factors. </w:t>
      </w:r>
      <w:r w:rsidRPr="00B51896">
        <w:rPr>
          <w:rFonts w:ascii="Book Antiqua" w:eastAsia="Book Antiqua" w:hAnsi="Book Antiqua" w:cs="Book Antiqua"/>
          <w:i/>
          <w:iCs/>
        </w:rPr>
        <w:t>Nat Rev Gastroenterol Hepatol</w:t>
      </w:r>
      <w:r w:rsidRPr="00B51896">
        <w:rPr>
          <w:rFonts w:ascii="Book Antiqua" w:eastAsia="Book Antiqua" w:hAnsi="Book Antiqua" w:cs="Book Antiqua"/>
        </w:rPr>
        <w:t xml:space="preserve"> 2023; </w:t>
      </w:r>
      <w:r w:rsidRPr="00B51896">
        <w:rPr>
          <w:rFonts w:ascii="Book Antiqua" w:eastAsia="Book Antiqua" w:hAnsi="Book Antiqua" w:cs="Book Antiqua"/>
          <w:b/>
          <w:bCs/>
        </w:rPr>
        <w:t>20</w:t>
      </w:r>
      <w:r w:rsidRPr="00B51896">
        <w:rPr>
          <w:rFonts w:ascii="Book Antiqua" w:eastAsia="Book Antiqua" w:hAnsi="Book Antiqua" w:cs="Book Antiqua"/>
        </w:rPr>
        <w:t>: 37-49 [PMID: 36258033 DOI: 10.1038/s41575-022-00688-6]</w:t>
      </w:r>
    </w:p>
    <w:p w14:paraId="25A9B8A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2 </w:t>
      </w:r>
      <w:r w:rsidRPr="00B51896">
        <w:rPr>
          <w:rFonts w:ascii="Book Antiqua" w:eastAsia="Book Antiqua" w:hAnsi="Book Antiqua" w:cs="Book Antiqua"/>
          <w:b/>
          <w:bCs/>
        </w:rPr>
        <w:t>Hyun J</w:t>
      </w:r>
      <w:r w:rsidRPr="00B51896">
        <w:rPr>
          <w:rFonts w:ascii="Book Antiqua" w:eastAsia="Book Antiqua" w:hAnsi="Book Antiqua" w:cs="Book Antiqua"/>
        </w:rPr>
        <w:t xml:space="preserve">, Han J, Lee C, Yoon M, Jung Y. Pathophysiological Aspects of Alcohol Metabolism in the Liver. </w:t>
      </w:r>
      <w:r w:rsidRPr="00B51896">
        <w:rPr>
          <w:rFonts w:ascii="Book Antiqua" w:eastAsia="Book Antiqua" w:hAnsi="Book Antiqua" w:cs="Book Antiqua"/>
          <w:i/>
          <w:iCs/>
        </w:rPr>
        <w:t>Int J Mol Sci</w:t>
      </w:r>
      <w:r w:rsidRPr="00B51896">
        <w:rPr>
          <w:rFonts w:ascii="Book Antiqua" w:eastAsia="Book Antiqua" w:hAnsi="Book Antiqua" w:cs="Book Antiqua"/>
        </w:rPr>
        <w:t xml:space="preserve"> 2021; </w:t>
      </w:r>
      <w:r w:rsidRPr="00B51896">
        <w:rPr>
          <w:rFonts w:ascii="Book Antiqua" w:eastAsia="Book Antiqua" w:hAnsi="Book Antiqua" w:cs="Book Antiqua"/>
          <w:b/>
          <w:bCs/>
        </w:rPr>
        <w:t>22</w:t>
      </w:r>
      <w:r w:rsidRPr="00B51896">
        <w:rPr>
          <w:rFonts w:ascii="Book Antiqua" w:eastAsia="Book Antiqua" w:hAnsi="Book Antiqua" w:cs="Book Antiqua"/>
        </w:rPr>
        <w:t xml:space="preserve"> [PMID: 34071962 DOI: 10.3390/ijms22115717]</w:t>
      </w:r>
    </w:p>
    <w:p w14:paraId="7B1CBD92"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3 </w:t>
      </w:r>
      <w:r w:rsidRPr="00B51896">
        <w:rPr>
          <w:rFonts w:ascii="Book Antiqua" w:eastAsia="Book Antiqua" w:hAnsi="Book Antiqua" w:cs="Book Antiqua"/>
          <w:b/>
          <w:bCs/>
        </w:rPr>
        <w:t>Friedman SL</w:t>
      </w:r>
      <w:r w:rsidRPr="00B51896">
        <w:rPr>
          <w:rFonts w:ascii="Book Antiqua" w:eastAsia="Book Antiqua" w:hAnsi="Book Antiqua" w:cs="Book Antiqua"/>
        </w:rPr>
        <w:t xml:space="preserve">, Pinzani M. Hepatic fibrosis 2022: Unmet needs and a blueprint for the future. </w:t>
      </w:r>
      <w:r w:rsidRPr="00B51896">
        <w:rPr>
          <w:rFonts w:ascii="Book Antiqua" w:eastAsia="Book Antiqua" w:hAnsi="Book Antiqua" w:cs="Book Antiqua"/>
          <w:i/>
          <w:iCs/>
        </w:rPr>
        <w:t>Hepatology</w:t>
      </w:r>
      <w:r w:rsidRPr="00B51896">
        <w:rPr>
          <w:rFonts w:ascii="Book Antiqua" w:eastAsia="Book Antiqua" w:hAnsi="Book Antiqua" w:cs="Book Antiqua"/>
        </w:rPr>
        <w:t xml:space="preserve"> 2022; </w:t>
      </w:r>
      <w:r w:rsidRPr="00B51896">
        <w:rPr>
          <w:rFonts w:ascii="Book Antiqua" w:eastAsia="Book Antiqua" w:hAnsi="Book Antiqua" w:cs="Book Antiqua"/>
          <w:b/>
          <w:bCs/>
        </w:rPr>
        <w:t>75</w:t>
      </w:r>
      <w:r w:rsidRPr="00B51896">
        <w:rPr>
          <w:rFonts w:ascii="Book Antiqua" w:eastAsia="Book Antiqua" w:hAnsi="Book Antiqua" w:cs="Book Antiqua"/>
        </w:rPr>
        <w:t>: 473-488 [PMID: 34923653 DOI: 10.1002/hep.32285]</w:t>
      </w:r>
    </w:p>
    <w:p w14:paraId="18A1760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4 </w:t>
      </w:r>
      <w:r w:rsidRPr="00B51896">
        <w:rPr>
          <w:rFonts w:ascii="Book Antiqua" w:eastAsia="Book Antiqua" w:hAnsi="Book Antiqua" w:cs="Book Antiqua"/>
          <w:b/>
          <w:bCs/>
        </w:rPr>
        <w:t>Lucey MR</w:t>
      </w:r>
      <w:r w:rsidRPr="00B51896">
        <w:rPr>
          <w:rFonts w:ascii="Book Antiqua" w:eastAsia="Book Antiqua" w:hAnsi="Book Antiqua" w:cs="Book Antiqua"/>
        </w:rPr>
        <w:t xml:space="preserve">. Alcohol-Associated Cirrhosis. </w:t>
      </w:r>
      <w:r w:rsidRPr="00B51896">
        <w:rPr>
          <w:rFonts w:ascii="Book Antiqua" w:eastAsia="Book Antiqua" w:hAnsi="Book Antiqua" w:cs="Book Antiqua"/>
          <w:i/>
          <w:iCs/>
        </w:rPr>
        <w:t>Clin Liver Dis</w:t>
      </w:r>
      <w:r w:rsidRPr="00B51896">
        <w:rPr>
          <w:rFonts w:ascii="Book Antiqua" w:eastAsia="Book Antiqua" w:hAnsi="Book Antiqua" w:cs="Book Antiqua"/>
        </w:rPr>
        <w:t xml:space="preserve"> 2019; </w:t>
      </w:r>
      <w:r w:rsidRPr="00B51896">
        <w:rPr>
          <w:rFonts w:ascii="Book Antiqua" w:eastAsia="Book Antiqua" w:hAnsi="Book Antiqua" w:cs="Book Antiqua"/>
          <w:b/>
          <w:bCs/>
        </w:rPr>
        <w:t>23</w:t>
      </w:r>
      <w:r w:rsidRPr="00B51896">
        <w:rPr>
          <w:rFonts w:ascii="Book Antiqua" w:eastAsia="Book Antiqua" w:hAnsi="Book Antiqua" w:cs="Book Antiqua"/>
        </w:rPr>
        <w:t>: 115-126 [PMID: 30454826 DOI: 10.1016/j.cld.2018.09.013]</w:t>
      </w:r>
    </w:p>
    <w:p w14:paraId="0539213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5 </w:t>
      </w:r>
      <w:r w:rsidRPr="00B51896">
        <w:rPr>
          <w:rFonts w:ascii="Book Antiqua" w:eastAsia="Book Antiqua" w:hAnsi="Book Antiqua" w:cs="Book Antiqua"/>
          <w:b/>
          <w:bCs/>
        </w:rPr>
        <w:t>Vilela EG</w:t>
      </w:r>
      <w:r w:rsidRPr="00B51896">
        <w:rPr>
          <w:rFonts w:ascii="Book Antiqua" w:eastAsia="Book Antiqua" w:hAnsi="Book Antiqua" w:cs="Book Antiqua"/>
        </w:rPr>
        <w:t xml:space="preserve">, Thabut D, Rudler M, Bittencourt PL. Management of Complications of Portal Hypertension. </w:t>
      </w:r>
      <w:r w:rsidRPr="00B51896">
        <w:rPr>
          <w:rFonts w:ascii="Book Antiqua" w:eastAsia="Book Antiqua" w:hAnsi="Book Antiqua" w:cs="Book Antiqua"/>
          <w:i/>
          <w:iCs/>
        </w:rPr>
        <w:t>Can J Gastroenterol Hepatol</w:t>
      </w:r>
      <w:r w:rsidRPr="00B51896">
        <w:rPr>
          <w:rFonts w:ascii="Book Antiqua" w:eastAsia="Book Antiqua" w:hAnsi="Book Antiqua" w:cs="Book Antiqua"/>
        </w:rPr>
        <w:t xml:space="preserve"> 2019; </w:t>
      </w:r>
      <w:r w:rsidRPr="00B51896">
        <w:rPr>
          <w:rFonts w:ascii="Book Antiqua" w:eastAsia="Book Antiqua" w:hAnsi="Book Antiqua" w:cs="Book Antiqua"/>
          <w:b/>
          <w:bCs/>
        </w:rPr>
        <w:t>2019</w:t>
      </w:r>
      <w:r w:rsidRPr="00B51896">
        <w:rPr>
          <w:rFonts w:ascii="Book Antiqua" w:eastAsia="Book Antiqua" w:hAnsi="Book Antiqua" w:cs="Book Antiqua"/>
        </w:rPr>
        <w:t>: 6919284 [PMID: 31275900 DOI: 10.1155/2019/6919284]</w:t>
      </w:r>
    </w:p>
    <w:p w14:paraId="7BBB0EF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6 </w:t>
      </w:r>
      <w:r w:rsidRPr="00B51896">
        <w:rPr>
          <w:rFonts w:ascii="Book Antiqua" w:eastAsia="Book Antiqua" w:hAnsi="Book Antiqua" w:cs="Book Antiqua"/>
          <w:b/>
          <w:bCs/>
        </w:rPr>
        <w:t>Engelmann C</w:t>
      </w:r>
      <w:r w:rsidRPr="00B51896">
        <w:rPr>
          <w:rFonts w:ascii="Book Antiqua" w:eastAsia="Book Antiqua" w:hAnsi="Book Antiqua" w:cs="Book Antiqua"/>
        </w:rPr>
        <w:t xml:space="preserve">, Clària J, Szabo G, Bosch J, Bernardi M. Pathophysiology of decompensated cirrhosis: Portal hypertension, circulatory dysfunction, inflammation, metabolism and mitochondrial dysfunction. </w:t>
      </w:r>
      <w:r w:rsidRPr="00B51896">
        <w:rPr>
          <w:rFonts w:ascii="Book Antiqua" w:eastAsia="Book Antiqua" w:hAnsi="Book Antiqua" w:cs="Book Antiqua"/>
          <w:i/>
          <w:iCs/>
        </w:rPr>
        <w:t>J Hepatol</w:t>
      </w:r>
      <w:r w:rsidRPr="00B51896">
        <w:rPr>
          <w:rFonts w:ascii="Book Antiqua" w:eastAsia="Book Antiqua" w:hAnsi="Book Antiqua" w:cs="Book Antiqua"/>
        </w:rPr>
        <w:t xml:space="preserve"> 2021; </w:t>
      </w:r>
      <w:r w:rsidRPr="00B51896">
        <w:rPr>
          <w:rFonts w:ascii="Book Antiqua" w:eastAsia="Book Antiqua" w:hAnsi="Book Antiqua" w:cs="Book Antiqua"/>
          <w:b/>
          <w:bCs/>
        </w:rPr>
        <w:t>75 Suppl 1</w:t>
      </w:r>
      <w:r w:rsidRPr="00B51896">
        <w:rPr>
          <w:rFonts w:ascii="Book Antiqua" w:eastAsia="Book Antiqua" w:hAnsi="Book Antiqua" w:cs="Book Antiqua"/>
        </w:rPr>
        <w:t>: S49-S66 [PMID: 34039492 DOI: 10.1016/j.jhep.2021.01.002]</w:t>
      </w:r>
    </w:p>
    <w:p w14:paraId="523931F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7 </w:t>
      </w:r>
      <w:r w:rsidRPr="00B51896">
        <w:rPr>
          <w:rFonts w:ascii="Book Antiqua" w:eastAsia="Book Antiqua" w:hAnsi="Book Antiqua" w:cs="Book Antiqua"/>
          <w:b/>
          <w:bCs/>
        </w:rPr>
        <w:t>Allaire M</w:t>
      </w:r>
      <w:r w:rsidRPr="00B51896">
        <w:rPr>
          <w:rFonts w:ascii="Book Antiqua" w:eastAsia="Book Antiqua" w:hAnsi="Book Antiqua" w:cs="Book Antiqua"/>
        </w:rPr>
        <w:t xml:space="preserve">, Rudler M, Thabut D. Portal hypertension and hepatocellular carcinoma: Des liaisons dangereuses…. </w:t>
      </w:r>
      <w:r w:rsidRPr="00B51896">
        <w:rPr>
          <w:rFonts w:ascii="Book Antiqua" w:eastAsia="Book Antiqua" w:hAnsi="Book Antiqua" w:cs="Book Antiqua"/>
          <w:i/>
          <w:iCs/>
        </w:rPr>
        <w:t>Liver Int</w:t>
      </w:r>
      <w:r w:rsidRPr="00B51896">
        <w:rPr>
          <w:rFonts w:ascii="Book Antiqua" w:eastAsia="Book Antiqua" w:hAnsi="Book Antiqua" w:cs="Book Antiqua"/>
        </w:rPr>
        <w:t xml:space="preserve"> 2021; </w:t>
      </w:r>
      <w:r w:rsidRPr="00B51896">
        <w:rPr>
          <w:rFonts w:ascii="Book Antiqua" w:eastAsia="Book Antiqua" w:hAnsi="Book Antiqua" w:cs="Book Antiqua"/>
          <w:b/>
          <w:bCs/>
        </w:rPr>
        <w:t>41</w:t>
      </w:r>
      <w:r w:rsidRPr="00B51896">
        <w:rPr>
          <w:rFonts w:ascii="Book Antiqua" w:eastAsia="Book Antiqua" w:hAnsi="Book Antiqua" w:cs="Book Antiqua"/>
        </w:rPr>
        <w:t>: 1734-1743 [PMID: 34051060 DOI: 10.1111/</w:t>
      </w:r>
      <w:r w:rsidRPr="00B51896">
        <w:rPr>
          <w:rFonts w:ascii="Book Antiqua" w:eastAsia="宋体" w:hAnsi="Book Antiqua" w:cs="Book Antiqua"/>
          <w:lang w:eastAsia="zh-CN"/>
        </w:rPr>
        <w:t>l</w:t>
      </w:r>
      <w:r w:rsidRPr="00B51896">
        <w:rPr>
          <w:rFonts w:ascii="Book Antiqua" w:eastAsia="Book Antiqua" w:hAnsi="Book Antiqua" w:cs="Book Antiqua"/>
        </w:rPr>
        <w:t>iv.14977]</w:t>
      </w:r>
    </w:p>
    <w:p w14:paraId="773E47F6"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8 </w:t>
      </w:r>
      <w:r w:rsidRPr="00B51896">
        <w:rPr>
          <w:rFonts w:ascii="Book Antiqua" w:eastAsia="Book Antiqua" w:hAnsi="Book Antiqua" w:cs="Book Antiqua"/>
          <w:b/>
          <w:bCs/>
        </w:rPr>
        <w:t>Turco L</w:t>
      </w:r>
      <w:r w:rsidRPr="00B51896">
        <w:rPr>
          <w:rFonts w:ascii="Book Antiqua" w:eastAsia="Book Antiqua" w:hAnsi="Book Antiqua" w:cs="Book Antiqua"/>
        </w:rPr>
        <w:t xml:space="preserve">, Garcia-Tsao G. Portal Hypertension: Pathogenesis and Diagnosis. </w:t>
      </w:r>
      <w:r w:rsidRPr="00B51896">
        <w:rPr>
          <w:rFonts w:ascii="Book Antiqua" w:eastAsia="Book Antiqua" w:hAnsi="Book Antiqua" w:cs="Book Antiqua"/>
          <w:i/>
          <w:iCs/>
        </w:rPr>
        <w:t>Clin Liver Dis</w:t>
      </w:r>
      <w:r w:rsidRPr="00B51896">
        <w:rPr>
          <w:rFonts w:ascii="Book Antiqua" w:eastAsia="Book Antiqua" w:hAnsi="Book Antiqua" w:cs="Book Antiqua"/>
        </w:rPr>
        <w:t xml:space="preserve"> 2019; </w:t>
      </w:r>
      <w:r w:rsidRPr="00B51896">
        <w:rPr>
          <w:rFonts w:ascii="Book Antiqua" w:eastAsia="Book Antiqua" w:hAnsi="Book Antiqua" w:cs="Book Antiqua"/>
          <w:b/>
          <w:bCs/>
        </w:rPr>
        <w:t>23</w:t>
      </w:r>
      <w:r w:rsidRPr="00B51896">
        <w:rPr>
          <w:rFonts w:ascii="Book Antiqua" w:eastAsia="Book Antiqua" w:hAnsi="Book Antiqua" w:cs="Book Antiqua"/>
        </w:rPr>
        <w:t>: 573-587 [PMID: 31563212 DOI: 10.1016/j.cld.2019.07.007]</w:t>
      </w:r>
    </w:p>
    <w:p w14:paraId="2B5B9EE8"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9 </w:t>
      </w:r>
      <w:r w:rsidRPr="00B51896">
        <w:rPr>
          <w:rFonts w:ascii="Book Antiqua" w:eastAsia="Book Antiqua" w:hAnsi="Book Antiqua" w:cs="Book Antiqua"/>
          <w:b/>
          <w:bCs/>
        </w:rPr>
        <w:t>Masuda Y</w:t>
      </w:r>
      <w:r w:rsidRPr="00B51896">
        <w:rPr>
          <w:rFonts w:ascii="Book Antiqua" w:eastAsia="Book Antiqua" w:hAnsi="Book Antiqua" w:cs="Book Antiqua"/>
        </w:rPr>
        <w:t xml:space="preserve">, Yoshizawa K, Ohno Y, Mita A, Shimizu A, Soejima Y. Small-for-size syndrome in liver transplantation: Definition, pathophysiology and management. </w:t>
      </w:r>
      <w:r w:rsidRPr="00B51896">
        <w:rPr>
          <w:rFonts w:ascii="Book Antiqua" w:eastAsia="Book Antiqua" w:hAnsi="Book Antiqua" w:cs="Book Antiqua"/>
          <w:i/>
          <w:iCs/>
        </w:rPr>
        <w:t>Hepatobiliary Pancreat Dis Int</w:t>
      </w:r>
      <w:r w:rsidRPr="00B51896">
        <w:rPr>
          <w:rFonts w:ascii="Book Antiqua" w:eastAsia="Book Antiqua" w:hAnsi="Book Antiqua" w:cs="Book Antiqua"/>
        </w:rPr>
        <w:t xml:space="preserve"> 2020; </w:t>
      </w:r>
      <w:r w:rsidRPr="00B51896">
        <w:rPr>
          <w:rFonts w:ascii="Book Antiqua" w:eastAsia="Book Antiqua" w:hAnsi="Book Antiqua" w:cs="Book Antiqua"/>
          <w:b/>
          <w:bCs/>
        </w:rPr>
        <w:t>19</w:t>
      </w:r>
      <w:r w:rsidRPr="00B51896">
        <w:rPr>
          <w:rFonts w:ascii="Book Antiqua" w:eastAsia="Book Antiqua" w:hAnsi="Book Antiqua" w:cs="Book Antiqua"/>
        </w:rPr>
        <w:t>: 334-341 [PMID: 32646775 DOI: 10.1016/j.hbpd.2020.06.015]</w:t>
      </w:r>
    </w:p>
    <w:p w14:paraId="74EBEB8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10 </w:t>
      </w:r>
      <w:r w:rsidRPr="00B51896">
        <w:rPr>
          <w:rFonts w:ascii="Book Antiqua" w:eastAsia="Book Antiqua" w:hAnsi="Book Antiqua" w:cs="Book Antiqua"/>
          <w:b/>
          <w:bCs/>
        </w:rPr>
        <w:t>Wan S</w:t>
      </w:r>
      <w:r w:rsidRPr="00B51896">
        <w:rPr>
          <w:rFonts w:ascii="Book Antiqua" w:eastAsia="Book Antiqua" w:hAnsi="Book Antiqua" w:cs="Book Antiqua"/>
        </w:rPr>
        <w:t xml:space="preserve">, Wei Y, Zhang X, Yang C, Hu F, Song B. Computed Tomography-Based Texture Features for the Risk Stratification of Portal Hypertension and Prediction of </w:t>
      </w:r>
      <w:r w:rsidRPr="00B51896">
        <w:rPr>
          <w:rFonts w:ascii="Book Antiqua" w:eastAsia="Book Antiqua" w:hAnsi="Book Antiqua" w:cs="Book Antiqua"/>
        </w:rPr>
        <w:lastRenderedPageBreak/>
        <w:t xml:space="preserve">Survival in Patients With Cirrhosis: A Preliminary Study. </w:t>
      </w:r>
      <w:r w:rsidRPr="00B51896">
        <w:rPr>
          <w:rFonts w:ascii="Book Antiqua" w:eastAsia="Book Antiqua" w:hAnsi="Book Antiqua" w:cs="Book Antiqua"/>
          <w:i/>
          <w:iCs/>
        </w:rPr>
        <w:t>Front Med (Lausanne)</w:t>
      </w:r>
      <w:r w:rsidRPr="00B51896">
        <w:rPr>
          <w:rFonts w:ascii="Book Antiqua" w:eastAsia="Book Antiqua" w:hAnsi="Book Antiqua" w:cs="Book Antiqua"/>
        </w:rPr>
        <w:t xml:space="preserve"> 2022; </w:t>
      </w:r>
      <w:r w:rsidRPr="00B51896">
        <w:rPr>
          <w:rFonts w:ascii="Book Antiqua" w:eastAsia="Book Antiqua" w:hAnsi="Book Antiqua" w:cs="Book Antiqua"/>
          <w:b/>
          <w:bCs/>
        </w:rPr>
        <w:t>9</w:t>
      </w:r>
      <w:r w:rsidRPr="00B51896">
        <w:rPr>
          <w:rFonts w:ascii="Book Antiqua" w:eastAsia="Book Antiqua" w:hAnsi="Book Antiqua" w:cs="Book Antiqua"/>
        </w:rPr>
        <w:t>: 863596 [PMID: 35433759 DOI: 10.3389/fmed.2022.863596]</w:t>
      </w:r>
    </w:p>
    <w:p w14:paraId="19B8155B"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11 </w:t>
      </w:r>
      <w:r w:rsidRPr="00B51896">
        <w:rPr>
          <w:rFonts w:ascii="Book Antiqua" w:eastAsia="Book Antiqua" w:hAnsi="Book Antiqua" w:cs="Book Antiqua"/>
          <w:b/>
          <w:bCs/>
        </w:rPr>
        <w:t>La Mura V</w:t>
      </w:r>
      <w:r w:rsidRPr="00B51896">
        <w:rPr>
          <w:rFonts w:ascii="Book Antiqua" w:eastAsia="Book Antiqua" w:hAnsi="Book Antiqua" w:cs="Book Antiqua"/>
        </w:rPr>
        <w:t xml:space="preserve">, Garcia-Guix M, Berzigotti A, Abraldes JG, García-Pagán JC, Villanueva C, Bosch J. A Prognostic Strategy Based on Stage of Cirrhosis and HVPG to Improve Risk Stratification After Variceal Bleeding. </w:t>
      </w:r>
      <w:r w:rsidRPr="00B51896">
        <w:rPr>
          <w:rFonts w:ascii="Book Antiqua" w:eastAsia="Book Antiqua" w:hAnsi="Book Antiqua" w:cs="Book Antiqua"/>
          <w:i/>
          <w:iCs/>
        </w:rPr>
        <w:t>Hepatology</w:t>
      </w:r>
      <w:r w:rsidRPr="00B51896">
        <w:rPr>
          <w:rFonts w:ascii="Book Antiqua" w:eastAsia="Book Antiqua" w:hAnsi="Book Antiqua" w:cs="Book Antiqua"/>
        </w:rPr>
        <w:t xml:space="preserve"> 2020; </w:t>
      </w:r>
      <w:r w:rsidRPr="00B51896">
        <w:rPr>
          <w:rFonts w:ascii="Book Antiqua" w:eastAsia="Book Antiqua" w:hAnsi="Book Antiqua" w:cs="Book Antiqua"/>
          <w:b/>
          <w:bCs/>
        </w:rPr>
        <w:t>72</w:t>
      </w:r>
      <w:r w:rsidRPr="00B51896">
        <w:rPr>
          <w:rFonts w:ascii="Book Antiqua" w:eastAsia="Book Antiqua" w:hAnsi="Book Antiqua" w:cs="Book Antiqua"/>
        </w:rPr>
        <w:t>: 1353-1365 [PMID: 31960441 DOI: 10.1002/hep.31125]</w:t>
      </w:r>
    </w:p>
    <w:p w14:paraId="4618003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12 </w:t>
      </w:r>
      <w:r w:rsidRPr="00B51896">
        <w:rPr>
          <w:rFonts w:ascii="Book Antiqua" w:eastAsia="Book Antiqua" w:hAnsi="Book Antiqua" w:cs="Book Antiqua"/>
          <w:b/>
          <w:bCs/>
        </w:rPr>
        <w:t>Zhang W</w:t>
      </w:r>
      <w:r w:rsidRPr="00B51896">
        <w:rPr>
          <w:rFonts w:ascii="Book Antiqua" w:eastAsia="Book Antiqua" w:hAnsi="Book Antiqua" w:cs="Book Antiqua"/>
        </w:rPr>
        <w:t xml:space="preserve">, Peng C, Zhang S, Huang S, Shen S, Xu G, Zhang F, Xiao J, Zhang M, Zhuge Y, Wang L, Zou X, Lv Y. EUS-guided portal pressure gradient measurement in patients with acute or subacute portal hypertension. </w:t>
      </w:r>
      <w:r w:rsidRPr="00B51896">
        <w:rPr>
          <w:rFonts w:ascii="Book Antiqua" w:eastAsia="Book Antiqua" w:hAnsi="Book Antiqua" w:cs="Book Antiqua"/>
          <w:i/>
          <w:iCs/>
        </w:rPr>
        <w:t>Gastrointest Endosc</w:t>
      </w:r>
      <w:r w:rsidRPr="00B51896">
        <w:rPr>
          <w:rFonts w:ascii="Book Antiqua" w:eastAsia="Book Antiqua" w:hAnsi="Book Antiqua" w:cs="Book Antiqua"/>
        </w:rPr>
        <w:t xml:space="preserve"> 2021; </w:t>
      </w:r>
      <w:r w:rsidRPr="00B51896">
        <w:rPr>
          <w:rFonts w:ascii="Book Antiqua" w:eastAsia="Book Antiqua" w:hAnsi="Book Antiqua" w:cs="Book Antiqua"/>
          <w:b/>
          <w:bCs/>
        </w:rPr>
        <w:t>93</w:t>
      </w:r>
      <w:r w:rsidRPr="00B51896">
        <w:rPr>
          <w:rFonts w:ascii="Book Antiqua" w:eastAsia="Book Antiqua" w:hAnsi="Book Antiqua" w:cs="Book Antiqua"/>
        </w:rPr>
        <w:t>: 565-572 [PMID: 32615178 DOI: 10.1016/j.gie.2020.06.065]</w:t>
      </w:r>
    </w:p>
    <w:p w14:paraId="21CD857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13 </w:t>
      </w:r>
      <w:r w:rsidRPr="00B51896">
        <w:rPr>
          <w:rFonts w:ascii="Book Antiqua" w:eastAsia="Book Antiqua" w:hAnsi="Book Antiqua" w:cs="Book Antiqua"/>
          <w:b/>
          <w:bCs/>
        </w:rPr>
        <w:t>Li L</w:t>
      </w:r>
      <w:r w:rsidRPr="00B51896">
        <w:rPr>
          <w:rFonts w:ascii="Book Antiqua" w:eastAsia="Book Antiqua" w:hAnsi="Book Antiqua" w:cs="Book Antiqua"/>
        </w:rPr>
        <w:t xml:space="preserve">, Liu S, Wu H, Qi X. Standardized HVPG measurement: call for action. </w:t>
      </w:r>
      <w:r w:rsidRPr="00B51896">
        <w:rPr>
          <w:rFonts w:ascii="Book Antiqua" w:eastAsia="Book Antiqua" w:hAnsi="Book Antiqua" w:cs="Book Antiqua"/>
          <w:i/>
          <w:iCs/>
        </w:rPr>
        <w:t>Hepatol Int</w:t>
      </w:r>
      <w:r w:rsidRPr="00B51896">
        <w:rPr>
          <w:rFonts w:ascii="Book Antiqua" w:eastAsia="Book Antiqua" w:hAnsi="Book Antiqua" w:cs="Book Antiqua"/>
        </w:rPr>
        <w:t xml:space="preserve"> 2022; </w:t>
      </w:r>
      <w:r w:rsidRPr="00B51896">
        <w:rPr>
          <w:rFonts w:ascii="Book Antiqua" w:eastAsia="Book Antiqua" w:hAnsi="Book Antiqua" w:cs="Book Antiqua"/>
          <w:b/>
          <w:bCs/>
        </w:rPr>
        <w:t>16</w:t>
      </w:r>
      <w:r w:rsidRPr="00B51896">
        <w:rPr>
          <w:rFonts w:ascii="Book Antiqua" w:eastAsia="Book Antiqua" w:hAnsi="Book Antiqua" w:cs="Book Antiqua"/>
        </w:rPr>
        <w:t>: 737-740 [PMID: 35701715 DOI: 10.1007/s12072-022-10367-y]</w:t>
      </w:r>
    </w:p>
    <w:p w14:paraId="648507C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14 </w:t>
      </w:r>
      <w:r w:rsidRPr="00B51896">
        <w:rPr>
          <w:rFonts w:ascii="Book Antiqua" w:eastAsia="Book Antiqua" w:hAnsi="Book Antiqua" w:cs="Book Antiqua"/>
          <w:b/>
          <w:bCs/>
        </w:rPr>
        <w:t>Reiniš J</w:t>
      </w:r>
      <w:r w:rsidRPr="00B51896">
        <w:rPr>
          <w:rFonts w:ascii="Book Antiqua" w:eastAsia="Book Antiqua" w:hAnsi="Book Antiqua" w:cs="Book Antiqua"/>
        </w:rPr>
        <w:t xml:space="preserve">, Petrenko O, Simbrunner B, Hofer BS, Schepis F, Scoppettuolo M, Saltini D, Indulti F, Guasconi T, Albillos A, Téllez L, Villanueva C, Brujats A, Garcia-Pagan JC, Perez-Campuzano V, Hernández-Gea V, Rautou PE, Moga L, Vanwolleghem T, Kwanten WJ, Francque S, Trebicka J, Gu W, Ferstl PG, Gluud LL, Bendtsen F, Møller S, Kubicek S, Mandorfer M, Reiberger T. Assessment of portal hypertension severity using machine learning models in patients with compensated cirrhosis. </w:t>
      </w:r>
      <w:r w:rsidRPr="00B51896">
        <w:rPr>
          <w:rFonts w:ascii="Book Antiqua" w:eastAsia="Book Antiqua" w:hAnsi="Book Antiqua" w:cs="Book Antiqua"/>
          <w:i/>
          <w:iCs/>
        </w:rPr>
        <w:t>J Hepatol</w:t>
      </w:r>
      <w:r w:rsidRPr="00B51896">
        <w:rPr>
          <w:rFonts w:ascii="Book Antiqua" w:eastAsia="Book Antiqua" w:hAnsi="Book Antiqua" w:cs="Book Antiqua"/>
        </w:rPr>
        <w:t xml:space="preserve"> 2023; </w:t>
      </w:r>
      <w:r w:rsidRPr="00B51896">
        <w:rPr>
          <w:rFonts w:ascii="Book Antiqua" w:eastAsia="Book Antiqua" w:hAnsi="Book Antiqua" w:cs="Book Antiqua"/>
          <w:b/>
          <w:bCs/>
        </w:rPr>
        <w:t>78</w:t>
      </w:r>
      <w:r w:rsidRPr="00B51896">
        <w:rPr>
          <w:rFonts w:ascii="Book Antiqua" w:eastAsia="Book Antiqua" w:hAnsi="Book Antiqua" w:cs="Book Antiqua"/>
        </w:rPr>
        <w:t>: 390-400 [PMID: 36152767 DOI: 10.1016/j.jhep.2022.09.012]</w:t>
      </w:r>
    </w:p>
    <w:p w14:paraId="5E8770CC"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15 </w:t>
      </w:r>
      <w:r w:rsidRPr="00B51896">
        <w:rPr>
          <w:rFonts w:ascii="Book Antiqua" w:eastAsia="Book Antiqua" w:hAnsi="Book Antiqua" w:cs="Book Antiqua"/>
          <w:b/>
          <w:bCs/>
        </w:rPr>
        <w:t>Karagiannakis DS</w:t>
      </w:r>
      <w:r w:rsidRPr="00B51896">
        <w:rPr>
          <w:rFonts w:ascii="Book Antiqua" w:eastAsia="Book Antiqua" w:hAnsi="Book Antiqua" w:cs="Book Antiqua"/>
        </w:rPr>
        <w:t xml:space="preserve">, Voulgaris T, Siakavellas SI, Papatheodoridis GV, Vlachogiannakos J. Evaluation of portal hypertension in the cirrhotic patient: hepatic vein pressure gradient and beyond. </w:t>
      </w:r>
      <w:r w:rsidRPr="00B51896">
        <w:rPr>
          <w:rFonts w:ascii="Book Antiqua" w:eastAsia="Book Antiqua" w:hAnsi="Book Antiqua" w:cs="Book Antiqua"/>
          <w:i/>
          <w:iCs/>
        </w:rPr>
        <w:t>Scand J Gastroenterol</w:t>
      </w:r>
      <w:r w:rsidRPr="00B51896">
        <w:rPr>
          <w:rFonts w:ascii="Book Antiqua" w:eastAsia="Book Antiqua" w:hAnsi="Book Antiqua" w:cs="Book Antiqua"/>
        </w:rPr>
        <w:t xml:space="preserve"> 2018; </w:t>
      </w:r>
      <w:r w:rsidRPr="00B51896">
        <w:rPr>
          <w:rFonts w:ascii="Book Antiqua" w:eastAsia="Book Antiqua" w:hAnsi="Book Antiqua" w:cs="Book Antiqua"/>
          <w:b/>
          <w:bCs/>
        </w:rPr>
        <w:t>53</w:t>
      </w:r>
      <w:r w:rsidRPr="00B51896">
        <w:rPr>
          <w:rFonts w:ascii="Book Antiqua" w:eastAsia="Book Antiqua" w:hAnsi="Book Antiqua" w:cs="Book Antiqua"/>
        </w:rPr>
        <w:t>: 1153-1164 [PMID: 30345856 DOI: 10.1080/00365521.2018.1506046]</w:t>
      </w:r>
    </w:p>
    <w:p w14:paraId="0CFF1B5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16 </w:t>
      </w:r>
      <w:r w:rsidRPr="00B51896">
        <w:rPr>
          <w:rFonts w:ascii="Book Antiqua" w:eastAsia="Book Antiqua" w:hAnsi="Book Antiqua" w:cs="Book Antiqua"/>
          <w:b/>
          <w:bCs/>
        </w:rPr>
        <w:t>Osada Y</w:t>
      </w:r>
      <w:r w:rsidRPr="00B51896">
        <w:rPr>
          <w:rFonts w:ascii="Book Antiqua" w:eastAsia="Book Antiqua" w:hAnsi="Book Antiqua" w:cs="Book Antiqua"/>
        </w:rPr>
        <w:t xml:space="preserve">, Kanazawa H, Narahara Y, Mamiya Y, Nakatsuka K, Sakamoto C. Wedged hepatic venous pressure does not reflect portal pressure in patients with cirrhosis and hepatic veno-venous communications. </w:t>
      </w:r>
      <w:r w:rsidRPr="00B51896">
        <w:rPr>
          <w:rFonts w:ascii="Book Antiqua" w:eastAsia="Book Antiqua" w:hAnsi="Book Antiqua" w:cs="Book Antiqua"/>
          <w:i/>
          <w:iCs/>
        </w:rPr>
        <w:t>Dig Dis Sci</w:t>
      </w:r>
      <w:r w:rsidRPr="00B51896">
        <w:rPr>
          <w:rFonts w:ascii="Book Antiqua" w:eastAsia="Book Antiqua" w:hAnsi="Book Antiqua" w:cs="Book Antiqua"/>
        </w:rPr>
        <w:t xml:space="preserve"> 2008; </w:t>
      </w:r>
      <w:r w:rsidRPr="00B51896">
        <w:rPr>
          <w:rFonts w:ascii="Book Antiqua" w:eastAsia="Book Antiqua" w:hAnsi="Book Antiqua" w:cs="Book Antiqua"/>
          <w:b/>
          <w:bCs/>
        </w:rPr>
        <w:t>53</w:t>
      </w:r>
      <w:r w:rsidRPr="00B51896">
        <w:rPr>
          <w:rFonts w:ascii="Book Antiqua" w:eastAsia="Book Antiqua" w:hAnsi="Book Antiqua" w:cs="Book Antiqua"/>
        </w:rPr>
        <w:t>: 7-13 [PMID: 18058232 DOI: 10.1007/s10620-007-0039-3]</w:t>
      </w:r>
    </w:p>
    <w:p w14:paraId="31C90BFC"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17 </w:t>
      </w:r>
      <w:r w:rsidRPr="00B51896">
        <w:rPr>
          <w:rFonts w:ascii="Book Antiqua" w:eastAsia="Book Antiqua" w:hAnsi="Book Antiqua" w:cs="Book Antiqua"/>
          <w:b/>
          <w:bCs/>
        </w:rPr>
        <w:t>Ferrusquía-Acosta J</w:t>
      </w:r>
      <w:r w:rsidRPr="00B51896">
        <w:rPr>
          <w:rFonts w:ascii="Book Antiqua" w:eastAsia="Book Antiqua" w:hAnsi="Book Antiqua" w:cs="Book Antiqua"/>
        </w:rPr>
        <w:t xml:space="preserve">, Bassegoda O, Turco L, Reverter E, Pellone M, Bianchini M, Pérez-Campuzano V, Ripoll E, García-Criado Á, Graupera I, García-Pagán JC, Schepis F, </w:t>
      </w:r>
      <w:r w:rsidRPr="00B51896">
        <w:rPr>
          <w:rFonts w:ascii="Book Antiqua" w:eastAsia="Book Antiqua" w:hAnsi="Book Antiqua" w:cs="Book Antiqua"/>
        </w:rPr>
        <w:lastRenderedPageBreak/>
        <w:t xml:space="preserve">Senzolo M, Hernández-Gea V. Agreement between wedged hepatic venous pressure and portal pressure in non-alcoholic steatohepatitis-related cirrhosis. </w:t>
      </w:r>
      <w:r w:rsidRPr="00B51896">
        <w:rPr>
          <w:rFonts w:ascii="Book Antiqua" w:eastAsia="Book Antiqua" w:hAnsi="Book Antiqua" w:cs="Book Antiqua"/>
          <w:i/>
          <w:iCs/>
        </w:rPr>
        <w:t>J Hepatol</w:t>
      </w:r>
      <w:r w:rsidRPr="00B51896">
        <w:rPr>
          <w:rFonts w:ascii="Book Antiqua" w:eastAsia="Book Antiqua" w:hAnsi="Book Antiqua" w:cs="Book Antiqua"/>
        </w:rPr>
        <w:t xml:space="preserve"> 2021; </w:t>
      </w:r>
      <w:r w:rsidRPr="00B51896">
        <w:rPr>
          <w:rFonts w:ascii="Book Antiqua" w:eastAsia="Book Antiqua" w:hAnsi="Book Antiqua" w:cs="Book Antiqua"/>
          <w:b/>
          <w:bCs/>
        </w:rPr>
        <w:t>74</w:t>
      </w:r>
      <w:r w:rsidRPr="00B51896">
        <w:rPr>
          <w:rFonts w:ascii="Book Antiqua" w:eastAsia="Book Antiqua" w:hAnsi="Book Antiqua" w:cs="Book Antiqua"/>
        </w:rPr>
        <w:t>: 811-818 [PMID: 33068638 DOI: 10.1016/j.jhep.2020.10.003]</w:t>
      </w:r>
    </w:p>
    <w:p w14:paraId="08DD968C"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18 </w:t>
      </w:r>
      <w:r w:rsidRPr="00B51896">
        <w:rPr>
          <w:rFonts w:ascii="Book Antiqua" w:eastAsia="Book Antiqua" w:hAnsi="Book Antiqua" w:cs="Book Antiqua"/>
          <w:b/>
          <w:bCs/>
        </w:rPr>
        <w:t>Pomier-Layrargues G</w:t>
      </w:r>
      <w:r w:rsidRPr="00B51896">
        <w:rPr>
          <w:rFonts w:ascii="Book Antiqua" w:eastAsia="Book Antiqua" w:hAnsi="Book Antiqua" w:cs="Book Antiqua"/>
        </w:rPr>
        <w:t xml:space="preserve">, Kusielewicz D, Willems B, Villeneuve JP, Marleau D, Côté J, Huet PM. Presinusoidal portal hypertension in non-alcoholic cirrhosis. </w:t>
      </w:r>
      <w:r w:rsidRPr="00B51896">
        <w:rPr>
          <w:rFonts w:ascii="Book Antiqua" w:eastAsia="Book Antiqua" w:hAnsi="Book Antiqua" w:cs="Book Antiqua"/>
          <w:i/>
          <w:iCs/>
        </w:rPr>
        <w:t>Hepatology</w:t>
      </w:r>
      <w:r w:rsidRPr="00B51896">
        <w:rPr>
          <w:rFonts w:ascii="Book Antiqua" w:eastAsia="Book Antiqua" w:hAnsi="Book Antiqua" w:cs="Book Antiqua"/>
        </w:rPr>
        <w:t xml:space="preserve"> 1985; </w:t>
      </w:r>
      <w:r w:rsidRPr="00B51896">
        <w:rPr>
          <w:rFonts w:ascii="Book Antiqua" w:eastAsia="Book Antiqua" w:hAnsi="Book Antiqua" w:cs="Book Antiqua"/>
          <w:b/>
          <w:bCs/>
        </w:rPr>
        <w:t>5</w:t>
      </w:r>
      <w:r w:rsidRPr="00B51896">
        <w:rPr>
          <w:rFonts w:ascii="Book Antiqua" w:eastAsia="Book Antiqua" w:hAnsi="Book Antiqua" w:cs="Book Antiqua"/>
        </w:rPr>
        <w:t>: 415-418 [PMID: 3997071 DOI: 10.1002/hep.1840050312]</w:t>
      </w:r>
    </w:p>
    <w:p w14:paraId="37E51DBA"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19 </w:t>
      </w:r>
      <w:r w:rsidRPr="00B51896">
        <w:rPr>
          <w:rFonts w:ascii="Book Antiqua" w:eastAsia="Book Antiqua" w:hAnsi="Book Antiqua" w:cs="Book Antiqua"/>
          <w:b/>
          <w:bCs/>
        </w:rPr>
        <w:t>Reverter E</w:t>
      </w:r>
      <w:r w:rsidRPr="00B51896">
        <w:rPr>
          <w:rFonts w:ascii="Book Antiqua" w:eastAsia="Book Antiqua" w:hAnsi="Book Antiqua" w:cs="Book Antiqua"/>
        </w:rPr>
        <w:t xml:space="preserve">, Blasi A, Abraldes JG, Martínez-Palli G, Seijo S, Turon F, Berzigotti A, Balust J, Bosch J, García-Pagán JC. Impact of deep sedation on the accuracy of hepatic and portal venous pressure measurements in patients with cirrhosis. </w:t>
      </w:r>
      <w:r w:rsidRPr="00B51896">
        <w:rPr>
          <w:rFonts w:ascii="Book Antiqua" w:eastAsia="Book Antiqua" w:hAnsi="Book Antiqua" w:cs="Book Antiqua"/>
          <w:i/>
          <w:iCs/>
        </w:rPr>
        <w:t>Liver Int</w:t>
      </w:r>
      <w:r w:rsidRPr="00B51896">
        <w:rPr>
          <w:rFonts w:ascii="Book Antiqua" w:eastAsia="Book Antiqua" w:hAnsi="Book Antiqua" w:cs="Book Antiqua"/>
        </w:rPr>
        <w:t xml:space="preserve"> 2014; </w:t>
      </w:r>
      <w:r w:rsidRPr="00B51896">
        <w:rPr>
          <w:rFonts w:ascii="Book Antiqua" w:eastAsia="Book Antiqua" w:hAnsi="Book Antiqua" w:cs="Book Antiqua"/>
          <w:b/>
          <w:bCs/>
        </w:rPr>
        <w:t>34</w:t>
      </w:r>
      <w:r w:rsidRPr="00B51896">
        <w:rPr>
          <w:rFonts w:ascii="Book Antiqua" w:eastAsia="Book Antiqua" w:hAnsi="Book Antiqua" w:cs="Book Antiqua"/>
        </w:rPr>
        <w:t>: 16-25 [PMID: 23763484 DOI: 10.1111/</w:t>
      </w:r>
      <w:r w:rsidRPr="00B51896">
        <w:rPr>
          <w:rFonts w:ascii="Book Antiqua" w:eastAsia="宋体" w:hAnsi="Book Antiqua" w:cs="Book Antiqua"/>
          <w:lang w:eastAsia="zh-CN"/>
        </w:rPr>
        <w:t>l</w:t>
      </w:r>
      <w:r w:rsidRPr="00B51896">
        <w:rPr>
          <w:rFonts w:ascii="Book Antiqua" w:eastAsia="Book Antiqua" w:hAnsi="Book Antiqua" w:cs="Book Antiqua"/>
        </w:rPr>
        <w:t>iv.12229]</w:t>
      </w:r>
    </w:p>
    <w:p w14:paraId="6BB22A21"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20 </w:t>
      </w:r>
      <w:r w:rsidRPr="00B51896">
        <w:rPr>
          <w:rFonts w:ascii="Book Antiqua" w:eastAsia="Book Antiqua" w:hAnsi="Book Antiqua" w:cs="Book Antiqua"/>
          <w:b/>
          <w:bCs/>
        </w:rPr>
        <w:t>Simonetto DA</w:t>
      </w:r>
      <w:r w:rsidRPr="00B51896">
        <w:rPr>
          <w:rFonts w:ascii="Book Antiqua" w:eastAsia="Book Antiqua" w:hAnsi="Book Antiqua" w:cs="Book Antiqua"/>
        </w:rPr>
        <w:t xml:space="preserve">, Liu M, Kamath PS. Portal Hypertension and Related Complications: Diagnosis and Management. </w:t>
      </w:r>
      <w:r w:rsidRPr="00B51896">
        <w:rPr>
          <w:rFonts w:ascii="Book Antiqua" w:eastAsia="Book Antiqua" w:hAnsi="Book Antiqua" w:cs="Book Antiqua"/>
          <w:i/>
          <w:iCs/>
        </w:rPr>
        <w:t>Mayo Clin Proc</w:t>
      </w:r>
      <w:r w:rsidRPr="00B51896">
        <w:rPr>
          <w:rFonts w:ascii="Book Antiqua" w:eastAsia="Book Antiqua" w:hAnsi="Book Antiqua" w:cs="Book Antiqua"/>
        </w:rPr>
        <w:t xml:space="preserve"> 2019; </w:t>
      </w:r>
      <w:r w:rsidRPr="00B51896">
        <w:rPr>
          <w:rFonts w:ascii="Book Antiqua" w:eastAsia="Book Antiqua" w:hAnsi="Book Antiqua" w:cs="Book Antiqua"/>
          <w:b/>
          <w:bCs/>
        </w:rPr>
        <w:t>94</w:t>
      </w:r>
      <w:r w:rsidRPr="00B51896">
        <w:rPr>
          <w:rFonts w:ascii="Book Antiqua" w:eastAsia="Book Antiqua" w:hAnsi="Book Antiqua" w:cs="Book Antiqua"/>
        </w:rPr>
        <w:t>: 714-726 [PMID: 30947834 DOI: 10.1016/j.mayocp.2018.12.020]</w:t>
      </w:r>
    </w:p>
    <w:p w14:paraId="2D0731B8"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21 </w:t>
      </w:r>
      <w:r w:rsidRPr="00B51896">
        <w:rPr>
          <w:rFonts w:ascii="Book Antiqua" w:eastAsia="Book Antiqua" w:hAnsi="Book Antiqua" w:cs="Book Antiqua"/>
          <w:b/>
          <w:bCs/>
        </w:rPr>
        <w:t>Giannitrapani L</w:t>
      </w:r>
      <w:r w:rsidRPr="00B51896">
        <w:rPr>
          <w:rFonts w:ascii="Book Antiqua" w:eastAsia="Book Antiqua" w:hAnsi="Book Antiqua" w:cs="Book Antiqua"/>
        </w:rPr>
        <w:t xml:space="preserve">, Granà W, Licata A, Schiavone C, Montalto G, Soresi M. Nontumorous Portal Vein Thrombosis in Liver Cirrhosis: Possible Role of β-Blockers. </w:t>
      </w:r>
      <w:r w:rsidRPr="00B51896">
        <w:rPr>
          <w:rFonts w:ascii="Book Antiqua" w:eastAsia="Book Antiqua" w:hAnsi="Book Antiqua" w:cs="Book Antiqua"/>
          <w:i/>
          <w:iCs/>
        </w:rPr>
        <w:t>Med Princ Pract</w:t>
      </w:r>
      <w:r w:rsidRPr="00B51896">
        <w:rPr>
          <w:rFonts w:ascii="Book Antiqua" w:eastAsia="Book Antiqua" w:hAnsi="Book Antiqua" w:cs="Book Antiqua"/>
        </w:rPr>
        <w:t xml:space="preserve"> 2018; </w:t>
      </w:r>
      <w:r w:rsidRPr="00B51896">
        <w:rPr>
          <w:rFonts w:ascii="Book Antiqua" w:eastAsia="Book Antiqua" w:hAnsi="Book Antiqua" w:cs="Book Antiqua"/>
          <w:b/>
          <w:bCs/>
        </w:rPr>
        <w:t>27</w:t>
      </w:r>
      <w:r w:rsidRPr="00B51896">
        <w:rPr>
          <w:rFonts w:ascii="Book Antiqua" w:eastAsia="Book Antiqua" w:hAnsi="Book Antiqua" w:cs="Book Antiqua"/>
        </w:rPr>
        <w:t>: 466-471 [PMID: 30107378 DOI: 10.1159/000492893]</w:t>
      </w:r>
    </w:p>
    <w:p w14:paraId="080B31E5"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22 </w:t>
      </w:r>
      <w:r w:rsidRPr="00B51896">
        <w:rPr>
          <w:rFonts w:ascii="Book Antiqua" w:eastAsia="Book Antiqua" w:hAnsi="Book Antiqua" w:cs="Book Antiqua"/>
          <w:b/>
          <w:bCs/>
        </w:rPr>
        <w:t>Danielsen KV</w:t>
      </w:r>
      <w:r w:rsidRPr="00B51896">
        <w:rPr>
          <w:rFonts w:ascii="Book Antiqua" w:eastAsia="Book Antiqua" w:hAnsi="Book Antiqua" w:cs="Book Antiqua"/>
        </w:rPr>
        <w:t xml:space="preserve">, Nabilou P, Wiese SS, Hove JD, Bendtsen F, Møller S. Effect of beta-blockers on multiple haemodynamics in cirrhosis: A cross-over study by MR-imaging and hepatic vein catheterization. </w:t>
      </w:r>
      <w:r w:rsidRPr="00B51896">
        <w:rPr>
          <w:rFonts w:ascii="Book Antiqua" w:eastAsia="Book Antiqua" w:hAnsi="Book Antiqua" w:cs="Book Antiqua"/>
          <w:i/>
          <w:iCs/>
        </w:rPr>
        <w:t>Liver Int</w:t>
      </w:r>
      <w:r w:rsidRPr="00B51896">
        <w:rPr>
          <w:rFonts w:ascii="Book Antiqua" w:eastAsia="Book Antiqua" w:hAnsi="Book Antiqua" w:cs="Book Antiqua"/>
        </w:rPr>
        <w:t xml:space="preserve"> 2023; </w:t>
      </w:r>
      <w:r w:rsidRPr="00B51896">
        <w:rPr>
          <w:rFonts w:ascii="Book Antiqua" w:eastAsia="Book Antiqua" w:hAnsi="Book Antiqua" w:cs="Book Antiqua"/>
          <w:b/>
          <w:bCs/>
        </w:rPr>
        <w:t>43</w:t>
      </w:r>
      <w:r w:rsidRPr="00B51896">
        <w:rPr>
          <w:rFonts w:ascii="Book Antiqua" w:eastAsia="Book Antiqua" w:hAnsi="Book Antiqua" w:cs="Book Antiqua"/>
        </w:rPr>
        <w:t>: 2245-2255 [PMID: 37387503 DOI: 10.1111/</w:t>
      </w:r>
      <w:r w:rsidRPr="00B51896">
        <w:rPr>
          <w:rFonts w:ascii="Book Antiqua" w:eastAsia="宋体" w:hAnsi="Book Antiqua" w:cs="Book Antiqua"/>
          <w:lang w:eastAsia="zh-CN"/>
        </w:rPr>
        <w:t>l</w:t>
      </w:r>
      <w:r w:rsidRPr="00B51896">
        <w:rPr>
          <w:rFonts w:ascii="Book Antiqua" w:eastAsia="Book Antiqua" w:hAnsi="Book Antiqua" w:cs="Book Antiqua"/>
        </w:rPr>
        <w:t>iv.15664]</w:t>
      </w:r>
    </w:p>
    <w:p w14:paraId="3085CDB2"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 xml:space="preserve">23 </w:t>
      </w:r>
      <w:r w:rsidRPr="00B51896">
        <w:rPr>
          <w:rFonts w:ascii="Book Antiqua" w:eastAsia="Book Antiqua" w:hAnsi="Book Antiqua" w:cs="Book Antiqua"/>
          <w:b/>
          <w:bCs/>
        </w:rPr>
        <w:t>Ebrahimi F</w:t>
      </w:r>
      <w:r w:rsidRPr="00B51896">
        <w:rPr>
          <w:rFonts w:ascii="Book Antiqua" w:eastAsia="Book Antiqua" w:hAnsi="Book Antiqua" w:cs="Book Antiqua"/>
        </w:rPr>
        <w:t xml:space="preserve">, Semela D, Heim M. Impact of propofol sedation on the diagnostic accuracy of hepatic venous pressure gradient measurements in patients with cirrhosis. </w:t>
      </w:r>
      <w:r w:rsidRPr="00B51896">
        <w:rPr>
          <w:rFonts w:ascii="Book Antiqua" w:eastAsia="Book Antiqua" w:hAnsi="Book Antiqua" w:cs="Book Antiqua"/>
          <w:i/>
          <w:iCs/>
        </w:rPr>
        <w:t>Hepatol Int</w:t>
      </w:r>
      <w:r w:rsidRPr="00B51896">
        <w:rPr>
          <w:rFonts w:ascii="Book Antiqua" w:eastAsia="Book Antiqua" w:hAnsi="Book Antiqua" w:cs="Book Antiqua"/>
        </w:rPr>
        <w:t xml:space="preserve"> 2022; </w:t>
      </w:r>
      <w:r w:rsidRPr="00B51896">
        <w:rPr>
          <w:rFonts w:ascii="Book Antiqua" w:eastAsia="Book Antiqua" w:hAnsi="Book Antiqua" w:cs="Book Antiqua"/>
          <w:b/>
          <w:bCs/>
        </w:rPr>
        <w:t>16</w:t>
      </w:r>
      <w:r w:rsidRPr="00B51896">
        <w:rPr>
          <w:rFonts w:ascii="Book Antiqua" w:eastAsia="Book Antiqua" w:hAnsi="Book Antiqua" w:cs="Book Antiqua"/>
        </w:rPr>
        <w:t>: 817-823 [PMID: 34699037 DOI: 10.1007/s12072-021-10261-z]</w:t>
      </w:r>
    </w:p>
    <w:p w14:paraId="183105A6" w14:textId="77777777" w:rsidR="00D60238" w:rsidRPr="00B51896" w:rsidRDefault="00D60238" w:rsidP="00EC0DF5">
      <w:pPr>
        <w:spacing w:line="360" w:lineRule="auto"/>
        <w:jc w:val="both"/>
        <w:rPr>
          <w:rFonts w:ascii="Book Antiqua" w:hAnsi="Book Antiqua"/>
        </w:rPr>
        <w:sectPr w:rsidR="00D60238" w:rsidRPr="00B51896">
          <w:pgSz w:w="12240" w:h="15840"/>
          <w:pgMar w:top="1440" w:right="1440" w:bottom="1440" w:left="1440" w:header="720" w:footer="720" w:gutter="0"/>
          <w:cols w:space="720"/>
          <w:docGrid w:linePitch="360"/>
        </w:sectPr>
      </w:pPr>
    </w:p>
    <w:p w14:paraId="2BB27EE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lastRenderedPageBreak/>
        <w:t>Footnotes</w:t>
      </w:r>
    </w:p>
    <w:p w14:paraId="79BC5131" w14:textId="77777777" w:rsidR="00D60238" w:rsidRPr="00B51896" w:rsidRDefault="00E04F37" w:rsidP="00EC0DF5">
      <w:pPr>
        <w:spacing w:line="360" w:lineRule="auto"/>
        <w:jc w:val="both"/>
        <w:rPr>
          <w:rFonts w:ascii="Book Antiqua" w:eastAsia="Book Antiqua" w:hAnsi="Book Antiqua" w:cs="Book Antiqua"/>
        </w:rPr>
      </w:pPr>
      <w:r w:rsidRPr="00B51896">
        <w:rPr>
          <w:rFonts w:ascii="Book Antiqua" w:eastAsia="Book Antiqua" w:hAnsi="Book Antiqua" w:cs="Book Antiqua"/>
          <w:b/>
          <w:bCs/>
          <w:color w:val="000000"/>
        </w:rPr>
        <w:t xml:space="preserve">Institutional review board statement: </w:t>
      </w:r>
      <w:r w:rsidRPr="00B51896">
        <w:rPr>
          <w:rFonts w:ascii="Book Antiqua" w:eastAsia="Book Antiqua" w:hAnsi="Book Antiqua" w:cs="Book Antiqua"/>
        </w:rPr>
        <w:t>The study was reviewed and approved by the Beijing Shijitan Hospital, Capital Medical University Institutional Review Board [2018(01)].</w:t>
      </w:r>
    </w:p>
    <w:p w14:paraId="495D85B6" w14:textId="77777777" w:rsidR="009237DC" w:rsidRPr="00B51896" w:rsidRDefault="009237DC" w:rsidP="00EC0DF5">
      <w:pPr>
        <w:spacing w:line="360" w:lineRule="auto"/>
        <w:jc w:val="both"/>
        <w:rPr>
          <w:rFonts w:ascii="Book Antiqua" w:eastAsia="Book Antiqua" w:hAnsi="Book Antiqua" w:cs="Book Antiqua"/>
        </w:rPr>
      </w:pPr>
    </w:p>
    <w:p w14:paraId="4C39ECFB" w14:textId="1E2314A7" w:rsidR="009237DC" w:rsidRPr="00B51896" w:rsidRDefault="009237DC" w:rsidP="00EC0DF5">
      <w:pPr>
        <w:spacing w:line="360" w:lineRule="auto"/>
        <w:jc w:val="both"/>
        <w:rPr>
          <w:rFonts w:ascii="Book Antiqua" w:eastAsia="Book Antiqua" w:hAnsi="Book Antiqua" w:cs="Book Antiqua"/>
        </w:rPr>
      </w:pPr>
      <w:r w:rsidRPr="00B51896">
        <w:rPr>
          <w:rFonts w:ascii="Book Antiqua" w:eastAsia="Book Antiqua" w:hAnsi="Book Antiqua" w:cs="Book Antiqua"/>
          <w:b/>
          <w:bCs/>
        </w:rPr>
        <w:t>Informed consent statement:</w:t>
      </w:r>
      <w:r w:rsidRPr="00B51896">
        <w:rPr>
          <w:rFonts w:ascii="Book Antiqua" w:eastAsia="Book Antiqua" w:hAnsi="Book Antiqua" w:cs="Book Antiqua"/>
        </w:rPr>
        <w:t xml:space="preserve"> All study participants or their legal guardian provided informed written consent about personal and medical data collection prior to study enrolment.</w:t>
      </w:r>
    </w:p>
    <w:p w14:paraId="4883B1BF" w14:textId="77777777" w:rsidR="00D60238" w:rsidRPr="00B51896" w:rsidRDefault="00D60238" w:rsidP="00EC0DF5">
      <w:pPr>
        <w:spacing w:line="360" w:lineRule="auto"/>
        <w:jc w:val="both"/>
        <w:rPr>
          <w:rFonts w:ascii="Book Antiqua" w:hAnsi="Book Antiqua"/>
        </w:rPr>
      </w:pPr>
    </w:p>
    <w:p w14:paraId="7F46CA6B" w14:textId="77777777" w:rsidR="00D60238" w:rsidRPr="00B51896" w:rsidRDefault="00E04F37" w:rsidP="00EC0DF5">
      <w:pPr>
        <w:spacing w:line="360" w:lineRule="auto"/>
        <w:ind w:firstLine="4"/>
        <w:jc w:val="both"/>
        <w:rPr>
          <w:rFonts w:ascii="Book Antiqua" w:hAnsi="Book Antiqua"/>
        </w:rPr>
      </w:pPr>
      <w:r w:rsidRPr="00B51896">
        <w:rPr>
          <w:rFonts w:ascii="Book Antiqua" w:eastAsia="Book Antiqua" w:hAnsi="Book Antiqua" w:cs="Book Antiqua"/>
          <w:b/>
          <w:bCs/>
          <w:color w:val="000000"/>
        </w:rPr>
        <w:t xml:space="preserve">Conflict-of-interest statement: </w:t>
      </w:r>
      <w:r w:rsidRPr="00B51896">
        <w:rPr>
          <w:rFonts w:ascii="Book Antiqua" w:eastAsia="Book Antiqua" w:hAnsi="Book Antiqua" w:cs="Book Antiqua"/>
          <w:color w:val="000000"/>
        </w:rPr>
        <w:t>The authors declare that they have no conflict of interest.</w:t>
      </w:r>
    </w:p>
    <w:p w14:paraId="59D06980" w14:textId="77777777" w:rsidR="00D60238" w:rsidRPr="00B51896" w:rsidRDefault="00D60238" w:rsidP="00EC0DF5">
      <w:pPr>
        <w:spacing w:line="360" w:lineRule="auto"/>
        <w:ind w:firstLine="4"/>
        <w:jc w:val="both"/>
        <w:rPr>
          <w:rFonts w:ascii="Book Antiqua" w:hAnsi="Book Antiqua"/>
        </w:rPr>
      </w:pPr>
    </w:p>
    <w:p w14:paraId="2B6C2C71" w14:textId="77777777"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rPr>
        <w:t xml:space="preserve">Data sharing statement: </w:t>
      </w:r>
      <w:r w:rsidRPr="00B51896">
        <w:rPr>
          <w:rFonts w:ascii="Book Antiqua" w:eastAsia="Book Antiqua" w:hAnsi="Book Antiqua" w:cs="Book Antiqua"/>
          <w:color w:val="000000"/>
        </w:rPr>
        <w:t xml:space="preserve">Technical appendix, statistical code, and dataset available from the corresponding author at </w:t>
      </w:r>
      <w:hyperlink r:id="rId7" w:history="1">
        <w:r w:rsidRPr="00B51896">
          <w:rPr>
            <w:rFonts w:ascii="Book Antiqua" w:eastAsia="Book Antiqua" w:hAnsi="Book Antiqua" w:cs="Book Antiqua"/>
            <w:color w:val="000000"/>
          </w:rPr>
          <w:t>liufuquan@ccmu.edu.cn</w:t>
        </w:r>
      </w:hyperlink>
      <w:r w:rsidRPr="00B51896">
        <w:rPr>
          <w:rFonts w:ascii="Book Antiqua" w:eastAsia="Book Antiqua" w:hAnsi="Book Antiqua" w:cs="Book Antiqua"/>
          <w:color w:val="000000"/>
        </w:rPr>
        <w:t>. Participants gave informed consent for data sharing.</w:t>
      </w:r>
    </w:p>
    <w:p w14:paraId="6FF1B5D4" w14:textId="77777777" w:rsidR="00D60238" w:rsidRPr="00B51896" w:rsidRDefault="00D60238" w:rsidP="00EC0DF5">
      <w:pPr>
        <w:spacing w:line="360" w:lineRule="auto"/>
        <w:jc w:val="both"/>
        <w:rPr>
          <w:rFonts w:ascii="Book Antiqua" w:hAnsi="Book Antiqua"/>
        </w:rPr>
      </w:pPr>
    </w:p>
    <w:p w14:paraId="26D96A7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bCs/>
        </w:rPr>
        <w:t xml:space="preserve">Open-Access: </w:t>
      </w:r>
      <w:r w:rsidRPr="00B5189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D753F0" w14:textId="77777777" w:rsidR="00D60238" w:rsidRPr="00B51896" w:rsidRDefault="00D60238" w:rsidP="00EC0DF5">
      <w:pPr>
        <w:spacing w:line="360" w:lineRule="auto"/>
        <w:jc w:val="both"/>
        <w:rPr>
          <w:rFonts w:ascii="Book Antiqua" w:hAnsi="Book Antiqua"/>
        </w:rPr>
      </w:pPr>
    </w:p>
    <w:p w14:paraId="48BC1B2B" w14:textId="77777777" w:rsidR="00D60238" w:rsidRPr="00B51896" w:rsidRDefault="00E04F37" w:rsidP="00EC0DF5">
      <w:pPr>
        <w:spacing w:line="360" w:lineRule="auto"/>
        <w:jc w:val="both"/>
        <w:rPr>
          <w:rFonts w:ascii="Book Antiqua" w:eastAsia="Book Antiqua" w:hAnsi="Book Antiqua" w:cs="Book Antiqua"/>
        </w:rPr>
      </w:pPr>
      <w:r w:rsidRPr="00B51896">
        <w:rPr>
          <w:rFonts w:ascii="Book Antiqua" w:eastAsia="Book Antiqua" w:hAnsi="Book Antiqua" w:cs="Book Antiqua"/>
          <w:b/>
          <w:color w:val="000000"/>
        </w:rPr>
        <w:t xml:space="preserve">Provenance and peer review: </w:t>
      </w:r>
      <w:r w:rsidRPr="00B51896">
        <w:rPr>
          <w:rFonts w:ascii="Book Antiqua" w:eastAsia="Book Antiqua" w:hAnsi="Book Antiqua" w:cs="Book Antiqua"/>
        </w:rPr>
        <w:t>Unsolicited article; Externally peer reviewed.</w:t>
      </w:r>
    </w:p>
    <w:p w14:paraId="1774E55D" w14:textId="77777777" w:rsidR="00B31958" w:rsidRPr="00B51896" w:rsidRDefault="00B31958" w:rsidP="00EC0DF5">
      <w:pPr>
        <w:spacing w:line="360" w:lineRule="auto"/>
        <w:jc w:val="both"/>
        <w:rPr>
          <w:rFonts w:ascii="Book Antiqua" w:hAnsi="Book Antiqua"/>
        </w:rPr>
      </w:pPr>
    </w:p>
    <w:p w14:paraId="736B198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 xml:space="preserve">Peer-review model: </w:t>
      </w:r>
      <w:r w:rsidRPr="00B51896">
        <w:rPr>
          <w:rFonts w:ascii="Book Antiqua" w:eastAsia="Book Antiqua" w:hAnsi="Book Antiqua" w:cs="Book Antiqua"/>
        </w:rPr>
        <w:t>Single blind</w:t>
      </w:r>
    </w:p>
    <w:p w14:paraId="6EC07417" w14:textId="77777777" w:rsidR="00D60238" w:rsidRPr="00B51896" w:rsidRDefault="00D60238" w:rsidP="00EC0DF5">
      <w:pPr>
        <w:spacing w:line="360" w:lineRule="auto"/>
        <w:jc w:val="both"/>
        <w:rPr>
          <w:rFonts w:ascii="Book Antiqua" w:hAnsi="Book Antiqua"/>
        </w:rPr>
      </w:pPr>
    </w:p>
    <w:p w14:paraId="68327AFB"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 xml:space="preserve">Peer-review started: </w:t>
      </w:r>
      <w:r w:rsidRPr="00B51896">
        <w:rPr>
          <w:rFonts w:ascii="Book Antiqua" w:eastAsia="Book Antiqua" w:hAnsi="Book Antiqua" w:cs="Book Antiqua"/>
        </w:rPr>
        <w:t>August 13, 2023</w:t>
      </w:r>
    </w:p>
    <w:p w14:paraId="73A4ED49"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 xml:space="preserve">First decision: </w:t>
      </w:r>
      <w:r w:rsidRPr="00B51896">
        <w:rPr>
          <w:rFonts w:ascii="Book Antiqua" w:eastAsia="Book Antiqua" w:hAnsi="Book Antiqua" w:cs="Book Antiqua"/>
        </w:rPr>
        <w:t>September 20, 2023</w:t>
      </w:r>
    </w:p>
    <w:p w14:paraId="192FFE43" w14:textId="344D3EB4"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lastRenderedPageBreak/>
        <w:t>Article in press:</w:t>
      </w:r>
      <w:r w:rsidR="00246C5E" w:rsidRPr="00B51896">
        <w:rPr>
          <w:rFonts w:ascii="Book Antiqua" w:hAnsi="Book Antiqua" w:cs="Book Antiqua" w:hint="eastAsia"/>
          <w:b/>
          <w:color w:val="000000"/>
          <w:lang w:eastAsia="zh-CN"/>
        </w:rPr>
        <w:t xml:space="preserve"> </w:t>
      </w:r>
      <w:r w:rsidR="00246C5E" w:rsidRPr="00B51896">
        <w:rPr>
          <w:rFonts w:ascii="Book Antiqua" w:eastAsia="Book Antiqua" w:hAnsi="Book Antiqua" w:cs="Book Antiqua"/>
        </w:rPr>
        <w:t>October 23, 2023</w:t>
      </w:r>
      <w:r w:rsidRPr="00B51896">
        <w:rPr>
          <w:rFonts w:ascii="Book Antiqua" w:eastAsia="Book Antiqua" w:hAnsi="Book Antiqua" w:cs="Book Antiqua"/>
          <w:b/>
          <w:color w:val="000000"/>
        </w:rPr>
        <w:t xml:space="preserve"> </w:t>
      </w:r>
    </w:p>
    <w:p w14:paraId="613A03D0" w14:textId="77777777" w:rsidR="00D60238" w:rsidRPr="00B51896" w:rsidRDefault="00D60238" w:rsidP="00EC0DF5">
      <w:pPr>
        <w:spacing w:line="360" w:lineRule="auto"/>
        <w:jc w:val="both"/>
        <w:rPr>
          <w:rFonts w:ascii="Book Antiqua" w:hAnsi="Book Antiqua"/>
        </w:rPr>
      </w:pPr>
    </w:p>
    <w:p w14:paraId="09B13A9A" w14:textId="114FD934"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 xml:space="preserve">Specialty type: </w:t>
      </w:r>
      <w:r w:rsidR="00B31958" w:rsidRPr="00B51896">
        <w:rPr>
          <w:rFonts w:ascii="Book Antiqua" w:eastAsia="Book Antiqua" w:hAnsi="Book Antiqua" w:cs="Book Antiqua"/>
        </w:rPr>
        <w:t>Gastroenterology and hepatology</w:t>
      </w:r>
    </w:p>
    <w:p w14:paraId="6F21D8F8"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 xml:space="preserve">Country/Territory of origin: </w:t>
      </w:r>
      <w:r w:rsidRPr="00B51896">
        <w:rPr>
          <w:rFonts w:ascii="Book Antiqua" w:eastAsia="Book Antiqua" w:hAnsi="Book Antiqua" w:cs="Book Antiqua"/>
        </w:rPr>
        <w:t>China</w:t>
      </w:r>
    </w:p>
    <w:p w14:paraId="008D96B0"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b/>
          <w:color w:val="000000"/>
        </w:rPr>
        <w:t>Peer-review report’s scientific quality classification</w:t>
      </w:r>
    </w:p>
    <w:p w14:paraId="52DA8353"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Grade A (Excellent): 0</w:t>
      </w:r>
    </w:p>
    <w:p w14:paraId="23ECF97F"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Grade B (Very good): B, B</w:t>
      </w:r>
    </w:p>
    <w:p w14:paraId="552C431E"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Grade C (Good): 0</w:t>
      </w:r>
    </w:p>
    <w:p w14:paraId="1E17C8C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Grade D (Fair): 0</w:t>
      </w:r>
    </w:p>
    <w:p w14:paraId="117DCC24" w14:textId="77777777" w:rsidR="00D60238" w:rsidRPr="00B51896" w:rsidRDefault="00E04F37" w:rsidP="00EC0DF5">
      <w:pPr>
        <w:spacing w:line="360" w:lineRule="auto"/>
        <w:jc w:val="both"/>
        <w:rPr>
          <w:rFonts w:ascii="Book Antiqua" w:hAnsi="Book Antiqua"/>
        </w:rPr>
      </w:pPr>
      <w:r w:rsidRPr="00B51896">
        <w:rPr>
          <w:rFonts w:ascii="Book Antiqua" w:eastAsia="Book Antiqua" w:hAnsi="Book Antiqua" w:cs="Book Antiqua"/>
        </w:rPr>
        <w:t>Grade E (Poor): 0</w:t>
      </w:r>
    </w:p>
    <w:p w14:paraId="220D38C1" w14:textId="77777777" w:rsidR="00D60238" w:rsidRPr="00B51896" w:rsidRDefault="00D60238" w:rsidP="00EC0DF5">
      <w:pPr>
        <w:spacing w:line="360" w:lineRule="auto"/>
        <w:jc w:val="both"/>
        <w:rPr>
          <w:rFonts w:ascii="Book Antiqua" w:hAnsi="Book Antiqua"/>
        </w:rPr>
      </w:pPr>
    </w:p>
    <w:p w14:paraId="59776FF3" w14:textId="1D3DB1AB" w:rsidR="00246C5E" w:rsidRPr="00B51896" w:rsidRDefault="00E04F37" w:rsidP="00EC0DF5">
      <w:pPr>
        <w:spacing w:line="360" w:lineRule="auto"/>
        <w:jc w:val="both"/>
        <w:rPr>
          <w:rFonts w:ascii="Book Antiqua" w:hAnsi="Book Antiqua" w:cs="Book Antiqua"/>
          <w:b/>
          <w:color w:val="000000"/>
          <w:lang w:eastAsia="zh-CN"/>
        </w:rPr>
      </w:pPr>
      <w:r w:rsidRPr="00B51896">
        <w:rPr>
          <w:rFonts w:ascii="Book Antiqua" w:eastAsia="Book Antiqua" w:hAnsi="Book Antiqua" w:cs="Book Antiqua"/>
          <w:b/>
          <w:color w:val="000000"/>
        </w:rPr>
        <w:t xml:space="preserve">P-Reviewer: </w:t>
      </w:r>
      <w:r w:rsidRPr="00B51896">
        <w:rPr>
          <w:rFonts w:ascii="Book Antiqua" w:eastAsia="Book Antiqua" w:hAnsi="Book Antiqua" w:cs="Book Antiqua"/>
        </w:rPr>
        <w:t>El-Shabrawi MHF, Egypt; Mahmoud MZ, Saudi Arabia</w:t>
      </w:r>
      <w:r w:rsidRPr="00B51896">
        <w:rPr>
          <w:rFonts w:ascii="Book Antiqua" w:eastAsia="Book Antiqua" w:hAnsi="Book Antiqua" w:cs="Book Antiqua"/>
          <w:b/>
          <w:color w:val="000000"/>
        </w:rPr>
        <w:t xml:space="preserve"> S-Editor: </w:t>
      </w:r>
      <w:r w:rsidR="00B31958" w:rsidRPr="00B51896">
        <w:rPr>
          <w:rFonts w:ascii="Book Antiqua" w:eastAsia="Book Antiqua" w:hAnsi="Book Antiqua" w:cs="Book Antiqua"/>
          <w:bCs/>
          <w:color w:val="000000"/>
        </w:rPr>
        <w:t>Lin C</w:t>
      </w:r>
      <w:r w:rsidRPr="00B51896">
        <w:rPr>
          <w:rFonts w:ascii="Book Antiqua" w:eastAsia="Book Antiqua" w:hAnsi="Book Antiqua" w:cs="Book Antiqua"/>
          <w:b/>
          <w:color w:val="000000"/>
        </w:rPr>
        <w:t xml:space="preserve"> L-Editor:</w:t>
      </w:r>
      <w:r w:rsidR="005119AF" w:rsidRPr="00B51896">
        <w:rPr>
          <w:rFonts w:ascii="Book Antiqua" w:hAnsi="Book Antiqua" w:cs="Book Antiqua" w:hint="eastAsia"/>
          <w:b/>
          <w:color w:val="000000"/>
          <w:lang w:eastAsia="zh-CN"/>
        </w:rPr>
        <w:t xml:space="preserve"> </w:t>
      </w:r>
      <w:r w:rsidR="005119AF" w:rsidRPr="00B51896">
        <w:rPr>
          <w:rFonts w:ascii="Book Antiqua" w:eastAsia="Book Antiqua" w:hAnsi="Book Antiqua" w:cs="Book Antiqua" w:hint="eastAsia"/>
        </w:rPr>
        <w:t>A</w:t>
      </w:r>
      <w:r w:rsidRPr="00B51896">
        <w:rPr>
          <w:rFonts w:ascii="Book Antiqua" w:eastAsia="Book Antiqua" w:hAnsi="Book Antiqua" w:cs="Book Antiqua"/>
          <w:b/>
          <w:color w:val="000000"/>
        </w:rPr>
        <w:t xml:space="preserve">  P-Editor:</w:t>
      </w:r>
      <w:r w:rsidR="00246C5E" w:rsidRPr="00B51896">
        <w:rPr>
          <w:rFonts w:ascii="Book Antiqua" w:hAnsi="Book Antiqua" w:cs="Book Antiqua" w:hint="eastAsia"/>
          <w:b/>
          <w:color w:val="000000"/>
          <w:lang w:eastAsia="zh-CN"/>
        </w:rPr>
        <w:t xml:space="preserve"> </w:t>
      </w:r>
      <w:r w:rsidR="00246C5E" w:rsidRPr="00B51896">
        <w:rPr>
          <w:rFonts w:ascii="Book Antiqua" w:hAnsi="Book Antiqua" w:cs="Book Antiqua" w:hint="eastAsia"/>
          <w:color w:val="000000"/>
          <w:lang w:eastAsia="zh-CN"/>
        </w:rPr>
        <w:t>Zhang YL</w:t>
      </w:r>
    </w:p>
    <w:p w14:paraId="7046F603" w14:textId="560E9278" w:rsidR="00D60238" w:rsidRPr="00B51896" w:rsidRDefault="00E04F37" w:rsidP="00EC0DF5">
      <w:pPr>
        <w:spacing w:line="360" w:lineRule="auto"/>
        <w:jc w:val="both"/>
        <w:rPr>
          <w:rFonts w:ascii="Book Antiqua" w:hAnsi="Book Antiqua"/>
        </w:rPr>
        <w:sectPr w:rsidR="00D60238" w:rsidRPr="00B51896">
          <w:pgSz w:w="12240" w:h="15840"/>
          <w:pgMar w:top="1440" w:right="1440" w:bottom="1440" w:left="1440" w:header="720" w:footer="720" w:gutter="0"/>
          <w:cols w:space="720"/>
          <w:docGrid w:linePitch="360"/>
        </w:sectPr>
      </w:pPr>
      <w:r w:rsidRPr="00B51896">
        <w:rPr>
          <w:rFonts w:ascii="Book Antiqua" w:eastAsia="Book Antiqua" w:hAnsi="Book Antiqua" w:cs="Book Antiqua"/>
          <w:b/>
          <w:color w:val="000000"/>
        </w:rPr>
        <w:t xml:space="preserve"> </w:t>
      </w:r>
    </w:p>
    <w:p w14:paraId="6D58D03E" w14:textId="77777777" w:rsidR="00D60238" w:rsidRPr="00B51896" w:rsidRDefault="00E04F37" w:rsidP="00EC0DF5">
      <w:pPr>
        <w:spacing w:line="360" w:lineRule="auto"/>
        <w:jc w:val="both"/>
        <w:rPr>
          <w:rFonts w:ascii="Book Antiqua" w:eastAsia="Book Antiqua" w:hAnsi="Book Antiqua" w:cs="Book Antiqua"/>
          <w:b/>
          <w:color w:val="000000"/>
        </w:rPr>
      </w:pPr>
      <w:r w:rsidRPr="00B51896">
        <w:rPr>
          <w:rFonts w:ascii="Book Antiqua" w:eastAsia="Book Antiqua" w:hAnsi="Book Antiqua" w:cs="Book Antiqua"/>
          <w:b/>
          <w:color w:val="000000"/>
        </w:rPr>
        <w:lastRenderedPageBreak/>
        <w:t>Figure Legends</w:t>
      </w:r>
    </w:p>
    <w:p w14:paraId="5DF267C3" w14:textId="2C60F9ED" w:rsidR="00ED2228" w:rsidRPr="00B51896" w:rsidRDefault="001E39BB" w:rsidP="00EC0DF5">
      <w:pPr>
        <w:spacing w:line="360" w:lineRule="auto"/>
        <w:jc w:val="both"/>
        <w:rPr>
          <w:rFonts w:ascii="Book Antiqua" w:hAnsi="Book Antiqua"/>
        </w:rPr>
      </w:pPr>
      <w:r>
        <w:rPr>
          <w:rFonts w:ascii="Book Antiqua" w:hAnsi="Book Antiqua"/>
          <w:noProof/>
          <w:lang w:eastAsia="zh-CN"/>
        </w:rPr>
        <w:drawing>
          <wp:inline distT="0" distB="0" distL="0" distR="0" wp14:anchorId="109B0745" wp14:editId="1E5D0986">
            <wp:extent cx="4324350" cy="2533650"/>
            <wp:effectExtent l="0" t="0" r="0" b="0"/>
            <wp:docPr id="604734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4350" cy="2533650"/>
                    </a:xfrm>
                    <a:prstGeom prst="rect">
                      <a:avLst/>
                    </a:prstGeom>
                    <a:noFill/>
                    <a:ln>
                      <a:noFill/>
                    </a:ln>
                  </pic:spPr>
                </pic:pic>
              </a:graphicData>
            </a:graphic>
          </wp:inline>
        </w:drawing>
      </w:r>
    </w:p>
    <w:p w14:paraId="0339BDCF" w14:textId="02C097BC"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1 Hepatic venography during transjugular intrahepatic portosystemic shunt.</w:t>
      </w:r>
      <w:r w:rsidRPr="00B51896">
        <w:rPr>
          <w:rFonts w:ascii="Book Antiqua" w:eastAsia="Book Antiqua" w:hAnsi="Book Antiqua" w:cs="Book Antiqua"/>
          <w:color w:val="000000"/>
        </w:rPr>
        <w:t xml:space="preserve"> A: Hepatic vein collateral branches (</w:t>
      </w:r>
      <w:r w:rsidR="00246C5E" w:rsidRPr="00B51896">
        <w:rPr>
          <w:rFonts w:ascii="Book Antiqua" w:hAnsi="Book Antiqua" w:cs="Book Antiqua" w:hint="eastAsia"/>
          <w:color w:val="000000"/>
          <w:lang w:eastAsia="zh-CN"/>
        </w:rPr>
        <w:t>orange</w:t>
      </w:r>
      <w:r w:rsidRPr="00B51896">
        <w:rPr>
          <w:rFonts w:ascii="Book Antiqua" w:eastAsia="Book Antiqua" w:hAnsi="Book Antiqua" w:cs="Book Antiqua"/>
          <w:color w:val="000000"/>
        </w:rPr>
        <w:t xml:space="preserve"> arrow) as shown on venography imagery; B: Venography image demonstrating the absence of hepatic vein collateral branch.</w:t>
      </w:r>
    </w:p>
    <w:p w14:paraId="5882E3EF" w14:textId="77777777" w:rsidR="00ED2228" w:rsidRPr="00B51896" w:rsidRDefault="00ED2228" w:rsidP="00EC0DF5">
      <w:pPr>
        <w:spacing w:line="360" w:lineRule="auto"/>
        <w:jc w:val="both"/>
        <w:rPr>
          <w:rFonts w:ascii="Book Antiqua" w:eastAsia="Book Antiqua" w:hAnsi="Book Antiqua" w:cs="Book Antiqua"/>
          <w:color w:val="000000"/>
        </w:rPr>
      </w:pPr>
    </w:p>
    <w:p w14:paraId="3359DDB2" w14:textId="1ACE0DE7" w:rsidR="00ED2228" w:rsidRPr="00B51896" w:rsidRDefault="001E39BB" w:rsidP="00EC0DF5">
      <w:pPr>
        <w:spacing w:line="360" w:lineRule="auto"/>
        <w:jc w:val="both"/>
        <w:rPr>
          <w:rFonts w:ascii="Book Antiqua" w:hAnsi="Book Antiqua"/>
        </w:rPr>
      </w:pPr>
      <w:r>
        <w:rPr>
          <w:rFonts w:ascii="Book Antiqua" w:hAnsi="Book Antiqua"/>
          <w:noProof/>
        </w:rPr>
        <w:drawing>
          <wp:inline distT="0" distB="0" distL="0" distR="0" wp14:anchorId="2F2AD229" wp14:editId="37E9C5FB">
            <wp:extent cx="5935980" cy="2019300"/>
            <wp:effectExtent l="0" t="0" r="0" b="0"/>
            <wp:docPr id="12905847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2019300"/>
                    </a:xfrm>
                    <a:prstGeom prst="rect">
                      <a:avLst/>
                    </a:prstGeom>
                    <a:noFill/>
                    <a:ln>
                      <a:noFill/>
                    </a:ln>
                  </pic:spPr>
                </pic:pic>
              </a:graphicData>
            </a:graphic>
          </wp:inline>
        </w:drawing>
      </w:r>
    </w:p>
    <w:p w14:paraId="5933553C" w14:textId="76EADDD9"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2 Box plots of pressure differences during transjugular intrahepatic portosystemic shunt.</w:t>
      </w:r>
      <w:r w:rsidRPr="00B51896">
        <w:rPr>
          <w:rFonts w:ascii="Book Antiqua" w:eastAsia="Book Antiqua" w:hAnsi="Book Antiqua" w:cs="Book Antiqua"/>
          <w:color w:val="000000"/>
        </w:rPr>
        <w:t xml:space="preserve"> A: All patients</w:t>
      </w:r>
      <w:r w:rsidR="00ED2228"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n</w:t>
      </w:r>
      <w:r w:rsidRPr="00B51896">
        <w:rPr>
          <w:rFonts w:ascii="Book Antiqua" w:eastAsia="Book Antiqua" w:hAnsi="Book Antiqua" w:cs="Book Antiqua"/>
          <w:color w:val="000000"/>
        </w:rPr>
        <w:t xml:space="preserve"> = 134</w:t>
      </w:r>
      <w:r w:rsidR="00ED2228" w:rsidRPr="00B51896">
        <w:rPr>
          <w:rFonts w:ascii="Book Antiqua" w:eastAsia="Book Antiqua" w:hAnsi="Book Antiqua" w:cs="Book Antiqua"/>
          <w:color w:val="000000"/>
        </w:rPr>
        <w:t>)</w:t>
      </w:r>
      <w:r w:rsidRPr="00B51896">
        <w:rPr>
          <w:rFonts w:ascii="Book Antiqua" w:eastAsia="Book Antiqua" w:hAnsi="Book Antiqua" w:cs="Book Antiqua"/>
          <w:color w:val="000000"/>
        </w:rPr>
        <w:t>; B: With hepatic vein collateral branches</w:t>
      </w:r>
      <w:r w:rsidR="00ED2228"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n</w:t>
      </w:r>
      <w:r w:rsidRPr="00B51896">
        <w:rPr>
          <w:rFonts w:ascii="Book Antiqua" w:eastAsia="Book Antiqua" w:hAnsi="Book Antiqua" w:cs="Book Antiqua"/>
          <w:color w:val="000000"/>
        </w:rPr>
        <w:t xml:space="preserve"> = 26</w:t>
      </w:r>
      <w:r w:rsidR="00ED2228" w:rsidRPr="00B51896">
        <w:rPr>
          <w:rFonts w:ascii="Book Antiqua" w:eastAsia="Book Antiqua" w:hAnsi="Book Antiqua" w:cs="Book Antiqua"/>
          <w:color w:val="000000"/>
        </w:rPr>
        <w:t>)</w:t>
      </w:r>
      <w:r w:rsidRPr="00B51896">
        <w:rPr>
          <w:rFonts w:ascii="Book Antiqua" w:eastAsia="Book Antiqua" w:hAnsi="Book Antiqua" w:cs="Book Antiqua"/>
          <w:color w:val="000000"/>
        </w:rPr>
        <w:t>; C: With no hepatic vein collateral branch</w:t>
      </w:r>
      <w:r w:rsidR="00ED2228" w:rsidRPr="00B51896">
        <w:rPr>
          <w:rFonts w:ascii="Book Antiqua" w:eastAsia="Book Antiqua" w:hAnsi="Book Antiqua" w:cs="Book Antiqua"/>
          <w:color w:val="000000"/>
        </w:rPr>
        <w:t xml:space="preserve"> (</w:t>
      </w:r>
      <w:r w:rsidRPr="00B51896">
        <w:rPr>
          <w:rFonts w:ascii="Book Antiqua" w:eastAsia="Book Antiqua" w:hAnsi="Book Antiqua" w:cs="Book Antiqua"/>
          <w:i/>
          <w:iCs/>
          <w:color w:val="000000"/>
        </w:rPr>
        <w:t>n</w:t>
      </w:r>
      <w:r w:rsidRPr="00B51896">
        <w:rPr>
          <w:rFonts w:ascii="Book Antiqua" w:eastAsia="Book Antiqua" w:hAnsi="Book Antiqua" w:cs="Book Antiqua"/>
          <w:color w:val="000000"/>
        </w:rPr>
        <w:t xml:space="preserve"> = 108</w:t>
      </w:r>
      <w:r w:rsidR="00ED2228"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w:t>
      </w:r>
      <w:r w:rsidR="00A81F84" w:rsidRPr="00B51896">
        <w:rPr>
          <w:rFonts w:ascii="Book Antiqua" w:eastAsia="Book Antiqua" w:hAnsi="Book Antiqua" w:cs="Book Antiqua"/>
          <w:i/>
          <w:iCs/>
          <w:color w:val="000000"/>
        </w:rPr>
        <w:t>P</w:t>
      </w:r>
      <w:r w:rsidRPr="00B51896">
        <w:rPr>
          <w:rFonts w:ascii="Book Antiqua" w:eastAsia="Book Antiqua" w:hAnsi="Book Antiqua" w:cs="Book Antiqua"/>
          <w:color w:val="000000"/>
        </w:rPr>
        <w:t xml:space="preserve"> values were calculated by the paired </w:t>
      </w:r>
      <w:r w:rsidRPr="00B51896">
        <w:rPr>
          <w:rFonts w:ascii="Book Antiqua" w:eastAsia="Book Antiqua" w:hAnsi="Book Antiqua" w:cs="Book Antiqua"/>
          <w:i/>
          <w:iCs/>
          <w:color w:val="000000"/>
        </w:rPr>
        <w:t>t</w:t>
      </w:r>
      <w:r w:rsidRPr="00B51896">
        <w:rPr>
          <w:rFonts w:ascii="Book Antiqua" w:eastAsia="Book Antiqua" w:hAnsi="Book Antiqua" w:cs="Book Antiqua"/>
          <w:color w:val="000000"/>
        </w:rPr>
        <w:t>-test.</w:t>
      </w:r>
      <w:r w:rsidR="00A81F84" w:rsidRPr="00B51896">
        <w:rPr>
          <w:rFonts w:ascii="Book Antiqua" w:eastAsia="Book Antiqua" w:hAnsi="Book Antiqua" w:cs="Book Antiqua"/>
          <w:color w:val="000000"/>
        </w:rPr>
        <w:t xml:space="preserve"> </w:t>
      </w:r>
      <w:r w:rsidR="00A170FE" w:rsidRPr="00B51896">
        <w:rPr>
          <w:rFonts w:ascii="Book Antiqua" w:eastAsia="Book Antiqua" w:hAnsi="Book Antiqua" w:cs="Book Antiqua"/>
          <w:color w:val="000000"/>
        </w:rPr>
        <w:t>WHVP: Wedged hepatic venous pressure; PVP: Portal venous pressure; HVPG: Hepatic venous pressure gradient; PPG: Portal venous pressure gradient</w:t>
      </w:r>
      <w:r w:rsidR="00A81F84" w:rsidRPr="00B51896">
        <w:rPr>
          <w:rFonts w:ascii="Book Antiqua" w:eastAsia="Book Antiqua" w:hAnsi="Book Antiqua" w:cs="Book Antiqua"/>
          <w:color w:val="000000"/>
        </w:rPr>
        <w:t>; FHVP:</w:t>
      </w:r>
      <w:r w:rsidR="00A170FE" w:rsidRPr="00B51896">
        <w:rPr>
          <w:rFonts w:ascii="Book Antiqua" w:eastAsia="Book Antiqua" w:hAnsi="Book Antiqua" w:cs="Book Antiqua"/>
          <w:color w:val="000000"/>
        </w:rPr>
        <w:t xml:space="preserve"> Free hepatic venous pressure</w:t>
      </w:r>
      <w:r w:rsidR="00A81F84" w:rsidRPr="00B51896">
        <w:rPr>
          <w:rFonts w:ascii="Book Antiqua" w:eastAsia="Book Antiqua" w:hAnsi="Book Antiqua" w:cs="Book Antiqua"/>
          <w:color w:val="000000"/>
        </w:rPr>
        <w:t xml:space="preserve">; IVCP: </w:t>
      </w:r>
      <w:r w:rsidR="00A170FE" w:rsidRPr="00B51896">
        <w:rPr>
          <w:rFonts w:ascii="Book Antiqua" w:eastAsia="Book Antiqua" w:hAnsi="Book Antiqua" w:cs="Book Antiqua"/>
          <w:color w:val="000000"/>
        </w:rPr>
        <w:t>Inferior vena cava pressure</w:t>
      </w:r>
      <w:r w:rsidR="00A81F84" w:rsidRPr="00B51896">
        <w:rPr>
          <w:rFonts w:ascii="Book Antiqua" w:eastAsia="Book Antiqua" w:hAnsi="Book Antiqua" w:cs="Book Antiqua"/>
          <w:color w:val="000000"/>
        </w:rPr>
        <w:t>.</w:t>
      </w:r>
    </w:p>
    <w:p w14:paraId="62730630" w14:textId="77777777" w:rsidR="00A170FE" w:rsidRPr="00B51896" w:rsidRDefault="00A170FE" w:rsidP="00EC0DF5">
      <w:pPr>
        <w:spacing w:line="360" w:lineRule="auto"/>
        <w:jc w:val="both"/>
        <w:rPr>
          <w:rFonts w:ascii="Book Antiqua" w:eastAsia="Book Antiqua" w:hAnsi="Book Antiqua" w:cs="Book Antiqua"/>
          <w:color w:val="000000"/>
        </w:rPr>
      </w:pPr>
    </w:p>
    <w:p w14:paraId="1F6E2B8F" w14:textId="3B406CAE" w:rsidR="00A170FE" w:rsidRPr="00B51896" w:rsidRDefault="001E39BB" w:rsidP="00EC0DF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104224E" wp14:editId="470F7AE0">
            <wp:extent cx="5074920" cy="4191000"/>
            <wp:effectExtent l="0" t="0" r="0" b="0"/>
            <wp:docPr id="7833568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4920" cy="4191000"/>
                    </a:xfrm>
                    <a:prstGeom prst="rect">
                      <a:avLst/>
                    </a:prstGeom>
                    <a:noFill/>
                    <a:ln>
                      <a:noFill/>
                    </a:ln>
                  </pic:spPr>
                </pic:pic>
              </a:graphicData>
            </a:graphic>
          </wp:inline>
        </w:drawing>
      </w:r>
    </w:p>
    <w:p w14:paraId="2159D0FE" w14:textId="44C251C1"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3 Relationships between the pressures measured in all patients</w:t>
      </w:r>
      <w:r w:rsidR="00BA0564" w:rsidRPr="00B51896">
        <w:rPr>
          <w:rFonts w:ascii="Book Antiqua" w:eastAsia="Book Antiqua" w:hAnsi="Book Antiqua" w:cs="Book Antiqua"/>
          <w:b/>
          <w:bCs/>
          <w:color w:val="000000"/>
        </w:rPr>
        <w:t xml:space="preserve"> (</w:t>
      </w:r>
      <w:r w:rsidR="00BA0564" w:rsidRPr="00B51896">
        <w:rPr>
          <w:rFonts w:ascii="Book Antiqua" w:eastAsia="Book Antiqua" w:hAnsi="Book Antiqua" w:cs="Book Antiqua"/>
          <w:b/>
          <w:bCs/>
          <w:i/>
          <w:iCs/>
          <w:color w:val="000000"/>
        </w:rPr>
        <w:t>n</w:t>
      </w:r>
      <w:r w:rsidR="00BA0564" w:rsidRPr="00B51896">
        <w:rPr>
          <w:rFonts w:ascii="Book Antiqua" w:eastAsia="Book Antiqua" w:hAnsi="Book Antiqua" w:cs="Book Antiqua"/>
          <w:b/>
          <w:bCs/>
          <w:color w:val="000000"/>
        </w:rPr>
        <w:t xml:space="preserve"> = 134)</w:t>
      </w:r>
      <w:r w:rsidRPr="00B51896">
        <w:rPr>
          <w:rFonts w:ascii="Book Antiqua" w:eastAsia="Book Antiqua" w:hAnsi="Book Antiqua" w:cs="Book Antiqua"/>
          <w:b/>
          <w:bCs/>
          <w:color w:val="000000"/>
        </w:rPr>
        <w:t>.</w:t>
      </w:r>
      <w:r w:rsidRPr="00B51896">
        <w:rPr>
          <w:rFonts w:ascii="Book Antiqua" w:eastAsia="Book Antiqua" w:hAnsi="Book Antiqua" w:cs="Book Antiqua"/>
          <w:color w:val="000000"/>
        </w:rPr>
        <w:t xml:space="preserve"> A: A scatterplot of </w:t>
      </w:r>
      <w:r w:rsidR="00081ACF" w:rsidRPr="00B51896">
        <w:rPr>
          <w:rFonts w:ascii="Book Antiqua" w:eastAsia="Book Antiqua" w:hAnsi="Book Antiqua" w:cs="Book Antiqua"/>
          <w:color w:val="000000"/>
        </w:rPr>
        <w:t>wedged hepatic venous pressure (</w:t>
      </w:r>
      <w:r w:rsidRPr="00B51896">
        <w:rPr>
          <w:rFonts w:ascii="Book Antiqua" w:eastAsia="Book Antiqua" w:hAnsi="Book Antiqua" w:cs="Book Antiqua"/>
          <w:color w:val="000000"/>
        </w:rPr>
        <w:t>WHVP</w:t>
      </w:r>
      <w:r w:rsidR="00081ACF"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against </w:t>
      </w:r>
      <w:r w:rsidR="00081ACF" w:rsidRPr="00B51896">
        <w:rPr>
          <w:rFonts w:ascii="Book Antiqua" w:eastAsia="Book Antiqua" w:hAnsi="Book Antiqua" w:cs="Book Antiqua"/>
          <w:color w:val="000000"/>
        </w:rPr>
        <w:t>portal venous pressure (</w:t>
      </w:r>
      <w:r w:rsidRPr="00B51896">
        <w:rPr>
          <w:rFonts w:ascii="Book Antiqua" w:eastAsia="Book Antiqua" w:hAnsi="Book Antiqua" w:cs="Book Antiqua"/>
          <w:color w:val="000000"/>
        </w:rPr>
        <w:t>PVP</w:t>
      </w:r>
      <w:r w:rsidR="00081ACF"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B: A Bland-Altman plot to assess agreement between WHVP and PVP; C: A scatterplot of </w:t>
      </w:r>
      <w:r w:rsidR="00BA0564" w:rsidRPr="00B51896">
        <w:rPr>
          <w:rFonts w:ascii="Book Antiqua" w:eastAsia="Book Antiqua" w:hAnsi="Book Antiqua" w:cs="Book Antiqua"/>
          <w:color w:val="000000"/>
        </w:rPr>
        <w:t>hepatic venous pressure gradient (</w:t>
      </w:r>
      <w:r w:rsidRPr="00B51896">
        <w:rPr>
          <w:rFonts w:ascii="Book Antiqua" w:eastAsia="Book Antiqua" w:hAnsi="Book Antiqua" w:cs="Book Antiqua"/>
          <w:color w:val="000000"/>
        </w:rPr>
        <w:t>HVPG</w:t>
      </w:r>
      <w:r w:rsidR="00BA0564" w:rsidRPr="00B51896">
        <w:rPr>
          <w:rFonts w:ascii="Book Antiqua" w:eastAsia="Book Antiqua" w:hAnsi="Book Antiqua" w:cs="Book Antiqua"/>
          <w:color w:val="000000"/>
        </w:rPr>
        <w:t>)</w:t>
      </w:r>
      <w:r w:rsidRPr="00B51896">
        <w:rPr>
          <w:rFonts w:ascii="Book Antiqua" w:eastAsia="Book Antiqua" w:hAnsi="Book Antiqua" w:cs="Book Antiqua"/>
          <w:color w:val="000000"/>
        </w:rPr>
        <w:t xml:space="preserve"> against </w:t>
      </w:r>
      <w:r w:rsidR="00BA0564" w:rsidRPr="00B51896">
        <w:rPr>
          <w:rFonts w:ascii="Book Antiqua" w:eastAsia="Book Antiqua" w:hAnsi="Book Antiqua" w:cs="Book Antiqua"/>
          <w:color w:val="000000"/>
        </w:rPr>
        <w:t>portal venous pressure gradient (</w:t>
      </w:r>
      <w:r w:rsidRPr="00B51896">
        <w:rPr>
          <w:rFonts w:ascii="Book Antiqua" w:eastAsia="Book Antiqua" w:hAnsi="Book Antiqua" w:cs="Book Antiqua"/>
          <w:color w:val="000000"/>
        </w:rPr>
        <w:t>PPG</w:t>
      </w:r>
      <w:r w:rsidR="00BA0564" w:rsidRPr="00B51896">
        <w:rPr>
          <w:rFonts w:ascii="Book Antiqua" w:eastAsia="Book Antiqua" w:hAnsi="Book Antiqua" w:cs="Book Antiqua"/>
          <w:color w:val="000000"/>
        </w:rPr>
        <w:t>)</w:t>
      </w:r>
      <w:r w:rsidRPr="00B51896">
        <w:rPr>
          <w:rFonts w:ascii="Book Antiqua" w:eastAsia="Book Antiqua" w:hAnsi="Book Antiqua" w:cs="Book Antiqua"/>
          <w:color w:val="000000"/>
        </w:rPr>
        <w:t>; D: A Bland-Altman plot to assess agreement between HVPG and PPG. WHVP: Wedged hepatic venous pressure; PVP: Portal venous pressure; HVPG: Hepatic venous pressure gradient; PPG: Portal venous pressure gradient.</w:t>
      </w:r>
    </w:p>
    <w:p w14:paraId="436FB7D9" w14:textId="77777777" w:rsidR="00254315" w:rsidRPr="00B51896" w:rsidRDefault="00254315" w:rsidP="00EC0DF5">
      <w:pPr>
        <w:spacing w:line="360" w:lineRule="auto"/>
        <w:jc w:val="both"/>
        <w:rPr>
          <w:rFonts w:ascii="Book Antiqua" w:eastAsia="Book Antiqua" w:hAnsi="Book Antiqua" w:cs="Book Antiqua"/>
          <w:color w:val="000000"/>
        </w:rPr>
      </w:pPr>
    </w:p>
    <w:p w14:paraId="2C648D49" w14:textId="0A6FE183" w:rsidR="00254315" w:rsidRPr="00B51896" w:rsidRDefault="001E39BB" w:rsidP="00EC0DF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447EB5F" wp14:editId="50E39D1E">
            <wp:extent cx="5219700" cy="4267200"/>
            <wp:effectExtent l="0" t="0" r="0" b="0"/>
            <wp:docPr id="20515029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9700" cy="4267200"/>
                    </a:xfrm>
                    <a:prstGeom prst="rect">
                      <a:avLst/>
                    </a:prstGeom>
                    <a:noFill/>
                    <a:ln>
                      <a:noFill/>
                    </a:ln>
                  </pic:spPr>
                </pic:pic>
              </a:graphicData>
            </a:graphic>
          </wp:inline>
        </w:drawing>
      </w:r>
    </w:p>
    <w:p w14:paraId="0DB363DD" w14:textId="6A584D16"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4 Relationships between the pressures measured in patients with hepatic vein collateral branches</w:t>
      </w:r>
      <w:r w:rsidR="00254315" w:rsidRPr="00B51896">
        <w:rPr>
          <w:rFonts w:ascii="Book Antiqua" w:eastAsia="Book Antiqua" w:hAnsi="Book Antiqua" w:cs="Book Antiqua"/>
          <w:b/>
          <w:bCs/>
          <w:color w:val="000000"/>
        </w:rPr>
        <w:t xml:space="preserve"> (</w:t>
      </w:r>
      <w:r w:rsidR="00254315" w:rsidRPr="00B51896">
        <w:rPr>
          <w:rFonts w:ascii="Book Antiqua" w:eastAsia="Book Antiqua" w:hAnsi="Book Antiqua" w:cs="Book Antiqua"/>
          <w:b/>
          <w:bCs/>
          <w:i/>
          <w:iCs/>
          <w:color w:val="000000"/>
        </w:rPr>
        <w:t>n</w:t>
      </w:r>
      <w:r w:rsidR="00254315" w:rsidRPr="00B51896">
        <w:rPr>
          <w:rFonts w:ascii="Book Antiqua" w:eastAsia="Book Antiqua" w:hAnsi="Book Antiqua" w:cs="Book Antiqua"/>
          <w:b/>
          <w:bCs/>
          <w:color w:val="000000"/>
        </w:rPr>
        <w:t xml:space="preserve"> = 26)</w:t>
      </w:r>
      <w:r w:rsidRPr="00B51896">
        <w:rPr>
          <w:rFonts w:ascii="Book Antiqua" w:eastAsia="Book Antiqua" w:hAnsi="Book Antiqua" w:cs="Book Antiqua"/>
          <w:b/>
          <w:bCs/>
          <w:color w:val="000000"/>
        </w:rPr>
        <w:t>.</w:t>
      </w:r>
      <w:r w:rsidRPr="00B51896">
        <w:rPr>
          <w:rFonts w:ascii="Book Antiqua" w:eastAsia="Book Antiqua" w:hAnsi="Book Antiqua" w:cs="Book Antiqua"/>
          <w:color w:val="000000"/>
        </w:rPr>
        <w:t xml:space="preserve"> A: A scatterplot of </w:t>
      </w:r>
      <w:r w:rsidR="00254315" w:rsidRPr="00B51896">
        <w:rPr>
          <w:rFonts w:ascii="Book Antiqua" w:eastAsia="Book Antiqua" w:hAnsi="Book Antiqua" w:cs="Book Antiqua"/>
          <w:color w:val="000000"/>
        </w:rPr>
        <w:t>wedged hepatic venous pressure (WHVP) against portal venous pressure (PVP)</w:t>
      </w:r>
      <w:r w:rsidRPr="00B51896">
        <w:rPr>
          <w:rFonts w:ascii="Book Antiqua" w:eastAsia="Book Antiqua" w:hAnsi="Book Antiqua" w:cs="Book Antiqua"/>
          <w:color w:val="000000"/>
        </w:rPr>
        <w:t xml:space="preserve">; B: A Bland-Altman plot to assess agreement between WHVP and PVP; C: A scatterplot of </w:t>
      </w:r>
      <w:r w:rsidR="008F5D8E" w:rsidRPr="00B51896">
        <w:rPr>
          <w:rFonts w:ascii="Book Antiqua" w:eastAsia="Book Antiqua" w:hAnsi="Book Antiqua" w:cs="Book Antiqua"/>
          <w:color w:val="000000"/>
        </w:rPr>
        <w:t>hepatic venous pressure gradient (HVPG) against portal venous pressure gradient (PPG)</w:t>
      </w:r>
      <w:r w:rsidRPr="00B51896">
        <w:rPr>
          <w:rFonts w:ascii="Book Antiqua" w:eastAsia="Book Antiqua" w:hAnsi="Book Antiqua" w:cs="Book Antiqua"/>
          <w:color w:val="000000"/>
        </w:rPr>
        <w:t>; D: A Bland-Altman plot to assess agreement between HVPG and PPG. WHVP: Wedged hepatic venous pressure; PVP: Portal venous pressure; HVPG: Hepatic venous pressure gradient; PPG: Portal venous pressure gradient.</w:t>
      </w:r>
    </w:p>
    <w:p w14:paraId="79DDB5BA" w14:textId="77777777" w:rsidR="008F5D8E" w:rsidRPr="00B51896" w:rsidRDefault="008F5D8E" w:rsidP="00EC0DF5">
      <w:pPr>
        <w:spacing w:line="360" w:lineRule="auto"/>
        <w:jc w:val="both"/>
        <w:rPr>
          <w:rFonts w:ascii="Book Antiqua" w:hAnsi="Book Antiqua"/>
        </w:rPr>
      </w:pPr>
    </w:p>
    <w:p w14:paraId="512D2AB2" w14:textId="200D9886" w:rsidR="008F5D8E" w:rsidRPr="00B51896" w:rsidRDefault="001E39BB" w:rsidP="00EC0DF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A3FE032" wp14:editId="0C310D9B">
            <wp:extent cx="5074920" cy="4229100"/>
            <wp:effectExtent l="0" t="0" r="0" b="0"/>
            <wp:docPr id="21207580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4920" cy="4229100"/>
                    </a:xfrm>
                    <a:prstGeom prst="rect">
                      <a:avLst/>
                    </a:prstGeom>
                    <a:noFill/>
                    <a:ln>
                      <a:noFill/>
                    </a:ln>
                  </pic:spPr>
                </pic:pic>
              </a:graphicData>
            </a:graphic>
          </wp:inline>
        </w:drawing>
      </w:r>
    </w:p>
    <w:p w14:paraId="360AC29E" w14:textId="529D2F74"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5 Relationships between the pressures measured in patients with no hepatic vein collateral branch</w:t>
      </w:r>
      <w:r w:rsidR="008F5D8E" w:rsidRPr="00B51896">
        <w:rPr>
          <w:rFonts w:ascii="Book Antiqua" w:eastAsia="Book Antiqua" w:hAnsi="Book Antiqua" w:cs="Book Antiqua"/>
          <w:b/>
          <w:bCs/>
          <w:color w:val="000000"/>
        </w:rPr>
        <w:t xml:space="preserve"> (</w:t>
      </w:r>
      <w:r w:rsidR="008F5D8E" w:rsidRPr="00B51896">
        <w:rPr>
          <w:rFonts w:ascii="Book Antiqua" w:eastAsia="Book Antiqua" w:hAnsi="Book Antiqua" w:cs="Book Antiqua"/>
          <w:b/>
          <w:bCs/>
          <w:i/>
          <w:iCs/>
          <w:color w:val="000000"/>
        </w:rPr>
        <w:t>n</w:t>
      </w:r>
      <w:r w:rsidR="008F5D8E" w:rsidRPr="00B51896">
        <w:rPr>
          <w:rFonts w:ascii="Book Antiqua" w:eastAsia="Book Antiqua" w:hAnsi="Book Antiqua" w:cs="Book Antiqua"/>
          <w:b/>
          <w:bCs/>
          <w:color w:val="000000"/>
        </w:rPr>
        <w:t xml:space="preserve"> = 108)</w:t>
      </w:r>
      <w:r w:rsidRPr="00B51896">
        <w:rPr>
          <w:rFonts w:ascii="Book Antiqua" w:eastAsia="Book Antiqua" w:hAnsi="Book Antiqua" w:cs="Book Antiqua"/>
          <w:b/>
          <w:bCs/>
          <w:color w:val="000000"/>
        </w:rPr>
        <w:t>.</w:t>
      </w:r>
      <w:r w:rsidRPr="00B51896">
        <w:rPr>
          <w:rFonts w:ascii="Book Antiqua" w:eastAsia="Book Antiqua" w:hAnsi="Book Antiqua" w:cs="Book Antiqua"/>
          <w:color w:val="000000"/>
        </w:rPr>
        <w:t xml:space="preserve"> A: A scatterplot of </w:t>
      </w:r>
      <w:r w:rsidR="008F5D8E" w:rsidRPr="00B51896">
        <w:rPr>
          <w:rFonts w:ascii="Book Antiqua" w:eastAsia="Book Antiqua" w:hAnsi="Book Antiqua" w:cs="Book Antiqua"/>
          <w:color w:val="000000"/>
        </w:rPr>
        <w:t>wedged hepatic venous pressure (WHVP) against portal venous pressure (PVP)</w:t>
      </w:r>
      <w:r w:rsidRPr="00B51896">
        <w:rPr>
          <w:rFonts w:ascii="Book Antiqua" w:eastAsia="Book Antiqua" w:hAnsi="Book Antiqua" w:cs="Book Antiqua"/>
          <w:color w:val="000000"/>
        </w:rPr>
        <w:t xml:space="preserve">; B: A Bland-Altman plot to assess agreement between WHVP and PVP; C: A scatterplot of </w:t>
      </w:r>
      <w:r w:rsidR="008F5D8E" w:rsidRPr="00B51896">
        <w:rPr>
          <w:rFonts w:ascii="Book Antiqua" w:eastAsia="Book Antiqua" w:hAnsi="Book Antiqua" w:cs="Book Antiqua"/>
          <w:color w:val="000000"/>
        </w:rPr>
        <w:t>hepatic venous pressure gradient (HVPG) against portal venous pressure gradient (PPG)</w:t>
      </w:r>
      <w:r w:rsidRPr="00B51896">
        <w:rPr>
          <w:rFonts w:ascii="Book Antiqua" w:eastAsia="Book Antiqua" w:hAnsi="Book Antiqua" w:cs="Book Antiqua"/>
          <w:color w:val="000000"/>
        </w:rPr>
        <w:t>; D: A Bland-Altman plot to assess agreement between HVPG and PPG. WHVP: Wedged hepatic venous pressure; PVP: Portal venous pressure; HVPG: Hepatic venous pressure gradient; PPG: Portal venous pressure gradient.</w:t>
      </w:r>
    </w:p>
    <w:p w14:paraId="7CFDC839" w14:textId="77777777" w:rsidR="0092633B" w:rsidRPr="00B51896" w:rsidRDefault="0092633B" w:rsidP="00EC0DF5">
      <w:pPr>
        <w:spacing w:line="360" w:lineRule="auto"/>
        <w:jc w:val="both"/>
        <w:rPr>
          <w:rFonts w:ascii="Book Antiqua" w:eastAsia="Book Antiqua" w:hAnsi="Book Antiqua" w:cs="Book Antiqua"/>
          <w:color w:val="000000"/>
        </w:rPr>
      </w:pPr>
    </w:p>
    <w:p w14:paraId="59C564B5" w14:textId="783ABCFC" w:rsidR="0092633B" w:rsidRPr="00B51896" w:rsidRDefault="001E39BB" w:rsidP="00EC0DF5">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0454D37" wp14:editId="00710DF5">
            <wp:extent cx="4930140" cy="2240280"/>
            <wp:effectExtent l="0" t="0" r="0" b="0"/>
            <wp:docPr id="17526410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0140" cy="2240280"/>
                    </a:xfrm>
                    <a:prstGeom prst="rect">
                      <a:avLst/>
                    </a:prstGeom>
                    <a:noFill/>
                    <a:ln>
                      <a:noFill/>
                    </a:ln>
                  </pic:spPr>
                </pic:pic>
              </a:graphicData>
            </a:graphic>
          </wp:inline>
        </w:drawing>
      </w:r>
    </w:p>
    <w:p w14:paraId="55D8FD1E" w14:textId="7822AE8A" w:rsidR="00D60238" w:rsidRPr="00B51896" w:rsidRDefault="00E04F37" w:rsidP="00EC0DF5">
      <w:pPr>
        <w:spacing w:line="360" w:lineRule="auto"/>
        <w:jc w:val="both"/>
        <w:rPr>
          <w:rFonts w:ascii="Book Antiqua" w:eastAsia="Book Antiqua" w:hAnsi="Book Antiqua" w:cs="Book Antiqua"/>
          <w:color w:val="000000"/>
        </w:rPr>
      </w:pPr>
      <w:r w:rsidRPr="00B51896">
        <w:rPr>
          <w:rFonts w:ascii="Book Antiqua" w:eastAsia="Book Antiqua" w:hAnsi="Book Antiqua" w:cs="Book Antiqua"/>
          <w:b/>
          <w:bCs/>
          <w:color w:val="000000"/>
        </w:rPr>
        <w:t>Figure 6 Difference between the pressures measured in patients with alcoholic cirrhosis and portal hypertension.</w:t>
      </w:r>
      <w:r w:rsidRPr="00B51896">
        <w:rPr>
          <w:rFonts w:ascii="Book Antiqua" w:eastAsia="Book Antiqua" w:hAnsi="Book Antiqua" w:cs="Book Antiqua"/>
          <w:color w:val="000000"/>
        </w:rPr>
        <w:t xml:space="preserve"> A: The difference between </w:t>
      </w:r>
      <w:r w:rsidR="00B71098" w:rsidRPr="00B51896">
        <w:rPr>
          <w:rFonts w:ascii="Book Antiqua" w:eastAsia="Book Antiqua" w:hAnsi="Book Antiqua" w:cs="Book Antiqua"/>
          <w:color w:val="000000"/>
        </w:rPr>
        <w:t>wedged hepatic venous pressure</w:t>
      </w:r>
      <w:r w:rsidRPr="00B51896">
        <w:rPr>
          <w:rFonts w:ascii="Book Antiqua" w:eastAsia="Book Antiqua" w:hAnsi="Book Antiqua" w:cs="Book Antiqua"/>
          <w:color w:val="000000"/>
        </w:rPr>
        <w:t xml:space="preserve"> and </w:t>
      </w:r>
      <w:r w:rsidR="00B71098" w:rsidRPr="00B51896">
        <w:rPr>
          <w:rFonts w:ascii="Book Antiqua" w:eastAsia="Book Antiqua" w:hAnsi="Book Antiqua" w:cs="Book Antiqua"/>
          <w:color w:val="000000"/>
        </w:rPr>
        <w:t>portal venous pressure</w:t>
      </w:r>
      <w:r w:rsidRPr="00B51896">
        <w:rPr>
          <w:rFonts w:ascii="Book Antiqua" w:eastAsia="Book Antiqua" w:hAnsi="Book Antiqua" w:cs="Book Antiqua"/>
          <w:color w:val="000000"/>
        </w:rPr>
        <w:t xml:space="preserve">. B: The difference between </w:t>
      </w:r>
      <w:r w:rsidR="00B71098" w:rsidRPr="00B51896">
        <w:rPr>
          <w:rFonts w:ascii="Book Antiqua" w:eastAsia="Book Antiqua" w:hAnsi="Book Antiqua" w:cs="Book Antiqua"/>
          <w:color w:val="000000"/>
        </w:rPr>
        <w:t>hepatic venous pressure gradient</w:t>
      </w:r>
      <w:r w:rsidRPr="00B51896">
        <w:rPr>
          <w:rFonts w:ascii="Book Antiqua" w:eastAsia="Book Antiqua" w:hAnsi="Book Antiqua" w:cs="Book Antiqua"/>
          <w:color w:val="000000"/>
        </w:rPr>
        <w:t xml:space="preserve"> and </w:t>
      </w:r>
      <w:r w:rsidR="00B71098" w:rsidRPr="00B51896">
        <w:rPr>
          <w:rFonts w:ascii="Book Antiqua" w:eastAsia="Book Antiqua" w:hAnsi="Book Antiqua" w:cs="Book Antiqua"/>
          <w:color w:val="000000"/>
        </w:rPr>
        <w:t>portal venous pressure gradient</w:t>
      </w:r>
      <w:r w:rsidRPr="00B51896">
        <w:rPr>
          <w:rFonts w:ascii="Book Antiqua" w:eastAsia="Book Antiqua" w:hAnsi="Book Antiqua" w:cs="Book Antiqua"/>
          <w:color w:val="000000"/>
        </w:rPr>
        <w:t>.</w:t>
      </w:r>
    </w:p>
    <w:p w14:paraId="08C1907D" w14:textId="77777777" w:rsidR="00A06D4C" w:rsidRPr="00B51896" w:rsidRDefault="00A06D4C" w:rsidP="00EC0DF5">
      <w:pPr>
        <w:spacing w:line="360" w:lineRule="auto"/>
        <w:jc w:val="both"/>
        <w:rPr>
          <w:rFonts w:ascii="Book Antiqua" w:eastAsia="Book Antiqua" w:hAnsi="Book Antiqua" w:cs="Book Antiqua"/>
          <w:color w:val="000000"/>
        </w:rPr>
      </w:pPr>
    </w:p>
    <w:p w14:paraId="567435F9" w14:textId="77777777" w:rsidR="00A06D4C" w:rsidRPr="00B51896" w:rsidRDefault="00A06D4C" w:rsidP="00EC0DF5">
      <w:pPr>
        <w:spacing w:line="360" w:lineRule="auto"/>
        <w:ind w:left="19" w:right="13" w:firstLine="4"/>
        <w:jc w:val="both"/>
        <w:rPr>
          <w:rFonts w:ascii="Book Antiqua" w:eastAsia="Constantia" w:hAnsi="Book Antiqua"/>
          <w:b/>
          <w:bCs/>
        </w:rPr>
      </w:pPr>
      <w:r w:rsidRPr="00B51896">
        <w:rPr>
          <w:rFonts w:ascii="Book Antiqua" w:eastAsia="Constantia" w:hAnsi="Book Antiqua" w:cs="Constantia"/>
          <w:b/>
          <w:bCs/>
        </w:rPr>
        <w:t>Table 1</w:t>
      </w:r>
      <w:r w:rsidRPr="00B51896">
        <w:rPr>
          <w:rFonts w:ascii="Book Antiqua" w:hAnsi="Book Antiqua"/>
        </w:rPr>
        <w:t xml:space="preserve"> </w:t>
      </w:r>
      <w:r w:rsidRPr="00B51896">
        <w:rPr>
          <w:rFonts w:ascii="Book Antiqua" w:eastAsia="Constantia" w:hAnsi="Book Antiqua" w:cs="Constantia"/>
          <w:b/>
          <w:bCs/>
        </w:rPr>
        <w:t>Baseline characteristics of study patients</w:t>
      </w:r>
    </w:p>
    <w:tbl>
      <w:tblPr>
        <w:tblStyle w:val="ac"/>
        <w:tblW w:w="8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2268"/>
        <w:gridCol w:w="2268"/>
        <w:gridCol w:w="1816"/>
      </w:tblGrid>
      <w:tr w:rsidR="00A06D4C" w:rsidRPr="00B51896" w14:paraId="0141B553" w14:textId="77777777" w:rsidTr="00135D12">
        <w:tc>
          <w:tcPr>
            <w:tcW w:w="2482" w:type="dxa"/>
            <w:tcBorders>
              <w:top w:val="single" w:sz="8" w:space="0" w:color="auto"/>
              <w:bottom w:val="single" w:sz="8" w:space="0" w:color="auto"/>
            </w:tcBorders>
            <w:hideMark/>
          </w:tcPr>
          <w:p w14:paraId="43477869" w14:textId="77777777" w:rsidR="00A06D4C" w:rsidRPr="00B51896" w:rsidRDefault="00A06D4C" w:rsidP="00EC0DF5">
            <w:pPr>
              <w:spacing w:line="360" w:lineRule="auto"/>
              <w:ind w:firstLine="400"/>
              <w:jc w:val="both"/>
              <w:rPr>
                <w:rFonts w:ascii="Book Antiqua" w:eastAsia="宋体" w:hAnsi="Book Antiqua"/>
                <w:b/>
              </w:rPr>
            </w:pPr>
          </w:p>
        </w:tc>
        <w:tc>
          <w:tcPr>
            <w:tcW w:w="2268" w:type="dxa"/>
            <w:tcBorders>
              <w:top w:val="single" w:sz="8" w:space="0" w:color="auto"/>
              <w:bottom w:val="single" w:sz="8" w:space="0" w:color="auto"/>
            </w:tcBorders>
            <w:hideMark/>
          </w:tcPr>
          <w:p w14:paraId="27E31DA7" w14:textId="77777777" w:rsidR="00A06D4C" w:rsidRPr="00B51896" w:rsidRDefault="00A06D4C" w:rsidP="00EC0DF5">
            <w:pPr>
              <w:spacing w:line="360" w:lineRule="auto"/>
              <w:ind w:firstLine="400"/>
              <w:jc w:val="both"/>
              <w:rPr>
                <w:rFonts w:ascii="Book Antiqua" w:hAnsi="Book Antiqua"/>
                <w:b/>
              </w:rPr>
            </w:pPr>
            <w:r w:rsidRPr="00B51896">
              <w:rPr>
                <w:rFonts w:ascii="Book Antiqua" w:eastAsia="等线" w:hAnsi="Book Antiqua"/>
                <w:b/>
              </w:rPr>
              <w:t>Collateral branch (</w:t>
            </w:r>
            <w:r w:rsidRPr="00B51896">
              <w:rPr>
                <w:rFonts w:ascii="Book Antiqua" w:eastAsia="等线" w:hAnsi="Book Antiqua"/>
                <w:b/>
                <w:i/>
                <w:iCs/>
              </w:rPr>
              <w:t>n</w:t>
            </w:r>
            <w:r w:rsidRPr="00B51896">
              <w:rPr>
                <w:rFonts w:ascii="Book Antiqua" w:eastAsia="等线" w:hAnsi="Book Antiqua"/>
                <w:b/>
              </w:rPr>
              <w:t xml:space="preserve"> = 26)</w:t>
            </w:r>
          </w:p>
        </w:tc>
        <w:tc>
          <w:tcPr>
            <w:tcW w:w="2268" w:type="dxa"/>
            <w:tcBorders>
              <w:top w:val="single" w:sz="8" w:space="0" w:color="auto"/>
              <w:bottom w:val="single" w:sz="8" w:space="0" w:color="auto"/>
            </w:tcBorders>
            <w:hideMark/>
          </w:tcPr>
          <w:p w14:paraId="4EF54A69" w14:textId="77777777" w:rsidR="00A06D4C" w:rsidRPr="00B51896" w:rsidRDefault="00A06D4C" w:rsidP="00EC0DF5">
            <w:pPr>
              <w:spacing w:line="360" w:lineRule="auto"/>
              <w:ind w:firstLine="400"/>
              <w:jc w:val="both"/>
              <w:rPr>
                <w:rFonts w:ascii="Book Antiqua" w:hAnsi="Book Antiqua"/>
                <w:b/>
              </w:rPr>
            </w:pPr>
            <w:r w:rsidRPr="00B51896">
              <w:rPr>
                <w:rFonts w:ascii="Book Antiqua" w:eastAsia="等线" w:hAnsi="Book Antiqua"/>
                <w:b/>
              </w:rPr>
              <w:t>No collateral branch (</w:t>
            </w:r>
            <w:r w:rsidRPr="00B51896">
              <w:rPr>
                <w:rFonts w:ascii="Book Antiqua" w:eastAsia="等线" w:hAnsi="Book Antiqua"/>
                <w:b/>
                <w:i/>
                <w:iCs/>
              </w:rPr>
              <w:t>n</w:t>
            </w:r>
            <w:r w:rsidRPr="00B51896">
              <w:rPr>
                <w:rFonts w:ascii="Book Antiqua" w:eastAsia="等线" w:hAnsi="Book Antiqua"/>
                <w:b/>
              </w:rPr>
              <w:t xml:space="preserve"> = 108)</w:t>
            </w:r>
          </w:p>
        </w:tc>
        <w:tc>
          <w:tcPr>
            <w:tcW w:w="1816" w:type="dxa"/>
            <w:tcBorders>
              <w:top w:val="single" w:sz="8" w:space="0" w:color="auto"/>
              <w:bottom w:val="single" w:sz="8" w:space="0" w:color="auto"/>
            </w:tcBorders>
            <w:hideMark/>
          </w:tcPr>
          <w:p w14:paraId="33348792" w14:textId="77777777" w:rsidR="00A06D4C" w:rsidRPr="00B51896" w:rsidRDefault="00A06D4C" w:rsidP="00EC0DF5">
            <w:pPr>
              <w:spacing w:line="360" w:lineRule="auto"/>
              <w:ind w:firstLine="400"/>
              <w:jc w:val="both"/>
              <w:rPr>
                <w:rFonts w:ascii="Book Antiqua" w:eastAsia="等线" w:hAnsi="Book Antiqua"/>
                <w:b/>
              </w:rPr>
            </w:pPr>
            <w:r w:rsidRPr="00B51896">
              <w:rPr>
                <w:rFonts w:ascii="Book Antiqua" w:eastAsia="等线" w:hAnsi="Book Antiqua"/>
                <w:b/>
                <w:i/>
                <w:iCs/>
              </w:rPr>
              <w:t>P</w:t>
            </w:r>
            <w:r w:rsidRPr="00B51896">
              <w:rPr>
                <w:rFonts w:ascii="Book Antiqua" w:eastAsia="等线" w:hAnsi="Book Antiqua"/>
                <w:b/>
              </w:rPr>
              <w:t xml:space="preserve"> value</w:t>
            </w:r>
          </w:p>
        </w:tc>
      </w:tr>
      <w:tr w:rsidR="00A06D4C" w:rsidRPr="00B51896" w14:paraId="5C4CE941" w14:textId="77777777" w:rsidTr="00135D12">
        <w:tc>
          <w:tcPr>
            <w:tcW w:w="2482" w:type="dxa"/>
            <w:tcBorders>
              <w:top w:val="single" w:sz="8" w:space="0" w:color="auto"/>
            </w:tcBorders>
            <w:hideMark/>
          </w:tcPr>
          <w:p w14:paraId="50D5D6FE" w14:textId="77777777" w:rsidR="00A06D4C" w:rsidRPr="00B51896" w:rsidRDefault="00A06D4C" w:rsidP="00EC0DF5">
            <w:pPr>
              <w:spacing w:line="360" w:lineRule="auto"/>
              <w:jc w:val="both"/>
              <w:rPr>
                <w:rFonts w:ascii="Book Antiqua" w:eastAsia="宋体" w:hAnsi="Book Antiqua"/>
                <w:kern w:val="2"/>
              </w:rPr>
            </w:pPr>
            <w:r w:rsidRPr="00B51896">
              <w:rPr>
                <w:rFonts w:ascii="Book Antiqua" w:eastAsia="等线" w:hAnsi="Book Antiqua"/>
              </w:rPr>
              <w:t>Sex (male/female)</w:t>
            </w:r>
          </w:p>
        </w:tc>
        <w:tc>
          <w:tcPr>
            <w:tcW w:w="2268" w:type="dxa"/>
            <w:tcBorders>
              <w:top w:val="single" w:sz="8" w:space="0" w:color="auto"/>
            </w:tcBorders>
            <w:hideMark/>
          </w:tcPr>
          <w:p w14:paraId="36A59DB3" w14:textId="77777777" w:rsidR="00A06D4C" w:rsidRPr="00B51896" w:rsidRDefault="00A06D4C" w:rsidP="00EC0DF5">
            <w:pPr>
              <w:spacing w:line="360" w:lineRule="auto"/>
              <w:jc w:val="both"/>
              <w:rPr>
                <w:rFonts w:ascii="Book Antiqua" w:hAnsi="Book Antiqua"/>
              </w:rPr>
            </w:pPr>
            <w:r w:rsidRPr="00B51896">
              <w:rPr>
                <w:rFonts w:ascii="Book Antiqua" w:hAnsi="Book Antiqua"/>
              </w:rPr>
              <w:t>24/2 (92.3/7.7%)</w:t>
            </w:r>
          </w:p>
        </w:tc>
        <w:tc>
          <w:tcPr>
            <w:tcW w:w="2268" w:type="dxa"/>
            <w:tcBorders>
              <w:top w:val="single" w:sz="8" w:space="0" w:color="auto"/>
            </w:tcBorders>
            <w:hideMark/>
          </w:tcPr>
          <w:p w14:paraId="0A9FAFA7" w14:textId="77777777" w:rsidR="00A06D4C" w:rsidRPr="00B51896" w:rsidRDefault="00A06D4C" w:rsidP="00EC0DF5">
            <w:pPr>
              <w:spacing w:line="360" w:lineRule="auto"/>
              <w:jc w:val="both"/>
              <w:rPr>
                <w:rFonts w:ascii="Book Antiqua" w:hAnsi="Book Antiqua"/>
              </w:rPr>
            </w:pPr>
            <w:r w:rsidRPr="00B51896">
              <w:rPr>
                <w:rFonts w:ascii="Book Antiqua" w:hAnsi="Book Antiqua"/>
              </w:rPr>
              <w:t>95/13 (88.0/12.0%)</w:t>
            </w:r>
          </w:p>
        </w:tc>
        <w:tc>
          <w:tcPr>
            <w:tcW w:w="1816" w:type="dxa"/>
            <w:tcBorders>
              <w:top w:val="single" w:sz="8" w:space="0" w:color="auto"/>
            </w:tcBorders>
            <w:hideMark/>
          </w:tcPr>
          <w:p w14:paraId="2B22420E" w14:textId="77777777" w:rsidR="00A06D4C" w:rsidRPr="00B51896" w:rsidRDefault="00A06D4C" w:rsidP="00EC0DF5">
            <w:pPr>
              <w:spacing w:line="360" w:lineRule="auto"/>
              <w:jc w:val="both"/>
              <w:rPr>
                <w:rFonts w:ascii="Book Antiqua" w:hAnsi="Book Antiqua"/>
              </w:rPr>
            </w:pPr>
            <w:r w:rsidRPr="00B51896">
              <w:rPr>
                <w:rFonts w:ascii="Book Antiqua" w:hAnsi="Book Antiqua"/>
              </w:rPr>
              <w:t>0.776</w:t>
            </w:r>
          </w:p>
        </w:tc>
      </w:tr>
      <w:tr w:rsidR="00A06D4C" w:rsidRPr="00B51896" w14:paraId="29148A27" w14:textId="77777777" w:rsidTr="00135D12">
        <w:tc>
          <w:tcPr>
            <w:tcW w:w="2482" w:type="dxa"/>
            <w:hideMark/>
          </w:tcPr>
          <w:p w14:paraId="0D9D381C" w14:textId="77777777" w:rsidR="00A06D4C" w:rsidRPr="00B51896" w:rsidRDefault="00A06D4C" w:rsidP="00EC0DF5">
            <w:pPr>
              <w:spacing w:line="360" w:lineRule="auto"/>
              <w:jc w:val="both"/>
              <w:rPr>
                <w:rFonts w:ascii="Book Antiqua" w:hAnsi="Book Antiqua"/>
              </w:rPr>
            </w:pPr>
            <w:r w:rsidRPr="00B51896">
              <w:rPr>
                <w:rFonts w:ascii="Book Antiqua" w:eastAsia="等线" w:hAnsi="Book Antiqua"/>
              </w:rPr>
              <w:t>Age (yr)</w:t>
            </w:r>
            <w:r w:rsidRPr="00B51896">
              <w:rPr>
                <w:rFonts w:ascii="Book Antiqua" w:hAnsi="Book Antiqua"/>
                <w:vertAlign w:val="superscript"/>
              </w:rPr>
              <w:t>1</w:t>
            </w:r>
          </w:p>
        </w:tc>
        <w:tc>
          <w:tcPr>
            <w:tcW w:w="2268" w:type="dxa"/>
            <w:hideMark/>
          </w:tcPr>
          <w:p w14:paraId="637E4750" w14:textId="77777777" w:rsidR="00A06D4C" w:rsidRPr="00B51896" w:rsidRDefault="00A06D4C" w:rsidP="00EC0DF5">
            <w:pPr>
              <w:spacing w:line="360" w:lineRule="auto"/>
              <w:jc w:val="both"/>
              <w:rPr>
                <w:rFonts w:ascii="Book Antiqua" w:hAnsi="Book Antiqua"/>
              </w:rPr>
            </w:pPr>
            <w:r w:rsidRPr="00B51896">
              <w:rPr>
                <w:rFonts w:ascii="Book Antiqua" w:hAnsi="Book Antiqua"/>
              </w:rPr>
              <w:t>52.3 ± 10.7</w:t>
            </w:r>
          </w:p>
        </w:tc>
        <w:tc>
          <w:tcPr>
            <w:tcW w:w="2268" w:type="dxa"/>
            <w:hideMark/>
          </w:tcPr>
          <w:p w14:paraId="7E82AA4A" w14:textId="77777777" w:rsidR="00A06D4C" w:rsidRPr="00B51896" w:rsidRDefault="00A06D4C" w:rsidP="00EC0DF5">
            <w:pPr>
              <w:spacing w:line="360" w:lineRule="auto"/>
              <w:jc w:val="both"/>
              <w:rPr>
                <w:rFonts w:ascii="Book Antiqua" w:hAnsi="Book Antiqua"/>
              </w:rPr>
            </w:pPr>
            <w:r w:rsidRPr="00B51896">
              <w:rPr>
                <w:rFonts w:ascii="Book Antiqua" w:hAnsi="Book Antiqua"/>
              </w:rPr>
              <w:t>55.7 ± 10.6</w:t>
            </w:r>
          </w:p>
        </w:tc>
        <w:tc>
          <w:tcPr>
            <w:tcW w:w="1816" w:type="dxa"/>
            <w:hideMark/>
          </w:tcPr>
          <w:p w14:paraId="75CBDE1A" w14:textId="77777777" w:rsidR="00A06D4C" w:rsidRPr="00B51896" w:rsidRDefault="00A06D4C" w:rsidP="00EC0DF5">
            <w:pPr>
              <w:spacing w:line="360" w:lineRule="auto"/>
              <w:jc w:val="both"/>
              <w:rPr>
                <w:rFonts w:ascii="Book Antiqua" w:hAnsi="Book Antiqua"/>
              </w:rPr>
            </w:pPr>
            <w:r w:rsidRPr="00B51896">
              <w:rPr>
                <w:rFonts w:ascii="Book Antiqua" w:hAnsi="Book Antiqua"/>
              </w:rPr>
              <w:t>0.143</w:t>
            </w:r>
          </w:p>
        </w:tc>
      </w:tr>
      <w:tr w:rsidR="00A06D4C" w:rsidRPr="00B51896" w14:paraId="6B66C2EC" w14:textId="77777777" w:rsidTr="00135D12">
        <w:tc>
          <w:tcPr>
            <w:tcW w:w="2482" w:type="dxa"/>
            <w:hideMark/>
          </w:tcPr>
          <w:p w14:paraId="1404B3A4" w14:textId="77777777" w:rsidR="00A06D4C" w:rsidRPr="00B51896" w:rsidRDefault="00A06D4C" w:rsidP="00EC0DF5">
            <w:pPr>
              <w:spacing w:line="360" w:lineRule="auto"/>
              <w:jc w:val="both"/>
              <w:rPr>
                <w:rFonts w:ascii="Book Antiqua" w:hAnsi="Book Antiqua"/>
              </w:rPr>
            </w:pPr>
            <w:r w:rsidRPr="00B51896">
              <w:rPr>
                <w:rFonts w:ascii="Book Antiqua" w:hAnsi="Book Antiqua"/>
              </w:rPr>
              <w:t>Indications (</w:t>
            </w:r>
            <w:r w:rsidRPr="00B51896">
              <w:rPr>
                <w:rFonts w:ascii="Book Antiqua" w:hAnsi="Book Antiqua"/>
                <w:i/>
                <w:iCs/>
              </w:rPr>
              <w:t>n</w:t>
            </w:r>
            <w:r w:rsidRPr="00B51896">
              <w:rPr>
                <w:rFonts w:ascii="Book Antiqua" w:hAnsi="Book Antiqua"/>
              </w:rPr>
              <w:t>)</w:t>
            </w:r>
          </w:p>
        </w:tc>
        <w:tc>
          <w:tcPr>
            <w:tcW w:w="2268" w:type="dxa"/>
          </w:tcPr>
          <w:p w14:paraId="136C5A45" w14:textId="77777777" w:rsidR="00A06D4C" w:rsidRPr="00B51896" w:rsidRDefault="00A06D4C" w:rsidP="00EC0DF5">
            <w:pPr>
              <w:spacing w:line="360" w:lineRule="auto"/>
              <w:jc w:val="both"/>
              <w:rPr>
                <w:rFonts w:ascii="Book Antiqua" w:hAnsi="Book Antiqua"/>
              </w:rPr>
            </w:pPr>
          </w:p>
        </w:tc>
        <w:tc>
          <w:tcPr>
            <w:tcW w:w="2268" w:type="dxa"/>
          </w:tcPr>
          <w:p w14:paraId="3ECFCBAE" w14:textId="77777777" w:rsidR="00A06D4C" w:rsidRPr="00B51896" w:rsidRDefault="00A06D4C" w:rsidP="00EC0DF5">
            <w:pPr>
              <w:spacing w:line="360" w:lineRule="auto"/>
              <w:jc w:val="both"/>
              <w:rPr>
                <w:rFonts w:ascii="Book Antiqua" w:hAnsi="Book Antiqua"/>
              </w:rPr>
            </w:pPr>
          </w:p>
        </w:tc>
        <w:tc>
          <w:tcPr>
            <w:tcW w:w="1816" w:type="dxa"/>
            <w:hideMark/>
          </w:tcPr>
          <w:p w14:paraId="44C5980B" w14:textId="77777777" w:rsidR="00A06D4C" w:rsidRPr="00B51896" w:rsidRDefault="00A06D4C" w:rsidP="00EC0DF5">
            <w:pPr>
              <w:spacing w:line="360" w:lineRule="auto"/>
              <w:jc w:val="both"/>
              <w:rPr>
                <w:rFonts w:ascii="Book Antiqua" w:hAnsi="Book Antiqua"/>
              </w:rPr>
            </w:pPr>
            <w:r w:rsidRPr="00B51896">
              <w:rPr>
                <w:rFonts w:ascii="Book Antiqua" w:hAnsi="Book Antiqua"/>
              </w:rPr>
              <w:t>0.865</w:t>
            </w:r>
          </w:p>
        </w:tc>
      </w:tr>
      <w:tr w:rsidR="00A06D4C" w:rsidRPr="00B51896" w14:paraId="65A09CAE" w14:textId="77777777" w:rsidTr="00135D12">
        <w:trPr>
          <w:trHeight w:val="870"/>
        </w:trPr>
        <w:tc>
          <w:tcPr>
            <w:tcW w:w="2482" w:type="dxa"/>
            <w:hideMark/>
          </w:tcPr>
          <w:p w14:paraId="6050CB46"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Gastrointestinal bleeding</w:t>
            </w:r>
          </w:p>
        </w:tc>
        <w:tc>
          <w:tcPr>
            <w:tcW w:w="2268" w:type="dxa"/>
            <w:hideMark/>
          </w:tcPr>
          <w:p w14:paraId="169319DE" w14:textId="77777777" w:rsidR="00A06D4C" w:rsidRPr="00B51896" w:rsidRDefault="00A06D4C" w:rsidP="00EC0DF5">
            <w:pPr>
              <w:spacing w:line="360" w:lineRule="auto"/>
              <w:jc w:val="both"/>
              <w:rPr>
                <w:rFonts w:ascii="Book Antiqua" w:hAnsi="Book Antiqua"/>
              </w:rPr>
            </w:pPr>
            <w:r w:rsidRPr="00B51896">
              <w:rPr>
                <w:rFonts w:ascii="Book Antiqua" w:hAnsi="Book Antiqua"/>
              </w:rPr>
              <w:t>17</w:t>
            </w:r>
          </w:p>
        </w:tc>
        <w:tc>
          <w:tcPr>
            <w:tcW w:w="2268" w:type="dxa"/>
            <w:hideMark/>
          </w:tcPr>
          <w:p w14:paraId="24542088" w14:textId="77777777" w:rsidR="00A06D4C" w:rsidRPr="00B51896" w:rsidRDefault="00A06D4C" w:rsidP="00EC0DF5">
            <w:pPr>
              <w:spacing w:line="360" w:lineRule="auto"/>
              <w:jc w:val="both"/>
              <w:rPr>
                <w:rFonts w:ascii="Book Antiqua" w:hAnsi="Book Antiqua"/>
              </w:rPr>
            </w:pPr>
            <w:r w:rsidRPr="00B51896">
              <w:rPr>
                <w:rFonts w:ascii="Book Antiqua" w:hAnsi="Book Antiqua"/>
              </w:rPr>
              <w:t>60</w:t>
            </w:r>
          </w:p>
        </w:tc>
        <w:tc>
          <w:tcPr>
            <w:tcW w:w="1816" w:type="dxa"/>
          </w:tcPr>
          <w:p w14:paraId="4A70D4CD" w14:textId="77777777" w:rsidR="00A06D4C" w:rsidRPr="00B51896" w:rsidRDefault="00A06D4C" w:rsidP="00EC0DF5">
            <w:pPr>
              <w:spacing w:line="360" w:lineRule="auto"/>
              <w:jc w:val="both"/>
              <w:rPr>
                <w:rFonts w:ascii="Book Antiqua" w:hAnsi="Book Antiqua"/>
              </w:rPr>
            </w:pPr>
          </w:p>
        </w:tc>
      </w:tr>
      <w:tr w:rsidR="00A06D4C" w:rsidRPr="00B51896" w14:paraId="65BE2B1B" w14:textId="77777777" w:rsidTr="00135D12">
        <w:tc>
          <w:tcPr>
            <w:tcW w:w="2482" w:type="dxa"/>
            <w:hideMark/>
          </w:tcPr>
          <w:p w14:paraId="5DA7A1BD"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Refractory ascites</w:t>
            </w:r>
          </w:p>
        </w:tc>
        <w:tc>
          <w:tcPr>
            <w:tcW w:w="2268" w:type="dxa"/>
            <w:hideMark/>
          </w:tcPr>
          <w:p w14:paraId="02F4CA66" w14:textId="77777777" w:rsidR="00A06D4C" w:rsidRPr="00B51896" w:rsidRDefault="00A06D4C" w:rsidP="00EC0DF5">
            <w:pPr>
              <w:spacing w:line="360" w:lineRule="auto"/>
              <w:jc w:val="both"/>
              <w:rPr>
                <w:rFonts w:ascii="Book Antiqua" w:hAnsi="Book Antiqua"/>
              </w:rPr>
            </w:pPr>
            <w:r w:rsidRPr="00B51896">
              <w:rPr>
                <w:rFonts w:ascii="Book Antiqua" w:hAnsi="Book Antiqua"/>
              </w:rPr>
              <w:t>7</w:t>
            </w:r>
          </w:p>
        </w:tc>
        <w:tc>
          <w:tcPr>
            <w:tcW w:w="2268" w:type="dxa"/>
            <w:hideMark/>
          </w:tcPr>
          <w:p w14:paraId="04054C67" w14:textId="77777777" w:rsidR="00A06D4C" w:rsidRPr="00B51896" w:rsidRDefault="00A06D4C" w:rsidP="00EC0DF5">
            <w:pPr>
              <w:spacing w:line="360" w:lineRule="auto"/>
              <w:jc w:val="both"/>
              <w:rPr>
                <w:rFonts w:ascii="Book Antiqua" w:hAnsi="Book Antiqua"/>
              </w:rPr>
            </w:pPr>
            <w:r w:rsidRPr="00B51896">
              <w:rPr>
                <w:rFonts w:ascii="Book Antiqua" w:hAnsi="Book Antiqua"/>
              </w:rPr>
              <w:t>39</w:t>
            </w:r>
          </w:p>
        </w:tc>
        <w:tc>
          <w:tcPr>
            <w:tcW w:w="1816" w:type="dxa"/>
          </w:tcPr>
          <w:p w14:paraId="5A50B860" w14:textId="77777777" w:rsidR="00A06D4C" w:rsidRPr="00B51896" w:rsidRDefault="00A06D4C" w:rsidP="00EC0DF5">
            <w:pPr>
              <w:spacing w:line="360" w:lineRule="auto"/>
              <w:jc w:val="both"/>
              <w:rPr>
                <w:rFonts w:ascii="Book Antiqua" w:hAnsi="Book Antiqua"/>
              </w:rPr>
            </w:pPr>
          </w:p>
        </w:tc>
      </w:tr>
      <w:tr w:rsidR="00A06D4C" w:rsidRPr="00B51896" w14:paraId="74D49252" w14:textId="77777777" w:rsidTr="00135D12">
        <w:tc>
          <w:tcPr>
            <w:tcW w:w="2482" w:type="dxa"/>
            <w:hideMark/>
          </w:tcPr>
          <w:p w14:paraId="4B889F79"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Both</w:t>
            </w:r>
          </w:p>
        </w:tc>
        <w:tc>
          <w:tcPr>
            <w:tcW w:w="2268" w:type="dxa"/>
            <w:hideMark/>
          </w:tcPr>
          <w:p w14:paraId="535AB7AD" w14:textId="77777777" w:rsidR="00A06D4C" w:rsidRPr="00B51896" w:rsidRDefault="00A06D4C" w:rsidP="00EC0DF5">
            <w:pPr>
              <w:spacing w:line="360" w:lineRule="auto"/>
              <w:jc w:val="both"/>
              <w:rPr>
                <w:rFonts w:ascii="Book Antiqua" w:hAnsi="Book Antiqua"/>
              </w:rPr>
            </w:pPr>
            <w:r w:rsidRPr="00B51896">
              <w:rPr>
                <w:rFonts w:ascii="Book Antiqua" w:hAnsi="Book Antiqua"/>
              </w:rPr>
              <w:t>1</w:t>
            </w:r>
          </w:p>
        </w:tc>
        <w:tc>
          <w:tcPr>
            <w:tcW w:w="2268" w:type="dxa"/>
            <w:hideMark/>
          </w:tcPr>
          <w:p w14:paraId="5A455611" w14:textId="77777777" w:rsidR="00A06D4C" w:rsidRPr="00B51896" w:rsidRDefault="00A06D4C" w:rsidP="00EC0DF5">
            <w:pPr>
              <w:spacing w:line="360" w:lineRule="auto"/>
              <w:jc w:val="both"/>
              <w:rPr>
                <w:rFonts w:ascii="Book Antiqua" w:hAnsi="Book Antiqua"/>
              </w:rPr>
            </w:pPr>
            <w:r w:rsidRPr="00B51896">
              <w:rPr>
                <w:rFonts w:ascii="Book Antiqua" w:hAnsi="Book Antiqua"/>
              </w:rPr>
              <w:t>5</w:t>
            </w:r>
          </w:p>
        </w:tc>
        <w:tc>
          <w:tcPr>
            <w:tcW w:w="1816" w:type="dxa"/>
          </w:tcPr>
          <w:p w14:paraId="3103AB6F" w14:textId="77777777" w:rsidR="00A06D4C" w:rsidRPr="00B51896" w:rsidRDefault="00A06D4C" w:rsidP="00EC0DF5">
            <w:pPr>
              <w:spacing w:line="360" w:lineRule="auto"/>
              <w:jc w:val="both"/>
              <w:rPr>
                <w:rFonts w:ascii="Book Antiqua" w:hAnsi="Book Antiqua"/>
              </w:rPr>
            </w:pPr>
          </w:p>
        </w:tc>
      </w:tr>
      <w:tr w:rsidR="00A06D4C" w:rsidRPr="00B51896" w14:paraId="698B9BED" w14:textId="77777777" w:rsidTr="00135D12">
        <w:tc>
          <w:tcPr>
            <w:tcW w:w="2482" w:type="dxa"/>
            <w:hideMark/>
          </w:tcPr>
          <w:p w14:paraId="19FE3B31"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Other conditions</w:t>
            </w:r>
          </w:p>
        </w:tc>
        <w:tc>
          <w:tcPr>
            <w:tcW w:w="2268" w:type="dxa"/>
            <w:hideMark/>
          </w:tcPr>
          <w:p w14:paraId="493193C0" w14:textId="77777777" w:rsidR="00A06D4C" w:rsidRPr="00B51896" w:rsidRDefault="00A06D4C" w:rsidP="00EC0DF5">
            <w:pPr>
              <w:spacing w:line="360" w:lineRule="auto"/>
              <w:jc w:val="both"/>
              <w:rPr>
                <w:rFonts w:ascii="Book Antiqua" w:hAnsi="Book Antiqua"/>
              </w:rPr>
            </w:pPr>
            <w:r w:rsidRPr="00B51896">
              <w:rPr>
                <w:rFonts w:ascii="Book Antiqua" w:hAnsi="Book Antiqua"/>
              </w:rPr>
              <w:t>1</w:t>
            </w:r>
          </w:p>
        </w:tc>
        <w:tc>
          <w:tcPr>
            <w:tcW w:w="2268" w:type="dxa"/>
            <w:hideMark/>
          </w:tcPr>
          <w:p w14:paraId="0DFE1B7F" w14:textId="77777777" w:rsidR="00A06D4C" w:rsidRPr="00B51896" w:rsidRDefault="00A06D4C" w:rsidP="00EC0DF5">
            <w:pPr>
              <w:spacing w:line="360" w:lineRule="auto"/>
              <w:jc w:val="both"/>
              <w:rPr>
                <w:rFonts w:ascii="Book Antiqua" w:hAnsi="Book Antiqua"/>
              </w:rPr>
            </w:pPr>
            <w:r w:rsidRPr="00B51896">
              <w:rPr>
                <w:rFonts w:ascii="Book Antiqua" w:hAnsi="Book Antiqua"/>
              </w:rPr>
              <w:t>4</w:t>
            </w:r>
          </w:p>
        </w:tc>
        <w:tc>
          <w:tcPr>
            <w:tcW w:w="1816" w:type="dxa"/>
          </w:tcPr>
          <w:p w14:paraId="68719C71" w14:textId="77777777" w:rsidR="00A06D4C" w:rsidRPr="00B51896" w:rsidRDefault="00A06D4C" w:rsidP="00EC0DF5">
            <w:pPr>
              <w:spacing w:line="360" w:lineRule="auto"/>
              <w:jc w:val="both"/>
              <w:rPr>
                <w:rFonts w:ascii="Book Antiqua" w:hAnsi="Book Antiqua"/>
              </w:rPr>
            </w:pPr>
          </w:p>
        </w:tc>
      </w:tr>
      <w:tr w:rsidR="00A06D4C" w:rsidRPr="00B51896" w14:paraId="2C64C657" w14:textId="77777777" w:rsidTr="00135D12">
        <w:tc>
          <w:tcPr>
            <w:tcW w:w="2482" w:type="dxa"/>
            <w:hideMark/>
          </w:tcPr>
          <w:p w14:paraId="2BE9BD1F" w14:textId="77777777" w:rsidR="00A06D4C" w:rsidRPr="00B51896" w:rsidRDefault="00A06D4C" w:rsidP="00EC0DF5">
            <w:pPr>
              <w:spacing w:line="360" w:lineRule="auto"/>
              <w:jc w:val="both"/>
              <w:rPr>
                <w:rFonts w:ascii="Book Antiqua" w:hAnsi="Book Antiqua"/>
              </w:rPr>
            </w:pPr>
            <w:r w:rsidRPr="00B51896">
              <w:rPr>
                <w:rFonts w:ascii="Book Antiqua" w:hAnsi="Book Antiqua"/>
              </w:rPr>
              <w:t>Child-Puph score</w:t>
            </w:r>
            <w:r w:rsidRPr="00B51896">
              <w:rPr>
                <w:rFonts w:ascii="Book Antiqua" w:hAnsi="Book Antiqua"/>
                <w:vertAlign w:val="superscript"/>
              </w:rPr>
              <w:t>1</w:t>
            </w:r>
          </w:p>
        </w:tc>
        <w:tc>
          <w:tcPr>
            <w:tcW w:w="2268" w:type="dxa"/>
            <w:hideMark/>
          </w:tcPr>
          <w:p w14:paraId="410928ED" w14:textId="77777777" w:rsidR="00A06D4C" w:rsidRPr="00B51896" w:rsidRDefault="00A06D4C" w:rsidP="00EC0DF5">
            <w:pPr>
              <w:spacing w:line="360" w:lineRule="auto"/>
              <w:jc w:val="both"/>
              <w:rPr>
                <w:rFonts w:ascii="Book Antiqua" w:hAnsi="Book Antiqua"/>
              </w:rPr>
            </w:pPr>
            <w:r w:rsidRPr="00B51896">
              <w:rPr>
                <w:rFonts w:ascii="Book Antiqua" w:hAnsi="Book Antiqua"/>
              </w:rPr>
              <w:t>7.2 ± 1.7</w:t>
            </w:r>
          </w:p>
        </w:tc>
        <w:tc>
          <w:tcPr>
            <w:tcW w:w="2268" w:type="dxa"/>
            <w:hideMark/>
          </w:tcPr>
          <w:p w14:paraId="1773DDB3" w14:textId="77777777" w:rsidR="00A06D4C" w:rsidRPr="00B51896" w:rsidRDefault="00A06D4C" w:rsidP="00EC0DF5">
            <w:pPr>
              <w:spacing w:line="360" w:lineRule="auto"/>
              <w:jc w:val="both"/>
              <w:rPr>
                <w:rFonts w:ascii="Book Antiqua" w:hAnsi="Book Antiqua"/>
              </w:rPr>
            </w:pPr>
            <w:r w:rsidRPr="00B51896">
              <w:rPr>
                <w:rFonts w:ascii="Book Antiqua" w:hAnsi="Book Antiqua"/>
              </w:rPr>
              <w:t>7.3 ± 1.7</w:t>
            </w:r>
          </w:p>
        </w:tc>
        <w:tc>
          <w:tcPr>
            <w:tcW w:w="1816" w:type="dxa"/>
            <w:hideMark/>
          </w:tcPr>
          <w:p w14:paraId="530CC816" w14:textId="77777777" w:rsidR="00A06D4C" w:rsidRPr="00B51896" w:rsidRDefault="00A06D4C" w:rsidP="00EC0DF5">
            <w:pPr>
              <w:spacing w:line="360" w:lineRule="auto"/>
              <w:jc w:val="both"/>
              <w:rPr>
                <w:rFonts w:ascii="Book Antiqua" w:hAnsi="Book Antiqua"/>
              </w:rPr>
            </w:pPr>
            <w:r w:rsidRPr="00B51896">
              <w:rPr>
                <w:rFonts w:ascii="Book Antiqua" w:hAnsi="Book Antiqua"/>
              </w:rPr>
              <w:t>0.878</w:t>
            </w:r>
          </w:p>
        </w:tc>
      </w:tr>
      <w:tr w:rsidR="00A06D4C" w:rsidRPr="00B51896" w14:paraId="31AACC8E" w14:textId="77777777" w:rsidTr="00135D12">
        <w:trPr>
          <w:trHeight w:val="422"/>
        </w:trPr>
        <w:tc>
          <w:tcPr>
            <w:tcW w:w="2482" w:type="dxa"/>
            <w:hideMark/>
          </w:tcPr>
          <w:p w14:paraId="3119C2FC" w14:textId="77777777" w:rsidR="00A06D4C" w:rsidRPr="00B51896" w:rsidRDefault="00A06D4C" w:rsidP="00EC0DF5">
            <w:pPr>
              <w:spacing w:line="360" w:lineRule="auto"/>
              <w:jc w:val="both"/>
              <w:rPr>
                <w:rFonts w:ascii="Book Antiqua" w:hAnsi="Book Antiqua"/>
              </w:rPr>
            </w:pPr>
            <w:r w:rsidRPr="00B51896">
              <w:rPr>
                <w:rFonts w:ascii="Book Antiqua" w:hAnsi="Book Antiqua"/>
              </w:rPr>
              <w:t>Child-Pugh class</w:t>
            </w:r>
          </w:p>
        </w:tc>
        <w:tc>
          <w:tcPr>
            <w:tcW w:w="2268" w:type="dxa"/>
          </w:tcPr>
          <w:p w14:paraId="445A0D0C" w14:textId="77777777" w:rsidR="00A06D4C" w:rsidRPr="00B51896" w:rsidRDefault="00A06D4C" w:rsidP="00EC0DF5">
            <w:pPr>
              <w:spacing w:line="360" w:lineRule="auto"/>
              <w:jc w:val="both"/>
              <w:rPr>
                <w:rFonts w:ascii="Book Antiqua" w:hAnsi="Book Antiqua"/>
              </w:rPr>
            </w:pPr>
          </w:p>
        </w:tc>
        <w:tc>
          <w:tcPr>
            <w:tcW w:w="2268" w:type="dxa"/>
          </w:tcPr>
          <w:p w14:paraId="4DB3547C" w14:textId="77777777" w:rsidR="00A06D4C" w:rsidRPr="00B51896" w:rsidRDefault="00A06D4C" w:rsidP="00EC0DF5">
            <w:pPr>
              <w:spacing w:line="360" w:lineRule="auto"/>
              <w:jc w:val="both"/>
              <w:rPr>
                <w:rFonts w:ascii="Book Antiqua" w:hAnsi="Book Antiqua"/>
              </w:rPr>
            </w:pPr>
          </w:p>
        </w:tc>
        <w:tc>
          <w:tcPr>
            <w:tcW w:w="1816" w:type="dxa"/>
            <w:hideMark/>
          </w:tcPr>
          <w:p w14:paraId="73BCEBB1" w14:textId="77777777" w:rsidR="00A06D4C" w:rsidRPr="00B51896" w:rsidRDefault="00A06D4C" w:rsidP="00EC0DF5">
            <w:pPr>
              <w:spacing w:line="360" w:lineRule="auto"/>
              <w:jc w:val="both"/>
              <w:rPr>
                <w:rFonts w:ascii="Book Antiqua" w:hAnsi="Book Antiqua"/>
              </w:rPr>
            </w:pPr>
            <w:r w:rsidRPr="00B51896">
              <w:rPr>
                <w:rFonts w:ascii="Book Antiqua" w:hAnsi="Book Antiqua"/>
              </w:rPr>
              <w:t>0.644</w:t>
            </w:r>
          </w:p>
        </w:tc>
      </w:tr>
      <w:tr w:rsidR="00A06D4C" w:rsidRPr="00B51896" w14:paraId="79BF9C89" w14:textId="77777777" w:rsidTr="00135D12">
        <w:trPr>
          <w:trHeight w:val="422"/>
        </w:trPr>
        <w:tc>
          <w:tcPr>
            <w:tcW w:w="2482" w:type="dxa"/>
            <w:hideMark/>
          </w:tcPr>
          <w:p w14:paraId="007622C1"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A</w:t>
            </w:r>
          </w:p>
        </w:tc>
        <w:tc>
          <w:tcPr>
            <w:tcW w:w="2268" w:type="dxa"/>
            <w:hideMark/>
          </w:tcPr>
          <w:p w14:paraId="4F1FFE4F" w14:textId="77777777" w:rsidR="00A06D4C" w:rsidRPr="00B51896" w:rsidRDefault="00A06D4C" w:rsidP="00EC0DF5">
            <w:pPr>
              <w:spacing w:line="360" w:lineRule="auto"/>
              <w:jc w:val="both"/>
              <w:rPr>
                <w:rFonts w:ascii="Book Antiqua" w:hAnsi="Book Antiqua"/>
              </w:rPr>
            </w:pPr>
            <w:r w:rsidRPr="00B51896">
              <w:rPr>
                <w:rFonts w:ascii="Book Antiqua" w:hAnsi="Book Antiqua"/>
              </w:rPr>
              <w:t>8 (30.8%)</w:t>
            </w:r>
          </w:p>
        </w:tc>
        <w:tc>
          <w:tcPr>
            <w:tcW w:w="2268" w:type="dxa"/>
            <w:hideMark/>
          </w:tcPr>
          <w:p w14:paraId="196BFF62" w14:textId="77777777" w:rsidR="00A06D4C" w:rsidRPr="00B51896" w:rsidRDefault="00A06D4C" w:rsidP="00EC0DF5">
            <w:pPr>
              <w:spacing w:line="360" w:lineRule="auto"/>
              <w:jc w:val="both"/>
              <w:rPr>
                <w:rFonts w:ascii="Book Antiqua" w:hAnsi="Book Antiqua"/>
              </w:rPr>
            </w:pPr>
            <w:r w:rsidRPr="00B51896">
              <w:rPr>
                <w:rFonts w:ascii="Book Antiqua" w:hAnsi="Book Antiqua"/>
              </w:rPr>
              <w:t>44 (40.7%)</w:t>
            </w:r>
          </w:p>
        </w:tc>
        <w:tc>
          <w:tcPr>
            <w:tcW w:w="1816" w:type="dxa"/>
          </w:tcPr>
          <w:p w14:paraId="5F311A02" w14:textId="77777777" w:rsidR="00A06D4C" w:rsidRPr="00B51896" w:rsidRDefault="00A06D4C" w:rsidP="00EC0DF5">
            <w:pPr>
              <w:spacing w:line="360" w:lineRule="auto"/>
              <w:jc w:val="both"/>
              <w:rPr>
                <w:rFonts w:ascii="Book Antiqua" w:hAnsi="Book Antiqua"/>
              </w:rPr>
            </w:pPr>
          </w:p>
        </w:tc>
      </w:tr>
      <w:tr w:rsidR="00A06D4C" w:rsidRPr="00B51896" w14:paraId="4BCCD97D" w14:textId="77777777" w:rsidTr="00135D12">
        <w:trPr>
          <w:trHeight w:val="422"/>
        </w:trPr>
        <w:tc>
          <w:tcPr>
            <w:tcW w:w="2482" w:type="dxa"/>
            <w:hideMark/>
          </w:tcPr>
          <w:p w14:paraId="46E51D7E"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t>B</w:t>
            </w:r>
          </w:p>
        </w:tc>
        <w:tc>
          <w:tcPr>
            <w:tcW w:w="2268" w:type="dxa"/>
            <w:hideMark/>
          </w:tcPr>
          <w:p w14:paraId="5EA95000" w14:textId="77777777" w:rsidR="00A06D4C" w:rsidRPr="00B51896" w:rsidRDefault="00A06D4C" w:rsidP="00EC0DF5">
            <w:pPr>
              <w:spacing w:line="360" w:lineRule="auto"/>
              <w:jc w:val="both"/>
              <w:rPr>
                <w:rFonts w:ascii="Book Antiqua" w:hAnsi="Book Antiqua"/>
              </w:rPr>
            </w:pPr>
            <w:r w:rsidRPr="00B51896">
              <w:rPr>
                <w:rFonts w:ascii="Book Antiqua" w:hAnsi="Book Antiqua"/>
              </w:rPr>
              <w:t>15 (57.7%)</w:t>
            </w:r>
          </w:p>
        </w:tc>
        <w:tc>
          <w:tcPr>
            <w:tcW w:w="2268" w:type="dxa"/>
            <w:hideMark/>
          </w:tcPr>
          <w:p w14:paraId="206EF90D" w14:textId="77777777" w:rsidR="00A06D4C" w:rsidRPr="00B51896" w:rsidRDefault="00A06D4C" w:rsidP="00EC0DF5">
            <w:pPr>
              <w:spacing w:line="360" w:lineRule="auto"/>
              <w:jc w:val="both"/>
              <w:rPr>
                <w:rFonts w:ascii="Book Antiqua" w:hAnsi="Book Antiqua"/>
              </w:rPr>
            </w:pPr>
            <w:r w:rsidRPr="00B51896">
              <w:rPr>
                <w:rFonts w:ascii="Book Antiqua" w:hAnsi="Book Antiqua"/>
              </w:rPr>
              <w:t>53 (49.1%)</w:t>
            </w:r>
          </w:p>
        </w:tc>
        <w:tc>
          <w:tcPr>
            <w:tcW w:w="1816" w:type="dxa"/>
          </w:tcPr>
          <w:p w14:paraId="5C553486" w14:textId="77777777" w:rsidR="00A06D4C" w:rsidRPr="00B51896" w:rsidRDefault="00A06D4C" w:rsidP="00EC0DF5">
            <w:pPr>
              <w:spacing w:line="360" w:lineRule="auto"/>
              <w:jc w:val="both"/>
              <w:rPr>
                <w:rFonts w:ascii="Book Antiqua" w:hAnsi="Book Antiqua"/>
              </w:rPr>
            </w:pPr>
          </w:p>
        </w:tc>
      </w:tr>
      <w:tr w:rsidR="00A06D4C" w:rsidRPr="00B51896" w14:paraId="1D20D46F" w14:textId="77777777" w:rsidTr="00135D12">
        <w:trPr>
          <w:trHeight w:val="422"/>
        </w:trPr>
        <w:tc>
          <w:tcPr>
            <w:tcW w:w="2482" w:type="dxa"/>
            <w:hideMark/>
          </w:tcPr>
          <w:p w14:paraId="0CC05DF7" w14:textId="77777777" w:rsidR="00A06D4C" w:rsidRPr="00B51896" w:rsidRDefault="00A06D4C" w:rsidP="00EC0DF5">
            <w:pPr>
              <w:spacing w:line="360" w:lineRule="auto"/>
              <w:ind w:leftChars="83" w:left="199"/>
              <w:jc w:val="both"/>
              <w:rPr>
                <w:rFonts w:ascii="Book Antiqua" w:hAnsi="Book Antiqua"/>
              </w:rPr>
            </w:pPr>
            <w:r w:rsidRPr="00B51896">
              <w:rPr>
                <w:rFonts w:ascii="Book Antiqua" w:hAnsi="Book Antiqua"/>
              </w:rPr>
              <w:lastRenderedPageBreak/>
              <w:t>C</w:t>
            </w:r>
          </w:p>
        </w:tc>
        <w:tc>
          <w:tcPr>
            <w:tcW w:w="2268" w:type="dxa"/>
            <w:hideMark/>
          </w:tcPr>
          <w:p w14:paraId="4AE18022" w14:textId="77777777" w:rsidR="00A06D4C" w:rsidRPr="00B51896" w:rsidRDefault="00A06D4C" w:rsidP="00EC0DF5">
            <w:pPr>
              <w:spacing w:line="360" w:lineRule="auto"/>
              <w:jc w:val="both"/>
              <w:rPr>
                <w:rFonts w:ascii="Book Antiqua" w:hAnsi="Book Antiqua"/>
              </w:rPr>
            </w:pPr>
            <w:r w:rsidRPr="00B51896">
              <w:rPr>
                <w:rFonts w:ascii="Book Antiqua" w:hAnsi="Book Antiqua"/>
              </w:rPr>
              <w:t>3 (11.5%)</w:t>
            </w:r>
          </w:p>
        </w:tc>
        <w:tc>
          <w:tcPr>
            <w:tcW w:w="2268" w:type="dxa"/>
            <w:hideMark/>
          </w:tcPr>
          <w:p w14:paraId="47FD630E" w14:textId="77777777" w:rsidR="00A06D4C" w:rsidRPr="00B51896" w:rsidRDefault="00A06D4C" w:rsidP="00EC0DF5">
            <w:pPr>
              <w:spacing w:line="360" w:lineRule="auto"/>
              <w:jc w:val="both"/>
              <w:rPr>
                <w:rFonts w:ascii="Book Antiqua" w:hAnsi="Book Antiqua"/>
              </w:rPr>
            </w:pPr>
            <w:r w:rsidRPr="00B51896">
              <w:rPr>
                <w:rFonts w:ascii="Book Antiqua" w:hAnsi="Book Antiqua"/>
              </w:rPr>
              <w:t>11 (10.2%)</w:t>
            </w:r>
          </w:p>
        </w:tc>
        <w:tc>
          <w:tcPr>
            <w:tcW w:w="1816" w:type="dxa"/>
          </w:tcPr>
          <w:p w14:paraId="5ECDED98" w14:textId="77777777" w:rsidR="00A06D4C" w:rsidRPr="00B51896" w:rsidRDefault="00A06D4C" w:rsidP="00EC0DF5">
            <w:pPr>
              <w:spacing w:line="360" w:lineRule="auto"/>
              <w:jc w:val="both"/>
              <w:rPr>
                <w:rFonts w:ascii="Book Antiqua" w:hAnsi="Book Antiqua"/>
              </w:rPr>
            </w:pPr>
          </w:p>
        </w:tc>
      </w:tr>
      <w:tr w:rsidR="00A06D4C" w:rsidRPr="00B51896" w14:paraId="2F1937F6" w14:textId="77777777" w:rsidTr="00135D12">
        <w:trPr>
          <w:trHeight w:val="422"/>
        </w:trPr>
        <w:tc>
          <w:tcPr>
            <w:tcW w:w="2482" w:type="dxa"/>
            <w:tcBorders>
              <w:bottom w:val="single" w:sz="8" w:space="0" w:color="auto"/>
            </w:tcBorders>
            <w:hideMark/>
          </w:tcPr>
          <w:p w14:paraId="0F82759A" w14:textId="77777777" w:rsidR="00A06D4C" w:rsidRPr="00B51896" w:rsidRDefault="00A06D4C" w:rsidP="00EC0DF5">
            <w:pPr>
              <w:spacing w:line="360" w:lineRule="auto"/>
              <w:jc w:val="both"/>
              <w:rPr>
                <w:rFonts w:ascii="Book Antiqua" w:hAnsi="Book Antiqua"/>
              </w:rPr>
            </w:pPr>
            <w:r w:rsidRPr="00B51896">
              <w:rPr>
                <w:rFonts w:ascii="Book Antiqua" w:hAnsi="Book Antiqua"/>
              </w:rPr>
              <w:t>Hepatocellular carcinoma</w:t>
            </w:r>
          </w:p>
        </w:tc>
        <w:tc>
          <w:tcPr>
            <w:tcW w:w="2268" w:type="dxa"/>
            <w:tcBorders>
              <w:bottom w:val="single" w:sz="8" w:space="0" w:color="auto"/>
            </w:tcBorders>
            <w:hideMark/>
          </w:tcPr>
          <w:p w14:paraId="1AE64F2B" w14:textId="77777777" w:rsidR="00A06D4C" w:rsidRPr="00B51896" w:rsidRDefault="00A06D4C" w:rsidP="00EC0DF5">
            <w:pPr>
              <w:spacing w:line="360" w:lineRule="auto"/>
              <w:jc w:val="both"/>
              <w:rPr>
                <w:rFonts w:ascii="Book Antiqua" w:hAnsi="Book Antiqua"/>
              </w:rPr>
            </w:pPr>
            <w:r w:rsidRPr="00B51896">
              <w:rPr>
                <w:rFonts w:ascii="Book Antiqua" w:hAnsi="Book Antiqua"/>
              </w:rPr>
              <w:t>3 (11.5%)</w:t>
            </w:r>
          </w:p>
        </w:tc>
        <w:tc>
          <w:tcPr>
            <w:tcW w:w="2268" w:type="dxa"/>
            <w:tcBorders>
              <w:bottom w:val="single" w:sz="8" w:space="0" w:color="auto"/>
            </w:tcBorders>
            <w:hideMark/>
          </w:tcPr>
          <w:p w14:paraId="1077DD45" w14:textId="77777777" w:rsidR="00A06D4C" w:rsidRPr="00B51896" w:rsidRDefault="00A06D4C" w:rsidP="00EC0DF5">
            <w:pPr>
              <w:spacing w:line="360" w:lineRule="auto"/>
              <w:jc w:val="both"/>
              <w:rPr>
                <w:rFonts w:ascii="Book Antiqua" w:hAnsi="Book Antiqua"/>
              </w:rPr>
            </w:pPr>
            <w:r w:rsidRPr="00B51896">
              <w:rPr>
                <w:rFonts w:ascii="Book Antiqua" w:hAnsi="Book Antiqua"/>
              </w:rPr>
              <w:t>12 (11.1%)</w:t>
            </w:r>
          </w:p>
        </w:tc>
        <w:tc>
          <w:tcPr>
            <w:tcW w:w="1816" w:type="dxa"/>
            <w:tcBorders>
              <w:bottom w:val="single" w:sz="8" w:space="0" w:color="auto"/>
            </w:tcBorders>
            <w:hideMark/>
          </w:tcPr>
          <w:p w14:paraId="61705FD4" w14:textId="77777777" w:rsidR="00A06D4C" w:rsidRPr="00B51896" w:rsidRDefault="00A06D4C" w:rsidP="00EC0DF5">
            <w:pPr>
              <w:spacing w:line="360" w:lineRule="auto"/>
              <w:jc w:val="both"/>
              <w:rPr>
                <w:rFonts w:ascii="Book Antiqua" w:hAnsi="Book Antiqua"/>
              </w:rPr>
            </w:pPr>
            <w:r w:rsidRPr="00B51896">
              <w:rPr>
                <w:rFonts w:ascii="Book Antiqua" w:hAnsi="Book Antiqua"/>
              </w:rPr>
              <w:t>&gt; 0.999</w:t>
            </w:r>
          </w:p>
        </w:tc>
      </w:tr>
    </w:tbl>
    <w:p w14:paraId="75849A14" w14:textId="77777777" w:rsidR="00A06D4C" w:rsidRPr="00B51896" w:rsidRDefault="00A06D4C" w:rsidP="00EC0DF5">
      <w:pPr>
        <w:spacing w:line="360" w:lineRule="auto"/>
        <w:ind w:left="19" w:right="13" w:firstLine="4"/>
        <w:jc w:val="both"/>
        <w:rPr>
          <w:rFonts w:ascii="Book Antiqua" w:hAnsi="Book Antiqua"/>
        </w:rPr>
      </w:pPr>
      <w:r w:rsidRPr="00B51896">
        <w:rPr>
          <w:rFonts w:ascii="Book Antiqua" w:hAnsi="Book Antiqua"/>
          <w:vertAlign w:val="superscript"/>
        </w:rPr>
        <w:t>1</w:t>
      </w:r>
      <w:r w:rsidRPr="00B51896">
        <w:rPr>
          <w:rFonts w:ascii="Book Antiqua" w:hAnsi="Book Antiqua"/>
        </w:rPr>
        <w:t>Data are mean ± SD.</w:t>
      </w:r>
    </w:p>
    <w:p w14:paraId="7B17D691" w14:textId="77777777" w:rsidR="00A06D4C" w:rsidRPr="00B51896" w:rsidRDefault="00A06D4C" w:rsidP="00EC0DF5">
      <w:pPr>
        <w:spacing w:line="360" w:lineRule="auto"/>
        <w:ind w:left="19" w:right="13" w:firstLine="4"/>
        <w:jc w:val="both"/>
        <w:rPr>
          <w:rFonts w:ascii="Book Antiqua" w:eastAsia="Constantia" w:hAnsi="Book Antiqua" w:cs="Constantia"/>
          <w:b/>
          <w:bCs/>
        </w:rPr>
      </w:pPr>
    </w:p>
    <w:p w14:paraId="5C8F68B1" w14:textId="77777777" w:rsidR="00A06D4C" w:rsidRPr="00B51896" w:rsidRDefault="00A06D4C" w:rsidP="00EC0DF5">
      <w:pPr>
        <w:spacing w:line="360" w:lineRule="auto"/>
        <w:ind w:right="13"/>
        <w:jc w:val="both"/>
        <w:rPr>
          <w:rFonts w:ascii="Book Antiqua" w:eastAsia="Constantia" w:hAnsi="Book Antiqua" w:cs="Constantia"/>
          <w:b/>
          <w:bCs/>
        </w:rPr>
      </w:pPr>
      <w:r w:rsidRPr="00B51896">
        <w:rPr>
          <w:rFonts w:ascii="Book Antiqua" w:eastAsia="Constantia" w:hAnsi="Book Antiqua" w:cs="Constantia"/>
          <w:b/>
          <w:bCs/>
        </w:rPr>
        <w:t>Table 2</w:t>
      </w:r>
      <w:r w:rsidRPr="00B51896">
        <w:rPr>
          <w:rFonts w:ascii="Book Antiqua" w:hAnsi="Book Antiqua"/>
        </w:rPr>
        <w:t xml:space="preserve"> </w:t>
      </w:r>
      <w:r w:rsidRPr="00B51896">
        <w:rPr>
          <w:rFonts w:ascii="Book Antiqua" w:eastAsia="Constantia" w:hAnsi="Book Antiqua" w:cs="Constantia"/>
          <w:b/>
          <w:bCs/>
        </w:rPr>
        <w:t>Differences between wedged hepatic venous pressure and portal venous pressure and between hepatic venous pressure gradient and portal venous pressure gradient in patients with and without collateral branches</w:t>
      </w:r>
    </w:p>
    <w:tbl>
      <w:tblPr>
        <w:tblStyle w:val="ac"/>
        <w:tblW w:w="48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148"/>
        <w:gridCol w:w="1148"/>
        <w:gridCol w:w="822"/>
        <w:gridCol w:w="943"/>
        <w:gridCol w:w="1148"/>
        <w:gridCol w:w="1148"/>
        <w:gridCol w:w="822"/>
        <w:gridCol w:w="937"/>
      </w:tblGrid>
      <w:tr w:rsidR="00A06D4C" w:rsidRPr="00B51896" w14:paraId="2B6EE56D" w14:textId="77777777" w:rsidTr="00813220">
        <w:trPr>
          <w:trHeight w:val="1267"/>
        </w:trPr>
        <w:tc>
          <w:tcPr>
            <w:tcW w:w="664" w:type="pct"/>
            <w:tcBorders>
              <w:top w:val="single" w:sz="8" w:space="0" w:color="auto"/>
            </w:tcBorders>
            <w:vAlign w:val="center"/>
          </w:tcPr>
          <w:p w14:paraId="04B03D6C" w14:textId="77777777" w:rsidR="00A06D4C" w:rsidRPr="00B51896" w:rsidRDefault="00A06D4C" w:rsidP="00EC0DF5">
            <w:pPr>
              <w:spacing w:line="360" w:lineRule="auto"/>
              <w:jc w:val="both"/>
              <w:rPr>
                <w:rFonts w:ascii="Book Antiqua" w:hAnsi="Book Antiqua"/>
              </w:rPr>
            </w:pPr>
          </w:p>
        </w:tc>
        <w:tc>
          <w:tcPr>
            <w:tcW w:w="633" w:type="pct"/>
            <w:tcBorders>
              <w:top w:val="single" w:sz="8" w:space="0" w:color="auto"/>
            </w:tcBorders>
            <w:vAlign w:val="center"/>
            <w:hideMark/>
          </w:tcPr>
          <w:p w14:paraId="78311A05"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WHVP (mmHg)</w:t>
            </w:r>
          </w:p>
        </w:tc>
        <w:tc>
          <w:tcPr>
            <w:tcW w:w="633" w:type="pct"/>
            <w:tcBorders>
              <w:top w:val="single" w:sz="8" w:space="0" w:color="auto"/>
            </w:tcBorders>
            <w:vAlign w:val="center"/>
            <w:hideMark/>
          </w:tcPr>
          <w:p w14:paraId="0EC01E17"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PVP (mmHg)</w:t>
            </w:r>
          </w:p>
        </w:tc>
        <w:tc>
          <w:tcPr>
            <w:tcW w:w="458" w:type="pct"/>
            <w:tcBorders>
              <w:top w:val="single" w:sz="8" w:space="0" w:color="auto"/>
            </w:tcBorders>
            <w:vAlign w:val="center"/>
            <w:hideMark/>
          </w:tcPr>
          <w:p w14:paraId="7B4F1DF6" w14:textId="77777777" w:rsidR="00A06D4C" w:rsidRPr="00B51896" w:rsidRDefault="00A06D4C" w:rsidP="00EC0DF5">
            <w:pPr>
              <w:spacing w:line="360" w:lineRule="auto"/>
              <w:jc w:val="both"/>
              <w:rPr>
                <w:rFonts w:ascii="Book Antiqua" w:hAnsi="Book Antiqua"/>
                <w:b/>
              </w:rPr>
            </w:pPr>
            <w:r w:rsidRPr="00B51896">
              <w:rPr>
                <w:rFonts w:ascii="Book Antiqua" w:hAnsi="Book Antiqua"/>
                <w:b/>
                <w:i/>
              </w:rPr>
              <w:t>P</w:t>
            </w:r>
            <w:r w:rsidRPr="00B51896">
              <w:rPr>
                <w:rFonts w:ascii="Book Antiqua" w:hAnsi="Book Antiqua"/>
                <w:b/>
              </w:rPr>
              <w:t xml:space="preserve"> value</w:t>
            </w:r>
          </w:p>
        </w:tc>
        <w:tc>
          <w:tcPr>
            <w:tcW w:w="523" w:type="pct"/>
            <w:tcBorders>
              <w:top w:val="single" w:sz="8" w:space="0" w:color="auto"/>
            </w:tcBorders>
            <w:vAlign w:val="center"/>
            <w:hideMark/>
          </w:tcPr>
          <w:p w14:paraId="253D5CC1"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95%CI</w:t>
            </w:r>
          </w:p>
        </w:tc>
        <w:tc>
          <w:tcPr>
            <w:tcW w:w="633" w:type="pct"/>
            <w:tcBorders>
              <w:top w:val="single" w:sz="8" w:space="0" w:color="auto"/>
            </w:tcBorders>
            <w:vAlign w:val="center"/>
            <w:hideMark/>
          </w:tcPr>
          <w:p w14:paraId="3E1C31A7"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HVPG (mmHg)</w:t>
            </w:r>
          </w:p>
        </w:tc>
        <w:tc>
          <w:tcPr>
            <w:tcW w:w="633" w:type="pct"/>
            <w:tcBorders>
              <w:top w:val="single" w:sz="8" w:space="0" w:color="auto"/>
            </w:tcBorders>
            <w:vAlign w:val="center"/>
            <w:hideMark/>
          </w:tcPr>
          <w:p w14:paraId="5AA9AFD4"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PPG (mmHg)</w:t>
            </w:r>
          </w:p>
        </w:tc>
        <w:tc>
          <w:tcPr>
            <w:tcW w:w="458" w:type="pct"/>
            <w:tcBorders>
              <w:top w:val="single" w:sz="8" w:space="0" w:color="auto"/>
            </w:tcBorders>
            <w:vAlign w:val="center"/>
          </w:tcPr>
          <w:p w14:paraId="3ACB41E4" w14:textId="77777777" w:rsidR="00A06D4C" w:rsidRPr="00B51896" w:rsidRDefault="00A06D4C" w:rsidP="00EC0DF5">
            <w:pPr>
              <w:spacing w:line="360" w:lineRule="auto"/>
              <w:jc w:val="both"/>
              <w:rPr>
                <w:rFonts w:ascii="Book Antiqua" w:hAnsi="Book Antiqua"/>
                <w:b/>
              </w:rPr>
            </w:pPr>
          </w:p>
        </w:tc>
        <w:tc>
          <w:tcPr>
            <w:tcW w:w="366" w:type="pct"/>
            <w:tcBorders>
              <w:top w:val="single" w:sz="8" w:space="0" w:color="auto"/>
            </w:tcBorders>
            <w:vAlign w:val="center"/>
            <w:hideMark/>
          </w:tcPr>
          <w:p w14:paraId="22AB948F" w14:textId="77777777" w:rsidR="00A06D4C" w:rsidRPr="00B51896" w:rsidRDefault="00A06D4C" w:rsidP="00EC0DF5">
            <w:pPr>
              <w:spacing w:line="360" w:lineRule="auto"/>
              <w:jc w:val="both"/>
              <w:rPr>
                <w:rFonts w:ascii="Book Antiqua" w:hAnsi="Book Antiqua"/>
                <w:b/>
                <w:i/>
              </w:rPr>
            </w:pPr>
            <w:r w:rsidRPr="00B51896">
              <w:rPr>
                <w:rFonts w:ascii="Book Antiqua" w:hAnsi="Book Antiqua"/>
                <w:b/>
              </w:rPr>
              <w:t>95%CI</w:t>
            </w:r>
          </w:p>
        </w:tc>
      </w:tr>
      <w:tr w:rsidR="00813220" w:rsidRPr="00B51896" w14:paraId="149DDB8C" w14:textId="77777777" w:rsidTr="00813220">
        <w:trPr>
          <w:trHeight w:val="2534"/>
        </w:trPr>
        <w:tc>
          <w:tcPr>
            <w:tcW w:w="664" w:type="pct"/>
            <w:tcBorders>
              <w:top w:val="single" w:sz="8" w:space="0" w:color="auto"/>
            </w:tcBorders>
            <w:vAlign w:val="center"/>
            <w:hideMark/>
          </w:tcPr>
          <w:p w14:paraId="58645845" w14:textId="77777777" w:rsidR="00A06D4C" w:rsidRPr="00B51896" w:rsidRDefault="00A06D4C" w:rsidP="00EC0DF5">
            <w:pPr>
              <w:spacing w:line="360" w:lineRule="auto"/>
              <w:jc w:val="both"/>
              <w:rPr>
                <w:rFonts w:ascii="Book Antiqua" w:hAnsi="Book Antiqua"/>
              </w:rPr>
            </w:pPr>
            <w:r w:rsidRPr="00B51896">
              <w:rPr>
                <w:rFonts w:ascii="Book Antiqua" w:hAnsi="Book Antiqua"/>
              </w:rPr>
              <w:t>With collateral branches (</w:t>
            </w:r>
            <w:r w:rsidRPr="00B51896">
              <w:rPr>
                <w:rFonts w:ascii="Book Antiqua" w:hAnsi="Book Antiqua"/>
                <w:i/>
                <w:iCs/>
              </w:rPr>
              <w:t>n</w:t>
            </w:r>
            <w:r w:rsidRPr="00B51896">
              <w:rPr>
                <w:rFonts w:ascii="Book Antiqua" w:hAnsi="Book Antiqua"/>
              </w:rPr>
              <w:t xml:space="preserve"> = 26)</w:t>
            </w:r>
          </w:p>
        </w:tc>
        <w:tc>
          <w:tcPr>
            <w:tcW w:w="633" w:type="pct"/>
            <w:tcBorders>
              <w:top w:val="single" w:sz="8" w:space="0" w:color="auto"/>
            </w:tcBorders>
            <w:vAlign w:val="center"/>
            <w:hideMark/>
          </w:tcPr>
          <w:p w14:paraId="1C9B2875" w14:textId="77777777" w:rsidR="00A06D4C" w:rsidRPr="00B51896" w:rsidRDefault="00A06D4C" w:rsidP="00EC0DF5">
            <w:pPr>
              <w:spacing w:line="360" w:lineRule="auto"/>
              <w:jc w:val="both"/>
              <w:rPr>
                <w:rFonts w:ascii="Book Antiqua" w:hAnsi="Book Antiqua"/>
              </w:rPr>
            </w:pPr>
            <w:r w:rsidRPr="00B51896">
              <w:rPr>
                <w:rFonts w:ascii="Book Antiqua" w:hAnsi="Book Antiqua"/>
              </w:rPr>
              <w:t>20.89 ± 6.69</w:t>
            </w:r>
          </w:p>
        </w:tc>
        <w:tc>
          <w:tcPr>
            <w:tcW w:w="633" w:type="pct"/>
            <w:tcBorders>
              <w:top w:val="single" w:sz="8" w:space="0" w:color="auto"/>
            </w:tcBorders>
            <w:vAlign w:val="center"/>
            <w:hideMark/>
          </w:tcPr>
          <w:p w14:paraId="076BDEBC" w14:textId="77777777" w:rsidR="00A06D4C" w:rsidRPr="00B51896" w:rsidRDefault="00A06D4C" w:rsidP="00EC0DF5">
            <w:pPr>
              <w:spacing w:line="360" w:lineRule="auto"/>
              <w:jc w:val="both"/>
              <w:rPr>
                <w:rFonts w:ascii="Book Antiqua" w:hAnsi="Book Antiqua"/>
              </w:rPr>
            </w:pPr>
            <w:r w:rsidRPr="00B51896">
              <w:rPr>
                <w:rFonts w:ascii="Book Antiqua" w:hAnsi="Book Antiqua"/>
              </w:rPr>
              <w:t>34.96 ± 8.08</w:t>
            </w:r>
          </w:p>
        </w:tc>
        <w:tc>
          <w:tcPr>
            <w:tcW w:w="458" w:type="pct"/>
            <w:tcBorders>
              <w:top w:val="single" w:sz="8" w:space="0" w:color="auto"/>
            </w:tcBorders>
            <w:vAlign w:val="center"/>
            <w:hideMark/>
          </w:tcPr>
          <w:p w14:paraId="504C77AF"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523" w:type="pct"/>
            <w:tcBorders>
              <w:top w:val="single" w:sz="8" w:space="0" w:color="auto"/>
            </w:tcBorders>
            <w:vAlign w:val="center"/>
            <w:hideMark/>
          </w:tcPr>
          <w:p w14:paraId="209866EB" w14:textId="77777777" w:rsidR="00A06D4C" w:rsidRPr="00B51896" w:rsidRDefault="00A06D4C" w:rsidP="00EC0DF5">
            <w:pPr>
              <w:spacing w:line="360" w:lineRule="auto"/>
              <w:jc w:val="both"/>
              <w:rPr>
                <w:rFonts w:ascii="Book Antiqua" w:hAnsi="Book Antiqua"/>
              </w:rPr>
            </w:pPr>
            <w:r w:rsidRPr="00B51896">
              <w:rPr>
                <w:rFonts w:ascii="Book Antiqua" w:hAnsi="Book Antiqua"/>
              </w:rPr>
              <w:t>10.52-17.63</w:t>
            </w:r>
          </w:p>
        </w:tc>
        <w:tc>
          <w:tcPr>
            <w:tcW w:w="633" w:type="pct"/>
            <w:tcBorders>
              <w:top w:val="single" w:sz="8" w:space="0" w:color="auto"/>
            </w:tcBorders>
            <w:vAlign w:val="center"/>
            <w:hideMark/>
          </w:tcPr>
          <w:p w14:paraId="11B0FFE5" w14:textId="77777777" w:rsidR="00A06D4C" w:rsidRPr="00B51896" w:rsidRDefault="00A06D4C" w:rsidP="00EC0DF5">
            <w:pPr>
              <w:spacing w:line="360" w:lineRule="auto"/>
              <w:jc w:val="both"/>
              <w:rPr>
                <w:rFonts w:ascii="Book Antiqua" w:hAnsi="Book Antiqua"/>
              </w:rPr>
            </w:pPr>
            <w:r w:rsidRPr="00B51896">
              <w:rPr>
                <w:rFonts w:ascii="Book Antiqua" w:hAnsi="Book Antiqua"/>
              </w:rPr>
              <w:t>9.86 ± 7.44</w:t>
            </w:r>
          </w:p>
        </w:tc>
        <w:tc>
          <w:tcPr>
            <w:tcW w:w="633" w:type="pct"/>
            <w:tcBorders>
              <w:top w:val="single" w:sz="8" w:space="0" w:color="auto"/>
            </w:tcBorders>
            <w:vAlign w:val="center"/>
            <w:hideMark/>
          </w:tcPr>
          <w:p w14:paraId="4E55A259" w14:textId="77777777" w:rsidR="00A06D4C" w:rsidRPr="00B51896" w:rsidRDefault="00A06D4C" w:rsidP="00EC0DF5">
            <w:pPr>
              <w:spacing w:line="360" w:lineRule="auto"/>
              <w:jc w:val="both"/>
              <w:rPr>
                <w:rFonts w:ascii="Book Antiqua" w:hAnsi="Book Antiqua"/>
              </w:rPr>
            </w:pPr>
            <w:r w:rsidRPr="00B51896">
              <w:rPr>
                <w:rFonts w:ascii="Book Antiqua" w:hAnsi="Book Antiqua"/>
              </w:rPr>
              <w:t>25.94 ± 7.42</w:t>
            </w:r>
          </w:p>
        </w:tc>
        <w:tc>
          <w:tcPr>
            <w:tcW w:w="458" w:type="pct"/>
            <w:tcBorders>
              <w:top w:val="single" w:sz="8" w:space="0" w:color="auto"/>
            </w:tcBorders>
            <w:vAlign w:val="center"/>
            <w:hideMark/>
          </w:tcPr>
          <w:p w14:paraId="464205FA"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366" w:type="pct"/>
            <w:tcBorders>
              <w:top w:val="single" w:sz="8" w:space="0" w:color="auto"/>
            </w:tcBorders>
            <w:vAlign w:val="center"/>
            <w:hideMark/>
          </w:tcPr>
          <w:p w14:paraId="6DEC12E5" w14:textId="77777777" w:rsidR="00A06D4C" w:rsidRPr="00B51896" w:rsidRDefault="00A06D4C" w:rsidP="00EC0DF5">
            <w:pPr>
              <w:spacing w:line="360" w:lineRule="auto"/>
              <w:jc w:val="both"/>
              <w:rPr>
                <w:rFonts w:ascii="Book Antiqua" w:hAnsi="Book Antiqua"/>
              </w:rPr>
            </w:pPr>
            <w:r w:rsidRPr="00B51896">
              <w:rPr>
                <w:rFonts w:ascii="Book Antiqua" w:hAnsi="Book Antiqua"/>
              </w:rPr>
              <w:t>12.30-19.86</w:t>
            </w:r>
          </w:p>
        </w:tc>
      </w:tr>
      <w:tr w:rsidR="00813220" w:rsidRPr="00B51896" w14:paraId="11DDA4C1" w14:textId="77777777" w:rsidTr="00813220">
        <w:trPr>
          <w:trHeight w:val="2534"/>
        </w:trPr>
        <w:tc>
          <w:tcPr>
            <w:tcW w:w="664" w:type="pct"/>
            <w:vAlign w:val="center"/>
            <w:hideMark/>
          </w:tcPr>
          <w:p w14:paraId="06FC432F" w14:textId="77777777" w:rsidR="00A06D4C" w:rsidRPr="00B51896" w:rsidRDefault="00A06D4C" w:rsidP="00EC0DF5">
            <w:pPr>
              <w:spacing w:line="360" w:lineRule="auto"/>
              <w:jc w:val="both"/>
              <w:rPr>
                <w:rFonts w:ascii="Book Antiqua" w:hAnsi="Book Antiqua"/>
              </w:rPr>
            </w:pPr>
            <w:r w:rsidRPr="00B51896">
              <w:rPr>
                <w:rFonts w:ascii="Book Antiqua" w:hAnsi="Book Antiqua"/>
              </w:rPr>
              <w:t>No collateral branch (</w:t>
            </w:r>
            <w:r w:rsidRPr="00B51896">
              <w:rPr>
                <w:rFonts w:ascii="Book Antiqua" w:hAnsi="Book Antiqua"/>
                <w:i/>
                <w:iCs/>
              </w:rPr>
              <w:t>n</w:t>
            </w:r>
            <w:r w:rsidRPr="00B51896">
              <w:rPr>
                <w:rFonts w:ascii="Book Antiqua" w:hAnsi="Book Antiqua"/>
              </w:rPr>
              <w:t xml:space="preserve"> = 108)</w:t>
            </w:r>
          </w:p>
        </w:tc>
        <w:tc>
          <w:tcPr>
            <w:tcW w:w="633" w:type="pct"/>
            <w:vAlign w:val="center"/>
            <w:hideMark/>
          </w:tcPr>
          <w:p w14:paraId="16AA13D4" w14:textId="77777777" w:rsidR="00A06D4C" w:rsidRPr="00B51896" w:rsidRDefault="00A06D4C" w:rsidP="00EC0DF5">
            <w:pPr>
              <w:spacing w:line="360" w:lineRule="auto"/>
              <w:jc w:val="both"/>
              <w:rPr>
                <w:rFonts w:ascii="Book Antiqua" w:hAnsi="Book Antiqua"/>
              </w:rPr>
            </w:pPr>
            <w:r w:rsidRPr="00B51896">
              <w:rPr>
                <w:rFonts w:ascii="Book Antiqua" w:hAnsi="Book Antiqua"/>
              </w:rPr>
              <w:t>30.65 ± 8.17</w:t>
            </w:r>
          </w:p>
        </w:tc>
        <w:tc>
          <w:tcPr>
            <w:tcW w:w="633" w:type="pct"/>
            <w:vAlign w:val="center"/>
            <w:hideMark/>
          </w:tcPr>
          <w:p w14:paraId="15C776DF" w14:textId="77777777" w:rsidR="00A06D4C" w:rsidRPr="00B51896" w:rsidRDefault="00A06D4C" w:rsidP="00EC0DF5">
            <w:pPr>
              <w:spacing w:line="360" w:lineRule="auto"/>
              <w:jc w:val="both"/>
              <w:rPr>
                <w:rFonts w:ascii="Book Antiqua" w:hAnsi="Book Antiqua"/>
              </w:rPr>
            </w:pPr>
            <w:r w:rsidRPr="00B51896">
              <w:rPr>
                <w:rFonts w:ascii="Book Antiqua" w:hAnsi="Book Antiqua"/>
              </w:rPr>
              <w:t>33.25 ± 6.60</w:t>
            </w:r>
          </w:p>
        </w:tc>
        <w:tc>
          <w:tcPr>
            <w:tcW w:w="458" w:type="pct"/>
            <w:vAlign w:val="center"/>
            <w:hideMark/>
          </w:tcPr>
          <w:p w14:paraId="20280E19" w14:textId="77777777" w:rsidR="00A06D4C" w:rsidRPr="00B51896" w:rsidRDefault="00A06D4C" w:rsidP="00EC0DF5">
            <w:pPr>
              <w:spacing w:line="360" w:lineRule="auto"/>
              <w:jc w:val="both"/>
              <w:rPr>
                <w:rFonts w:ascii="Book Antiqua" w:hAnsi="Book Antiqua"/>
              </w:rPr>
            </w:pPr>
            <w:r w:rsidRPr="00B51896">
              <w:rPr>
                <w:rFonts w:ascii="Book Antiqua" w:hAnsi="Book Antiqua"/>
              </w:rPr>
              <w:t>0.002</w:t>
            </w:r>
          </w:p>
        </w:tc>
        <w:tc>
          <w:tcPr>
            <w:tcW w:w="523" w:type="pct"/>
            <w:vAlign w:val="center"/>
            <w:hideMark/>
          </w:tcPr>
          <w:p w14:paraId="3BB19AB1" w14:textId="77777777" w:rsidR="00A06D4C" w:rsidRPr="00B51896" w:rsidRDefault="00A06D4C" w:rsidP="00EC0DF5">
            <w:pPr>
              <w:spacing w:line="360" w:lineRule="auto"/>
              <w:jc w:val="both"/>
              <w:rPr>
                <w:rFonts w:ascii="Book Antiqua" w:hAnsi="Book Antiqua"/>
              </w:rPr>
            </w:pPr>
            <w:r w:rsidRPr="00B51896">
              <w:rPr>
                <w:rFonts w:ascii="Book Antiqua" w:hAnsi="Book Antiqua"/>
              </w:rPr>
              <w:t>0.99-4.20</w:t>
            </w:r>
          </w:p>
        </w:tc>
        <w:tc>
          <w:tcPr>
            <w:tcW w:w="633" w:type="pct"/>
            <w:vAlign w:val="center"/>
            <w:hideMark/>
          </w:tcPr>
          <w:p w14:paraId="27884853" w14:textId="77777777" w:rsidR="00A06D4C" w:rsidRPr="00B51896" w:rsidRDefault="00A06D4C" w:rsidP="00EC0DF5">
            <w:pPr>
              <w:spacing w:line="360" w:lineRule="auto"/>
              <w:jc w:val="both"/>
              <w:rPr>
                <w:rFonts w:ascii="Book Antiqua" w:hAnsi="Book Antiqua"/>
              </w:rPr>
            </w:pPr>
            <w:r w:rsidRPr="00B51896">
              <w:rPr>
                <w:rFonts w:ascii="Book Antiqua" w:hAnsi="Book Antiqua"/>
              </w:rPr>
              <w:t>18.67 ± 9.05</w:t>
            </w:r>
          </w:p>
        </w:tc>
        <w:tc>
          <w:tcPr>
            <w:tcW w:w="633" w:type="pct"/>
            <w:vAlign w:val="center"/>
            <w:hideMark/>
          </w:tcPr>
          <w:p w14:paraId="324B71B1" w14:textId="77777777" w:rsidR="00A06D4C" w:rsidRPr="00B51896" w:rsidRDefault="00A06D4C" w:rsidP="00EC0DF5">
            <w:pPr>
              <w:spacing w:line="360" w:lineRule="auto"/>
              <w:jc w:val="both"/>
              <w:rPr>
                <w:rFonts w:ascii="Book Antiqua" w:hAnsi="Book Antiqua"/>
              </w:rPr>
            </w:pPr>
            <w:r w:rsidRPr="00B51896">
              <w:rPr>
                <w:rFonts w:ascii="Book Antiqua" w:hAnsi="Book Antiqua"/>
              </w:rPr>
              <w:t>24.44 ± 6.79</w:t>
            </w:r>
          </w:p>
        </w:tc>
        <w:tc>
          <w:tcPr>
            <w:tcW w:w="458" w:type="pct"/>
            <w:vAlign w:val="center"/>
            <w:hideMark/>
          </w:tcPr>
          <w:p w14:paraId="13556F77"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366" w:type="pct"/>
            <w:vAlign w:val="center"/>
            <w:hideMark/>
          </w:tcPr>
          <w:p w14:paraId="4FA1EBBD" w14:textId="77777777" w:rsidR="00A06D4C" w:rsidRPr="00B51896" w:rsidRDefault="00A06D4C" w:rsidP="00EC0DF5">
            <w:pPr>
              <w:spacing w:line="360" w:lineRule="auto"/>
              <w:jc w:val="both"/>
              <w:rPr>
                <w:rFonts w:ascii="Book Antiqua" w:hAnsi="Book Antiqua"/>
              </w:rPr>
            </w:pPr>
            <w:r w:rsidRPr="00B51896">
              <w:rPr>
                <w:rFonts w:ascii="Book Antiqua" w:hAnsi="Book Antiqua"/>
              </w:rPr>
              <w:t>3.91-7.64</w:t>
            </w:r>
          </w:p>
        </w:tc>
      </w:tr>
      <w:tr w:rsidR="00813220" w:rsidRPr="00B51896" w14:paraId="6EE9F124" w14:textId="77777777" w:rsidTr="00813220">
        <w:trPr>
          <w:trHeight w:val="1889"/>
        </w:trPr>
        <w:tc>
          <w:tcPr>
            <w:tcW w:w="664" w:type="pct"/>
            <w:tcBorders>
              <w:bottom w:val="single" w:sz="8" w:space="0" w:color="auto"/>
            </w:tcBorders>
            <w:vAlign w:val="center"/>
            <w:hideMark/>
          </w:tcPr>
          <w:p w14:paraId="7F063396" w14:textId="77777777" w:rsidR="00A06D4C" w:rsidRPr="00B51896" w:rsidRDefault="00A06D4C" w:rsidP="00EC0DF5">
            <w:pPr>
              <w:spacing w:line="360" w:lineRule="auto"/>
              <w:jc w:val="both"/>
              <w:rPr>
                <w:rFonts w:ascii="Book Antiqua" w:hAnsi="Book Antiqua"/>
              </w:rPr>
            </w:pPr>
            <w:r w:rsidRPr="00B51896">
              <w:rPr>
                <w:rFonts w:ascii="Book Antiqua" w:hAnsi="Book Antiqua"/>
              </w:rPr>
              <w:t>Total (</w:t>
            </w:r>
            <w:r w:rsidRPr="00B51896">
              <w:rPr>
                <w:rFonts w:ascii="Book Antiqua" w:hAnsi="Book Antiqua"/>
                <w:i/>
                <w:iCs/>
              </w:rPr>
              <w:t>n</w:t>
            </w:r>
            <w:r w:rsidRPr="00B51896">
              <w:rPr>
                <w:rFonts w:ascii="Book Antiqua" w:hAnsi="Book Antiqua"/>
              </w:rPr>
              <w:t xml:space="preserve"> = 134)</w:t>
            </w:r>
          </w:p>
        </w:tc>
        <w:tc>
          <w:tcPr>
            <w:tcW w:w="633" w:type="pct"/>
            <w:tcBorders>
              <w:bottom w:val="single" w:sz="8" w:space="0" w:color="auto"/>
            </w:tcBorders>
            <w:vAlign w:val="center"/>
            <w:hideMark/>
          </w:tcPr>
          <w:p w14:paraId="2BF5F987" w14:textId="77777777" w:rsidR="00A06D4C" w:rsidRPr="00B51896" w:rsidRDefault="00A06D4C" w:rsidP="00EC0DF5">
            <w:pPr>
              <w:spacing w:line="360" w:lineRule="auto"/>
              <w:jc w:val="both"/>
              <w:rPr>
                <w:rFonts w:ascii="Book Antiqua" w:hAnsi="Book Antiqua"/>
              </w:rPr>
            </w:pPr>
            <w:r w:rsidRPr="00B51896">
              <w:rPr>
                <w:rFonts w:ascii="Book Antiqua" w:hAnsi="Book Antiqua"/>
              </w:rPr>
              <w:t>28.70 ± 8.78</w:t>
            </w:r>
          </w:p>
        </w:tc>
        <w:tc>
          <w:tcPr>
            <w:tcW w:w="633" w:type="pct"/>
            <w:tcBorders>
              <w:bottom w:val="single" w:sz="8" w:space="0" w:color="auto"/>
            </w:tcBorders>
            <w:vAlign w:val="center"/>
            <w:hideMark/>
          </w:tcPr>
          <w:p w14:paraId="16728996" w14:textId="77777777" w:rsidR="00A06D4C" w:rsidRPr="00B51896" w:rsidRDefault="00A06D4C" w:rsidP="00EC0DF5">
            <w:pPr>
              <w:spacing w:line="360" w:lineRule="auto"/>
              <w:jc w:val="both"/>
              <w:rPr>
                <w:rFonts w:ascii="Book Antiqua" w:hAnsi="Book Antiqua"/>
              </w:rPr>
            </w:pPr>
            <w:r w:rsidRPr="00B51896">
              <w:rPr>
                <w:rFonts w:ascii="Book Antiqua" w:hAnsi="Book Antiqua"/>
              </w:rPr>
              <w:t>33.58 ± 6.91</w:t>
            </w:r>
          </w:p>
        </w:tc>
        <w:tc>
          <w:tcPr>
            <w:tcW w:w="458" w:type="pct"/>
            <w:tcBorders>
              <w:bottom w:val="single" w:sz="8" w:space="0" w:color="auto"/>
            </w:tcBorders>
            <w:vAlign w:val="center"/>
            <w:hideMark/>
          </w:tcPr>
          <w:p w14:paraId="4314F54A"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523" w:type="pct"/>
            <w:tcBorders>
              <w:bottom w:val="single" w:sz="8" w:space="0" w:color="auto"/>
            </w:tcBorders>
            <w:vAlign w:val="center"/>
            <w:hideMark/>
          </w:tcPr>
          <w:p w14:paraId="161301C2" w14:textId="77777777" w:rsidR="00A06D4C" w:rsidRPr="00B51896" w:rsidRDefault="00A06D4C" w:rsidP="00EC0DF5">
            <w:pPr>
              <w:spacing w:line="360" w:lineRule="auto"/>
              <w:jc w:val="both"/>
              <w:rPr>
                <w:rFonts w:ascii="Book Antiqua" w:hAnsi="Book Antiqua"/>
              </w:rPr>
            </w:pPr>
            <w:r w:rsidRPr="00B51896">
              <w:rPr>
                <w:rFonts w:ascii="Book Antiqua" w:hAnsi="Book Antiqua"/>
              </w:rPr>
              <w:t>3.18-6.46</w:t>
            </w:r>
          </w:p>
        </w:tc>
        <w:tc>
          <w:tcPr>
            <w:tcW w:w="633" w:type="pct"/>
            <w:tcBorders>
              <w:bottom w:val="single" w:sz="8" w:space="0" w:color="auto"/>
            </w:tcBorders>
            <w:vAlign w:val="center"/>
            <w:hideMark/>
          </w:tcPr>
          <w:p w14:paraId="72373C33" w14:textId="77777777" w:rsidR="00A06D4C" w:rsidRPr="00B51896" w:rsidRDefault="00A06D4C" w:rsidP="00EC0DF5">
            <w:pPr>
              <w:spacing w:line="360" w:lineRule="auto"/>
              <w:jc w:val="both"/>
              <w:rPr>
                <w:rFonts w:ascii="Book Antiqua" w:hAnsi="Book Antiqua"/>
              </w:rPr>
            </w:pPr>
            <w:r w:rsidRPr="00B51896">
              <w:rPr>
                <w:rFonts w:ascii="Book Antiqua" w:hAnsi="Book Antiqua"/>
              </w:rPr>
              <w:t>16.96 ± 9.41</w:t>
            </w:r>
          </w:p>
        </w:tc>
        <w:tc>
          <w:tcPr>
            <w:tcW w:w="633" w:type="pct"/>
            <w:tcBorders>
              <w:bottom w:val="single" w:sz="8" w:space="0" w:color="auto"/>
            </w:tcBorders>
            <w:vAlign w:val="center"/>
            <w:hideMark/>
          </w:tcPr>
          <w:p w14:paraId="4C0D70BB" w14:textId="77777777" w:rsidR="00A06D4C" w:rsidRPr="00B51896" w:rsidRDefault="00A06D4C" w:rsidP="00EC0DF5">
            <w:pPr>
              <w:spacing w:line="360" w:lineRule="auto"/>
              <w:jc w:val="both"/>
              <w:rPr>
                <w:rFonts w:ascii="Book Antiqua" w:hAnsi="Book Antiqua"/>
              </w:rPr>
            </w:pPr>
            <w:r w:rsidRPr="00B51896">
              <w:rPr>
                <w:rFonts w:ascii="Book Antiqua" w:hAnsi="Book Antiqua"/>
              </w:rPr>
              <w:t>24.73 ± 6.92</w:t>
            </w:r>
          </w:p>
        </w:tc>
        <w:tc>
          <w:tcPr>
            <w:tcW w:w="458" w:type="pct"/>
            <w:tcBorders>
              <w:bottom w:val="single" w:sz="8" w:space="0" w:color="auto"/>
            </w:tcBorders>
            <w:vAlign w:val="center"/>
            <w:hideMark/>
          </w:tcPr>
          <w:p w14:paraId="3AAA87AE"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366" w:type="pct"/>
            <w:tcBorders>
              <w:bottom w:val="single" w:sz="8" w:space="0" w:color="auto"/>
            </w:tcBorders>
            <w:vAlign w:val="center"/>
            <w:hideMark/>
          </w:tcPr>
          <w:p w14:paraId="3B23FE92" w14:textId="77777777" w:rsidR="00A06D4C" w:rsidRPr="00B51896" w:rsidRDefault="00A06D4C" w:rsidP="00EC0DF5">
            <w:pPr>
              <w:spacing w:line="360" w:lineRule="auto"/>
              <w:jc w:val="both"/>
              <w:rPr>
                <w:rFonts w:ascii="Book Antiqua" w:hAnsi="Book Antiqua"/>
              </w:rPr>
            </w:pPr>
            <w:r w:rsidRPr="00B51896">
              <w:rPr>
                <w:rFonts w:ascii="Book Antiqua" w:hAnsi="Book Antiqua"/>
              </w:rPr>
              <w:t>5.98-9.57</w:t>
            </w:r>
          </w:p>
        </w:tc>
      </w:tr>
    </w:tbl>
    <w:p w14:paraId="1FD4E492" w14:textId="77777777" w:rsidR="00A06D4C" w:rsidRPr="00B51896" w:rsidRDefault="00A06D4C" w:rsidP="00EC0DF5">
      <w:pPr>
        <w:spacing w:line="360" w:lineRule="auto"/>
        <w:jc w:val="both"/>
        <w:rPr>
          <w:rFonts w:ascii="Book Antiqua" w:hAnsi="Book Antiqua"/>
        </w:rPr>
      </w:pPr>
      <w:r w:rsidRPr="00B51896">
        <w:rPr>
          <w:rFonts w:ascii="Book Antiqua" w:hAnsi="Book Antiqua"/>
        </w:rPr>
        <w:lastRenderedPageBreak/>
        <w:t xml:space="preserve">95%CI: 95%confidence interval; WHVP: </w:t>
      </w:r>
      <w:bookmarkStart w:id="0" w:name="_Hlk148383448"/>
      <w:r w:rsidRPr="00B51896">
        <w:rPr>
          <w:rFonts w:ascii="Book Antiqua" w:hAnsi="Book Antiqua"/>
        </w:rPr>
        <w:t>Wedged hepatic venous pressure</w:t>
      </w:r>
      <w:bookmarkEnd w:id="0"/>
      <w:r w:rsidRPr="00B51896">
        <w:rPr>
          <w:rFonts w:ascii="Book Antiqua" w:hAnsi="Book Antiqua"/>
        </w:rPr>
        <w:t>; PVP: Portal venous pressure; HVPG: Hepatic venous pressure gradient; PPG: Portal venous pressure gradient.</w:t>
      </w:r>
    </w:p>
    <w:p w14:paraId="45517D7F" w14:textId="77777777" w:rsidR="00A06D4C" w:rsidRPr="00B51896" w:rsidRDefault="00A06D4C" w:rsidP="00EC0DF5">
      <w:pPr>
        <w:spacing w:line="360" w:lineRule="auto"/>
        <w:jc w:val="both"/>
        <w:rPr>
          <w:rFonts w:ascii="Book Antiqua" w:eastAsia="Constantia" w:hAnsi="Book Antiqua" w:cs="Constantia"/>
          <w:b/>
          <w:bCs/>
        </w:rPr>
      </w:pPr>
    </w:p>
    <w:p w14:paraId="62483D69" w14:textId="77777777" w:rsidR="00A06D4C" w:rsidRPr="00B51896" w:rsidRDefault="00A06D4C" w:rsidP="00EC0DF5">
      <w:pPr>
        <w:spacing w:line="360" w:lineRule="auto"/>
        <w:ind w:right="13"/>
        <w:jc w:val="both"/>
        <w:rPr>
          <w:rFonts w:ascii="Book Antiqua" w:eastAsia="Constantia" w:hAnsi="Book Antiqua"/>
          <w:b/>
          <w:bCs/>
        </w:rPr>
      </w:pPr>
      <w:r w:rsidRPr="00B51896">
        <w:rPr>
          <w:rFonts w:ascii="Book Antiqua" w:eastAsia="Constantia" w:hAnsi="Book Antiqua" w:cs="Constantia"/>
          <w:b/>
          <w:bCs/>
        </w:rPr>
        <w:t>Table 3</w:t>
      </w:r>
      <w:r w:rsidRPr="00B51896">
        <w:rPr>
          <w:rFonts w:ascii="Book Antiqua" w:hAnsi="Book Antiqua"/>
        </w:rPr>
        <w:t xml:space="preserve"> </w:t>
      </w:r>
      <w:r w:rsidRPr="00B51896">
        <w:rPr>
          <w:rFonts w:ascii="Book Antiqua" w:eastAsia="Constantia" w:hAnsi="Book Antiqua" w:cs="Constantia"/>
          <w:b/>
          <w:bCs/>
        </w:rPr>
        <w:t>Relationships between wedged hepatic venous pressure and portal venous pressure and between hepatic venous pressure gradient and portal venous pressure gradient in patients with and without collateral branches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2"/>
        <w:gridCol w:w="786"/>
        <w:gridCol w:w="786"/>
        <w:gridCol w:w="835"/>
        <w:gridCol w:w="1137"/>
        <w:gridCol w:w="786"/>
        <w:gridCol w:w="786"/>
        <w:gridCol w:w="835"/>
        <w:gridCol w:w="1137"/>
      </w:tblGrid>
      <w:tr w:rsidR="00A06D4C" w:rsidRPr="00B51896" w14:paraId="100BD504" w14:textId="77777777" w:rsidTr="00135D12">
        <w:tc>
          <w:tcPr>
            <w:tcW w:w="1192" w:type="dxa"/>
            <w:vMerge w:val="restart"/>
            <w:tcBorders>
              <w:top w:val="single" w:sz="8" w:space="0" w:color="auto"/>
            </w:tcBorders>
            <w:vAlign w:val="center"/>
            <w:hideMark/>
          </w:tcPr>
          <w:p w14:paraId="0868E1E7" w14:textId="77777777" w:rsidR="00A06D4C" w:rsidRPr="00B51896" w:rsidRDefault="00A06D4C" w:rsidP="00EC0DF5">
            <w:pPr>
              <w:spacing w:line="360" w:lineRule="auto"/>
              <w:jc w:val="both"/>
              <w:rPr>
                <w:rFonts w:ascii="Book Antiqua" w:eastAsia="宋体" w:hAnsi="Book Antiqua"/>
              </w:rPr>
            </w:pPr>
          </w:p>
        </w:tc>
        <w:tc>
          <w:tcPr>
            <w:tcW w:w="3544" w:type="dxa"/>
            <w:gridSpan w:val="4"/>
            <w:tcBorders>
              <w:top w:val="single" w:sz="8" w:space="0" w:color="auto"/>
              <w:bottom w:val="single" w:sz="8" w:space="0" w:color="auto"/>
            </w:tcBorders>
            <w:vAlign w:val="center"/>
            <w:hideMark/>
          </w:tcPr>
          <w:p w14:paraId="3AAF1EF4"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WHVP and PVP</w:t>
            </w:r>
          </w:p>
        </w:tc>
        <w:tc>
          <w:tcPr>
            <w:tcW w:w="3544" w:type="dxa"/>
            <w:gridSpan w:val="4"/>
            <w:tcBorders>
              <w:top w:val="single" w:sz="8" w:space="0" w:color="auto"/>
            </w:tcBorders>
            <w:vAlign w:val="center"/>
            <w:hideMark/>
          </w:tcPr>
          <w:p w14:paraId="6B434DC8" w14:textId="77777777" w:rsidR="00A06D4C" w:rsidRPr="00B51896" w:rsidRDefault="00A06D4C" w:rsidP="00EC0DF5">
            <w:pPr>
              <w:spacing w:line="360" w:lineRule="auto"/>
              <w:jc w:val="both"/>
              <w:rPr>
                <w:rFonts w:ascii="Book Antiqua" w:hAnsi="Book Antiqua"/>
                <w:b/>
                <w:i/>
              </w:rPr>
            </w:pPr>
            <w:r w:rsidRPr="00B51896">
              <w:rPr>
                <w:rFonts w:ascii="Book Antiqua" w:hAnsi="Book Antiqua"/>
                <w:b/>
              </w:rPr>
              <w:t>HVPG and PPG</w:t>
            </w:r>
          </w:p>
        </w:tc>
      </w:tr>
      <w:tr w:rsidR="00A06D4C" w:rsidRPr="00B51896" w14:paraId="7A3C0FA7" w14:textId="77777777" w:rsidTr="00135D12">
        <w:tc>
          <w:tcPr>
            <w:tcW w:w="1192" w:type="dxa"/>
            <w:vMerge/>
            <w:tcBorders>
              <w:bottom w:val="single" w:sz="8" w:space="0" w:color="auto"/>
            </w:tcBorders>
            <w:vAlign w:val="center"/>
          </w:tcPr>
          <w:p w14:paraId="30F7A889" w14:textId="77777777" w:rsidR="00A06D4C" w:rsidRPr="00B51896" w:rsidRDefault="00A06D4C" w:rsidP="00EC0DF5">
            <w:pPr>
              <w:spacing w:line="360" w:lineRule="auto"/>
              <w:jc w:val="both"/>
              <w:rPr>
                <w:rFonts w:ascii="Book Antiqua" w:hAnsi="Book Antiqua"/>
              </w:rPr>
            </w:pPr>
          </w:p>
        </w:tc>
        <w:tc>
          <w:tcPr>
            <w:tcW w:w="786" w:type="dxa"/>
            <w:tcBorders>
              <w:top w:val="single" w:sz="8" w:space="0" w:color="auto"/>
              <w:bottom w:val="single" w:sz="8" w:space="0" w:color="auto"/>
            </w:tcBorders>
            <w:vAlign w:val="center"/>
            <w:hideMark/>
          </w:tcPr>
          <w:p w14:paraId="28095E72"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r</w:t>
            </w:r>
          </w:p>
        </w:tc>
        <w:tc>
          <w:tcPr>
            <w:tcW w:w="786" w:type="dxa"/>
            <w:tcBorders>
              <w:top w:val="single" w:sz="8" w:space="0" w:color="auto"/>
              <w:bottom w:val="single" w:sz="8" w:space="0" w:color="auto"/>
            </w:tcBorders>
            <w:vAlign w:val="center"/>
            <w:hideMark/>
          </w:tcPr>
          <w:p w14:paraId="0A790A9E"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R</w:t>
            </w:r>
            <w:r w:rsidRPr="00B51896">
              <w:rPr>
                <w:rFonts w:ascii="Book Antiqua" w:hAnsi="Book Antiqua"/>
                <w:b/>
                <w:vertAlign w:val="superscript"/>
              </w:rPr>
              <w:t>2</w:t>
            </w:r>
          </w:p>
        </w:tc>
        <w:tc>
          <w:tcPr>
            <w:tcW w:w="835" w:type="dxa"/>
            <w:tcBorders>
              <w:top w:val="single" w:sz="8" w:space="0" w:color="auto"/>
              <w:bottom w:val="single" w:sz="8" w:space="0" w:color="auto"/>
            </w:tcBorders>
            <w:vAlign w:val="center"/>
            <w:hideMark/>
          </w:tcPr>
          <w:p w14:paraId="609902A6" w14:textId="77777777" w:rsidR="00A06D4C" w:rsidRPr="00B51896" w:rsidRDefault="00A06D4C" w:rsidP="00EC0DF5">
            <w:pPr>
              <w:spacing w:line="360" w:lineRule="auto"/>
              <w:jc w:val="both"/>
              <w:rPr>
                <w:rFonts w:ascii="Book Antiqua" w:hAnsi="Book Antiqua"/>
                <w:b/>
                <w:i/>
              </w:rPr>
            </w:pPr>
            <w:r w:rsidRPr="00B51896">
              <w:rPr>
                <w:rFonts w:ascii="Book Antiqua" w:hAnsi="Book Antiqua"/>
                <w:b/>
                <w:i/>
              </w:rPr>
              <w:t>P</w:t>
            </w:r>
            <w:r w:rsidRPr="00B51896">
              <w:rPr>
                <w:rFonts w:ascii="Book Antiqua" w:hAnsi="Book Antiqua"/>
                <w:b/>
              </w:rPr>
              <w:t xml:space="preserve"> value</w:t>
            </w:r>
          </w:p>
        </w:tc>
        <w:tc>
          <w:tcPr>
            <w:tcW w:w="1137" w:type="dxa"/>
            <w:tcBorders>
              <w:top w:val="single" w:sz="8" w:space="0" w:color="auto"/>
              <w:bottom w:val="single" w:sz="8" w:space="0" w:color="auto"/>
            </w:tcBorders>
            <w:vAlign w:val="center"/>
            <w:hideMark/>
          </w:tcPr>
          <w:p w14:paraId="69077D6F"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95 % LoA (mmHg)</w:t>
            </w:r>
          </w:p>
        </w:tc>
        <w:tc>
          <w:tcPr>
            <w:tcW w:w="786" w:type="dxa"/>
            <w:tcBorders>
              <w:top w:val="single" w:sz="8" w:space="0" w:color="auto"/>
              <w:bottom w:val="single" w:sz="8" w:space="0" w:color="auto"/>
            </w:tcBorders>
            <w:vAlign w:val="center"/>
            <w:hideMark/>
          </w:tcPr>
          <w:p w14:paraId="5F63F113"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r</w:t>
            </w:r>
          </w:p>
        </w:tc>
        <w:tc>
          <w:tcPr>
            <w:tcW w:w="786" w:type="dxa"/>
            <w:tcBorders>
              <w:top w:val="single" w:sz="8" w:space="0" w:color="auto"/>
              <w:bottom w:val="single" w:sz="8" w:space="0" w:color="auto"/>
            </w:tcBorders>
            <w:vAlign w:val="center"/>
            <w:hideMark/>
          </w:tcPr>
          <w:p w14:paraId="1824595F"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R</w:t>
            </w:r>
            <w:r w:rsidRPr="00B51896">
              <w:rPr>
                <w:rFonts w:ascii="Book Antiqua" w:hAnsi="Book Antiqua"/>
                <w:b/>
                <w:vertAlign w:val="superscript"/>
              </w:rPr>
              <w:t>2</w:t>
            </w:r>
          </w:p>
        </w:tc>
        <w:tc>
          <w:tcPr>
            <w:tcW w:w="835" w:type="dxa"/>
            <w:tcBorders>
              <w:top w:val="single" w:sz="8" w:space="0" w:color="auto"/>
              <w:bottom w:val="single" w:sz="8" w:space="0" w:color="auto"/>
            </w:tcBorders>
            <w:vAlign w:val="center"/>
            <w:hideMark/>
          </w:tcPr>
          <w:p w14:paraId="45854177" w14:textId="77777777" w:rsidR="00A06D4C" w:rsidRPr="00B51896" w:rsidRDefault="00A06D4C" w:rsidP="00EC0DF5">
            <w:pPr>
              <w:spacing w:line="360" w:lineRule="auto"/>
              <w:jc w:val="both"/>
              <w:rPr>
                <w:rFonts w:ascii="Book Antiqua" w:hAnsi="Book Antiqua"/>
                <w:b/>
                <w:i/>
              </w:rPr>
            </w:pPr>
            <w:r w:rsidRPr="00B51896">
              <w:rPr>
                <w:rFonts w:ascii="Book Antiqua" w:hAnsi="Book Antiqua"/>
                <w:b/>
                <w:i/>
              </w:rPr>
              <w:t>P</w:t>
            </w:r>
            <w:r w:rsidRPr="00B51896">
              <w:rPr>
                <w:rFonts w:ascii="Book Antiqua" w:hAnsi="Book Antiqua"/>
                <w:b/>
              </w:rPr>
              <w:t xml:space="preserve"> value</w:t>
            </w:r>
          </w:p>
        </w:tc>
        <w:tc>
          <w:tcPr>
            <w:tcW w:w="1137" w:type="dxa"/>
            <w:tcBorders>
              <w:top w:val="single" w:sz="8" w:space="0" w:color="auto"/>
              <w:bottom w:val="single" w:sz="8" w:space="0" w:color="auto"/>
            </w:tcBorders>
            <w:vAlign w:val="center"/>
            <w:hideMark/>
          </w:tcPr>
          <w:p w14:paraId="242D55AA" w14:textId="77777777" w:rsidR="00A06D4C" w:rsidRPr="00B51896" w:rsidRDefault="00A06D4C" w:rsidP="00EC0DF5">
            <w:pPr>
              <w:spacing w:line="360" w:lineRule="auto"/>
              <w:jc w:val="both"/>
              <w:rPr>
                <w:rFonts w:ascii="Book Antiqua" w:hAnsi="Book Antiqua"/>
                <w:b/>
              </w:rPr>
            </w:pPr>
            <w:r w:rsidRPr="00B51896">
              <w:rPr>
                <w:rFonts w:ascii="Book Antiqua" w:hAnsi="Book Antiqua"/>
                <w:b/>
              </w:rPr>
              <w:t>95 % LoA (mmHg)</w:t>
            </w:r>
          </w:p>
        </w:tc>
      </w:tr>
      <w:tr w:rsidR="00A06D4C" w:rsidRPr="00B51896" w14:paraId="24A44349" w14:textId="77777777" w:rsidTr="00135D12">
        <w:tc>
          <w:tcPr>
            <w:tcW w:w="1192" w:type="dxa"/>
            <w:tcBorders>
              <w:top w:val="single" w:sz="8" w:space="0" w:color="auto"/>
            </w:tcBorders>
            <w:vAlign w:val="center"/>
            <w:hideMark/>
          </w:tcPr>
          <w:p w14:paraId="6D318302" w14:textId="77777777" w:rsidR="00A06D4C" w:rsidRPr="00B51896" w:rsidRDefault="00A06D4C" w:rsidP="00EC0DF5">
            <w:pPr>
              <w:spacing w:line="360" w:lineRule="auto"/>
              <w:jc w:val="both"/>
              <w:rPr>
                <w:rFonts w:ascii="Book Antiqua" w:hAnsi="Book Antiqua"/>
              </w:rPr>
            </w:pPr>
            <w:r w:rsidRPr="00B51896">
              <w:rPr>
                <w:rFonts w:ascii="Book Antiqua" w:hAnsi="Book Antiqua"/>
              </w:rPr>
              <w:t>With collateral branches (</w:t>
            </w:r>
            <w:r w:rsidRPr="00B51896">
              <w:rPr>
                <w:rFonts w:ascii="Book Antiqua" w:hAnsi="Book Antiqua"/>
                <w:i/>
                <w:iCs/>
              </w:rPr>
              <w:t>n</w:t>
            </w:r>
            <w:r w:rsidRPr="00B51896">
              <w:rPr>
                <w:rFonts w:ascii="Book Antiqua" w:hAnsi="Book Antiqua"/>
              </w:rPr>
              <w:t xml:space="preserve"> = 26)</w:t>
            </w:r>
          </w:p>
        </w:tc>
        <w:tc>
          <w:tcPr>
            <w:tcW w:w="786" w:type="dxa"/>
            <w:tcBorders>
              <w:top w:val="single" w:sz="8" w:space="0" w:color="auto"/>
            </w:tcBorders>
            <w:vAlign w:val="center"/>
            <w:hideMark/>
          </w:tcPr>
          <w:p w14:paraId="1F7BE1FC" w14:textId="77777777" w:rsidR="00A06D4C" w:rsidRPr="00B51896" w:rsidRDefault="00A06D4C" w:rsidP="00EC0DF5">
            <w:pPr>
              <w:spacing w:line="360" w:lineRule="auto"/>
              <w:jc w:val="both"/>
              <w:rPr>
                <w:rFonts w:ascii="Book Antiqua" w:hAnsi="Book Antiqua"/>
              </w:rPr>
            </w:pPr>
            <w:r w:rsidRPr="00B51896">
              <w:rPr>
                <w:rFonts w:ascii="Book Antiqua" w:hAnsi="Book Antiqua"/>
              </w:rPr>
              <w:t>0.303</w:t>
            </w:r>
          </w:p>
        </w:tc>
        <w:tc>
          <w:tcPr>
            <w:tcW w:w="786" w:type="dxa"/>
            <w:tcBorders>
              <w:top w:val="single" w:sz="8" w:space="0" w:color="auto"/>
            </w:tcBorders>
            <w:vAlign w:val="center"/>
            <w:hideMark/>
          </w:tcPr>
          <w:p w14:paraId="6E993691" w14:textId="77777777" w:rsidR="00A06D4C" w:rsidRPr="00B51896" w:rsidRDefault="00A06D4C" w:rsidP="00EC0DF5">
            <w:pPr>
              <w:spacing w:line="360" w:lineRule="auto"/>
              <w:jc w:val="both"/>
              <w:rPr>
                <w:rFonts w:ascii="Book Antiqua" w:hAnsi="Book Antiqua"/>
              </w:rPr>
            </w:pPr>
            <w:r w:rsidRPr="00B51896">
              <w:rPr>
                <w:rFonts w:ascii="Book Antiqua" w:hAnsi="Book Antiqua"/>
              </w:rPr>
              <w:t>0.092</w:t>
            </w:r>
          </w:p>
        </w:tc>
        <w:tc>
          <w:tcPr>
            <w:tcW w:w="835" w:type="dxa"/>
            <w:tcBorders>
              <w:top w:val="single" w:sz="8" w:space="0" w:color="auto"/>
            </w:tcBorders>
            <w:vAlign w:val="center"/>
            <w:hideMark/>
          </w:tcPr>
          <w:p w14:paraId="06CF5775" w14:textId="77777777" w:rsidR="00A06D4C" w:rsidRPr="00B51896" w:rsidRDefault="00A06D4C" w:rsidP="00EC0DF5">
            <w:pPr>
              <w:spacing w:line="360" w:lineRule="auto"/>
              <w:jc w:val="both"/>
              <w:rPr>
                <w:rFonts w:ascii="Book Antiqua" w:hAnsi="Book Antiqua"/>
              </w:rPr>
            </w:pPr>
            <w:r w:rsidRPr="00B51896">
              <w:rPr>
                <w:rFonts w:ascii="Book Antiqua" w:hAnsi="Book Antiqua"/>
              </w:rPr>
              <w:t>0.133</w:t>
            </w:r>
          </w:p>
        </w:tc>
        <w:tc>
          <w:tcPr>
            <w:tcW w:w="1137" w:type="dxa"/>
            <w:tcBorders>
              <w:top w:val="single" w:sz="8" w:space="0" w:color="auto"/>
            </w:tcBorders>
            <w:vAlign w:val="center"/>
            <w:hideMark/>
          </w:tcPr>
          <w:p w14:paraId="5B5AE3DE" w14:textId="77777777" w:rsidR="00A06D4C" w:rsidRPr="00B51896" w:rsidRDefault="00A06D4C" w:rsidP="00EC0DF5">
            <w:pPr>
              <w:spacing w:line="360" w:lineRule="auto"/>
              <w:jc w:val="both"/>
              <w:rPr>
                <w:rFonts w:ascii="Book Antiqua" w:hAnsi="Book Antiqua"/>
              </w:rPr>
            </w:pPr>
            <w:r w:rsidRPr="00B51896">
              <w:rPr>
                <w:rFonts w:ascii="Book Antiqua" w:hAnsi="Book Antiqua"/>
              </w:rPr>
              <w:t>-3.16-31.31</w:t>
            </w:r>
          </w:p>
        </w:tc>
        <w:tc>
          <w:tcPr>
            <w:tcW w:w="786" w:type="dxa"/>
            <w:tcBorders>
              <w:top w:val="single" w:sz="8" w:space="0" w:color="auto"/>
            </w:tcBorders>
            <w:vAlign w:val="center"/>
            <w:hideMark/>
          </w:tcPr>
          <w:p w14:paraId="48E4969C" w14:textId="77777777" w:rsidR="00A06D4C" w:rsidRPr="00B51896" w:rsidRDefault="00A06D4C" w:rsidP="00EC0DF5">
            <w:pPr>
              <w:spacing w:line="360" w:lineRule="auto"/>
              <w:jc w:val="both"/>
              <w:rPr>
                <w:rFonts w:ascii="Book Antiqua" w:hAnsi="Book Antiqua"/>
              </w:rPr>
            </w:pPr>
            <w:r w:rsidRPr="00B51896">
              <w:rPr>
                <w:rFonts w:ascii="Book Antiqua" w:hAnsi="Book Antiqua"/>
              </w:rPr>
              <w:t>0.208</w:t>
            </w:r>
          </w:p>
        </w:tc>
        <w:tc>
          <w:tcPr>
            <w:tcW w:w="786" w:type="dxa"/>
            <w:tcBorders>
              <w:top w:val="single" w:sz="8" w:space="0" w:color="auto"/>
            </w:tcBorders>
            <w:vAlign w:val="center"/>
            <w:hideMark/>
          </w:tcPr>
          <w:p w14:paraId="0472CC25" w14:textId="77777777" w:rsidR="00A06D4C" w:rsidRPr="00B51896" w:rsidRDefault="00A06D4C" w:rsidP="00EC0DF5">
            <w:pPr>
              <w:spacing w:line="360" w:lineRule="auto"/>
              <w:jc w:val="both"/>
              <w:rPr>
                <w:rFonts w:ascii="Book Antiqua" w:hAnsi="Book Antiqua"/>
              </w:rPr>
            </w:pPr>
            <w:r w:rsidRPr="00B51896">
              <w:rPr>
                <w:rFonts w:ascii="Book Antiqua" w:hAnsi="Book Antiqua"/>
              </w:rPr>
              <w:t>0.043</w:t>
            </w:r>
          </w:p>
        </w:tc>
        <w:tc>
          <w:tcPr>
            <w:tcW w:w="835" w:type="dxa"/>
            <w:tcBorders>
              <w:top w:val="single" w:sz="8" w:space="0" w:color="auto"/>
            </w:tcBorders>
            <w:vAlign w:val="center"/>
            <w:hideMark/>
          </w:tcPr>
          <w:p w14:paraId="430E6961" w14:textId="77777777" w:rsidR="00A06D4C" w:rsidRPr="00B51896" w:rsidRDefault="00A06D4C" w:rsidP="00EC0DF5">
            <w:pPr>
              <w:spacing w:line="360" w:lineRule="auto"/>
              <w:jc w:val="both"/>
              <w:rPr>
                <w:rFonts w:ascii="Book Antiqua" w:hAnsi="Book Antiqua"/>
              </w:rPr>
            </w:pPr>
            <w:r w:rsidRPr="00B51896">
              <w:rPr>
                <w:rFonts w:ascii="Book Antiqua" w:hAnsi="Book Antiqua"/>
              </w:rPr>
              <w:t>0.309</w:t>
            </w:r>
          </w:p>
        </w:tc>
        <w:tc>
          <w:tcPr>
            <w:tcW w:w="1137" w:type="dxa"/>
            <w:tcBorders>
              <w:top w:val="single" w:sz="8" w:space="0" w:color="auto"/>
            </w:tcBorders>
            <w:vAlign w:val="center"/>
            <w:hideMark/>
          </w:tcPr>
          <w:p w14:paraId="1AED8216" w14:textId="77777777" w:rsidR="00A06D4C" w:rsidRPr="00B51896" w:rsidRDefault="00A06D4C" w:rsidP="00EC0DF5">
            <w:pPr>
              <w:spacing w:line="360" w:lineRule="auto"/>
              <w:jc w:val="both"/>
              <w:rPr>
                <w:rFonts w:ascii="Book Antiqua" w:hAnsi="Book Antiqua"/>
              </w:rPr>
            </w:pPr>
            <w:r w:rsidRPr="00B51896">
              <w:rPr>
                <w:rFonts w:ascii="Book Antiqua" w:hAnsi="Book Antiqua"/>
              </w:rPr>
              <w:t>-2.25-34.40</w:t>
            </w:r>
          </w:p>
        </w:tc>
      </w:tr>
      <w:tr w:rsidR="00A06D4C" w:rsidRPr="00B51896" w14:paraId="3B736138" w14:textId="77777777" w:rsidTr="00135D12">
        <w:tc>
          <w:tcPr>
            <w:tcW w:w="1192" w:type="dxa"/>
            <w:vAlign w:val="center"/>
            <w:hideMark/>
          </w:tcPr>
          <w:p w14:paraId="4CB61153" w14:textId="77777777" w:rsidR="00A06D4C" w:rsidRPr="00B51896" w:rsidRDefault="00A06D4C" w:rsidP="00EC0DF5">
            <w:pPr>
              <w:spacing w:line="360" w:lineRule="auto"/>
              <w:jc w:val="both"/>
              <w:rPr>
                <w:rFonts w:ascii="Book Antiqua" w:hAnsi="Book Antiqua"/>
              </w:rPr>
            </w:pPr>
            <w:r w:rsidRPr="00B51896">
              <w:rPr>
                <w:rFonts w:ascii="Book Antiqua" w:hAnsi="Book Antiqua"/>
              </w:rPr>
              <w:t>No collateral branch (</w:t>
            </w:r>
            <w:r w:rsidRPr="00B51896">
              <w:rPr>
                <w:rFonts w:ascii="Book Antiqua" w:hAnsi="Book Antiqua"/>
                <w:i/>
                <w:iCs/>
              </w:rPr>
              <w:t>n</w:t>
            </w:r>
            <w:r w:rsidRPr="00B51896">
              <w:rPr>
                <w:rFonts w:ascii="Book Antiqua" w:hAnsi="Book Antiqua"/>
              </w:rPr>
              <w:t xml:space="preserve"> = 108)</w:t>
            </w:r>
          </w:p>
        </w:tc>
        <w:tc>
          <w:tcPr>
            <w:tcW w:w="786" w:type="dxa"/>
            <w:vAlign w:val="center"/>
            <w:hideMark/>
          </w:tcPr>
          <w:p w14:paraId="7FC373C4" w14:textId="77777777" w:rsidR="00A06D4C" w:rsidRPr="00B51896" w:rsidRDefault="00A06D4C" w:rsidP="00EC0DF5">
            <w:pPr>
              <w:spacing w:line="360" w:lineRule="auto"/>
              <w:jc w:val="both"/>
              <w:rPr>
                <w:rFonts w:ascii="Book Antiqua" w:hAnsi="Book Antiqua"/>
              </w:rPr>
            </w:pPr>
            <w:r w:rsidRPr="00B51896">
              <w:rPr>
                <w:rFonts w:ascii="Book Antiqua" w:hAnsi="Book Antiqua"/>
              </w:rPr>
              <w:t>0.368</w:t>
            </w:r>
          </w:p>
        </w:tc>
        <w:tc>
          <w:tcPr>
            <w:tcW w:w="786" w:type="dxa"/>
            <w:vAlign w:val="center"/>
            <w:hideMark/>
          </w:tcPr>
          <w:p w14:paraId="083D2583" w14:textId="77777777" w:rsidR="00A06D4C" w:rsidRPr="00B51896" w:rsidRDefault="00A06D4C" w:rsidP="00EC0DF5">
            <w:pPr>
              <w:spacing w:line="360" w:lineRule="auto"/>
              <w:jc w:val="both"/>
              <w:rPr>
                <w:rFonts w:ascii="Book Antiqua" w:hAnsi="Book Antiqua"/>
              </w:rPr>
            </w:pPr>
            <w:r w:rsidRPr="00B51896">
              <w:rPr>
                <w:rFonts w:ascii="Book Antiqua" w:hAnsi="Book Antiqua"/>
              </w:rPr>
              <w:t>0.135</w:t>
            </w:r>
          </w:p>
        </w:tc>
        <w:tc>
          <w:tcPr>
            <w:tcW w:w="835" w:type="dxa"/>
            <w:vAlign w:val="center"/>
            <w:hideMark/>
          </w:tcPr>
          <w:p w14:paraId="2CD4B715" w14:textId="77777777" w:rsidR="00A06D4C" w:rsidRPr="00B51896" w:rsidRDefault="00A06D4C" w:rsidP="00EC0DF5">
            <w:pPr>
              <w:spacing w:line="360" w:lineRule="auto"/>
              <w:jc w:val="both"/>
              <w:rPr>
                <w:rFonts w:ascii="Book Antiqua" w:hAnsi="Book Antiqua"/>
              </w:rPr>
            </w:pPr>
            <w:r w:rsidRPr="00B51896">
              <w:rPr>
                <w:rFonts w:ascii="Book Antiqua" w:hAnsi="Book Antiqua"/>
              </w:rPr>
              <w:t>&lt; 0.001</w:t>
            </w:r>
          </w:p>
        </w:tc>
        <w:tc>
          <w:tcPr>
            <w:tcW w:w="1137" w:type="dxa"/>
            <w:vAlign w:val="center"/>
            <w:hideMark/>
          </w:tcPr>
          <w:p w14:paraId="778065B6" w14:textId="77777777" w:rsidR="00A06D4C" w:rsidRPr="00B51896" w:rsidRDefault="00A06D4C" w:rsidP="00EC0DF5">
            <w:pPr>
              <w:spacing w:line="360" w:lineRule="auto"/>
              <w:jc w:val="both"/>
              <w:rPr>
                <w:rFonts w:ascii="Book Antiqua" w:hAnsi="Book Antiqua"/>
              </w:rPr>
            </w:pPr>
            <w:r w:rsidRPr="00B51896">
              <w:rPr>
                <w:rFonts w:ascii="Book Antiqua" w:hAnsi="Book Antiqua"/>
              </w:rPr>
              <w:t>-13.88-19.07</w:t>
            </w:r>
          </w:p>
        </w:tc>
        <w:tc>
          <w:tcPr>
            <w:tcW w:w="786" w:type="dxa"/>
            <w:vAlign w:val="center"/>
            <w:hideMark/>
          </w:tcPr>
          <w:p w14:paraId="13CAE318" w14:textId="77777777" w:rsidR="00A06D4C" w:rsidRPr="00B51896" w:rsidRDefault="00A06D4C" w:rsidP="00EC0DF5">
            <w:pPr>
              <w:spacing w:line="360" w:lineRule="auto"/>
              <w:jc w:val="both"/>
              <w:rPr>
                <w:rFonts w:ascii="Book Antiqua" w:hAnsi="Book Antiqua"/>
              </w:rPr>
            </w:pPr>
            <w:r w:rsidRPr="00B51896">
              <w:rPr>
                <w:rFonts w:ascii="Book Antiqua" w:hAnsi="Book Antiqua"/>
              </w:rPr>
              <w:t>0.263</w:t>
            </w:r>
          </w:p>
        </w:tc>
        <w:tc>
          <w:tcPr>
            <w:tcW w:w="786" w:type="dxa"/>
            <w:vAlign w:val="center"/>
            <w:hideMark/>
          </w:tcPr>
          <w:p w14:paraId="6976B974" w14:textId="77777777" w:rsidR="00A06D4C" w:rsidRPr="00B51896" w:rsidRDefault="00A06D4C" w:rsidP="00EC0DF5">
            <w:pPr>
              <w:spacing w:line="360" w:lineRule="auto"/>
              <w:jc w:val="both"/>
              <w:rPr>
                <w:rFonts w:ascii="Book Antiqua" w:hAnsi="Book Antiqua"/>
              </w:rPr>
            </w:pPr>
            <w:r w:rsidRPr="00B51896">
              <w:rPr>
                <w:rFonts w:ascii="Book Antiqua" w:hAnsi="Book Antiqua"/>
              </w:rPr>
              <w:t>0.069</w:t>
            </w:r>
          </w:p>
        </w:tc>
        <w:tc>
          <w:tcPr>
            <w:tcW w:w="835" w:type="dxa"/>
            <w:vAlign w:val="center"/>
            <w:hideMark/>
          </w:tcPr>
          <w:p w14:paraId="0AB577A7" w14:textId="77777777" w:rsidR="00A06D4C" w:rsidRPr="00B51896" w:rsidRDefault="00A06D4C" w:rsidP="00EC0DF5">
            <w:pPr>
              <w:spacing w:line="360" w:lineRule="auto"/>
              <w:jc w:val="both"/>
              <w:rPr>
                <w:rFonts w:ascii="Book Antiqua" w:hAnsi="Book Antiqua"/>
              </w:rPr>
            </w:pPr>
            <w:r w:rsidRPr="00B51896">
              <w:rPr>
                <w:rFonts w:ascii="Book Antiqua" w:hAnsi="Book Antiqua"/>
              </w:rPr>
              <w:t>0.006</w:t>
            </w:r>
          </w:p>
        </w:tc>
        <w:tc>
          <w:tcPr>
            <w:tcW w:w="1137" w:type="dxa"/>
            <w:vAlign w:val="center"/>
            <w:hideMark/>
          </w:tcPr>
          <w:p w14:paraId="6EBBF358" w14:textId="77777777" w:rsidR="00A06D4C" w:rsidRPr="00B51896" w:rsidRDefault="00A06D4C" w:rsidP="00EC0DF5">
            <w:pPr>
              <w:spacing w:line="360" w:lineRule="auto"/>
              <w:jc w:val="both"/>
              <w:rPr>
                <w:rFonts w:ascii="Book Antiqua" w:hAnsi="Book Antiqua"/>
              </w:rPr>
            </w:pPr>
            <w:r w:rsidRPr="00B51896">
              <w:rPr>
                <w:rFonts w:ascii="Book Antiqua" w:hAnsi="Book Antiqua"/>
              </w:rPr>
              <w:t>-13.41-24.95</w:t>
            </w:r>
          </w:p>
        </w:tc>
      </w:tr>
      <w:tr w:rsidR="00A06D4C" w:rsidRPr="00B51896" w14:paraId="677713EC" w14:textId="77777777" w:rsidTr="00135D12">
        <w:tc>
          <w:tcPr>
            <w:tcW w:w="1192" w:type="dxa"/>
            <w:tcBorders>
              <w:bottom w:val="single" w:sz="8" w:space="0" w:color="auto"/>
            </w:tcBorders>
            <w:vAlign w:val="center"/>
            <w:hideMark/>
          </w:tcPr>
          <w:p w14:paraId="54656AB3" w14:textId="77777777" w:rsidR="00A06D4C" w:rsidRPr="00B51896" w:rsidRDefault="00A06D4C" w:rsidP="00EC0DF5">
            <w:pPr>
              <w:spacing w:line="360" w:lineRule="auto"/>
              <w:jc w:val="both"/>
              <w:rPr>
                <w:rFonts w:ascii="Book Antiqua" w:hAnsi="Book Antiqua"/>
              </w:rPr>
            </w:pPr>
            <w:r w:rsidRPr="00B51896">
              <w:rPr>
                <w:rFonts w:ascii="Book Antiqua" w:hAnsi="Book Antiqua"/>
              </w:rPr>
              <w:t>Total (</w:t>
            </w:r>
            <w:r w:rsidRPr="00B51896">
              <w:rPr>
                <w:rFonts w:ascii="Book Antiqua" w:hAnsi="Book Antiqua"/>
                <w:i/>
                <w:iCs/>
              </w:rPr>
              <w:t>n</w:t>
            </w:r>
            <w:r w:rsidRPr="00B51896">
              <w:rPr>
                <w:rFonts w:ascii="Book Antiqua" w:hAnsi="Book Antiqua"/>
              </w:rPr>
              <w:t xml:space="preserve"> = 134)</w:t>
            </w:r>
          </w:p>
        </w:tc>
        <w:tc>
          <w:tcPr>
            <w:tcW w:w="786" w:type="dxa"/>
            <w:tcBorders>
              <w:bottom w:val="single" w:sz="8" w:space="0" w:color="auto"/>
            </w:tcBorders>
            <w:vAlign w:val="center"/>
            <w:hideMark/>
          </w:tcPr>
          <w:p w14:paraId="51BB2832" w14:textId="77777777" w:rsidR="00A06D4C" w:rsidRPr="00B51896" w:rsidRDefault="00A06D4C" w:rsidP="00EC0DF5">
            <w:pPr>
              <w:spacing w:line="360" w:lineRule="auto"/>
              <w:jc w:val="both"/>
              <w:rPr>
                <w:rFonts w:ascii="Book Antiqua" w:hAnsi="Book Antiqua"/>
              </w:rPr>
            </w:pPr>
            <w:r w:rsidRPr="00B51896">
              <w:rPr>
                <w:rFonts w:ascii="Book Antiqua" w:hAnsi="Book Antiqua"/>
              </w:rPr>
              <w:t>0.270</w:t>
            </w:r>
          </w:p>
        </w:tc>
        <w:tc>
          <w:tcPr>
            <w:tcW w:w="786" w:type="dxa"/>
            <w:tcBorders>
              <w:bottom w:val="single" w:sz="8" w:space="0" w:color="auto"/>
            </w:tcBorders>
            <w:vAlign w:val="center"/>
            <w:hideMark/>
          </w:tcPr>
          <w:p w14:paraId="1401F7D5" w14:textId="77777777" w:rsidR="00A06D4C" w:rsidRPr="00B51896" w:rsidRDefault="00A06D4C" w:rsidP="00EC0DF5">
            <w:pPr>
              <w:spacing w:line="360" w:lineRule="auto"/>
              <w:jc w:val="both"/>
              <w:rPr>
                <w:rFonts w:ascii="Book Antiqua" w:hAnsi="Book Antiqua"/>
              </w:rPr>
            </w:pPr>
            <w:r w:rsidRPr="00B51896">
              <w:rPr>
                <w:rFonts w:ascii="Book Antiqua" w:hAnsi="Book Antiqua"/>
              </w:rPr>
              <w:t>0.073</w:t>
            </w:r>
          </w:p>
        </w:tc>
        <w:tc>
          <w:tcPr>
            <w:tcW w:w="835" w:type="dxa"/>
            <w:tcBorders>
              <w:bottom w:val="single" w:sz="8" w:space="0" w:color="auto"/>
            </w:tcBorders>
            <w:vAlign w:val="center"/>
            <w:hideMark/>
          </w:tcPr>
          <w:p w14:paraId="2A8D6EE9" w14:textId="77777777" w:rsidR="00A06D4C" w:rsidRPr="00B51896" w:rsidRDefault="00A06D4C" w:rsidP="00EC0DF5">
            <w:pPr>
              <w:spacing w:line="360" w:lineRule="auto"/>
              <w:jc w:val="both"/>
              <w:rPr>
                <w:rFonts w:ascii="Book Antiqua" w:hAnsi="Book Antiqua"/>
              </w:rPr>
            </w:pPr>
            <w:r w:rsidRPr="00B51896">
              <w:rPr>
                <w:rFonts w:ascii="Book Antiqua" w:hAnsi="Book Antiqua"/>
              </w:rPr>
              <w:t>0.002</w:t>
            </w:r>
          </w:p>
        </w:tc>
        <w:tc>
          <w:tcPr>
            <w:tcW w:w="1137" w:type="dxa"/>
            <w:tcBorders>
              <w:bottom w:val="single" w:sz="8" w:space="0" w:color="auto"/>
            </w:tcBorders>
            <w:vAlign w:val="center"/>
            <w:hideMark/>
          </w:tcPr>
          <w:p w14:paraId="0EE4B3E5" w14:textId="77777777" w:rsidR="00A06D4C" w:rsidRPr="00B51896" w:rsidRDefault="00A06D4C" w:rsidP="00EC0DF5">
            <w:pPr>
              <w:spacing w:line="360" w:lineRule="auto"/>
              <w:jc w:val="both"/>
              <w:rPr>
                <w:rFonts w:ascii="Book Antiqua" w:hAnsi="Book Antiqua"/>
              </w:rPr>
            </w:pPr>
            <w:r w:rsidRPr="00B51896">
              <w:rPr>
                <w:rFonts w:ascii="Book Antiqua" w:hAnsi="Book Antiqua"/>
              </w:rPr>
              <w:t>-23.64-13.99</w:t>
            </w:r>
          </w:p>
        </w:tc>
        <w:tc>
          <w:tcPr>
            <w:tcW w:w="786" w:type="dxa"/>
            <w:tcBorders>
              <w:bottom w:val="single" w:sz="8" w:space="0" w:color="auto"/>
            </w:tcBorders>
            <w:vAlign w:val="center"/>
            <w:hideMark/>
          </w:tcPr>
          <w:p w14:paraId="76D60419" w14:textId="77777777" w:rsidR="00A06D4C" w:rsidRPr="00B51896" w:rsidRDefault="00A06D4C" w:rsidP="00EC0DF5">
            <w:pPr>
              <w:spacing w:line="360" w:lineRule="auto"/>
              <w:jc w:val="both"/>
              <w:rPr>
                <w:rFonts w:ascii="Book Antiqua" w:hAnsi="Book Antiqua"/>
              </w:rPr>
            </w:pPr>
            <w:r w:rsidRPr="00B51896">
              <w:rPr>
                <w:rFonts w:ascii="Book Antiqua" w:hAnsi="Book Antiqua"/>
              </w:rPr>
              <w:t>0.201</w:t>
            </w:r>
          </w:p>
        </w:tc>
        <w:tc>
          <w:tcPr>
            <w:tcW w:w="786" w:type="dxa"/>
            <w:tcBorders>
              <w:bottom w:val="single" w:sz="8" w:space="0" w:color="auto"/>
            </w:tcBorders>
            <w:vAlign w:val="center"/>
            <w:hideMark/>
          </w:tcPr>
          <w:p w14:paraId="0B681DDC" w14:textId="77777777" w:rsidR="00A06D4C" w:rsidRPr="00B51896" w:rsidRDefault="00A06D4C" w:rsidP="00EC0DF5">
            <w:pPr>
              <w:spacing w:line="360" w:lineRule="auto"/>
              <w:jc w:val="both"/>
              <w:rPr>
                <w:rFonts w:ascii="Book Antiqua" w:hAnsi="Book Antiqua"/>
              </w:rPr>
            </w:pPr>
            <w:r w:rsidRPr="00B51896">
              <w:rPr>
                <w:rFonts w:ascii="Book Antiqua" w:hAnsi="Book Antiqua"/>
              </w:rPr>
              <w:t>0.040</w:t>
            </w:r>
          </w:p>
        </w:tc>
        <w:tc>
          <w:tcPr>
            <w:tcW w:w="835" w:type="dxa"/>
            <w:tcBorders>
              <w:bottom w:val="single" w:sz="8" w:space="0" w:color="auto"/>
            </w:tcBorders>
            <w:vAlign w:val="center"/>
            <w:hideMark/>
          </w:tcPr>
          <w:p w14:paraId="344E2E41" w14:textId="77777777" w:rsidR="00A06D4C" w:rsidRPr="00B51896" w:rsidRDefault="00A06D4C" w:rsidP="00EC0DF5">
            <w:pPr>
              <w:spacing w:line="360" w:lineRule="auto"/>
              <w:jc w:val="both"/>
              <w:rPr>
                <w:rFonts w:ascii="Book Antiqua" w:hAnsi="Book Antiqua"/>
              </w:rPr>
            </w:pPr>
            <w:r w:rsidRPr="00B51896">
              <w:rPr>
                <w:rFonts w:ascii="Book Antiqua" w:hAnsi="Book Antiqua"/>
              </w:rPr>
              <w:t>0.020</w:t>
            </w:r>
          </w:p>
        </w:tc>
        <w:tc>
          <w:tcPr>
            <w:tcW w:w="1137" w:type="dxa"/>
            <w:tcBorders>
              <w:bottom w:val="single" w:sz="8" w:space="0" w:color="auto"/>
            </w:tcBorders>
            <w:vAlign w:val="center"/>
            <w:hideMark/>
          </w:tcPr>
          <w:p w14:paraId="36514955" w14:textId="77777777" w:rsidR="00A06D4C" w:rsidRPr="00B51896" w:rsidRDefault="00A06D4C" w:rsidP="00EC0DF5">
            <w:pPr>
              <w:spacing w:line="360" w:lineRule="auto"/>
              <w:jc w:val="both"/>
              <w:rPr>
                <w:rFonts w:ascii="Book Antiqua" w:hAnsi="Book Antiqua"/>
              </w:rPr>
            </w:pPr>
            <w:r w:rsidRPr="00B51896">
              <w:rPr>
                <w:rFonts w:ascii="Book Antiqua" w:hAnsi="Book Antiqua"/>
              </w:rPr>
              <w:t>-28.35-12.80</w:t>
            </w:r>
          </w:p>
        </w:tc>
      </w:tr>
    </w:tbl>
    <w:p w14:paraId="43908A85" w14:textId="77777777" w:rsidR="005C0A52" w:rsidRPr="00B51896" w:rsidRDefault="00A06D4C" w:rsidP="00EC0DF5">
      <w:pPr>
        <w:spacing w:line="360" w:lineRule="auto"/>
        <w:jc w:val="both"/>
        <w:rPr>
          <w:rFonts w:ascii="Book Antiqua" w:hAnsi="Book Antiqua"/>
        </w:rPr>
        <w:sectPr w:rsidR="005C0A52" w:rsidRPr="00B51896">
          <w:pgSz w:w="12240" w:h="15840"/>
          <w:pgMar w:top="1440" w:right="1440" w:bottom="1440" w:left="1440" w:header="720" w:footer="720" w:gutter="0"/>
          <w:cols w:space="720"/>
          <w:docGrid w:linePitch="360"/>
        </w:sectPr>
      </w:pPr>
      <w:r w:rsidRPr="00B51896">
        <w:rPr>
          <w:rFonts w:ascii="Book Antiqua" w:hAnsi="Book Antiqua"/>
          <w:bCs/>
        </w:rPr>
        <w:t>LoA: Limits of agreement;</w:t>
      </w:r>
      <w:r w:rsidRPr="00B51896">
        <w:rPr>
          <w:rFonts w:ascii="Book Antiqua" w:hAnsi="Book Antiqua"/>
        </w:rPr>
        <w:t xml:space="preserve"> WHVP: Wedged hepatic venous pressure; PVP: Portal venous pressure; HVPG: Hepatic venous pressure gradient; PPG: Portal venous pressure gradient.</w:t>
      </w:r>
    </w:p>
    <w:p w14:paraId="13451A80" w14:textId="77777777" w:rsidR="005C0A52" w:rsidRPr="00B51896" w:rsidRDefault="005C0A52" w:rsidP="005C0A52">
      <w:pPr>
        <w:jc w:val="center"/>
        <w:rPr>
          <w:rFonts w:ascii="Book Antiqua" w:hAnsi="Book Antiqua"/>
        </w:rPr>
      </w:pPr>
    </w:p>
    <w:p w14:paraId="5D166DF9" w14:textId="77777777" w:rsidR="005C0A52" w:rsidRPr="00B51896" w:rsidRDefault="005C0A52" w:rsidP="005C0A52">
      <w:pPr>
        <w:jc w:val="center"/>
        <w:rPr>
          <w:rFonts w:ascii="Book Antiqua" w:hAnsi="Book Antiqua"/>
        </w:rPr>
      </w:pPr>
    </w:p>
    <w:p w14:paraId="4085E29E" w14:textId="77777777" w:rsidR="005C0A52" w:rsidRPr="00B51896" w:rsidRDefault="005C0A52" w:rsidP="005C0A52">
      <w:pPr>
        <w:jc w:val="center"/>
        <w:rPr>
          <w:rFonts w:ascii="Book Antiqua" w:hAnsi="Book Antiqua"/>
        </w:rPr>
      </w:pPr>
    </w:p>
    <w:p w14:paraId="6B539638" w14:textId="77777777" w:rsidR="005C0A52" w:rsidRPr="00B51896" w:rsidRDefault="005C0A52" w:rsidP="005C0A52">
      <w:pPr>
        <w:jc w:val="center"/>
        <w:rPr>
          <w:rFonts w:ascii="Book Antiqua" w:hAnsi="Book Antiqua"/>
        </w:rPr>
      </w:pPr>
    </w:p>
    <w:p w14:paraId="00B6E5D9" w14:textId="77777777" w:rsidR="005C0A52" w:rsidRPr="00B51896" w:rsidRDefault="005C0A52" w:rsidP="005C0A52">
      <w:pPr>
        <w:jc w:val="center"/>
        <w:rPr>
          <w:rFonts w:ascii="Book Antiqua" w:hAnsi="Book Antiqua"/>
        </w:rPr>
      </w:pPr>
      <w:r w:rsidRPr="00B51896">
        <w:rPr>
          <w:rFonts w:ascii="Book Antiqua" w:hAnsi="Book Antiqua"/>
          <w:noProof/>
        </w:rPr>
        <w:drawing>
          <wp:inline distT="0" distB="0" distL="0" distR="0" wp14:anchorId="7B691BEB" wp14:editId="0A60FF29">
            <wp:extent cx="2495550" cy="1447800"/>
            <wp:effectExtent l="0" t="0" r="0" b="0"/>
            <wp:docPr id="14522117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4111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47800"/>
                    </a:xfrm>
                    <a:prstGeom prst="rect">
                      <a:avLst/>
                    </a:prstGeom>
                    <a:noFill/>
                    <a:ln>
                      <a:noFill/>
                    </a:ln>
                  </pic:spPr>
                </pic:pic>
              </a:graphicData>
            </a:graphic>
          </wp:inline>
        </w:drawing>
      </w:r>
    </w:p>
    <w:p w14:paraId="039C60EB" w14:textId="77777777" w:rsidR="005C0A52" w:rsidRPr="00B51896" w:rsidRDefault="005C0A52" w:rsidP="005C0A52">
      <w:pPr>
        <w:jc w:val="center"/>
        <w:rPr>
          <w:rFonts w:ascii="Book Antiqua" w:hAnsi="Book Antiqua"/>
        </w:rPr>
      </w:pPr>
    </w:p>
    <w:p w14:paraId="213EDBDC" w14:textId="77777777" w:rsidR="005C0A52" w:rsidRPr="00B51896" w:rsidRDefault="005C0A52" w:rsidP="005C0A52">
      <w:pPr>
        <w:autoSpaceDE w:val="0"/>
        <w:autoSpaceDN w:val="0"/>
        <w:adjustRightInd w:val="0"/>
        <w:jc w:val="center"/>
        <w:rPr>
          <w:rFonts w:ascii="Book Antiqua" w:eastAsia="Garamond-Bold" w:hAnsi="Book Antiqua" w:cs="Garamond-Bold"/>
          <w:b/>
          <w:bCs/>
          <w:color w:val="000000"/>
          <w:sz w:val="28"/>
          <w:szCs w:val="28"/>
        </w:rPr>
      </w:pPr>
      <w:r w:rsidRPr="00B51896">
        <w:rPr>
          <w:rFonts w:ascii="Book Antiqua" w:eastAsia="TimesNewRomanPSMT" w:hAnsi="Book Antiqua" w:cs="TimesNewRomanPSMT"/>
          <w:color w:val="000000"/>
          <w:sz w:val="28"/>
          <w:szCs w:val="28"/>
        </w:rPr>
        <w:t xml:space="preserve">Published by </w:t>
      </w:r>
      <w:r w:rsidRPr="00B51896">
        <w:rPr>
          <w:rFonts w:ascii="Book Antiqua" w:eastAsia="Garamond-Bold" w:hAnsi="Book Antiqua" w:cs="Garamond-Bold"/>
          <w:b/>
          <w:bCs/>
          <w:color w:val="000000"/>
          <w:sz w:val="28"/>
          <w:szCs w:val="28"/>
        </w:rPr>
        <w:t>Baishideng Publishing Group Inc</w:t>
      </w:r>
    </w:p>
    <w:p w14:paraId="038546A6" w14:textId="77777777" w:rsidR="005C0A52" w:rsidRPr="00B51896" w:rsidRDefault="005C0A52" w:rsidP="005C0A52">
      <w:pPr>
        <w:autoSpaceDE w:val="0"/>
        <w:autoSpaceDN w:val="0"/>
        <w:adjustRightInd w:val="0"/>
        <w:jc w:val="center"/>
        <w:rPr>
          <w:rFonts w:ascii="Book Antiqua" w:eastAsia="TimesNewRomanPSMT" w:hAnsi="Book Antiqua" w:cs="Garamond"/>
          <w:color w:val="000000"/>
          <w:sz w:val="28"/>
          <w:szCs w:val="28"/>
        </w:rPr>
      </w:pPr>
      <w:r w:rsidRPr="00B51896">
        <w:rPr>
          <w:rFonts w:ascii="Book Antiqua" w:eastAsia="TimesNewRomanPSMT" w:hAnsi="Book Antiqua" w:cs="Garamond"/>
          <w:color w:val="000000"/>
          <w:sz w:val="28"/>
          <w:szCs w:val="28"/>
        </w:rPr>
        <w:t>7041 Koll Center Parkway, Suite 160, Pleasanton, CA 94566, USA</w:t>
      </w:r>
    </w:p>
    <w:p w14:paraId="2AF3F994" w14:textId="77777777" w:rsidR="005C0A52" w:rsidRPr="00B51896" w:rsidRDefault="005C0A52" w:rsidP="005C0A52">
      <w:pPr>
        <w:autoSpaceDE w:val="0"/>
        <w:autoSpaceDN w:val="0"/>
        <w:adjustRightInd w:val="0"/>
        <w:jc w:val="center"/>
        <w:rPr>
          <w:rFonts w:ascii="Book Antiqua" w:eastAsia="TimesNewRomanPSMT" w:hAnsi="Book Antiqua" w:cs="Garamond"/>
          <w:color w:val="000000"/>
          <w:sz w:val="28"/>
          <w:szCs w:val="28"/>
        </w:rPr>
      </w:pPr>
      <w:r w:rsidRPr="00B51896">
        <w:rPr>
          <w:rFonts w:ascii="Book Antiqua" w:eastAsia="Garamond-Bold" w:hAnsi="Book Antiqua" w:cs="Garamond-Bold"/>
          <w:b/>
          <w:bCs/>
          <w:color w:val="000000"/>
          <w:sz w:val="28"/>
          <w:szCs w:val="28"/>
        </w:rPr>
        <w:t xml:space="preserve">Telephone: </w:t>
      </w:r>
      <w:r w:rsidRPr="00B51896">
        <w:rPr>
          <w:rFonts w:ascii="Book Antiqua" w:eastAsia="TimesNewRomanPSMT" w:hAnsi="Book Antiqua" w:cs="Garamond"/>
          <w:color w:val="000000"/>
          <w:sz w:val="28"/>
          <w:szCs w:val="28"/>
        </w:rPr>
        <w:t>+1-925-3991568</w:t>
      </w:r>
    </w:p>
    <w:p w14:paraId="6CBA657D" w14:textId="77777777" w:rsidR="005C0A52" w:rsidRPr="00B51896" w:rsidRDefault="005C0A52" w:rsidP="005C0A52">
      <w:pPr>
        <w:autoSpaceDE w:val="0"/>
        <w:autoSpaceDN w:val="0"/>
        <w:adjustRightInd w:val="0"/>
        <w:jc w:val="center"/>
        <w:rPr>
          <w:rFonts w:ascii="Book Antiqua" w:eastAsia="TimesNewRomanPSMT" w:hAnsi="Book Antiqua" w:cs="Garamond"/>
          <w:color w:val="D56400"/>
          <w:sz w:val="28"/>
          <w:szCs w:val="28"/>
        </w:rPr>
      </w:pPr>
      <w:r w:rsidRPr="00B51896">
        <w:rPr>
          <w:rFonts w:ascii="Book Antiqua" w:eastAsia="Garamond-Bold" w:hAnsi="Book Antiqua" w:cs="Garamond-Bold"/>
          <w:b/>
          <w:bCs/>
          <w:color w:val="000000"/>
          <w:sz w:val="28"/>
          <w:szCs w:val="28"/>
        </w:rPr>
        <w:t xml:space="preserve">E-mail: </w:t>
      </w:r>
      <w:r w:rsidRPr="00B51896">
        <w:rPr>
          <w:rFonts w:ascii="Book Antiqua" w:eastAsia="TimesNewRomanPSMT" w:hAnsi="Book Antiqua" w:cs="Garamond"/>
          <w:color w:val="D56400"/>
          <w:sz w:val="28"/>
          <w:szCs w:val="28"/>
        </w:rPr>
        <w:t>bpgoffice@wjgnet.com</w:t>
      </w:r>
    </w:p>
    <w:p w14:paraId="45D44FE1" w14:textId="77777777" w:rsidR="005C0A52" w:rsidRPr="00B51896" w:rsidRDefault="005C0A52" w:rsidP="005C0A52">
      <w:pPr>
        <w:autoSpaceDE w:val="0"/>
        <w:autoSpaceDN w:val="0"/>
        <w:adjustRightInd w:val="0"/>
        <w:jc w:val="center"/>
        <w:rPr>
          <w:rFonts w:ascii="Book Antiqua" w:eastAsia="TimesNewRomanPSMT" w:hAnsi="Book Antiqua" w:cs="Garamond"/>
          <w:color w:val="D56400"/>
          <w:sz w:val="28"/>
          <w:szCs w:val="28"/>
        </w:rPr>
      </w:pPr>
      <w:r w:rsidRPr="00B51896">
        <w:rPr>
          <w:rFonts w:ascii="Book Antiqua" w:eastAsia="Garamond-Bold" w:hAnsi="Book Antiqua" w:cs="Garamond-Bold"/>
          <w:b/>
          <w:bCs/>
          <w:color w:val="000000"/>
          <w:sz w:val="28"/>
          <w:szCs w:val="28"/>
        </w:rPr>
        <w:t xml:space="preserve">Help Desk: </w:t>
      </w:r>
      <w:r w:rsidRPr="00B51896">
        <w:rPr>
          <w:rFonts w:ascii="Book Antiqua" w:eastAsia="TimesNewRomanPSMT" w:hAnsi="Book Antiqua" w:cs="Garamond"/>
          <w:color w:val="D56400"/>
          <w:sz w:val="28"/>
          <w:szCs w:val="28"/>
        </w:rPr>
        <w:t>https://www.f6publishing.com/helpdesk</w:t>
      </w:r>
    </w:p>
    <w:p w14:paraId="7D093656" w14:textId="77777777" w:rsidR="005C0A52" w:rsidRPr="00B51896" w:rsidRDefault="005C0A52" w:rsidP="005C0A52">
      <w:pPr>
        <w:jc w:val="center"/>
        <w:rPr>
          <w:rFonts w:ascii="Book Antiqua" w:hAnsi="Book Antiqua"/>
        </w:rPr>
      </w:pPr>
      <w:r w:rsidRPr="00B51896">
        <w:rPr>
          <w:rFonts w:ascii="Book Antiqua" w:eastAsia="TimesNewRomanPSMT" w:hAnsi="Book Antiqua" w:cs="Garamond"/>
          <w:color w:val="D56400"/>
          <w:sz w:val="28"/>
          <w:szCs w:val="28"/>
        </w:rPr>
        <w:t>https://www.wjgnet.com</w:t>
      </w:r>
    </w:p>
    <w:p w14:paraId="65768C02" w14:textId="77777777" w:rsidR="005C0A52" w:rsidRPr="00B51896" w:rsidRDefault="005C0A52" w:rsidP="005C0A52">
      <w:pPr>
        <w:jc w:val="center"/>
        <w:rPr>
          <w:rFonts w:ascii="Book Antiqua" w:hAnsi="Book Antiqua"/>
        </w:rPr>
      </w:pPr>
    </w:p>
    <w:p w14:paraId="0FE611DB" w14:textId="77777777" w:rsidR="005C0A52" w:rsidRPr="00B51896" w:rsidRDefault="005C0A52" w:rsidP="005C0A52">
      <w:pPr>
        <w:jc w:val="center"/>
        <w:rPr>
          <w:rFonts w:ascii="Book Antiqua" w:hAnsi="Book Antiqua"/>
        </w:rPr>
      </w:pPr>
    </w:p>
    <w:p w14:paraId="0847ABF8" w14:textId="77777777" w:rsidR="005C0A52" w:rsidRPr="00B51896" w:rsidRDefault="005C0A52" w:rsidP="005C0A52">
      <w:pPr>
        <w:jc w:val="center"/>
        <w:rPr>
          <w:rFonts w:ascii="Book Antiqua" w:hAnsi="Book Antiqua"/>
        </w:rPr>
      </w:pPr>
    </w:p>
    <w:p w14:paraId="409CFF6B" w14:textId="77777777" w:rsidR="005C0A52" w:rsidRPr="00B51896" w:rsidRDefault="005C0A52" w:rsidP="005C0A52">
      <w:pPr>
        <w:jc w:val="center"/>
        <w:rPr>
          <w:rFonts w:ascii="Book Antiqua" w:hAnsi="Book Antiqua"/>
        </w:rPr>
      </w:pPr>
      <w:r w:rsidRPr="00B51896">
        <w:rPr>
          <w:rFonts w:ascii="Book Antiqua" w:hAnsi="Book Antiqua"/>
          <w:noProof/>
        </w:rPr>
        <w:drawing>
          <wp:inline distT="0" distB="0" distL="0" distR="0" wp14:anchorId="462973E1" wp14:editId="3F4F4A1E">
            <wp:extent cx="1447800" cy="1447800"/>
            <wp:effectExtent l="0" t="0" r="0" b="0"/>
            <wp:docPr id="952212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784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1FF79CB" w14:textId="77777777" w:rsidR="005C0A52" w:rsidRPr="00B51896" w:rsidRDefault="005C0A52" w:rsidP="005C0A52">
      <w:pPr>
        <w:jc w:val="center"/>
        <w:rPr>
          <w:rFonts w:ascii="Book Antiqua" w:hAnsi="Book Antiqua"/>
        </w:rPr>
      </w:pPr>
    </w:p>
    <w:p w14:paraId="20F05D5B" w14:textId="77777777" w:rsidR="005C0A52" w:rsidRPr="00B51896" w:rsidRDefault="005C0A52" w:rsidP="005C0A52">
      <w:pPr>
        <w:jc w:val="center"/>
        <w:rPr>
          <w:rFonts w:ascii="Book Antiqua" w:hAnsi="Book Antiqua"/>
        </w:rPr>
      </w:pPr>
    </w:p>
    <w:p w14:paraId="403A2228" w14:textId="77777777" w:rsidR="005C0A52" w:rsidRPr="00B51896" w:rsidRDefault="005C0A52" w:rsidP="005C0A52">
      <w:pPr>
        <w:jc w:val="center"/>
        <w:rPr>
          <w:rFonts w:ascii="Book Antiqua" w:hAnsi="Book Antiqua"/>
        </w:rPr>
      </w:pPr>
    </w:p>
    <w:p w14:paraId="113D37EB" w14:textId="77777777" w:rsidR="005C0A52" w:rsidRPr="00B51896" w:rsidRDefault="005C0A52" w:rsidP="005C0A52">
      <w:pPr>
        <w:rPr>
          <w:rFonts w:ascii="Book Antiqua" w:hAnsi="Book Antiqua"/>
        </w:rPr>
      </w:pPr>
    </w:p>
    <w:p w14:paraId="7496EE9C" w14:textId="77777777" w:rsidR="005C0A52" w:rsidRPr="00B51896" w:rsidRDefault="005C0A52" w:rsidP="005C0A52">
      <w:pPr>
        <w:jc w:val="center"/>
        <w:rPr>
          <w:rFonts w:ascii="Book Antiqua" w:hAnsi="Book Antiqua"/>
        </w:rPr>
      </w:pPr>
    </w:p>
    <w:p w14:paraId="5D4CD85F" w14:textId="77777777" w:rsidR="005C0A52" w:rsidRPr="00B51896" w:rsidRDefault="005C0A52" w:rsidP="005C0A52">
      <w:pPr>
        <w:jc w:val="right"/>
        <w:rPr>
          <w:rFonts w:ascii="Book Antiqua" w:hAnsi="Book Antiqua"/>
          <w:color w:val="000000" w:themeColor="text1"/>
        </w:rPr>
      </w:pPr>
    </w:p>
    <w:p w14:paraId="68159E88" w14:textId="77777777" w:rsidR="005C0A52" w:rsidRDefault="005C0A52" w:rsidP="005C0A52">
      <w:pPr>
        <w:jc w:val="center"/>
        <w:rPr>
          <w:rFonts w:ascii="Book Antiqua" w:hAnsi="Book Antiqua"/>
          <w:color w:val="000000" w:themeColor="text1"/>
        </w:rPr>
      </w:pPr>
      <w:r w:rsidRPr="00B51896">
        <w:rPr>
          <w:rFonts w:ascii="Book Antiqua" w:eastAsia="BookAntiqua-Bold" w:hAnsi="Book Antiqua" w:cs="BookAntiqua-Bold"/>
          <w:b/>
          <w:bCs/>
          <w:color w:val="000000" w:themeColor="text1"/>
        </w:rPr>
        <w:t>© 2023 Baishideng Publishing Group Inc. All rights reserved.</w:t>
      </w:r>
      <w:r w:rsidRPr="00B51896">
        <w:rPr>
          <w:rFonts w:ascii="Book Antiqua" w:hAnsi="Book Antiqua"/>
          <w:color w:val="000000" w:themeColor="text1"/>
        </w:rPr>
        <w:fldChar w:fldCharType="begin"/>
      </w:r>
      <w:r w:rsidRPr="00B51896">
        <w:rPr>
          <w:rFonts w:ascii="Book Antiqua" w:hAnsi="Book Antiqua"/>
          <w:color w:val="000000" w:themeColor="text1"/>
        </w:rPr>
        <w:instrText xml:space="preserve"> ADDIN EN.REFLIST </w:instrText>
      </w:r>
      <w:r w:rsidRPr="00B51896">
        <w:rPr>
          <w:rFonts w:ascii="Book Antiqua" w:hAnsi="Book Antiqua"/>
          <w:color w:val="000000" w:themeColor="text1"/>
        </w:rPr>
        <w:fldChar w:fldCharType="end"/>
      </w:r>
    </w:p>
    <w:p w14:paraId="206FC86F" w14:textId="77777777" w:rsidR="005C0A52" w:rsidRDefault="005C0A52" w:rsidP="005C0A52">
      <w:pPr>
        <w:spacing w:line="360" w:lineRule="auto"/>
        <w:jc w:val="both"/>
        <w:rPr>
          <w:rFonts w:ascii="Book Antiqua" w:hAnsi="Book Antiqua"/>
        </w:rPr>
      </w:pPr>
    </w:p>
    <w:p w14:paraId="16DDCFA9" w14:textId="13242D27" w:rsidR="00A06D4C" w:rsidRPr="00EC0DF5" w:rsidRDefault="00A06D4C" w:rsidP="00EC0DF5">
      <w:pPr>
        <w:spacing w:line="360" w:lineRule="auto"/>
        <w:jc w:val="both"/>
        <w:rPr>
          <w:rFonts w:ascii="Book Antiqua" w:hAnsi="Book Antiqua"/>
        </w:rPr>
      </w:pPr>
    </w:p>
    <w:sectPr w:rsidR="00A06D4C" w:rsidRPr="00EC0D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9145" w14:textId="77777777" w:rsidR="00B74D76" w:rsidRDefault="00B74D76">
      <w:r>
        <w:separator/>
      </w:r>
    </w:p>
  </w:endnote>
  <w:endnote w:type="continuationSeparator" w:id="0">
    <w:p w14:paraId="5AD9415A" w14:textId="77777777" w:rsidR="00B74D76" w:rsidRDefault="00B7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733589"/>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2F6CABC5" w14:textId="77777777" w:rsidR="00D60238" w:rsidRDefault="00E04F3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119AF">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119AF">
              <w:rPr>
                <w:rFonts w:ascii="Book Antiqua" w:hAnsi="Book Antiqua"/>
                <w:noProof/>
                <w:sz w:val="24"/>
                <w:szCs w:val="24"/>
              </w:rPr>
              <w:t>25</w:t>
            </w:r>
            <w:r>
              <w:rPr>
                <w:rFonts w:ascii="Book Antiqua" w:hAnsi="Book Antiqua"/>
                <w:sz w:val="24"/>
                <w:szCs w:val="24"/>
              </w:rPr>
              <w:fldChar w:fldCharType="end"/>
            </w:r>
          </w:p>
        </w:sdtContent>
      </w:sdt>
    </w:sdtContent>
  </w:sdt>
  <w:p w14:paraId="7706818D" w14:textId="77777777" w:rsidR="00D60238" w:rsidRDefault="00D6023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8E999" w14:textId="77777777" w:rsidR="00B74D76" w:rsidRDefault="00B74D76">
      <w:r>
        <w:separator/>
      </w:r>
    </w:p>
  </w:footnote>
  <w:footnote w:type="continuationSeparator" w:id="0">
    <w:p w14:paraId="3C9DD979" w14:textId="77777777" w:rsidR="00B74D76" w:rsidRDefault="00B74D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GI0YmYwNThkMDU0NGM4YzgwN2IzNzNkMWVhNWM3NjMifQ=="/>
  </w:docVars>
  <w:rsids>
    <w:rsidRoot w:val="00A77B3E"/>
    <w:rsid w:val="00000A86"/>
    <w:rsid w:val="00072FEC"/>
    <w:rsid w:val="00081ACF"/>
    <w:rsid w:val="000967E8"/>
    <w:rsid w:val="000C57DB"/>
    <w:rsid w:val="000C637F"/>
    <w:rsid w:val="00127EBD"/>
    <w:rsid w:val="00195DD6"/>
    <w:rsid w:val="0019739E"/>
    <w:rsid w:val="001C0507"/>
    <w:rsid w:val="001C30CB"/>
    <w:rsid w:val="001D49B6"/>
    <w:rsid w:val="001E39BB"/>
    <w:rsid w:val="001F5239"/>
    <w:rsid w:val="00246C5E"/>
    <w:rsid w:val="00254315"/>
    <w:rsid w:val="002637AE"/>
    <w:rsid w:val="002A0798"/>
    <w:rsid w:val="002B5F1B"/>
    <w:rsid w:val="002B78FE"/>
    <w:rsid w:val="002E161C"/>
    <w:rsid w:val="002E34BC"/>
    <w:rsid w:val="002E4D7B"/>
    <w:rsid w:val="003477CB"/>
    <w:rsid w:val="003501FF"/>
    <w:rsid w:val="003B032A"/>
    <w:rsid w:val="003C3A43"/>
    <w:rsid w:val="003D532E"/>
    <w:rsid w:val="003E34F2"/>
    <w:rsid w:val="003E4E7D"/>
    <w:rsid w:val="003E7B1E"/>
    <w:rsid w:val="003F4122"/>
    <w:rsid w:val="003F5E64"/>
    <w:rsid w:val="004003E5"/>
    <w:rsid w:val="004258E3"/>
    <w:rsid w:val="00427294"/>
    <w:rsid w:val="004311A2"/>
    <w:rsid w:val="00445F39"/>
    <w:rsid w:val="00467337"/>
    <w:rsid w:val="00472E0E"/>
    <w:rsid w:val="00486B10"/>
    <w:rsid w:val="004872EF"/>
    <w:rsid w:val="00490664"/>
    <w:rsid w:val="004D3191"/>
    <w:rsid w:val="0050703F"/>
    <w:rsid w:val="005119AF"/>
    <w:rsid w:val="005C0A52"/>
    <w:rsid w:val="005D136D"/>
    <w:rsid w:val="005D2A2B"/>
    <w:rsid w:val="005E1509"/>
    <w:rsid w:val="00605D01"/>
    <w:rsid w:val="00636F6A"/>
    <w:rsid w:val="00656BD3"/>
    <w:rsid w:val="006718BB"/>
    <w:rsid w:val="006E6DAD"/>
    <w:rsid w:val="006F2BAA"/>
    <w:rsid w:val="007079F7"/>
    <w:rsid w:val="00735F82"/>
    <w:rsid w:val="00762DE6"/>
    <w:rsid w:val="0077214E"/>
    <w:rsid w:val="00780509"/>
    <w:rsid w:val="007866AB"/>
    <w:rsid w:val="007C6E1D"/>
    <w:rsid w:val="007C7846"/>
    <w:rsid w:val="00804FD7"/>
    <w:rsid w:val="00813220"/>
    <w:rsid w:val="00814307"/>
    <w:rsid w:val="008213A8"/>
    <w:rsid w:val="008249BF"/>
    <w:rsid w:val="0082542F"/>
    <w:rsid w:val="00866767"/>
    <w:rsid w:val="008B40F0"/>
    <w:rsid w:val="008F5D8E"/>
    <w:rsid w:val="00921E7A"/>
    <w:rsid w:val="009237DC"/>
    <w:rsid w:val="0092633B"/>
    <w:rsid w:val="00936A19"/>
    <w:rsid w:val="0098343B"/>
    <w:rsid w:val="00984884"/>
    <w:rsid w:val="009B527E"/>
    <w:rsid w:val="009E2FD4"/>
    <w:rsid w:val="009E5191"/>
    <w:rsid w:val="00A06D4C"/>
    <w:rsid w:val="00A13441"/>
    <w:rsid w:val="00A170FE"/>
    <w:rsid w:val="00A707AB"/>
    <w:rsid w:val="00A75783"/>
    <w:rsid w:val="00A77B3E"/>
    <w:rsid w:val="00A81F84"/>
    <w:rsid w:val="00AC1301"/>
    <w:rsid w:val="00B02263"/>
    <w:rsid w:val="00B20C5B"/>
    <w:rsid w:val="00B2338B"/>
    <w:rsid w:val="00B31958"/>
    <w:rsid w:val="00B42141"/>
    <w:rsid w:val="00B51896"/>
    <w:rsid w:val="00B56157"/>
    <w:rsid w:val="00B647A4"/>
    <w:rsid w:val="00B64B67"/>
    <w:rsid w:val="00B65C82"/>
    <w:rsid w:val="00B71098"/>
    <w:rsid w:val="00B74D76"/>
    <w:rsid w:val="00BA0564"/>
    <w:rsid w:val="00BB3D24"/>
    <w:rsid w:val="00BF28B9"/>
    <w:rsid w:val="00BF49D0"/>
    <w:rsid w:val="00C3333B"/>
    <w:rsid w:val="00C56E8D"/>
    <w:rsid w:val="00C62350"/>
    <w:rsid w:val="00C81B29"/>
    <w:rsid w:val="00C96026"/>
    <w:rsid w:val="00CA2A55"/>
    <w:rsid w:val="00CD0273"/>
    <w:rsid w:val="00CD2E58"/>
    <w:rsid w:val="00CE559A"/>
    <w:rsid w:val="00CE5881"/>
    <w:rsid w:val="00D238FF"/>
    <w:rsid w:val="00D60238"/>
    <w:rsid w:val="00D7534C"/>
    <w:rsid w:val="00D80FAA"/>
    <w:rsid w:val="00DD7414"/>
    <w:rsid w:val="00E048F3"/>
    <w:rsid w:val="00E04F37"/>
    <w:rsid w:val="00E30EB8"/>
    <w:rsid w:val="00EC0DF5"/>
    <w:rsid w:val="00ED2228"/>
    <w:rsid w:val="00EE5A49"/>
    <w:rsid w:val="00F05D03"/>
    <w:rsid w:val="00F35B38"/>
    <w:rsid w:val="00F36BFD"/>
    <w:rsid w:val="0F3D04B3"/>
    <w:rsid w:val="1CC360E8"/>
    <w:rsid w:val="5E946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75EC78"/>
  <w15:docId w15:val="{35E6DD9F-64EE-4327-8B56-85D552EB3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rFonts w:ascii="宋体" w:eastAsia="宋体"/>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tabs>
        <w:tab w:val="center" w:pos="4153"/>
        <w:tab w:val="right" w:pos="8306"/>
      </w:tabs>
      <w:snapToGrid w:val="0"/>
      <w:jc w:val="center"/>
    </w:pPr>
    <w:rPr>
      <w:sz w:val="18"/>
      <w:szCs w:val="18"/>
    </w:rPr>
  </w:style>
  <w:style w:type="character" w:styleId="ab">
    <w:name w:val="annotation reference"/>
    <w:basedOn w:val="a0"/>
    <w:uiPriority w:val="99"/>
    <w:rPr>
      <w:sz w:val="16"/>
      <w:szCs w:val="16"/>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paragraph" w:customStyle="1" w:styleId="1">
    <w:name w:val="修订1"/>
    <w:hidden/>
    <w:uiPriority w:val="99"/>
    <w:semiHidden/>
    <w:rPr>
      <w:sz w:val="24"/>
      <w:szCs w:val="24"/>
      <w:lang w:eastAsia="en-US"/>
    </w:rPr>
  </w:style>
  <w:style w:type="character" w:customStyle="1" w:styleId="a6">
    <w:name w:val="批注框文本 字符"/>
    <w:basedOn w:val="a0"/>
    <w:link w:val="a5"/>
    <w:rPr>
      <w:rFonts w:ascii="宋体" w:eastAsia="宋体"/>
      <w:sz w:val="18"/>
      <w:szCs w:val="18"/>
    </w:rPr>
  </w:style>
  <w:style w:type="table" w:styleId="ac">
    <w:name w:val="Table Grid"/>
    <w:basedOn w:val="a1"/>
    <w:uiPriority w:val="99"/>
    <w:rsid w:val="00A06D4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3"/>
    <w:next w:val="a3"/>
    <w:link w:val="ae"/>
    <w:rsid w:val="00445F39"/>
    <w:rPr>
      <w:b/>
      <w:bCs/>
    </w:rPr>
  </w:style>
  <w:style w:type="character" w:customStyle="1" w:styleId="a4">
    <w:name w:val="批注文字 字符"/>
    <w:basedOn w:val="a0"/>
    <w:link w:val="a3"/>
    <w:rsid w:val="00445F39"/>
    <w:rPr>
      <w:sz w:val="24"/>
      <w:szCs w:val="24"/>
      <w:lang w:eastAsia="en-US"/>
    </w:rPr>
  </w:style>
  <w:style w:type="character" w:customStyle="1" w:styleId="ae">
    <w:name w:val="批注主题 字符"/>
    <w:basedOn w:val="a4"/>
    <w:link w:val="ad"/>
    <w:rsid w:val="00445F39"/>
    <w:rPr>
      <w:b/>
      <w:bCs/>
      <w:sz w:val="24"/>
      <w:szCs w:val="24"/>
      <w:lang w:eastAsia="en-US"/>
    </w:rPr>
  </w:style>
  <w:style w:type="paragraph" w:styleId="af">
    <w:name w:val="Revision"/>
    <w:hidden/>
    <w:uiPriority w:val="99"/>
    <w:unhideWhenUsed/>
    <w:rsid w:val="001F5239"/>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2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liufuquan@ccmu.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26</Pages>
  <Words>5367</Words>
  <Characters>30594</Characters>
  <Application>Microsoft Office Word</Application>
  <DocSecurity>0</DocSecurity>
  <Lines>254</Lines>
  <Paragraphs>71</Paragraphs>
  <ScaleCrop>false</ScaleCrop>
  <Company/>
  <LinksUpToDate>false</LinksUpToDate>
  <CharactersWithSpaces>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linco</dc:creator>
  <cp:lastModifiedBy>ruirui Wu</cp:lastModifiedBy>
  <cp:revision>23</cp:revision>
  <dcterms:created xsi:type="dcterms:W3CDTF">2023-10-17T12:42:00Z</dcterms:created>
  <dcterms:modified xsi:type="dcterms:W3CDTF">2023-11-26T17:39:00Z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9AC8AD449D7B473EA9D7A2C5CD3CD783_12</vt:lpwstr>
  </property>
</Properties>
</file>